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6C032F34C284016BDFD83CC84D93244" style="width:450.7pt;height:375.9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pStyle w:val="Default"/>
        <w:spacing w:after="120"/>
        <w:jc w:val="both"/>
        <w:rPr>
          <w:b/>
          <w:noProof/>
        </w:rPr>
      </w:pPr>
      <w:bookmarkStart w:id="1" w:name="_GoBack"/>
      <w:bookmarkEnd w:id="1"/>
      <w:r>
        <w:rPr>
          <w:b/>
          <w:noProof/>
        </w:rPr>
        <w:lastRenderedPageBreak/>
        <w:t>Aruanne Euroopa Parlamendi ja nõukogu 25. oktoobri 2011. aasta direktiivi 2011/83/EL (tarbija õiguste kohta, millega muudetakse nõukogu direktiivi 93/13/EMÜ ning Euroopa Parlamendi ja nõukogu direktiivi 1999/44/EÜ ja millega tunnistatakse kehtetuks nõukogu direktiiv 85/577/EMÜ ning Euroopa Parlamendi ja nõukogu direktiiv 97/7/EÜ) kohaldamise kohta</w:t>
      </w:r>
    </w:p>
    <w:p>
      <w:pPr>
        <w:autoSpaceDE w:val="0"/>
        <w:autoSpaceDN w:val="0"/>
        <w:adjustRightInd w:val="0"/>
        <w:spacing w:after="120"/>
        <w:jc w:val="both"/>
        <w:rPr>
          <w:rFonts w:ascii="Times New Roman" w:hAnsi="Times New Roman" w:cs="Times New Roman"/>
          <w:b/>
          <w:bCs/>
          <w:noProof/>
          <w:color w:val="000000"/>
          <w:sz w:val="24"/>
          <w:szCs w:val="24"/>
        </w:rPr>
      </w:pPr>
      <w:r>
        <w:rPr>
          <w:rFonts w:ascii="Times New Roman" w:hAnsi="Times New Roman"/>
          <w:b/>
          <w:noProof/>
          <w:color w:val="000000"/>
          <w:sz w:val="24"/>
        </w:rPr>
        <w:t>1. Sissejuhatus</w:t>
      </w:r>
    </w:p>
    <w:p>
      <w:pPr>
        <w:pStyle w:val="Default"/>
        <w:spacing w:after="120"/>
        <w:jc w:val="both"/>
        <w:rPr>
          <w:noProof/>
        </w:rPr>
      </w:pPr>
      <w:r>
        <w:rPr>
          <w:noProof/>
        </w:rPr>
        <w:t>Direktiiv 2011/83/EL tarbija õiguste kohta</w:t>
      </w:r>
      <w:r>
        <w:rPr>
          <w:noProof/>
          <w:vertAlign w:val="superscript"/>
        </w:rPr>
        <w:footnoteReference w:id="2"/>
      </w:r>
      <w:r>
        <w:rPr>
          <w:noProof/>
        </w:rPr>
        <w:t xml:space="preserve"> (edaspidi „direktiiv“ või „tarbija õiguste direktiiv“) võeti vastu 25. oktoobril 2011. Selle eesmärk on saavutada kõikjal ELis kõrge tarbijakaitse tase ja aidata kaasa siseturu nõuetekohasele toimimisele, ühtlustades liikmesriikide õigus- ja haldusnormide teatavaid aspekte, mis käsitlevad tarbijate ja kauplejate vahelisi lepinguid.</w:t>
      </w:r>
    </w:p>
    <w:p>
      <w:pPr>
        <w:pStyle w:val="Default"/>
        <w:spacing w:after="120"/>
        <w:jc w:val="both"/>
        <w:rPr>
          <w:noProof/>
        </w:rPr>
      </w:pPr>
      <w:r>
        <w:rPr>
          <w:noProof/>
        </w:rPr>
        <w:t xml:space="preserve">Direktiiv tuli liikmesriikide siseriiklikku õigusesse üle võtta 13. detsembriks 2013, et see oleks kõikides ELi liikmesriikides kohaldatav alates 13. juunist 2014. </w:t>
      </w:r>
    </w:p>
    <w:p>
      <w:pPr>
        <w:pStyle w:val="Default"/>
        <w:spacing w:after="120"/>
        <w:jc w:val="both"/>
        <w:rPr>
          <w:noProof/>
        </w:rPr>
      </w:pPr>
      <w:r>
        <w:rPr>
          <w:noProof/>
        </w:rPr>
        <w:t>Direktiivi artikliga 30 nõutakse komisjonilt direktiivi kohaldamise kohta Euroopa Parlamendile ja nõukogule aruande esitamist, eelkõige seoses digitaalset sisu ja taganemisõigust käsitlevate sätetega.</w:t>
      </w:r>
    </w:p>
    <w:p>
      <w:pPr>
        <w:pStyle w:val="Default"/>
        <w:spacing w:line="276" w:lineRule="auto"/>
        <w:contextualSpacing/>
        <w:jc w:val="both"/>
        <w:rPr>
          <w:noProof/>
        </w:rPr>
      </w:pPr>
      <w:r>
        <w:rPr>
          <w:noProof/>
        </w:rPr>
        <w:t>Komisjon on direktiivi hinnanud järgmistele allikatele tuginedes:</w:t>
      </w:r>
    </w:p>
    <w:p>
      <w:pPr>
        <w:pStyle w:val="Default"/>
        <w:numPr>
          <w:ilvl w:val="0"/>
          <w:numId w:val="15"/>
        </w:numPr>
        <w:spacing w:line="276" w:lineRule="auto"/>
        <w:contextualSpacing/>
        <w:jc w:val="both"/>
        <w:rPr>
          <w:noProof/>
        </w:rPr>
      </w:pPr>
      <w:r>
        <w:rPr>
          <w:noProof/>
        </w:rPr>
        <w:t>välisuuring tarbija õiguste direktiivi kohaldamise kohta</w:t>
      </w:r>
      <w:r>
        <w:rPr>
          <w:rStyle w:val="FootnoteReference"/>
          <w:noProof/>
        </w:rPr>
        <w:footnoteReference w:id="3"/>
      </w:r>
      <w:r>
        <w:rPr>
          <w:noProof/>
        </w:rPr>
        <w:t>;</w:t>
      </w:r>
    </w:p>
    <w:p>
      <w:pPr>
        <w:pStyle w:val="Default"/>
        <w:numPr>
          <w:ilvl w:val="0"/>
          <w:numId w:val="15"/>
        </w:numPr>
        <w:spacing w:line="276" w:lineRule="auto"/>
        <w:contextualSpacing/>
        <w:jc w:val="both"/>
        <w:rPr>
          <w:noProof/>
        </w:rPr>
      </w:pPr>
      <w:r>
        <w:rPr>
          <w:noProof/>
        </w:rPr>
        <w:t>Euroopa Majandus- ja Sotsiaalkomitee aruanne</w:t>
      </w:r>
      <w:r>
        <w:rPr>
          <w:rStyle w:val="FootnoteReference"/>
          <w:noProof/>
        </w:rPr>
        <w:footnoteReference w:id="4"/>
      </w:r>
      <w:r>
        <w:rPr>
          <w:noProof/>
        </w:rPr>
        <w:t>;</w:t>
      </w:r>
    </w:p>
    <w:p>
      <w:pPr>
        <w:pStyle w:val="Default"/>
        <w:numPr>
          <w:ilvl w:val="0"/>
          <w:numId w:val="15"/>
        </w:numPr>
        <w:spacing w:line="276" w:lineRule="auto"/>
        <w:contextualSpacing/>
        <w:jc w:val="both"/>
        <w:rPr>
          <w:noProof/>
        </w:rPr>
      </w:pPr>
      <w:r>
        <w:rPr>
          <w:noProof/>
        </w:rPr>
        <w:t>mitmesugused konsultatsioonid sidusrühmadega</w:t>
      </w:r>
      <w:r>
        <w:rPr>
          <w:rStyle w:val="FootnoteReference"/>
          <w:noProof/>
        </w:rPr>
        <w:footnoteReference w:id="5"/>
      </w:r>
      <w:r>
        <w:rPr>
          <w:noProof/>
        </w:rPr>
        <w:t xml:space="preserve"> ning</w:t>
      </w:r>
    </w:p>
    <w:p>
      <w:pPr>
        <w:pStyle w:val="Default"/>
        <w:numPr>
          <w:ilvl w:val="0"/>
          <w:numId w:val="15"/>
        </w:numPr>
        <w:spacing w:after="120" w:line="276" w:lineRule="auto"/>
        <w:jc w:val="both"/>
        <w:rPr>
          <w:noProof/>
        </w:rPr>
      </w:pPr>
      <w:r>
        <w:rPr>
          <w:noProof/>
        </w:rPr>
        <w:t>muud andmeallikad</w:t>
      </w:r>
      <w:r>
        <w:rPr>
          <w:rStyle w:val="FootnoteReference"/>
          <w:noProof/>
        </w:rPr>
        <w:footnoteReference w:id="6"/>
      </w:r>
      <w:r>
        <w:rPr>
          <w:noProof/>
        </w:rPr>
        <w:t>.</w:t>
      </w:r>
    </w:p>
    <w:p>
      <w:pPr>
        <w:pStyle w:val="Default"/>
        <w:spacing w:after="120"/>
        <w:jc w:val="both"/>
        <w:rPr>
          <w:noProof/>
        </w:rPr>
      </w:pPr>
      <w:r>
        <w:rPr>
          <w:noProof/>
        </w:rPr>
        <w:t>Hindamine on koostatud komisjoni talituste töödokumendina, mis on lisatud käesolevale aruandele, kus on esitatud selle peamised tulemused. Kuna direktiivi hindamise ajaks ei olnud seda üle võtva siseriikliku õiguse ettenähtud kohaldamisajast möödunud kolme aastatki, oli tõendusbaas suhteliselt piiratud. Et direktiiv on ikka veel varajases rakendusetapis, on käesoleva hinnangu eesmärk selle ülevõtmise ja esmase kohaldamise edusammude hindamine.</w:t>
      </w:r>
    </w:p>
    <w:p>
      <w:pPr>
        <w:pStyle w:val="Default"/>
        <w:spacing w:after="120" w:line="276" w:lineRule="auto"/>
        <w:jc w:val="both"/>
        <w:rPr>
          <w:noProof/>
        </w:rPr>
      </w:pPr>
      <w:r>
        <w:rPr>
          <w:noProof/>
        </w:rPr>
        <w:t>Tarbija õiguste direktiivi kohaldamist hinnati paralleelselt laiema õigusloome kvaliteedi ja tulemuslikkuse programmi toimivuskontrolliga, mis käsitles ELi tarbijakaitse ja turunduse valdkonna õigusakte, ning tarbija õiguste direktiivi kohaldamise hindamistulemusi kasutati toimivuskontrolli lõpparuandes</w:t>
      </w:r>
      <w:r>
        <w:rPr>
          <w:rStyle w:val="FootnoteReference"/>
          <w:noProof/>
        </w:rPr>
        <w:footnoteReference w:id="7"/>
      </w:r>
      <w:r>
        <w:rPr>
          <w:noProof/>
        </w:rPr>
        <w:t xml:space="preserve">. Samuti kasutati tarbija õiguste direktiivi kohaldamise </w:t>
      </w:r>
      <w:r>
        <w:rPr>
          <w:noProof/>
        </w:rPr>
        <w:lastRenderedPageBreak/>
        <w:t>hindamiseks arvamuste ja andmete kogumiseks toimivuskontrolli käigus toimunud konsulteerimist (nt sidusrühmade konsultatsioonirühmas ja tarbijaküsimusi käsitleval tippkohtumisel).</w:t>
      </w:r>
    </w:p>
    <w:p>
      <w:pPr>
        <w:autoSpaceDE w:val="0"/>
        <w:autoSpaceDN w:val="0"/>
        <w:adjustRightInd w:val="0"/>
        <w:spacing w:after="120"/>
        <w:jc w:val="both"/>
        <w:rPr>
          <w:rFonts w:ascii="Times New Roman" w:hAnsi="Times New Roman" w:cs="Times New Roman"/>
          <w:b/>
          <w:bCs/>
          <w:noProof/>
          <w:color w:val="000000"/>
          <w:sz w:val="24"/>
          <w:szCs w:val="24"/>
        </w:rPr>
      </w:pPr>
      <w:r>
        <w:rPr>
          <w:rFonts w:ascii="Times New Roman" w:hAnsi="Times New Roman"/>
          <w:b/>
          <w:noProof/>
          <w:color w:val="000000"/>
          <w:sz w:val="24"/>
        </w:rPr>
        <w:t>2. Direktiivi eesmärk ja põhisätted</w:t>
      </w:r>
    </w:p>
    <w:p>
      <w:p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Tarbija õiguste direktiiviga tunnistati kehtetuks direktiiv 97/7/EÜ tarbijate kaitse kohta sidevahendi abil sõlmitud lepingute korral ja direktiiv 85/577/EMÜ tarbija kaitsmise kohta väljaspool äriruume sõlmitud lepingute korral. Tarbija õiguste direktiiviga võeti kasutusele kaupade ja teenustega seotud kauglepingute (internetis sõlmitud lepingute) ja väljaspool äriruume sõlmitavate lepingute ning digitaalse sisu ühtlustatud normid. Samuti muudeti direktiivi 93/13/EMÜ (ebaõiglaste tingimuste kohta tarbijalepingutes) ja direktiivi 1999/44/EÜ (tarbekaupade müügi ja nendega seotud garantiide teatavate aspektide kohta) teatavaid sätteid.</w:t>
      </w:r>
    </w:p>
    <w:p>
      <w:p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Direktiivi artiklis 1 on märgitud, et selle eesmärk on saavutada kõikjal ELis kõrge tarbijakaitse tase ja aidata kaasa siseturu nõuetekohasele toimimisele, ühtlustades liikmesriikide õigus- ja haldusnormide teatavaid aspekte, mis käsitlevad tarbijate ja kauplejate vahel sõlmitud lepinguid.</w:t>
      </w:r>
    </w:p>
    <w:p>
      <w:p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Direktiivi põhjenduses 4 on selgitatud, et ühtlustamine on vajalik toimiva ning tarbijatele suunatud siseturu arendamiseks, kus valitseb tasakaal kõrgetasemelise tarbijakaitse ja ettevõtjate konkurentsivõime vahel.</w:t>
      </w:r>
    </w:p>
    <w:p>
      <w:p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Võrreldes varasemate direktiividega, kus ettevõtjate ja tarbijate vahel väljaspool äriruume sõlmitud lepinguid ja kauglepinguid käsitlevaid tarbijakaitse norme ühtlustati vähimal tasemel, on tarbija õiguste direktiivis sätestatud täielik ühtlustamine. See tähendab, et liikmesriigid ei tohi direktiivi kohaldamisalas säilitada ega kehtestada siseriiklikke sätteid, mis ei ole kooskõlas direktiiviga, kui direktiivis ei sätestata teisiti (artikkel 4).</w:t>
      </w:r>
    </w:p>
    <w:p>
      <w:p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 xml:space="preserve">Direktiiviga lubatakse liikmesriikidel kehtestada täiendavad lepingueelsed teavitamisnõuded äriruumides sõlmitud lepingute kohta (artikli 5 lõige 4) ja kasutada oma siseriikliku õiguse võimalusi kuues valdkonnas. Liikmesriikidel tuleb nende õiguslike võimaluste kasutamise kohta esitada aruanded ja komisjon on teinud need aruanded kättesaadavaks oma veebisaidil kooskõlas tarbija õiguste direktiivi artikliga 29. </w:t>
      </w:r>
    </w:p>
    <w:p>
      <w:pPr>
        <w:pStyle w:val="CommentText"/>
        <w:rPr>
          <w:rFonts w:ascii="Times New Roman" w:hAnsi="Times New Roman"/>
          <w:noProof/>
        </w:rPr>
      </w:pPr>
      <w:r>
        <w:rPr>
          <w:rFonts w:ascii="Times New Roman" w:hAnsi="Times New Roman"/>
          <w:noProof/>
        </w:rPr>
        <w:t>Kõige rohkem on kasutatud järgmisi õiguslikke võimalusi</w:t>
      </w:r>
      <w:r>
        <w:rPr>
          <w:rFonts w:ascii="Times New Roman" w:hAnsi="Times New Roman"/>
          <w:noProof/>
          <w:vertAlign w:val="superscript"/>
        </w:rPr>
        <w:footnoteReference w:id="8"/>
      </w:r>
      <w:r>
        <w:rPr>
          <w:rFonts w:ascii="Times New Roman" w:hAnsi="Times New Roman"/>
          <w:noProof/>
        </w:rPr>
        <w:t>:</w:t>
      </w:r>
    </w:p>
    <w:p>
      <w:pPr>
        <w:pStyle w:val="CommentText"/>
        <w:numPr>
          <w:ilvl w:val="0"/>
          <w:numId w:val="17"/>
        </w:numPr>
        <w:rPr>
          <w:rFonts w:ascii="Times New Roman" w:hAnsi="Times New Roman"/>
          <w:noProof/>
          <w:color w:val="000000"/>
          <w:szCs w:val="24"/>
        </w:rPr>
      </w:pPr>
      <w:r>
        <w:rPr>
          <w:rFonts w:ascii="Times New Roman" w:hAnsi="Times New Roman"/>
          <w:noProof/>
        </w:rPr>
        <w:t>20 liikmesriiki ei kohalda direktiivi sätteid, mis käsitlevad väljaspool äriruume sõlmitavaid lepinguid, mille puhul tarbija poolt tehtav makse ei ületa 50 eurot (või väiksemat siseriikliku õigusega sätestatud väärtust) (tarbija õiguste direktiivi artikli 3 lõige 4);</w:t>
      </w:r>
    </w:p>
    <w:p>
      <w:pPr>
        <w:pStyle w:val="CommentText"/>
        <w:numPr>
          <w:ilvl w:val="0"/>
          <w:numId w:val="17"/>
        </w:numPr>
        <w:rPr>
          <w:rFonts w:ascii="Times New Roman" w:hAnsi="Times New Roman"/>
          <w:noProof/>
          <w:color w:val="000000"/>
          <w:szCs w:val="24"/>
        </w:rPr>
      </w:pPr>
      <w:r>
        <w:rPr>
          <w:rFonts w:ascii="Times New Roman" w:hAnsi="Times New Roman"/>
          <w:noProof/>
        </w:rPr>
        <w:t>15 liikmesriiki on kehtestanud kauglepingutes ja väljaspool äriruume sõlmitavates lepingutes esitatava lepingulise teabe suhtes keelenõuded tagamaks, et tarbija saab sellisest teabest kergesti aru (tarbija õiguste direktiivi artikli 6 lõige 7);</w:t>
      </w:r>
    </w:p>
    <w:p>
      <w:pPr>
        <w:pStyle w:val="CommentText"/>
        <w:numPr>
          <w:ilvl w:val="0"/>
          <w:numId w:val="17"/>
        </w:numPr>
        <w:rPr>
          <w:rFonts w:ascii="Times New Roman" w:hAnsi="Times New Roman"/>
          <w:noProof/>
          <w:color w:val="000000"/>
          <w:szCs w:val="24"/>
        </w:rPr>
      </w:pPr>
      <w:r>
        <w:rPr>
          <w:rFonts w:ascii="Times New Roman" w:hAnsi="Times New Roman"/>
          <w:noProof/>
        </w:rPr>
        <w:t>7 liikmesriiki on valinud lihtsustatud teavitamiskorra väljaspool äriruume sõlmitavate lepingute puhul, mis käsitlevad remonti või hooldustöid, mida tarbija on sõnaselgelt taotlenud ja mille eest tarbija makstav summa ei ületa 200 eurot (tarbija õiguste direktiivi artikli 7 lõige 4);</w:t>
      </w:r>
    </w:p>
    <w:p>
      <w:pPr>
        <w:pStyle w:val="CommentText"/>
        <w:numPr>
          <w:ilvl w:val="0"/>
          <w:numId w:val="17"/>
        </w:numPr>
        <w:rPr>
          <w:rFonts w:ascii="Times New Roman" w:hAnsi="Times New Roman"/>
          <w:noProof/>
          <w:color w:val="000000"/>
          <w:szCs w:val="24"/>
        </w:rPr>
      </w:pPr>
      <w:r>
        <w:rPr>
          <w:rFonts w:ascii="Times New Roman" w:hAnsi="Times New Roman"/>
          <w:noProof/>
          <w:color w:val="000000"/>
        </w:rPr>
        <w:t>16 liikmesriiki nõuavad telefoni teel sõlmitud lepingute kohta kirjalikku kinnitust (tarbija õiguste direktiivi artikli 8 lõige 6).</w:t>
      </w:r>
      <w:r>
        <w:rPr>
          <w:noProof/>
        </w:rPr>
        <w:t xml:space="preserve"> </w:t>
      </w:r>
    </w:p>
    <w:p>
      <w:p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Võrreldes varasema minimaalselt ühtlustava õigusraamistikuga, mis oli kehtestatud direktiiviga 97/7/EÜ ja direktiiviga 85/577/EMÜ, on tarbija õiguste direktiivi uued sätted seotud järgmisega:</w:t>
      </w:r>
    </w:p>
    <w:p>
      <w:pPr>
        <w:pStyle w:val="ListParagraph"/>
        <w:numPr>
          <w:ilvl w:val="0"/>
          <w:numId w:val="8"/>
        </w:numPr>
        <w:jc w:val="both"/>
        <w:rPr>
          <w:rFonts w:ascii="Times New Roman" w:eastAsia="Times New Roman" w:hAnsi="Times New Roman" w:cs="Times New Roman"/>
          <w:noProof/>
          <w:sz w:val="24"/>
          <w:szCs w:val="24"/>
        </w:rPr>
      </w:pPr>
      <w:r>
        <w:rPr>
          <w:rFonts w:ascii="Times New Roman" w:hAnsi="Times New Roman"/>
          <w:noProof/>
          <w:sz w:val="24"/>
        </w:rPr>
        <w:t xml:space="preserve"> ühtlustati veelgi äriruumides sõlmitavate lepingute lepingueelseid teavitamisnõudeid (artikli 5 lõige 1) ja ühtlustati täielikult kauglepingute ja väljaspool äriruume sõlmitud lepingute lepingueelsed teavitamisnõuded (artikli 6 lõige 1);</w:t>
      </w:r>
    </w:p>
    <w:p>
      <w:pPr>
        <w:pStyle w:val="ListParagraph"/>
        <w:numPr>
          <w:ilvl w:val="0"/>
          <w:numId w:val="8"/>
        </w:numPr>
        <w:jc w:val="both"/>
        <w:rPr>
          <w:rFonts w:ascii="Times New Roman" w:eastAsia="Times New Roman" w:hAnsi="Times New Roman" w:cs="Times New Roman"/>
          <w:noProof/>
          <w:sz w:val="24"/>
          <w:szCs w:val="24"/>
        </w:rPr>
      </w:pPr>
      <w:r>
        <w:rPr>
          <w:rFonts w:ascii="Times New Roman" w:hAnsi="Times New Roman"/>
          <w:noProof/>
          <w:sz w:val="24"/>
        </w:rPr>
        <w:t>kohaldamisalasse lisati digitaalne sisu seda käsitlevate erisätetega, nagu teave funktsioonide ja koostalitlusvõime ning taganemisõiguse kohta (artikli 5 lõike 1 punktid g ja h; artikli 6 lõike 1 punktid r ja s; artikli 9 lõike 2 punkt c; artikli 14 lõike 4 punkt b; ja artikli 16 punkt m);</w:t>
      </w:r>
    </w:p>
    <w:p>
      <w:pPr>
        <w:pStyle w:val="ListParagraph"/>
        <w:numPr>
          <w:ilvl w:val="0"/>
          <w:numId w:val="8"/>
        </w:numPr>
        <w:jc w:val="both"/>
        <w:rPr>
          <w:rFonts w:ascii="Times New Roman" w:eastAsia="Times New Roman" w:hAnsi="Times New Roman" w:cs="Times New Roman"/>
          <w:noProof/>
          <w:sz w:val="24"/>
          <w:szCs w:val="24"/>
        </w:rPr>
      </w:pPr>
      <w:r>
        <w:rPr>
          <w:rFonts w:ascii="Times New Roman" w:hAnsi="Times New Roman"/>
          <w:noProof/>
          <w:sz w:val="24"/>
        </w:rPr>
        <w:t>vorminõuded kauglepingute ja väljaspool äriruume sõlmitavate lepingute puhul, nt nupule vajutamine tellimuste korral, millega kaasneb kohustus maksta (artiklid 7 ja 8);</w:t>
      </w:r>
    </w:p>
    <w:p>
      <w:pPr>
        <w:pStyle w:val="ListParagraph"/>
        <w:numPr>
          <w:ilvl w:val="0"/>
          <w:numId w:val="8"/>
        </w:numPr>
        <w:jc w:val="both"/>
        <w:rPr>
          <w:rFonts w:ascii="Times New Roman" w:eastAsia="Times New Roman" w:hAnsi="Times New Roman" w:cs="Times New Roman"/>
          <w:noProof/>
          <w:sz w:val="24"/>
          <w:szCs w:val="24"/>
        </w:rPr>
      </w:pPr>
      <w:r>
        <w:rPr>
          <w:rFonts w:ascii="Times New Roman" w:hAnsi="Times New Roman"/>
          <w:noProof/>
          <w:sz w:val="24"/>
        </w:rPr>
        <w:t>täielikult ühtlustatud 14-päevane ajavahemik taganemisõiguse kasutamiseks kauglepingute ja väljaspool äriruume sõlmitavate lepingute puhul, kuigi seal on mõni erand (artikkel 16), ja selgemad tagasimakseõigused (artiklid 9–15);</w:t>
      </w:r>
    </w:p>
    <w:p>
      <w:pPr>
        <w:pStyle w:val="ListParagraph"/>
        <w:numPr>
          <w:ilvl w:val="0"/>
          <w:numId w:val="8"/>
        </w:numPr>
        <w:jc w:val="both"/>
        <w:rPr>
          <w:rFonts w:ascii="Times New Roman" w:eastAsia="Times New Roman" w:hAnsi="Times New Roman" w:cs="Times New Roman"/>
          <w:noProof/>
          <w:sz w:val="24"/>
          <w:szCs w:val="24"/>
        </w:rPr>
      </w:pPr>
      <w:r>
        <w:rPr>
          <w:rFonts w:ascii="Times New Roman" w:hAnsi="Times New Roman"/>
          <w:noProof/>
          <w:sz w:val="24"/>
        </w:rPr>
        <w:t>uued kohaletoimetamise ja riisiko ülemineku normid (artiklid 18 ja 20);</w:t>
      </w:r>
    </w:p>
    <w:p>
      <w:pPr>
        <w:pStyle w:val="ListParagraph"/>
        <w:numPr>
          <w:ilvl w:val="0"/>
          <w:numId w:val="8"/>
        </w:numPr>
        <w:jc w:val="both"/>
        <w:rPr>
          <w:rFonts w:ascii="Times New Roman" w:eastAsia="Times New Roman" w:hAnsi="Times New Roman" w:cs="Times New Roman"/>
          <w:noProof/>
          <w:sz w:val="24"/>
          <w:szCs w:val="24"/>
        </w:rPr>
      </w:pPr>
      <w:r>
        <w:rPr>
          <w:rFonts w:ascii="Times New Roman" w:hAnsi="Times New Roman"/>
          <w:noProof/>
          <w:sz w:val="24"/>
        </w:rPr>
        <w:t xml:space="preserve"> põhitariifi järgi maksmise nõue, kui tarbija helistab kauplejale juba sõlmitud lepingute asjus (artikkel 21);</w:t>
      </w:r>
    </w:p>
    <w:p>
      <w:pPr>
        <w:pStyle w:val="ListParagraph"/>
        <w:numPr>
          <w:ilvl w:val="0"/>
          <w:numId w:val="8"/>
        </w:numPr>
        <w:jc w:val="both"/>
        <w:rPr>
          <w:rFonts w:ascii="Times New Roman" w:eastAsia="Times New Roman" w:hAnsi="Times New Roman" w:cs="Times New Roman"/>
          <w:noProof/>
          <w:sz w:val="24"/>
          <w:szCs w:val="24"/>
        </w:rPr>
      </w:pPr>
      <w:r>
        <w:rPr>
          <w:rFonts w:ascii="Times New Roman" w:hAnsi="Times New Roman"/>
          <w:noProof/>
          <w:sz w:val="24"/>
        </w:rPr>
        <w:t xml:space="preserve">keeld küsida põhjendamatut tasu maksevahendite kasutamise eest (artikkel 19) ja kasutada eelnevalt märgistatud kastikesi (artikkel 22); </w:t>
      </w:r>
    </w:p>
    <w:p>
      <w:pPr>
        <w:pStyle w:val="ListParagraph"/>
        <w:numPr>
          <w:ilvl w:val="0"/>
          <w:numId w:val="8"/>
        </w:numPr>
        <w:jc w:val="both"/>
        <w:rPr>
          <w:rFonts w:ascii="Times New Roman" w:eastAsia="Times New Roman" w:hAnsi="Times New Roman" w:cs="Times New Roman"/>
          <w:noProof/>
          <w:sz w:val="24"/>
          <w:szCs w:val="24"/>
        </w:rPr>
      </w:pPr>
      <w:r>
        <w:rPr>
          <w:rFonts w:ascii="Times New Roman" w:hAnsi="Times New Roman"/>
          <w:noProof/>
          <w:sz w:val="24"/>
        </w:rPr>
        <w:t>tarbija vabastati kohustusest maksta mis tahes tellimata kauba tarnimise või teenuse osutamise eest (inertsmüük, artikkel 27);</w:t>
      </w:r>
    </w:p>
    <w:p>
      <w:pPr>
        <w:pStyle w:val="ListParagraph"/>
        <w:numPr>
          <w:ilvl w:val="0"/>
          <w:numId w:val="8"/>
        </w:numPr>
        <w:jc w:val="both"/>
        <w:rPr>
          <w:rFonts w:ascii="Times New Roman" w:eastAsia="Times New Roman" w:hAnsi="Times New Roman" w:cs="Times New Roman"/>
          <w:noProof/>
          <w:sz w:val="24"/>
          <w:szCs w:val="24"/>
        </w:rPr>
      </w:pPr>
      <w:r>
        <w:rPr>
          <w:rFonts w:ascii="Times New Roman" w:hAnsi="Times New Roman"/>
          <w:noProof/>
          <w:sz w:val="24"/>
        </w:rPr>
        <w:t>võeti kasutusele kogu ELis kehtiv taganemisteate näidisvorm (artikli 6 lõike 1 punkt h ja artikkel 11, I lisa punkt B).</w:t>
      </w:r>
    </w:p>
    <w:p>
      <w:pPr>
        <w:autoSpaceDE w:val="0"/>
        <w:autoSpaceDN w:val="0"/>
        <w:adjustRightInd w:val="0"/>
        <w:spacing w:after="120"/>
        <w:jc w:val="both"/>
        <w:rPr>
          <w:rFonts w:ascii="Times New Roman" w:hAnsi="Times New Roman" w:cs="Times New Roman"/>
          <w:b/>
          <w:bCs/>
          <w:noProof/>
          <w:color w:val="000000"/>
          <w:sz w:val="24"/>
          <w:szCs w:val="24"/>
        </w:rPr>
      </w:pPr>
      <w:r>
        <w:rPr>
          <w:rFonts w:ascii="Times New Roman" w:hAnsi="Times New Roman"/>
          <w:b/>
          <w:noProof/>
          <w:color w:val="000000"/>
          <w:sz w:val="24"/>
        </w:rPr>
        <w:t>3. Ülevõtmine ja rakendamine</w:t>
      </w:r>
    </w:p>
    <w:p>
      <w:p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Direktiivi artikliga 28 nõuti liikmesriikidelt direktiivi ülevõtmise siseriiklike sätete vastuvõtmist ja avaldamist 13. detsembriks 2013, et kohaldada neid sätteid alates 13. juunist 2014.</w:t>
      </w:r>
    </w:p>
    <w:p>
      <w:p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Alates 2012. aasta oktoobrist kuni 2014. aasta aprillini korraldas komisjon viis ülevõtmise õpikoda, et liikmesriike selle ülesande täitmisel aidata</w:t>
      </w:r>
      <w:r>
        <w:rPr>
          <w:rStyle w:val="FootnoteReference"/>
          <w:rFonts w:ascii="Times New Roman" w:hAnsi="Times New Roman"/>
          <w:noProof/>
          <w:sz w:val="24"/>
        </w:rPr>
        <w:footnoteReference w:id="9"/>
      </w:r>
      <w:r>
        <w:rPr>
          <w:rFonts w:ascii="Times New Roman" w:hAnsi="Times New Roman"/>
          <w:noProof/>
          <w:color w:val="000000"/>
          <w:sz w:val="24"/>
        </w:rPr>
        <w:t>. Sellest hoolimata jäid 17 liikmesriiki</w:t>
      </w:r>
      <w:r>
        <w:rPr>
          <w:rStyle w:val="FootnoteReference"/>
          <w:rFonts w:ascii="Times New Roman" w:hAnsi="Times New Roman"/>
          <w:noProof/>
          <w:color w:val="000000"/>
          <w:sz w:val="24"/>
        </w:rPr>
        <w:footnoteReference w:id="10"/>
      </w:r>
      <w:r>
        <w:rPr>
          <w:rFonts w:ascii="Times New Roman" w:hAnsi="Times New Roman"/>
          <w:noProof/>
          <w:color w:val="000000"/>
          <w:sz w:val="24"/>
        </w:rPr>
        <w:t xml:space="preserve"> ülevõtmisega hiljaks ja direktiivi hakati kõigis 28 liikmesriigis kohaldama alles 2014. aasta lõpus.</w:t>
      </w:r>
    </w:p>
    <w:p>
      <w:pPr>
        <w:autoSpaceDE w:val="0"/>
        <w:autoSpaceDN w:val="0"/>
        <w:adjustRightInd w:val="0"/>
        <w:spacing w:after="120"/>
        <w:jc w:val="both"/>
        <w:rPr>
          <w:rFonts w:ascii="Times New Roman" w:hAnsi="Times New Roman" w:cs="Times New Roman"/>
          <w:bCs/>
          <w:iCs/>
          <w:noProof/>
          <w:color w:val="000000"/>
          <w:sz w:val="24"/>
          <w:szCs w:val="24"/>
        </w:rPr>
      </w:pPr>
      <w:r>
        <w:rPr>
          <w:rFonts w:ascii="Times New Roman" w:hAnsi="Times New Roman"/>
          <w:noProof/>
          <w:color w:val="000000"/>
          <w:sz w:val="24"/>
        </w:rPr>
        <w:t>Liikmesriigid kasutasid ülevõtmiseks erinevaid meetodeid: mõni liikmesriik võttis tarbija õiguste direktiivi üle seda kehtivatesse õigusaktidesse inkorporeerides (nt oma tsiviilkoodeksisse), mõni teine võttis vastu uue õigusakti peaaegu sõna-sõnalt tarbija õiguste direktiivi järgi, mõni valis nende kahe meetodi kombineerimise.</w:t>
      </w:r>
    </w:p>
    <w:p>
      <w:pPr>
        <w:autoSpaceDE w:val="0"/>
        <w:autoSpaceDN w:val="0"/>
        <w:adjustRightInd w:val="0"/>
        <w:spacing w:after="120"/>
        <w:jc w:val="both"/>
        <w:rPr>
          <w:rFonts w:ascii="Times New Roman" w:hAnsi="Times New Roman" w:cs="Times New Roman"/>
          <w:bCs/>
          <w:iCs/>
          <w:noProof/>
          <w:color w:val="000000"/>
          <w:sz w:val="24"/>
          <w:szCs w:val="24"/>
        </w:rPr>
      </w:pPr>
      <w:r>
        <w:rPr>
          <w:rFonts w:ascii="Times New Roman" w:hAnsi="Times New Roman"/>
          <w:noProof/>
          <w:color w:val="000000"/>
          <w:sz w:val="24"/>
        </w:rPr>
        <w:t xml:space="preserve">Komisjon viis kõikides liikmesriikides läbi tarbija õiguste direktiivi ülevõtmise ulatusliku kontrolli ja algatas selle tulemuste põhjal 21 struktureeritud kahepoolset dialoogi liikmesriikide asjaomaste ametiasutustega (nn EU Pilot juhtumid). Kõnealusest ülevõtmise kontrollist ilmnes esiteks, et enamik liikmesriike ei olnud oma siseriiklikku õigusesse üle võtnud mitut direktiivi määratlust ja olulist terminit. Asjaomased liikmesriigid on küll viinud ülevõtvatesse õigusaktidesse sisse olulisi muudatusi või teinud sellekohaseid ettepanekuid, et neid probleeme lahendada ja oma õigusaktid direktiiviga kooskõlla viia, kuid komisjon jätkab enamiku asjaomaste liikmesriikidega kahepoolset dialoogi, et tagada täielik vastavus direktiivi nõuetele. Kuigi direktiivi ülevõtmata jätmine või ebaõige ülevõtmine mõjutab selgesti direktiivis sätestatud eesmärkide saavutamist, on komisjonil praegu vähe andmeid konkreetse mõju kohta, mida selline hilinenud ja/või ebaõige ülevõtmine praktikas avaldab, kuna kõik nimetatud EU Pilot juhtumid (välja arvatud üks) algatati </w:t>
      </w:r>
      <w:r>
        <w:rPr>
          <w:rFonts w:ascii="Times New Roman" w:hAnsi="Times New Roman"/>
          <w:i/>
          <w:noProof/>
          <w:color w:val="000000"/>
          <w:sz w:val="24"/>
        </w:rPr>
        <w:t>ex officio</w:t>
      </w:r>
      <w:r>
        <w:rPr>
          <w:rFonts w:ascii="Times New Roman" w:hAnsi="Times New Roman"/>
          <w:noProof/>
          <w:color w:val="000000"/>
          <w:sz w:val="24"/>
        </w:rPr>
        <w:t xml:space="preserve">, mitte kaebuste alusel. </w:t>
      </w:r>
    </w:p>
    <w:p>
      <w:pPr>
        <w:autoSpaceDE w:val="0"/>
        <w:autoSpaceDN w:val="0"/>
        <w:adjustRightInd w:val="0"/>
        <w:spacing w:after="120"/>
        <w:jc w:val="both"/>
        <w:rPr>
          <w:rFonts w:ascii="Times New Roman" w:hAnsi="Times New Roman" w:cs="Times New Roman"/>
          <w:bCs/>
          <w:iCs/>
          <w:noProof/>
          <w:color w:val="000000"/>
          <w:sz w:val="24"/>
          <w:szCs w:val="24"/>
        </w:rPr>
      </w:pPr>
      <w:r>
        <w:rPr>
          <w:rFonts w:ascii="Times New Roman" w:hAnsi="Times New Roman"/>
          <w:noProof/>
          <w:sz w:val="24"/>
        </w:rPr>
        <w:t>Pärast konsulteerimist liikmesriikide ametiasutustega, kes vastutavad direktiivi ülevõtmise ja selle täitmise tagamise eest, ning valdkonna ettevõtjate ja tarbijate sidusrühmadega avaldasid komisjoni talitused 2014. aasta juunis tarbija õiguste direktiivi käsitleva juhenddokumendi</w:t>
      </w:r>
      <w:r>
        <w:rPr>
          <w:rStyle w:val="FootnoteReference"/>
          <w:rFonts w:ascii="Times New Roman" w:hAnsi="Times New Roman"/>
          <w:noProof/>
          <w:sz w:val="24"/>
        </w:rPr>
        <w:footnoteReference w:id="11"/>
      </w:r>
      <w:r>
        <w:rPr>
          <w:rFonts w:ascii="Times New Roman" w:hAnsi="Times New Roman"/>
          <w:noProof/>
          <w:sz w:val="24"/>
        </w:rPr>
        <w:t xml:space="preserve"> (edaspidi „tarbija õiguste direktiivi juhenddokument“). Tarbija õiguste direktiivi juhenddokumendi eesmärk on aidata liikmesriikide ametiasutustel ja kohtutel kohaldada direktiivi ühtselt ja järjepidevalt, andes direktiivi põhimõistete ja -sätete kohta suuniseid. Samuti leidub seal praktilisi näiteid, mis illustreerivad, kuidas direktiiv peaks toimima.</w:t>
      </w:r>
    </w:p>
    <w:p>
      <w:pPr>
        <w:autoSpaceDE w:val="0"/>
        <w:autoSpaceDN w:val="0"/>
        <w:adjustRightInd w:val="0"/>
        <w:spacing w:after="120"/>
        <w:jc w:val="both"/>
        <w:rPr>
          <w:rFonts w:ascii="Times New Roman" w:hAnsi="Times New Roman" w:cs="Times New Roman"/>
          <w:bCs/>
          <w:iCs/>
          <w:noProof/>
          <w:color w:val="000000"/>
          <w:sz w:val="24"/>
          <w:szCs w:val="24"/>
        </w:rPr>
      </w:pPr>
      <w:r>
        <w:rPr>
          <w:rFonts w:ascii="Times New Roman" w:hAnsi="Times New Roman"/>
          <w:noProof/>
          <w:color w:val="000000"/>
          <w:sz w:val="24"/>
        </w:rPr>
        <w:t>2015. aastal koordineeris komisjon 26 liikmesriigi, Norra ja Islandi nn lauskontrolli,</w:t>
      </w:r>
      <w:r>
        <w:rPr>
          <w:noProof/>
          <w:color w:val="000000"/>
          <w:vertAlign w:val="superscript"/>
        </w:rPr>
        <w:footnoteReference w:id="12"/>
      </w:r>
      <w:r>
        <w:rPr>
          <w:rFonts w:ascii="Times New Roman" w:hAnsi="Times New Roman"/>
          <w:noProof/>
          <w:color w:val="000000"/>
          <w:sz w:val="24"/>
        </w:rPr>
        <w:t xml:space="preserve"> mille käigus kontrolliti, kas kauplejad täidavad internetis pakutavate toodete puhul tarbija õiguste kaitse direktiiviga ette nähtud </w:t>
      </w:r>
      <w:r>
        <w:rPr>
          <w:rFonts w:ascii="Times New Roman" w:hAnsi="Times New Roman"/>
          <w:noProof/>
          <w:sz w:val="24"/>
        </w:rPr>
        <w:t>lepingueelseid teavitamisnõudeid</w:t>
      </w:r>
      <w:r>
        <w:rPr>
          <w:rStyle w:val="FootnoteReference"/>
          <w:rFonts w:ascii="Times New Roman" w:hAnsi="Times New Roman"/>
          <w:noProof/>
          <w:sz w:val="24"/>
        </w:rPr>
        <w:footnoteReference w:id="13"/>
      </w:r>
      <w:r>
        <w:rPr>
          <w:noProof/>
        </w:rPr>
        <w:t>.</w:t>
      </w:r>
      <w:r>
        <w:rPr>
          <w:rFonts w:ascii="Times New Roman" w:hAnsi="Times New Roman"/>
          <w:noProof/>
          <w:sz w:val="24"/>
        </w:rPr>
        <w:t xml:space="preserve"> Enne lauskontrolli toimumist vastas nõuetele ainult 37 % veebisaitidest, pärast seda aga 88 % veebisaitidest.</w:t>
      </w:r>
    </w:p>
    <w:p>
      <w:pPr>
        <w:autoSpaceDE w:val="0"/>
        <w:autoSpaceDN w:val="0"/>
        <w:adjustRightInd w:val="0"/>
        <w:spacing w:after="120"/>
        <w:jc w:val="both"/>
        <w:rPr>
          <w:rFonts w:ascii="Times New Roman" w:eastAsia="Times New Roman" w:hAnsi="Times New Roman" w:cs="Times New Roman"/>
          <w:noProof/>
          <w:sz w:val="24"/>
          <w:szCs w:val="24"/>
        </w:rPr>
      </w:pPr>
      <w:r>
        <w:rPr>
          <w:rFonts w:ascii="Times New Roman" w:hAnsi="Times New Roman"/>
          <w:noProof/>
          <w:color w:val="000000"/>
          <w:sz w:val="24"/>
        </w:rPr>
        <w:t>Ajavahemikul kevadest 2014 kuni kevadeni 2016 korraldas komisjon tarbija õiguste teadlikkuse parandamise kampaania, mille eesmärk oli suurendada kauplejate ja tarbijate üldteadmisi kogu ELis kehtivate ja mitmest ELi tarbijakaitse direktiivist tulenevate tarbija õiguste kohta, sh tarbija õiguste direktiivi kohane taganemisõigus</w:t>
      </w:r>
      <w:r>
        <w:rPr>
          <w:rStyle w:val="FootnoteReference"/>
          <w:rFonts w:ascii="Times New Roman" w:hAnsi="Times New Roman"/>
          <w:noProof/>
          <w:sz w:val="24"/>
        </w:rPr>
        <w:footnoteReference w:id="14"/>
      </w:r>
      <w:r>
        <w:rPr>
          <w:noProof/>
        </w:rPr>
        <w:t>.</w:t>
      </w:r>
    </w:p>
    <w:p>
      <w:pPr>
        <w:autoSpaceDE w:val="0"/>
        <w:autoSpaceDN w:val="0"/>
        <w:adjustRightInd w:val="0"/>
        <w:spacing w:after="120"/>
        <w:jc w:val="both"/>
        <w:rPr>
          <w:rFonts w:ascii="Times New Roman" w:hAnsi="Times New Roman" w:cs="Times New Roman"/>
          <w:b/>
          <w:bCs/>
          <w:noProof/>
          <w:color w:val="000000"/>
          <w:sz w:val="24"/>
          <w:szCs w:val="24"/>
        </w:rPr>
      </w:pPr>
      <w:r>
        <w:rPr>
          <w:rFonts w:ascii="Times New Roman" w:hAnsi="Times New Roman"/>
          <w:b/>
          <w:noProof/>
          <w:color w:val="000000"/>
          <w:sz w:val="24"/>
        </w:rPr>
        <w:t>4. Peamised hindamistulemused</w:t>
      </w:r>
    </w:p>
    <w:p>
      <w:pPr>
        <w:autoSpaceDE w:val="0"/>
        <w:autoSpaceDN w:val="0"/>
        <w:adjustRightInd w:val="0"/>
        <w:spacing w:after="120"/>
        <w:jc w:val="both"/>
        <w:rPr>
          <w:rFonts w:ascii="Times New Roman" w:hAnsi="Times New Roman" w:cs="Times New Roman"/>
          <w:b/>
          <w:bCs/>
          <w:i/>
          <w:iCs/>
          <w:noProof/>
          <w:color w:val="000000"/>
          <w:sz w:val="24"/>
          <w:szCs w:val="24"/>
        </w:rPr>
      </w:pPr>
      <w:r>
        <w:rPr>
          <w:rFonts w:ascii="Times New Roman" w:hAnsi="Times New Roman"/>
          <w:b/>
          <w:i/>
          <w:noProof/>
          <w:color w:val="000000"/>
          <w:sz w:val="24"/>
        </w:rPr>
        <w:t>4.1. Tulemuslikkus</w:t>
      </w:r>
    </w:p>
    <w:p>
      <w:pPr>
        <w:autoSpaceDE w:val="0"/>
        <w:autoSpaceDN w:val="0"/>
        <w:adjustRightInd w:val="0"/>
        <w:spacing w:after="120"/>
        <w:jc w:val="both"/>
        <w:rPr>
          <w:rFonts w:ascii="Times New Roman" w:hAnsi="Times New Roman" w:cs="Times New Roman"/>
          <w:bCs/>
          <w:noProof/>
          <w:color w:val="000000"/>
          <w:sz w:val="24"/>
          <w:szCs w:val="24"/>
        </w:rPr>
      </w:pPr>
      <w:r>
        <w:rPr>
          <w:rFonts w:ascii="Times New Roman" w:hAnsi="Times New Roman"/>
          <w:noProof/>
          <w:color w:val="000000"/>
          <w:sz w:val="24"/>
        </w:rPr>
        <w:t xml:space="preserve">Liikmesriikide siseriiklike õigusaktide analüüs enne direktiivi rakendamist näitas, et kauplejate ja tarbijate vahelisi lepinguid käsitlevad tarbijakaitse normid erinevad olulisel määral. Kui välja jätta teatud piiratud valdkonnad, kus liikmesriigid võivad endiselt kasutada siseriiklikke õiguslikke võimalusi, on tarbija õiguste direktiiv need liikmesriikidevahelised erinevused enamasti kaotanud ja aidanud sellega luua kauplejatele ja tarbijatele suuremat õiguskindlust, eriti piiriüleses kauplemises. </w:t>
      </w:r>
    </w:p>
    <w:p>
      <w:pPr>
        <w:autoSpaceDE w:val="0"/>
        <w:autoSpaceDN w:val="0"/>
        <w:adjustRightInd w:val="0"/>
        <w:spacing w:after="120"/>
        <w:jc w:val="both"/>
        <w:rPr>
          <w:rFonts w:ascii="Times New Roman" w:hAnsi="Times New Roman" w:cs="Times New Roman"/>
          <w:bCs/>
          <w:iCs/>
          <w:noProof/>
          <w:color w:val="000000"/>
          <w:sz w:val="24"/>
          <w:szCs w:val="24"/>
        </w:rPr>
      </w:pPr>
      <w:r>
        <w:rPr>
          <w:rFonts w:ascii="Times New Roman" w:hAnsi="Times New Roman"/>
          <w:noProof/>
          <w:color w:val="000000"/>
          <w:sz w:val="24"/>
        </w:rPr>
        <w:t>Kõikides liikmesriikides enne ja pärast direktiivi ülevõtmist valitseva õigusliku olukorra võrdlev analüüs tõi samuti esile, et enamikus või isegi kõikides liikmesriikides on tarbijakaitse paranenud. See soodustab tõenäoliselt kooskõlas direktiivi eesmärkidega tarbijate usaldust nii riigisiseste kui ka piiriüleste ostude tegemisel ja seda eriti internetiostude puhul. Eurostati analüüs näitab, et piiriüleste internetiostude hulk on ajavahemikul 2012–2016 suurenenud</w:t>
      </w:r>
      <w:r>
        <w:rPr>
          <w:rFonts w:ascii="Times New Roman" w:hAnsi="Times New Roman"/>
          <w:noProof/>
          <w:color w:val="000000"/>
          <w:sz w:val="24"/>
          <w:vertAlign w:val="superscript"/>
        </w:rPr>
        <w:footnoteReference w:id="15"/>
      </w:r>
      <w:r>
        <w:rPr>
          <w:rFonts w:ascii="Times New Roman" w:hAnsi="Times New Roman"/>
          <w:noProof/>
          <w:color w:val="000000"/>
          <w:sz w:val="24"/>
        </w:rPr>
        <w:t xml:space="preserve">. Lisaks sellele näitavad kättesaadavad Eurobaromeetri uuringu andmed seoses suurema tarbijate usalduse saavutamise ja õiguste laiema kasutamisega, et 2016. aastal nõustus 76 % tarbijatest väitega, et üldiselt jaemüüjad ja teenusepakkujad täidavad tarbijakaitse norme ja õigusakte. See on võrreldes 2006. aastaga 14 protsendipunkti rohkem. </w:t>
      </w:r>
    </w:p>
    <w:p>
      <w:p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Hindamise käigus kerkisid siiski esile teatavad tarbija õiguste direktiivi tulemuslikkust piiravad asjaolud. Need olid järgmised:</w:t>
      </w:r>
    </w:p>
    <w:p>
      <w:pPr>
        <w:pStyle w:val="ListParagraph"/>
        <w:numPr>
          <w:ilvl w:val="0"/>
          <w:numId w:val="14"/>
        </w:num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tarbijad ja kauplejad ei olnud direktiivi sätetest teadlikud;</w:t>
      </w:r>
    </w:p>
    <w:p>
      <w:pPr>
        <w:pStyle w:val="ListParagraph"/>
        <w:numPr>
          <w:ilvl w:val="0"/>
          <w:numId w:val="14"/>
        </w:num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oli raskusi teatavate sätete tõlgendamisel, näiteks muu hulgas põhitariifi määratlus (artikkel 21),</w:t>
      </w:r>
      <w:r>
        <w:rPr>
          <w:rStyle w:val="FootnoteReference"/>
          <w:rFonts w:ascii="Times New Roman" w:hAnsi="Times New Roman"/>
          <w:noProof/>
          <w:color w:val="000000"/>
          <w:sz w:val="24"/>
        </w:rPr>
        <w:footnoteReference w:id="16"/>
      </w:r>
      <w:r>
        <w:rPr>
          <w:rFonts w:ascii="Times New Roman" w:hAnsi="Times New Roman"/>
          <w:noProof/>
          <w:color w:val="000000"/>
          <w:sz w:val="24"/>
        </w:rPr>
        <w:t xml:space="preserve"> väljaspool äriruume sõlmitavate lepingute puhul mõiste „väljaspool äriruume“ (artikli 2 lõige 8), digitaalse sisu lepingu ja tasuliste internetiteenuste lepingu eristamine, nii müügi kui ka teenuste elemente sisaldavate lepingute puhul 14-päevase taganemistähtaja kulgemise alguse kindlakstegemine (artikkel 9) ja kaupade vähenenud väärtuse arvutamine juhtudel, kui tarbijad kasutavad oma taganemisõigust pärast seda, kui on kaupa kasutanud suuremal määral, kui on vaja selle olemuses, omadustes ja toimimises veendumiseks (artikli 14 lõige 2); </w:t>
      </w:r>
    </w:p>
    <w:p>
      <w:pPr>
        <w:pStyle w:val="ListParagraph"/>
        <w:numPr>
          <w:ilvl w:val="0"/>
          <w:numId w:val="14"/>
        </w:num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kauplejad täidavad nõudeid puudulikult ning</w:t>
      </w:r>
    </w:p>
    <w:p>
      <w:pPr>
        <w:pStyle w:val="ListParagraph"/>
        <w:numPr>
          <w:ilvl w:val="0"/>
          <w:numId w:val="14"/>
        </w:num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täitmise tagamisega seotud küsimused, eelkõige seoses väheste riiklike täitmise tagamise meetmetega ja erinevustega normide täitmise viisis;</w:t>
      </w:r>
    </w:p>
    <w:p>
      <w:pPr>
        <w:pStyle w:val="ListParagraph"/>
        <w:numPr>
          <w:ilvl w:val="0"/>
          <w:numId w:val="14"/>
        </w:numPr>
        <w:autoSpaceDE w:val="0"/>
        <w:autoSpaceDN w:val="0"/>
        <w:adjustRightInd w:val="0"/>
        <w:spacing w:after="120"/>
        <w:jc w:val="both"/>
        <w:rPr>
          <w:rFonts w:ascii="Times New Roman" w:hAnsi="Times New Roman" w:cs="Times New Roman"/>
          <w:noProof/>
          <w:color w:val="000000"/>
          <w:sz w:val="24"/>
          <w:szCs w:val="24"/>
        </w:rPr>
      </w:pPr>
      <w:r>
        <w:rPr>
          <w:rFonts w:ascii="Times New Roman" w:hAnsi="Times New Roman"/>
          <w:noProof/>
          <w:color w:val="000000"/>
          <w:sz w:val="24"/>
        </w:rPr>
        <w:t>direktiivi rikkumise eest liikmesriikides kehtestatud karistuste erinev tase võib samuti probleeme tekitada, kuna mitmes liikmesriigis ei paista maksimumkaristused olevat mis tahes suuruses kauplejate jaoks „tõhusad, proportsionaalsed ja hoiatavad“ (artikkel 24).</w:t>
      </w:r>
    </w:p>
    <w:p>
      <w:pPr>
        <w:autoSpaceDE w:val="0"/>
        <w:autoSpaceDN w:val="0"/>
        <w:adjustRightInd w:val="0"/>
        <w:spacing w:after="120"/>
        <w:jc w:val="both"/>
        <w:rPr>
          <w:rFonts w:ascii="Times New Roman" w:hAnsi="Times New Roman" w:cs="Times New Roman"/>
          <w:b/>
          <w:bCs/>
          <w:i/>
          <w:iCs/>
          <w:noProof/>
          <w:color w:val="000000"/>
          <w:sz w:val="24"/>
          <w:szCs w:val="24"/>
        </w:rPr>
      </w:pPr>
      <w:r>
        <w:rPr>
          <w:rFonts w:ascii="Times New Roman" w:hAnsi="Times New Roman"/>
          <w:b/>
          <w:i/>
          <w:noProof/>
          <w:color w:val="000000"/>
          <w:sz w:val="24"/>
        </w:rPr>
        <w:t>4.2. Tõhusus</w:t>
      </w:r>
    </w:p>
    <w:p>
      <w:pPr>
        <w:autoSpaceDE w:val="0"/>
        <w:autoSpaceDN w:val="0"/>
        <w:adjustRightInd w:val="0"/>
        <w:spacing w:after="120"/>
        <w:jc w:val="both"/>
        <w:rPr>
          <w:rFonts w:ascii="Times New Roman" w:hAnsi="Times New Roman" w:cs="Times New Roman"/>
          <w:b/>
          <w:bCs/>
          <w:i/>
          <w:iCs/>
          <w:noProof/>
          <w:color w:val="000000"/>
          <w:sz w:val="24"/>
          <w:szCs w:val="24"/>
        </w:rPr>
      </w:pPr>
      <w:r>
        <w:rPr>
          <w:rFonts w:ascii="Times New Roman" w:hAnsi="Times New Roman"/>
          <w:noProof/>
          <w:color w:val="000000"/>
          <w:sz w:val="24"/>
        </w:rPr>
        <w:t>Praegu ei ole veel selget ülevaadet direktiivi üldmõjust ettevõtjate kuludele, kuna ei ole olnud võimalik koguda kvantitatiivseid hinnanguid direktiivi rakendamise kulude ja tulude kohta. Täpsemalt ei esitanud sidusrühmad, kellega hindamise raames konsulteeriti, kvantitatiivseid hinnanguid tarbija õiguste direktiivi mõju kohta, ega osanud luua otseseid põhjuslikke seoseid müügi suurenemise ja tarbija õiguste direktiivi kohaldamise vahel. Andmed tegeliku kulu ja tulu kohta on samuti väga piiratud, kuna direktiivi ülevõtmisest on möödunud vähe aega. Seetõttu põhineb analüüs kvalitatiivsel teabel. Olemasolevate andmete piiratus tähendab, et ei ole võimalik teha lõplikke järeldusi kulude taseme kohta, mida ettevõtjad on pidanud direktiivi nõuete täitmiseks kandma. Uuringus osalenud ettevõtjad ei olnud altid esitama selliste kulude kohta rahalisi hinnanguid ja sellekohast kättesaadavat infot on vähe. Siiski on kvalitatiivsetes hinnangutes teatatud teatavatest konkreetsetest kuludest, eriti VKEde puhul. Need hõlmavad peamiselt lepingueelseid teavitamisnõudeid, eriti seoses kattuvate teavitamisnõuetega, ja taganemisõigust. Sidusrühmad teatasid muu hulgas kahjumitest seoses sellise tagastatud kaubaga, mida on kasutatud enam, kui on vaja selle olemuses, omadustes ja toimimises veendumiseks, kuna kauplejatel on raske hinnata tagastatud kauba vähenenud väärtust ja seda uuesti müüa. Samuti on teatatud probleemidest seoses asjaoluga, et kauplejad peavad tarbijatele maksed tagastama, ilma et neil oleks võimalik tagastatud kaupu kontrollida pärast seda, kui tarbija on esitanud tõendid kauba tagasisaatmise kohta (artikli 13 lõige 1).</w:t>
      </w:r>
    </w:p>
    <w:p>
      <w:pPr>
        <w:autoSpaceDE w:val="0"/>
        <w:autoSpaceDN w:val="0"/>
        <w:adjustRightInd w:val="0"/>
        <w:spacing w:after="120"/>
        <w:jc w:val="both"/>
        <w:rPr>
          <w:rFonts w:ascii="Times New Roman" w:hAnsi="Times New Roman" w:cs="Times New Roman"/>
          <w:b/>
          <w:bCs/>
          <w:i/>
          <w:iCs/>
          <w:noProof/>
          <w:sz w:val="24"/>
          <w:szCs w:val="24"/>
        </w:rPr>
      </w:pPr>
      <w:r>
        <w:rPr>
          <w:rFonts w:ascii="Times New Roman" w:hAnsi="Times New Roman"/>
          <w:b/>
          <w:i/>
          <w:noProof/>
          <w:sz w:val="24"/>
        </w:rPr>
        <w:t>4.3. Sidusus</w:t>
      </w:r>
    </w:p>
    <w:p>
      <w:pPr>
        <w:autoSpaceDE w:val="0"/>
        <w:autoSpaceDN w:val="0"/>
        <w:adjustRightInd w:val="0"/>
        <w:spacing w:after="120"/>
        <w:jc w:val="both"/>
        <w:rPr>
          <w:rFonts w:ascii="Times New Roman" w:hAnsi="Times New Roman" w:cs="Times New Roman"/>
          <w:noProof/>
          <w:sz w:val="24"/>
          <w:szCs w:val="24"/>
        </w:rPr>
      </w:pPr>
      <w:r>
        <w:rPr>
          <w:rFonts w:ascii="Times New Roman" w:hAnsi="Times New Roman"/>
          <w:noProof/>
          <w:sz w:val="24"/>
        </w:rPr>
        <w:t>Üldiselt peetakse direktiivi teiste ELi õigusaktidega sidusaks ja suuri probleeme ei ole kindlaks tehtud. Hoolimata sellest avaldavad direktiiv ja muud tarbijakaitse ja turunduse valdkonna õigusaktid, muud horisontaalsed ja sektorispetsiifilised õigusaktid (eelkõige e-kaubanduse direktiiv ja teenuste direktiiv) ning samuti uued eelnõud vastastikku eriomast mõju, mida saab tulevikus sujundada ja selgitada. Näiteks teatavad „ostukutse“ teavitusnõuded (ebaausate kaubandustavade direktiivi artikli 7 lõige 4) kattuvad tarbija õiguste direktiivi lepingueelsete teavitamisnõuetega – selle suhtes võiks võtta võimalikke õiguslikke järelmeetmeid pärast õigusloome kvaliteedi ja tulemuslikkuse programmi toimivuskontrolli ja tarbija õiguste direktiivi hindamist. Digitaalset sisu käsitlevate tarbija õiguste direktiivi sätete võimaliku muutmise korral tuleks arvesse võtta ka digitaalse sisu üleandmise lepinguid käsitleva direktiivi ettepanekuga seotud läbirääkimiste tulemusi (vt ka allpool punkt 5).</w:t>
      </w:r>
    </w:p>
    <w:p>
      <w:pPr>
        <w:autoSpaceDE w:val="0"/>
        <w:autoSpaceDN w:val="0"/>
        <w:adjustRightInd w:val="0"/>
        <w:spacing w:after="120"/>
        <w:jc w:val="both"/>
        <w:rPr>
          <w:rFonts w:ascii="Times New Roman" w:hAnsi="Times New Roman" w:cs="Times New Roman"/>
          <w:b/>
          <w:bCs/>
          <w:i/>
          <w:iCs/>
          <w:noProof/>
          <w:sz w:val="24"/>
          <w:szCs w:val="24"/>
        </w:rPr>
      </w:pPr>
      <w:r>
        <w:rPr>
          <w:rFonts w:ascii="Times New Roman" w:hAnsi="Times New Roman"/>
          <w:b/>
          <w:i/>
          <w:noProof/>
          <w:sz w:val="24"/>
        </w:rPr>
        <w:t>4.4. Asjakohasus</w:t>
      </w:r>
    </w:p>
    <w:p>
      <w:pPr>
        <w:autoSpaceDE w:val="0"/>
        <w:autoSpaceDN w:val="0"/>
        <w:adjustRightInd w:val="0"/>
        <w:spacing w:after="120"/>
        <w:jc w:val="both"/>
        <w:rPr>
          <w:rFonts w:ascii="Times New Roman" w:eastAsia="Times New Roman" w:hAnsi="Times New Roman" w:cs="Times New Roman"/>
          <w:noProof/>
          <w:sz w:val="24"/>
          <w:szCs w:val="24"/>
        </w:rPr>
      </w:pPr>
      <w:r>
        <w:rPr>
          <w:rFonts w:ascii="Times New Roman" w:hAnsi="Times New Roman"/>
          <w:noProof/>
          <w:sz w:val="24"/>
        </w:rPr>
        <w:t>Hindamisel jõuti järeldusele, et direktiivi algsed eesmärgid on praegu sama asjakohased kui siis, kui direktiivi kohta tehti esimest korda ettepanek. Eelkõige kõrge tarbijakaitse taseme tagamine ja võrdsed võimalused ettevõtjatele internetis ettevõtjate ja tarbijate vahel sõlmitud lepingutes on jätkuvalt väga asjakohased eesmärgid, eriti digitaalse ühtse turu poliitika raames. Kauglepinguid käsitlevad sätted muutuvad tõenäoliselt tulevikus veelgi olulisemaks, kuna tarbijate poolt internetis tehtavate ostude arvu suurenemine jätkub.</w:t>
      </w:r>
    </w:p>
    <w:p>
      <w:pPr>
        <w:autoSpaceDE w:val="0"/>
        <w:autoSpaceDN w:val="0"/>
        <w:adjustRightInd w:val="0"/>
        <w:spacing w:after="120"/>
        <w:jc w:val="both"/>
        <w:rPr>
          <w:rFonts w:ascii="Times New Roman" w:eastAsia="Times New Roman" w:hAnsi="Times New Roman" w:cs="Times New Roman"/>
          <w:noProof/>
          <w:sz w:val="24"/>
          <w:szCs w:val="24"/>
        </w:rPr>
      </w:pPr>
      <w:r>
        <w:rPr>
          <w:rFonts w:ascii="Times New Roman" w:hAnsi="Times New Roman"/>
          <w:noProof/>
          <w:sz w:val="24"/>
        </w:rPr>
        <w:t>Tarbija õiguste direktiivi sätteid teavitamisnõuete kohta peetakse endiselt asjakohaseks, välja arvatud artikli 6 lõike 1 punktis c sätestatud nõue esitada kaupleja faksinumber ja e-posti aadress, kuna muud, palju ajakohasemad kommunikatsioonivahendid (nt veebipõhised vormid) võimaldavad samuti tarbijal kauplejaga tulemuslikult ühendust võtta ja säilitada selle kohta tõendi püsival andmekandjal. Hindamine osutas ka, et on veel võimalusi uurida, kuidas lihtsustada lepingueelse teabe ning tüüptingimuste esitamist. Lisaks kasvab internetiplatvormide roll ja nii tarbijate ühendused kui ka mõned ettevõtjate ühendused on nõudnud internetipõhistele kauplemiskohtadele konkreetsete läbipaistvusnõuete kehtestamist. Eesmärk on tagada, et tarbijad teaksid, kes on tarnija/üleandja ja milline on tema positsioon (kaupleja või tarbija), millised on erinevused tarbijakaitse tasemes, kui lepingu sõlmimisel eelistatakse teisele tarbijale kauplejat, ning millised on esitatud pakkumiste suhtes vaikimisi seadistatud järjestuskriteeriumid.</w:t>
      </w:r>
    </w:p>
    <w:p>
      <w:pPr>
        <w:autoSpaceDE w:val="0"/>
        <w:autoSpaceDN w:val="0"/>
        <w:adjustRightInd w:val="0"/>
        <w:spacing w:after="120"/>
        <w:jc w:val="both"/>
        <w:rPr>
          <w:rFonts w:ascii="Times New Roman" w:eastAsia="Times New Roman" w:hAnsi="Times New Roman" w:cs="Times New Roman"/>
          <w:b/>
          <w:bCs/>
          <w:noProof/>
          <w:sz w:val="24"/>
          <w:szCs w:val="24"/>
        </w:rPr>
      </w:pPr>
      <w:r>
        <w:rPr>
          <w:rFonts w:ascii="Times New Roman" w:hAnsi="Times New Roman"/>
          <w:b/>
          <w:i/>
          <w:noProof/>
          <w:sz w:val="24"/>
        </w:rPr>
        <w:t>4.5. Euroopa Liidu lisaväärtus</w:t>
      </w:r>
    </w:p>
    <w:p>
      <w:pPr>
        <w:autoSpaceDE w:val="0"/>
        <w:autoSpaceDN w:val="0"/>
        <w:adjustRightInd w:val="0"/>
        <w:spacing w:after="120"/>
        <w:jc w:val="both"/>
        <w:rPr>
          <w:rFonts w:ascii="Times New Roman" w:eastAsia="Times New Roman" w:hAnsi="Times New Roman" w:cs="Times New Roman"/>
          <w:noProof/>
          <w:sz w:val="24"/>
          <w:szCs w:val="24"/>
        </w:rPr>
      </w:pPr>
      <w:r>
        <w:rPr>
          <w:rFonts w:ascii="Times New Roman" w:hAnsi="Times New Roman"/>
          <w:noProof/>
          <w:sz w:val="24"/>
        </w:rPr>
        <w:t>ELi lähenemisviis on sobivaim lahendus ja tõenäosus, et sellega saavutatakse direktiivis sätestatud eesmärgid, on suurem kui liikmesriikide lähenemisviiside puhul. Tegelikult on direktiiv oma ühtlustava lähenemisega järjekindlalt vähendanud liikmesriikide hulgas valitsenud õiguslikku killustatust ja aidanud sellega suurendada tarbijate usaldust piiriülesesse müüki ning vähendanud kauplejate piiriülese müügi nõuete täitmise kulusid, nagu on esile toonud sidusrühmad, kellega hindamise raames konsulteeriti. Ühtlustatud norme vajatakse ka selleks, et kindlustada liikmesriikide vahel tõhusad piiriülesed täitmise tagamise meetmed.</w:t>
      </w:r>
    </w:p>
    <w:p>
      <w:pPr>
        <w:autoSpaceDE w:val="0"/>
        <w:autoSpaceDN w:val="0"/>
        <w:adjustRightInd w:val="0"/>
        <w:spacing w:after="120"/>
        <w:jc w:val="both"/>
        <w:rPr>
          <w:rFonts w:ascii="Times New Roman" w:hAnsi="Times New Roman" w:cs="Times New Roman"/>
          <w:b/>
          <w:bCs/>
          <w:noProof/>
          <w:color w:val="000000"/>
          <w:sz w:val="24"/>
          <w:szCs w:val="24"/>
        </w:rPr>
      </w:pPr>
      <w:r>
        <w:rPr>
          <w:rFonts w:ascii="Times New Roman" w:hAnsi="Times New Roman"/>
          <w:b/>
          <w:noProof/>
          <w:color w:val="000000"/>
          <w:sz w:val="24"/>
        </w:rPr>
        <w:t>5. Digitaalset sisu käsitlevad normid</w:t>
      </w:r>
    </w:p>
    <w:p>
      <w:pPr>
        <w:keepLines/>
        <w:spacing w:after="120"/>
        <w:jc w:val="both"/>
        <w:rPr>
          <w:noProof/>
        </w:rPr>
      </w:pPr>
      <w:r>
        <w:rPr>
          <w:rFonts w:ascii="Times New Roman" w:hAnsi="Times New Roman"/>
          <w:noProof/>
          <w:sz w:val="24"/>
        </w:rPr>
        <w:t>Esmakordselt ELi tarbijakaitse ja turunduse õigusaktide ajaloos kehtestatakse direktiiviga konkreetsed lepingueelsed teavitamisnõuded digitaalse sisu suhtes ja normid taganemiseks sellist digitaalset sisu käsitlevatest lepingutest, mis ei ole üle antud füüsilisel andmekandjal. Need sätted on eriti asjakohased digitaalse ühtse turu strateegia eesmärkide täitmisel.</w:t>
      </w:r>
    </w:p>
    <w:p>
      <w:pPr>
        <w:keepLines/>
        <w:spacing w:after="120"/>
        <w:jc w:val="both"/>
        <w:rPr>
          <w:rFonts w:ascii="Times New Roman" w:eastAsia="Times New Roman" w:hAnsi="Times New Roman" w:cs="Times New Roman"/>
          <w:noProof/>
          <w:sz w:val="24"/>
          <w:szCs w:val="24"/>
        </w:rPr>
      </w:pPr>
      <w:r>
        <w:rPr>
          <w:rFonts w:ascii="Times New Roman" w:hAnsi="Times New Roman"/>
          <w:noProof/>
          <w:sz w:val="24"/>
        </w:rPr>
        <w:t>Digitaalne sisu on määratletud kui „andmed, mis on toodetud ja edastatud digitaalsel kujul“ (tarbija õiguste direktiivi artikli 2 punkt 11). Mis puudutab tarbija õiguste direktiivi kohaldamisala seoses digitaalse sisuga, siis on 2014. aasta juunis avaldatud tarbija õiguste direktiivi juhenddokumendis märgitud järgmist:</w:t>
      </w:r>
    </w:p>
    <w:p>
      <w:pPr>
        <w:keepLines/>
        <w:spacing w:after="120"/>
        <w:ind w:left="284" w:right="283"/>
        <w:jc w:val="both"/>
        <w:rPr>
          <w:rFonts w:ascii="Times New Roman" w:eastAsia="Times New Roman" w:hAnsi="Times New Roman" w:cs="Times New Roman"/>
          <w:noProof/>
          <w:sz w:val="24"/>
          <w:szCs w:val="24"/>
        </w:rPr>
      </w:pPr>
      <w:r>
        <w:rPr>
          <w:rFonts w:ascii="Times New Roman" w:hAnsi="Times New Roman" w:cs="Times New Roman"/>
          <w:noProof/>
        </w:rPr>
        <w:t>„[...] põhjenduses 19 sätestatut arvesse võttes [kohaldatakse] direktiivi veebipõhise digitaalse infosisu lepingute suhtes isegi siis, kui tarbija ei tasu seoses lepingutega kauba või teenuse hinda“</w:t>
      </w:r>
      <w:r>
        <w:rPr>
          <w:rStyle w:val="FootnoteReference"/>
          <w:rFonts w:ascii="Times New Roman" w:hAnsi="Times New Roman" w:cs="Times New Roman"/>
          <w:noProof/>
          <w:sz w:val="24"/>
        </w:rPr>
        <w:footnoteReference w:id="17"/>
      </w:r>
      <w:r>
        <w:rPr>
          <w:rFonts w:ascii="Times New Roman" w:hAnsi="Times New Roman" w:cs="Times New Roman"/>
          <w:noProof/>
        </w:rPr>
        <w:t>.</w:t>
      </w:r>
    </w:p>
    <w:p>
      <w:pPr>
        <w:keepLines/>
        <w:spacing w:after="120"/>
        <w:jc w:val="both"/>
        <w:rPr>
          <w:rFonts w:ascii="Times New Roman" w:eastAsia="Times New Roman" w:hAnsi="Times New Roman" w:cs="Times New Roman"/>
          <w:noProof/>
          <w:sz w:val="24"/>
          <w:szCs w:val="24"/>
        </w:rPr>
      </w:pPr>
      <w:r>
        <w:rPr>
          <w:rFonts w:ascii="Times New Roman" w:hAnsi="Times New Roman"/>
          <w:noProof/>
          <w:sz w:val="24"/>
        </w:rPr>
        <w:t>Kuigi tarbija õiguste direktiivi juhenddokument koostati liikmesriikide ja sidusrühmade koostöös, on mõni huvitatud isik arvamusel, et tarbija õiguste direktiivi kohaldamine „tasuta“ digitaalse sisu suhtes ei ole täiesti selge. Komisjon kinnitab tarbija õiguste direktiivi juhenddokumendis esitatud tõlgendust, kuid praktikas võivad tõesti tekkida raskused digitaalset sisu käsitlevate lepingute eristamisel sellistest lepingutest, millega pakutakse internetipõhiseid teenuseid ja mille põhiese on pigem teenuse osutamine kui digitaalne sisu ise; viimasel juhul kuulub leping direktiivi kohaldamisalasse kui teenusleping üksnes siis, kui teenust osutatakse tasu eest.</w:t>
      </w:r>
    </w:p>
    <w:p>
      <w:pPr>
        <w:keepLines/>
        <w:spacing w:after="120"/>
        <w:jc w:val="both"/>
        <w:rPr>
          <w:rFonts w:ascii="Times New Roman" w:eastAsia="Times New Roman" w:hAnsi="Times New Roman" w:cs="Times New Roman"/>
          <w:noProof/>
          <w:sz w:val="24"/>
          <w:szCs w:val="24"/>
        </w:rPr>
      </w:pPr>
      <w:r>
        <w:rPr>
          <w:rFonts w:ascii="Times New Roman" w:hAnsi="Times New Roman"/>
          <w:noProof/>
          <w:sz w:val="24"/>
        </w:rPr>
        <w:t>Põhimõtteliselt on kõik tarbija õiguste direktiivi sätted kohaldatavad ka digitaalse sisu üleandmise lepingute suhtes. Lisaks sellele on mitmes sättes digitaalse sisu kohta kehtestatud konkreetsed nõuded:</w:t>
      </w:r>
    </w:p>
    <w:p>
      <w:pPr>
        <w:pStyle w:val="ListParagraph"/>
        <w:keepLines/>
        <w:numPr>
          <w:ilvl w:val="0"/>
          <w:numId w:val="9"/>
        </w:numPr>
        <w:spacing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rPr>
        <w:t>lepingueelsed teavitamisnõuded funktsioonide ja koostalitlusvõime kohta (artikli 5 lõike 1 punktid g ja h; artikli 6 lõike 1 punktid r ja s);</w:t>
      </w:r>
    </w:p>
    <w:p>
      <w:pPr>
        <w:pStyle w:val="ListParagraph"/>
        <w:keepLines/>
        <w:numPr>
          <w:ilvl w:val="0"/>
          <w:numId w:val="9"/>
        </w:numPr>
        <w:spacing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rPr>
        <w:t>taganemisõigus – lepingust taganemise tähtaja arvestamise algus ja teavitamisnõue taganemisõiguse kaotamise kohta allalaadimise korral (artikli 9 lõike 2 punkt c ja artikli 14 lõike 4 punkt b);</w:t>
      </w:r>
    </w:p>
    <w:p>
      <w:pPr>
        <w:pStyle w:val="ListParagraph"/>
        <w:keepLines/>
        <w:numPr>
          <w:ilvl w:val="0"/>
          <w:numId w:val="9"/>
        </w:numPr>
        <w:spacing w:after="120"/>
        <w:ind w:left="714" w:hanging="357"/>
        <w:contextualSpacing w:val="0"/>
        <w:jc w:val="both"/>
        <w:rPr>
          <w:rFonts w:ascii="Times New Roman" w:eastAsia="Times New Roman" w:hAnsi="Times New Roman"/>
          <w:noProof/>
          <w:sz w:val="24"/>
        </w:rPr>
      </w:pPr>
      <w:r>
        <w:rPr>
          <w:rFonts w:ascii="Times New Roman" w:hAnsi="Times New Roman"/>
          <w:noProof/>
          <w:sz w:val="24"/>
        </w:rPr>
        <w:t>taganemisõiguse kasutamisega seotud erand (artikli 16 punkt m).</w:t>
      </w:r>
    </w:p>
    <w:p>
      <w:pPr>
        <w:keepLines/>
        <w:widowControl w:val="0"/>
        <w:spacing w:after="120"/>
        <w:jc w:val="both"/>
        <w:rPr>
          <w:rFonts w:ascii="Times New Roman" w:hAnsi="Times New Roman"/>
          <w:noProof/>
          <w:sz w:val="24"/>
        </w:rPr>
      </w:pPr>
      <w:r>
        <w:rPr>
          <w:rFonts w:ascii="Times New Roman" w:hAnsi="Times New Roman"/>
          <w:noProof/>
          <w:sz w:val="24"/>
        </w:rPr>
        <w:t xml:space="preserve">Digitaalne sisu on endiselt võtmevaldkond, kus tarbijad ei tunne end nii kaitstuna kui müügi- ja teenuslepingute puhul. Hindamise tulemused näitavad, et digitaalse sisu sätete vähene tulemuslikkus tuleneb sellest, et ei kauplejad ega tarbijad ole normidest teadlikud, et kauplejad ei järgi norme ning et riikide ametiasutuste võetud meetmed ei ole piisavad, et tagada normide täitmine. Väidetavalt on ka kauplejad osutanud teatavatele raskustele nende sätete praktilisel rakendamisel ja mõistmisel, eelkõige seoses nõudega esitada lepingueelselt teavet taganemisõiguse kohta. Teadlikkuse osas näitasid andmed, et kõige vähem oldi teadlik digitaalse sisuga seotud lepingueelsetest teavitamisnõuetest ja digitaalse sisuga seotud taganemise normidest. Hindamisel ilmnes, et digitaalse sisu norme täideti väga vähe; eelkõige tuli välja, et kauplejad tavaliselt ei teavita tarbijaid sellest, millal nad taganemisõiguse kaotavad. </w:t>
      </w:r>
    </w:p>
    <w:p>
      <w:pPr>
        <w:keepLines/>
        <w:widowControl w:val="0"/>
        <w:spacing w:after="120"/>
        <w:jc w:val="both"/>
        <w:rPr>
          <w:rFonts w:ascii="Times New Roman" w:hAnsi="Times New Roman"/>
          <w:noProof/>
          <w:sz w:val="24"/>
        </w:rPr>
      </w:pPr>
      <w:r>
        <w:rPr>
          <w:rFonts w:ascii="Times New Roman" w:hAnsi="Times New Roman"/>
          <w:noProof/>
          <w:sz w:val="24"/>
        </w:rPr>
        <w:t xml:space="preserve">Samuti leiti hindamise käigus, et teatavad digitaalset sisu käsitlevad tarbija õiguste direktiivi normid võiks ümber hinnata, et need viia paremini kooskõlla ELi praeguste vajadustega. Täpsemalt ei kohaldata tarbija õiguste direktiivi praegu „tasuta“ internetiteenuste osutamise suhtes. Sellised teenused on pilvsalvestus või veebimeil, kus kaupleja peamine lepinguline kohustus on mitte digitaalse sisu pakkumine, vaid pigem teenus, mis võimaldab tarbijal oma andmeid luua, töödelda, salvestada või jagada. Pärast 2016. aasta juunis toimunud justiits- ja siseküsimuste nõukogus peetud arutlusi digitaalse sisu üleandmise lepinguid käsitleva direktiivi ettepaneku teemal esitasid ministrid komisjonile selge palve „lisada oma tarbijaõiguste direktiivi kohaldamist käsitlevasse aruandesse hinnang tarbijaõiguste direktiivi kohaldamisele, eelkõige mis puudutab kõnealuses direktiivis sätestatud lepingueelsete teavitamisnõuete kohaldamist digitaalse sisu üleandmist käsitlevatele igat liiki lepingutele, mis on hõlmatud digitaalse sisu direktiiviga [direktiivi ettepanek detsembris 2015], et oleks võimalik hinnata, kui suures ulatuses on vaja need kaks õigusakti (eelkõige neis kasutatavad mõisted) viia parema sidususe tagamiseks omavahel vastavusse“. </w:t>
      </w:r>
    </w:p>
    <w:p>
      <w:pPr>
        <w:keepLines/>
        <w:spacing w:after="120"/>
        <w:jc w:val="both"/>
        <w:rPr>
          <w:rFonts w:ascii="Times New Roman" w:eastAsia="Times New Roman" w:hAnsi="Times New Roman" w:cs="Times New Roman"/>
          <w:noProof/>
          <w:sz w:val="24"/>
          <w:szCs w:val="24"/>
        </w:rPr>
      </w:pPr>
      <w:r>
        <w:rPr>
          <w:rFonts w:ascii="Times New Roman" w:hAnsi="Times New Roman"/>
          <w:noProof/>
          <w:sz w:val="24"/>
        </w:rPr>
        <w:t>Seetõttu on komisjon seisukohal, et selleks, et direktiiv püsiks asjakohasena ja sobiks praeguste probleemide lahendamiseks, tuleks direktiivi kohaldamisala laiendada nii, et see hõlmaks „tasuta“ digitaalsete teenuste lepinguid, tagades samas, kui see on asjakohane, digitaalsete teenuste ja digitaalse sisu võrdse kohtlemise direktiivis.</w:t>
      </w:r>
    </w:p>
    <w:p>
      <w:pPr>
        <w:autoSpaceDE w:val="0"/>
        <w:autoSpaceDN w:val="0"/>
        <w:adjustRightInd w:val="0"/>
        <w:spacing w:after="120"/>
        <w:jc w:val="both"/>
        <w:rPr>
          <w:rFonts w:ascii="Times New Roman" w:hAnsi="Times New Roman" w:cs="Times New Roman"/>
          <w:b/>
          <w:bCs/>
          <w:noProof/>
          <w:sz w:val="24"/>
          <w:szCs w:val="24"/>
        </w:rPr>
      </w:pPr>
      <w:r>
        <w:rPr>
          <w:rFonts w:ascii="Times New Roman" w:hAnsi="Times New Roman"/>
          <w:b/>
          <w:noProof/>
          <w:sz w:val="24"/>
        </w:rPr>
        <w:t>6. Järeldused ja edasised sammud</w:t>
      </w:r>
    </w:p>
    <w:p>
      <w:pPr>
        <w:keepLines/>
        <w:spacing w:after="120"/>
        <w:jc w:val="both"/>
        <w:rPr>
          <w:rFonts w:ascii="Times New Roman" w:hAnsi="Times New Roman" w:cs="Times New Roman"/>
          <w:noProof/>
          <w:sz w:val="24"/>
          <w:szCs w:val="24"/>
        </w:rPr>
      </w:pPr>
      <w:r>
        <w:rPr>
          <w:rFonts w:ascii="Times New Roman" w:hAnsi="Times New Roman"/>
          <w:noProof/>
          <w:sz w:val="24"/>
        </w:rPr>
        <w:t>Komisjon võtab hindamise tulemuste suhtes järgmisi järelmeetmeid:</w:t>
      </w:r>
    </w:p>
    <w:p>
      <w:pPr>
        <w:pStyle w:val="ListParagraph"/>
        <w:keepLines/>
        <w:numPr>
          <w:ilvl w:val="0"/>
          <w:numId w:val="10"/>
        </w:numPr>
        <w:spacing w:after="120"/>
        <w:ind w:left="714" w:hanging="357"/>
        <w:contextualSpacing w:val="0"/>
        <w:jc w:val="both"/>
        <w:rPr>
          <w:rFonts w:ascii="Times New Roman" w:hAnsi="Times New Roman" w:cs="Times New Roman"/>
          <w:iCs/>
          <w:noProof/>
          <w:color w:val="000000"/>
          <w:sz w:val="24"/>
          <w:szCs w:val="24"/>
        </w:rPr>
      </w:pPr>
      <w:r>
        <w:rPr>
          <w:rFonts w:ascii="Times New Roman" w:hAnsi="Times New Roman"/>
          <w:noProof/>
          <w:color w:val="000000"/>
          <w:sz w:val="24"/>
        </w:rPr>
        <w:t>suurendab tarbijate ja kauplejate teadlikkust nende õigustest ja kohustustest. Selleks algatas komisjon 2016. aasta detsembris katseprojekti, mis käsitleb VKEde koolitamist ELi tarbijakaitse- ja turundusõigusest. Katseprojekti eesmärk on oluliselt suurendada kauplejate teadlikkust nende kohustustest ja tarbijate vastavatest õigustest;</w:t>
      </w:r>
    </w:p>
    <w:p>
      <w:pPr>
        <w:pStyle w:val="ListParagraph"/>
        <w:keepLines/>
        <w:numPr>
          <w:ilvl w:val="0"/>
          <w:numId w:val="10"/>
        </w:numPr>
        <w:spacing w:after="120"/>
        <w:ind w:left="714" w:hanging="357"/>
        <w:contextualSpacing w:val="0"/>
        <w:jc w:val="both"/>
        <w:rPr>
          <w:rFonts w:ascii="Times New Roman" w:hAnsi="Times New Roman" w:cs="Times New Roman"/>
          <w:noProof/>
          <w:color w:val="000000"/>
          <w:sz w:val="24"/>
          <w:szCs w:val="24"/>
        </w:rPr>
      </w:pPr>
      <w:r>
        <w:rPr>
          <w:rFonts w:ascii="Times New Roman" w:hAnsi="Times New Roman"/>
          <w:noProof/>
          <w:color w:val="000000"/>
          <w:sz w:val="24"/>
        </w:rPr>
        <w:t>kaalub täiendavate suuniste koostamist sätete kohta, mida hindamisel peeti ebaselgeteks;</w:t>
      </w:r>
    </w:p>
    <w:p>
      <w:pPr>
        <w:pStyle w:val="ListParagraph"/>
        <w:keepLines/>
        <w:numPr>
          <w:ilvl w:val="0"/>
          <w:numId w:val="10"/>
        </w:numPr>
        <w:spacing w:after="120"/>
        <w:ind w:left="714" w:hanging="357"/>
        <w:contextualSpacing w:val="0"/>
        <w:jc w:val="both"/>
        <w:rPr>
          <w:rFonts w:ascii="Times New Roman" w:hAnsi="Times New Roman" w:cs="Times New Roman"/>
          <w:noProof/>
          <w:color w:val="000000"/>
          <w:sz w:val="24"/>
          <w:szCs w:val="24"/>
        </w:rPr>
      </w:pPr>
      <w:r>
        <w:rPr>
          <w:rFonts w:ascii="Times New Roman" w:hAnsi="Times New Roman"/>
          <w:noProof/>
          <w:color w:val="000000"/>
          <w:sz w:val="24"/>
        </w:rPr>
        <w:t>juhtida hiljuti REFITi platvormi sidusrühmade rühmas käivitatud iseregulatsiooni algatust, et jõuda mitmepoolse kokkuleppeni kesksetes põhimõtetes selle kohta, kuidas paremini esitada nii tarbija õiguste direktiivi kohast lepingueelset teavet kui ka lepingu tüüptingimusi. Loomulikult ei piira see töö uute õigusaktide vastuvõtmist, eelkõige juhul, kui see iseregulatsiooni lähenemisviis ei osutu rahuldavaks;</w:t>
      </w:r>
    </w:p>
    <w:p>
      <w:pPr>
        <w:pStyle w:val="ListParagraph"/>
        <w:keepLines/>
        <w:numPr>
          <w:ilvl w:val="0"/>
          <w:numId w:val="10"/>
        </w:numPr>
        <w:spacing w:after="120"/>
        <w:contextualSpacing w:val="0"/>
        <w:jc w:val="both"/>
        <w:rPr>
          <w:rFonts w:ascii="Times New Roman" w:hAnsi="Times New Roman" w:cs="Times New Roman"/>
          <w:noProof/>
          <w:color w:val="000000"/>
          <w:sz w:val="24"/>
          <w:szCs w:val="24"/>
        </w:rPr>
      </w:pPr>
      <w:r>
        <w:rPr>
          <w:rFonts w:ascii="Times New Roman" w:hAnsi="Times New Roman"/>
          <w:noProof/>
          <w:color w:val="000000"/>
          <w:sz w:val="24"/>
        </w:rPr>
        <w:t>uurib edaspidi (sõltuvalt mõjuhinnangu tulemustest) direktiivi võimalike suunatud muudatuste tegemist selleks et:</w:t>
      </w:r>
    </w:p>
    <w:p>
      <w:pPr>
        <w:pStyle w:val="ListParagraph"/>
        <w:keepLines/>
        <w:numPr>
          <w:ilvl w:val="0"/>
          <w:numId w:val="11"/>
        </w:numPr>
        <w:spacing w:after="120"/>
        <w:ind w:left="1134" w:hanging="425"/>
        <w:contextualSpacing w:val="0"/>
        <w:jc w:val="both"/>
        <w:rPr>
          <w:rFonts w:ascii="Times New Roman" w:hAnsi="Times New Roman" w:cs="Times New Roman"/>
          <w:noProof/>
          <w:color w:val="000000"/>
          <w:sz w:val="24"/>
          <w:szCs w:val="24"/>
        </w:rPr>
      </w:pPr>
      <w:r>
        <w:rPr>
          <w:rFonts w:ascii="Times New Roman" w:hAnsi="Times New Roman"/>
          <w:noProof/>
          <w:color w:val="000000"/>
          <w:sz w:val="24"/>
        </w:rPr>
        <w:t>laiendada direktiivi kohaldamisala, et hõlmata „tasuta“ digitaalsete teenuste lepingud ja seega kohaldada lepingueelseid teavitamisnõudeid ja taganemisõigust kõigi digitaalsete teenuste suhtes. See muudatus peaks täpsustama, et direktiiv hõlmab ka digitaalse sisu pakkumise lepinguid, mida ei edastata tasu eest;</w:t>
      </w:r>
    </w:p>
    <w:p>
      <w:pPr>
        <w:pStyle w:val="ListParagraph"/>
        <w:keepLines/>
        <w:numPr>
          <w:ilvl w:val="0"/>
          <w:numId w:val="11"/>
        </w:numPr>
        <w:spacing w:after="120"/>
        <w:ind w:left="1134" w:hanging="425"/>
        <w:contextualSpacing w:val="0"/>
        <w:jc w:val="both"/>
        <w:rPr>
          <w:rFonts w:ascii="Times New Roman" w:hAnsi="Times New Roman" w:cs="Times New Roman"/>
          <w:noProof/>
          <w:color w:val="000000"/>
          <w:sz w:val="24"/>
          <w:szCs w:val="24"/>
        </w:rPr>
      </w:pPr>
      <w:r>
        <w:rPr>
          <w:rFonts w:ascii="Times New Roman" w:hAnsi="Times New Roman"/>
          <w:noProof/>
          <w:color w:val="000000"/>
          <w:sz w:val="24"/>
        </w:rPr>
        <w:t>lihtsustada teatavaid kehtivaid teavitamisnõudeid, et eelkõige paremini kajastada tehnoloogia/turu arengut, näiteks lubades kauplejatel teabevahetuses tarbijatega kasutada ajakohasemaid kommunikatsioonivahendeid, tingimusel et need vahendid võimaldavad tarbijal kauplejaga tulemuslikult ühendust võtta ja säilitada tõendi sellise teabevahetuse kohta püsival andmekandjal.</w:t>
      </w:r>
    </w:p>
    <w:p>
      <w:pPr>
        <w:pStyle w:val="ListParagraph"/>
        <w:keepLines/>
        <w:numPr>
          <w:ilvl w:val="0"/>
          <w:numId w:val="11"/>
        </w:numPr>
        <w:spacing w:after="120"/>
        <w:ind w:left="1134" w:hanging="425"/>
        <w:contextualSpacing w:val="0"/>
        <w:jc w:val="both"/>
        <w:rPr>
          <w:rFonts w:ascii="Times New Roman" w:hAnsi="Times New Roman" w:cs="Times New Roman"/>
          <w:noProof/>
          <w:color w:val="000000"/>
          <w:sz w:val="24"/>
          <w:szCs w:val="24"/>
        </w:rPr>
      </w:pPr>
      <w:r>
        <w:rPr>
          <w:rFonts w:ascii="Times New Roman" w:hAnsi="Times New Roman"/>
          <w:noProof/>
          <w:color w:val="000000"/>
          <w:sz w:val="24"/>
        </w:rPr>
        <w:t>eelkõige VKEde puhul vähendada kauplejate kulusid, mida mõni sidusrühm on pidanud ebaproportsionaalseks. See hõlmab taganemisõigust käsitlevaid sätteid sellise kauba puhul, mida tarbijad on kasutanud enam, kui on vaja selle olemuses, omadustes ja toimimises veendumiseks, ning norme, mis käsitlevad tagasimaksmist enne, kui kaupleja on kaubad tagasi saanud;</w:t>
      </w:r>
    </w:p>
    <w:p>
      <w:pPr>
        <w:pStyle w:val="ListParagraph"/>
        <w:keepLines/>
        <w:numPr>
          <w:ilvl w:val="0"/>
          <w:numId w:val="11"/>
        </w:numPr>
        <w:spacing w:after="120"/>
        <w:ind w:left="1134" w:hanging="425"/>
        <w:contextualSpacing w:val="0"/>
        <w:jc w:val="both"/>
        <w:rPr>
          <w:rFonts w:ascii="Times New Roman" w:hAnsi="Times New Roman" w:cs="Times New Roman"/>
          <w:noProof/>
          <w:color w:val="000000"/>
          <w:sz w:val="24"/>
          <w:szCs w:val="24"/>
        </w:rPr>
      </w:pPr>
      <w:r>
        <w:rPr>
          <w:rFonts w:ascii="Times New Roman" w:hAnsi="Times New Roman"/>
          <w:noProof/>
          <w:sz w:val="24"/>
        </w:rPr>
        <w:t>suurendada teabe läbipaistvust, mida internetipõhistes kauplemiskohtades pakutakse tarbijale selle kohta, kes on tarnija/üleandja ja milline on tema positsioon (kaupleja või tarbija), millised on erinevused tarbijakaitse tasemes, kui lepingu sõlmimisel eelistatakse teisele tarbijale kauplejat, ning millised on esitatud pakkumiste suhtes vaikimisi seadistatud järjestuskriteeriumid, ja kehtestada läbipaistvusnõuete eiramise tagajärjed;</w:t>
      </w:r>
    </w:p>
    <w:p>
      <w:pPr>
        <w:pStyle w:val="ListParagraph"/>
        <w:keepLines/>
        <w:numPr>
          <w:ilvl w:val="0"/>
          <w:numId w:val="10"/>
        </w:numPr>
        <w:autoSpaceDE w:val="0"/>
        <w:autoSpaceDN w:val="0"/>
        <w:adjustRightInd w:val="0"/>
        <w:spacing w:after="120"/>
        <w:contextualSpacing w:val="0"/>
        <w:jc w:val="both"/>
        <w:rPr>
          <w:rFonts w:ascii="Times New Roman" w:hAnsi="Times New Roman" w:cs="Times New Roman"/>
          <w:noProof/>
          <w:sz w:val="24"/>
          <w:szCs w:val="24"/>
        </w:rPr>
      </w:pPr>
      <w:r>
        <w:rPr>
          <w:rFonts w:ascii="Times New Roman" w:hAnsi="Times New Roman"/>
          <w:noProof/>
          <w:color w:val="000000"/>
          <w:sz w:val="24"/>
        </w:rPr>
        <w:t>kiirendab direktiivi täitmise tagamist kõikides liikmesriikides, sh tarbijakaitsealase koostöö määrusega ette nähtud ühiste meetmete abil.</w:t>
      </w:r>
    </w:p>
    <w:p>
      <w:pPr>
        <w:autoSpaceDE w:val="0"/>
        <w:autoSpaceDN w:val="0"/>
        <w:adjustRightInd w:val="0"/>
        <w:spacing w:after="120"/>
        <w:jc w:val="both"/>
        <w:rPr>
          <w:rFonts w:ascii="Times New Roman" w:hAnsi="Times New Roman" w:cs="Times New Roman"/>
          <w:noProof/>
          <w:sz w:val="24"/>
          <w:szCs w:val="24"/>
        </w:rPr>
      </w:pPr>
    </w:p>
    <w:p>
      <w:pPr>
        <w:autoSpaceDE w:val="0"/>
        <w:autoSpaceDN w:val="0"/>
        <w:adjustRightInd w:val="0"/>
        <w:spacing w:after="120"/>
        <w:jc w:val="both"/>
        <w:rPr>
          <w:rFonts w:ascii="Times New Roman" w:hAnsi="Times New Roman" w:cs="Times New Roman"/>
          <w:noProof/>
          <w:sz w:val="24"/>
          <w:szCs w:val="24"/>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57294"/>
      <w:docPartObj>
        <w:docPartGallery w:val="Page Numbers (Bottom of Page)"/>
        <w:docPartUnique/>
      </w:docPartObj>
    </w:sdtPr>
    <w:sdtEndPr>
      <w:rPr>
        <w:rFonts w:ascii="Times New Roman" w:hAnsi="Times New Roman" w:cs="Times New Roman"/>
        <w:sz w:val="20"/>
      </w:rPr>
    </w:sdtEndPr>
    <w:sdtContent>
      <w:p>
        <w:pPr>
          <w:pStyle w:val="Footer"/>
          <w:jc w:val="right"/>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3</w:t>
        </w:r>
        <w:r>
          <w:rPr>
            <w:rFonts w:ascii="Times New Roman" w:hAnsi="Times New Roman" w:cs="Times New Roman"/>
            <w:sz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ELT L 304, 22.11.2011, lk 64.</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 xml:space="preserve">Uuringu viis läbi ettevõtte Risk &amp; Policy Analysts Ltd juhitud konsortsium, lõpparuanne on kättesaadav aadressil </w:t>
      </w:r>
      <w:hyperlink r:id="rId1">
        <w:r>
          <w:rPr>
            <w:rStyle w:val="Hyperlink"/>
            <w:rFonts w:ascii="Times New Roman" w:hAnsi="Times New Roman"/>
          </w:rPr>
          <w:t>http://ec.europa.eu/newsroom/just/item-detail.cfm?item_id=59332</w:t>
        </w:r>
      </w:hyperlink>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Euroopa Majandus- ja Sotsiaalkomitee teabearuanne: tarbija õiguste direktiiv (hindamine) </w:t>
      </w:r>
      <w:hyperlink r:id="rId2">
        <w:r>
          <w:rPr>
            <w:rStyle w:val="Hyperlink"/>
            <w:rFonts w:ascii="Times New Roman" w:hAnsi="Times New Roman"/>
          </w:rPr>
          <w:t>http://www.eesc.europa.eu/?i=portal.en.int-opinions.39555</w:t>
        </w:r>
      </w:hyperlink>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Väliskonsultandi poolt uuringu jaoks läbi viidud konsultatsioonid (internetiuuring ja intervjuud tarbijate, kauplejate, riikide tarbija- ja majandusorganisatsioonide, õiguskaitseasutuste, ministeeriumide, Euroopa tarbijakeskustega); avalik internetikonsultatsioon (maist septembrini 2016); kohtumised toimivuskontrolli sidusrühmade konsultatsioonirühmas ja loodud võrgustikes (nt Euroopa tarbijate nõuanderühm, tarbijapoliitika võrgustik); arutlused 2016. aasta Euroopa tarbijaküsimusi käsitleval tippkohtumisel. </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Tarbijakaebuste andmeanalüüs, tarbija õiguste direktiivi kohaldamise lauskontrolli tulemused (riikide ametiasutuste koordineeritud seiretegevus komisjoni juhtimisel, vt allmärkus 11), kontrollostude tegemine ja käitumuslikud katsed, jagamismajanduse tarbijakaitseküsimusi käsitleva prooviuuringu tulemused. </w:t>
      </w:r>
    </w:p>
  </w:footnote>
  <w:footnote w:id="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 xml:space="preserve">Lõpparuanne on kättesaadav aadressil </w:t>
      </w:r>
      <w:hyperlink r:id="rId3">
        <w:r>
          <w:rPr>
            <w:rStyle w:val="Hyperlink"/>
            <w:rFonts w:ascii="Times New Roman" w:hAnsi="Times New Roman"/>
          </w:rPr>
          <w:t>http://ec.europa.eu/newsroom/just/item-detail.cfm?item_id=59332</w:t>
        </w:r>
      </w:hyperlink>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Täpsema teabe saamiseks vt järgmisel veebilehel avaldatud tabel: </w:t>
      </w:r>
      <w:hyperlink r:id="rId4">
        <w:r>
          <w:rPr>
            <w:rStyle w:val="Hyperlink"/>
            <w:rFonts w:ascii="Times New Roman" w:hAnsi="Times New Roman"/>
          </w:rPr>
          <w:t>http://ec.europa.eu/justice/consumer-marketing/files/overview_regulatory_choices.pdf</w:t>
        </w:r>
      </w:hyperlink>
      <w:r>
        <w:rPr>
          <w:rFonts w:ascii="Times New Roman" w:hAnsi="Times New Roman"/>
        </w:rPr>
        <w:t>.</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Õpikojad peeti 5. oktoobril 2012, 8. märtsil 2013, 19. septembril 2013, 11. detsembril 2013 ja 11. aprillil 2014.</w:t>
      </w:r>
    </w:p>
  </w:footnote>
  <w:footnote w:id="1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Direktiivi ülevõtmine hilines järgmistes liikmesriikides: AT, BE, BG, FI, HR, HU, ES, FR, IT, LV, LU, NL, PL, PT, RO, SK, SL.</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Õigusküsimuste peadirektoraadi juhenddokument, juuni 2014, kättesaadav veebilehel </w:t>
      </w:r>
      <w:hyperlink r:id="rId5">
        <w:r>
          <w:rPr>
            <w:rStyle w:val="Hyperlink"/>
            <w:rFonts w:ascii="Times New Roman" w:hAnsi="Times New Roman"/>
          </w:rPr>
          <w:t>http://ec.europa.eu/consumers/consumer_rights/rights-contracts/directive/index_en.htm</w:t>
        </w:r>
      </w:hyperlink>
      <w:r>
        <w:rPr>
          <w:rStyle w:val="Hyperlink"/>
          <w:rFonts w:ascii="Times New Roman" w:hAnsi="Times New Roman"/>
        </w:rPr>
        <w:t>.</w:t>
      </w:r>
    </w:p>
  </w:footnote>
  <w:footnote w:id="1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Nn lauskontroll on kogu ELi hõlmav veebisaitide seire. See viiakse läbi samaaegsete koordineeritud kontrollide vormis, et teha kindlaks tarbijaõiguste rikkumisi ja tagada seejärel õiguste järgimine. Vt ka: </w:t>
      </w:r>
      <w:hyperlink r:id="rId6">
        <w:r>
          <w:rPr>
            <w:rStyle w:val="Hyperlink"/>
            <w:rFonts w:ascii="Times New Roman" w:hAnsi="Times New Roman"/>
          </w:rPr>
          <w:t>http://ec.europa.eu/consumers/enforcement/sweeps/index_en.htm</w:t>
        </w:r>
      </w:hyperlink>
      <w:r>
        <w:rPr>
          <w:rFonts w:ascii="Times New Roman" w:hAnsi="Times New Roman"/>
        </w:rPr>
        <w:t>. Täpsem teave 2015. aastal toimunud tarbija õiguste direktiivi lauskontrolli kohta, vt: http://ec.europa.eu/consumers/enforcement/sweeps/directive/index_en.htm</w:t>
      </w:r>
    </w:p>
  </w:footnote>
  <w:footnote w:id="1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http://ec.europa.eu/consumers/enforcement/sweeps/directive/index_en.htm</w:t>
        </w:r>
      </w:hyperlink>
      <w:r>
        <w:rPr>
          <w:rFonts w:ascii="Times New Roman" w:hAnsi="Times New Roman"/>
        </w:rPr>
        <w:t>.</w:t>
      </w:r>
    </w:p>
  </w:footnote>
  <w:footnote w:id="1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
        <w:r>
          <w:rPr>
            <w:rStyle w:val="Hyperlink"/>
            <w:rFonts w:ascii="Times New Roman" w:hAnsi="Times New Roman"/>
          </w:rPr>
          <w:t>http://ec.europa.eu/justice/newsroom/consumer-marketing/events/140317_en.htm</w:t>
        </w:r>
      </w:hyperlink>
      <w:r>
        <w:rPr>
          <w:rFonts w:ascii="Times New Roman" w:hAnsi="Times New Roman"/>
        </w:rPr>
        <w:t>.</w:t>
      </w:r>
    </w:p>
  </w:footnote>
  <w:footnote w:id="15">
    <w:p>
      <w:pPr>
        <w:pStyle w:val="FootnoteText"/>
        <w:jc w:val="both"/>
        <w:rPr>
          <w:rFonts w:ascii="Times New Roman" w:hAnsi="Times New Roman" w:cs="Times New Roman"/>
          <w:lang w:val="fi-FI"/>
        </w:rPr>
      </w:pPr>
      <w:r>
        <w:rPr>
          <w:rStyle w:val="FootnoteReference"/>
          <w:rFonts w:ascii="Times New Roman" w:hAnsi="Times New Roman"/>
        </w:rPr>
        <w:footnoteRef/>
      </w:r>
      <w:r>
        <w:rPr>
          <w:rFonts w:ascii="Times New Roman" w:hAnsi="Times New Roman"/>
        </w:rPr>
        <w:t xml:space="preserve"> </w:t>
      </w:r>
      <w:hyperlink r:id="rId9">
        <w:r>
          <w:rPr>
            <w:rStyle w:val="Hyperlink"/>
            <w:rFonts w:ascii="Times New Roman" w:hAnsi="Times New Roman"/>
          </w:rPr>
          <w:t>http://ec.europa.eu/eurostat/statistics-explained/index.php/E-commerce_statistics_for_individuals</w:t>
        </w:r>
      </w:hyperlink>
      <w:r>
        <w:rPr>
          <w:rFonts w:ascii="Times New Roman" w:hAnsi="Times New Roman"/>
        </w:rPr>
        <w:t xml:space="preserve"> (joonis 8.)</w:t>
      </w:r>
    </w:p>
  </w:footnote>
  <w:footnote w:id="1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Euroopa Liidu Kohus selgitas oma 2. märtsi 2017. aasta otsuses kohtuasjas C</w:t>
      </w:r>
      <w:r>
        <w:noBreakHyphen/>
      </w:r>
      <w:r>
        <w:rPr>
          <w:rFonts w:ascii="Times New Roman" w:hAnsi="Times New Roman"/>
        </w:rPr>
        <w:t xml:space="preserve">568/15 </w:t>
      </w:r>
      <w:r>
        <w:rPr>
          <w:rFonts w:ascii="Times New Roman" w:hAnsi="Times New Roman"/>
          <w:i/>
        </w:rPr>
        <w:t xml:space="preserve">Zentrale zur Bekämpfung unlauteren Wettbewerbs Frankfurt am Main e.V. v comtech GmbH, </w:t>
      </w:r>
      <w:r>
        <w:rPr>
          <w:rFonts w:ascii="Times New Roman" w:hAnsi="Times New Roman"/>
        </w:rPr>
        <w:t>et „direktiivi [2011/83/EL] artiklis 21 viidatud mõistet „põhitariif“ tuleb tõlgendada nii, et tasu kõne eest, mis on seotud sõlmitud lepinguga ja mis on tehtud kaupleja hallatud abitelefoniliinile, ei tohi olla suurem tavalisele geograafilisele laua- või mobiiltelefoninumbrile helistamise tasust. Kui sellest piirangust on kinni peetud, ei oma tähtsust asjaolu, kas kaupleja teenib mittegeograafilist abitelefoniliini kasutades kasumit või mitte.“</w:t>
      </w:r>
    </w:p>
  </w:footnote>
  <w:footnote w:id="1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Tarbija õiguste direktiivi juhenddokument, lk 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0CC"/>
    <w:multiLevelType w:val="hybridMultilevel"/>
    <w:tmpl w:val="77D6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624E3E"/>
    <w:multiLevelType w:val="hybridMultilevel"/>
    <w:tmpl w:val="8998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A403D4"/>
    <w:multiLevelType w:val="hybridMultilevel"/>
    <w:tmpl w:val="31E2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ED5A2F"/>
    <w:multiLevelType w:val="hybridMultilevel"/>
    <w:tmpl w:val="80084786"/>
    <w:lvl w:ilvl="0" w:tplc="7352A070">
      <w:start w:val="1"/>
      <w:numFmt w:val="bullet"/>
      <w:lvlText w:val="o"/>
      <w:lvlJc w:val="left"/>
      <w:pPr>
        <w:ind w:left="107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B07119"/>
    <w:multiLevelType w:val="hybridMultilevel"/>
    <w:tmpl w:val="3EB6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4E01B8"/>
    <w:multiLevelType w:val="hybridMultilevel"/>
    <w:tmpl w:val="4F1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F53824"/>
    <w:multiLevelType w:val="hybridMultilevel"/>
    <w:tmpl w:val="F3B89D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A20AAC"/>
    <w:multiLevelType w:val="hybridMultilevel"/>
    <w:tmpl w:val="4F9EF712"/>
    <w:lvl w:ilvl="0" w:tplc="66146F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7779D0"/>
    <w:multiLevelType w:val="hybridMultilevel"/>
    <w:tmpl w:val="083436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973051"/>
    <w:multiLevelType w:val="hybridMultilevel"/>
    <w:tmpl w:val="B25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F6378C"/>
    <w:multiLevelType w:val="hybridMultilevel"/>
    <w:tmpl w:val="4EB6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1D129A"/>
    <w:multiLevelType w:val="hybridMultilevel"/>
    <w:tmpl w:val="8708B3B2"/>
    <w:lvl w:ilvl="0" w:tplc="A9D85CF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2065876"/>
    <w:multiLevelType w:val="hybridMultilevel"/>
    <w:tmpl w:val="BEC2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2C4952"/>
    <w:multiLevelType w:val="hybridMultilevel"/>
    <w:tmpl w:val="14A8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016F5F"/>
    <w:multiLevelType w:val="hybridMultilevel"/>
    <w:tmpl w:val="AC64F4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A77F06"/>
    <w:multiLevelType w:val="hybridMultilevel"/>
    <w:tmpl w:val="75EC7EFC"/>
    <w:lvl w:ilvl="0" w:tplc="C0C4CBA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12"/>
  </w:num>
  <w:num w:numId="6">
    <w:abstractNumId w:val="13"/>
  </w:num>
  <w:num w:numId="7">
    <w:abstractNumId w:val="15"/>
  </w:num>
  <w:num w:numId="8">
    <w:abstractNumId w:val="9"/>
  </w:num>
  <w:num w:numId="9">
    <w:abstractNumId w:val="0"/>
  </w:num>
  <w:num w:numId="10">
    <w:abstractNumId w:val="5"/>
  </w:num>
  <w:num w:numId="11">
    <w:abstractNumId w:val="14"/>
  </w:num>
  <w:num w:numId="12">
    <w:abstractNumId w:val="6"/>
  </w:num>
  <w:num w:numId="13">
    <w:abstractNumId w:val="11"/>
  </w:num>
  <w:num w:numId="14">
    <w:abstractNumId w:val="2"/>
  </w:num>
  <w:num w:numId="15">
    <w:abstractNumId w:val="4"/>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6C032F34C284016BDFD83CC84D93244"/>
    <w:docVar w:name="LW_CROSSREFERENCE" w:val="{SWD(2017) 169 final}_x000b_{SWD(2017) 170 final}"/>
    <w:docVar w:name="LW_DocType" w:val="NORMAL"/>
    <w:docVar w:name="LW_EMISSION" w:val="23.5.2017"/>
    <w:docVar w:name="LW_EMISSION_ISODATE" w:val="2017-05-23"/>
    <w:docVar w:name="LW_EMISSION_LOCATION" w:val="BRX"/>
    <w:docVar w:name="LW_EMISSION_PREFIX" w:val="Brüssel,"/>
    <w:docVar w:name="LW_EMISSION_SUFFIX" w:val=" "/>
    <w:docVar w:name="LW_ID_DOCTYPE_NONLW" w:val="CP-006"/>
    <w:docVar w:name="LW_LANGUE" w:val="ET"/>
    <w:docVar w:name="LW_MARKING" w:val="&lt;UNUSED&g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7) 259"/>
    <w:docVar w:name="LW_REF.INTERNE" w:val="&lt;UNUSED&gt;"/>
    <w:docVar w:name="LW_SOUS.TITRE.OBJ.CP" w:val="&lt;UNUSED&gt;"/>
    <w:docVar w:name="LW_SUPERTITRE" w:val="&lt;UNUSED&gt;"/>
    <w:docVar w:name="LW_TITRE.OBJ.CP" w:val="Euroopa Parlamendi ja nõukogu 25. oktoobri 2011. aasta direktiivi 2011/83/EL (tarbija õiguste kohta, millega muudetakse nõukogu direktiivi 93/13/EMÜ ning Euroopa Parlamendi ja nõukogu direktiivi 1999/44/EÜ ja millega tunnistatakse kehtetuks nõukogu direktiiv 85/577/EMÜ ning Euroopa Parlamendi ja nõukogu direktiiv 97/7/EÜ) kohaldamise kohta "/>
    <w:docVar w:name="LW_TYPE.DOC.CP" w:val="KOMISJONI ARUANNE EUROOPA PARLAMENDILE JA NÕUKOGU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ootnote Text Char1,Footnote Text Char Char1,Footnote Text Char Char Char,FOOTNOTES Char Char,fn Char Char,single space Char Char,footnote text Char Char,Footnote Text Char1 Char Char,FOOTNOTES Char1,fn Char1,FOOTNOTES,fn"/>
    <w:basedOn w:val="Normal"/>
    <w:link w:val="FootnoteTextChar"/>
    <w:unhideWhenUsed/>
    <w:qFormat/>
    <w:pPr>
      <w:spacing w:after="0" w:line="240" w:lineRule="auto"/>
    </w:pPr>
    <w:rPr>
      <w:sz w:val="20"/>
      <w:szCs w:val="20"/>
    </w:rPr>
  </w:style>
  <w:style w:type="character" w:customStyle="1" w:styleId="FootnoteTextChar">
    <w:name w:val="Footnote Text Char"/>
    <w:aliases w:val="Footnote Char,Fußnote Char,Footnote Text Char1 Char,Footnote Text Char Char1 Char,Footnote Text Char Char Char Char,FOOTNOTES Char Char Char,fn Char Char Char,single space Char Char Char,footnote text Char Char Char,fn Char1 Char"/>
    <w:basedOn w:val="DefaultParagraphFont"/>
    <w:link w:val="FootnoteTex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ootnotesymbolCarZchn"/>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160" w:line="240" w:lineRule="auto"/>
      <w:jc w:val="both"/>
    </w:pPr>
    <w:rPr>
      <w:rFonts w:ascii="Arial" w:eastAsia="Times New Roman" w:hAnsi="Arial" w:cs="Times New Roman"/>
      <w:bCs/>
      <w:sz w:val="24"/>
      <w:szCs w:val="20"/>
    </w:rPr>
  </w:style>
  <w:style w:type="character" w:customStyle="1" w:styleId="CommentTextChar">
    <w:name w:val="Comment Text Char"/>
    <w:basedOn w:val="DefaultParagraphFont"/>
    <w:link w:val="CommentText"/>
    <w:uiPriority w:val="99"/>
    <w:rPr>
      <w:rFonts w:ascii="Arial" w:eastAsia="Times New Roman" w:hAnsi="Arial" w:cs="Times New Roman"/>
      <w:bCs/>
      <w:sz w:val="24"/>
      <w:szCs w:val="20"/>
      <w:lang w:eastAsia="et-EE"/>
    </w:rPr>
  </w:style>
  <w:style w:type="paragraph" w:styleId="CommentSubject">
    <w:name w:val="annotation subject"/>
    <w:basedOn w:val="CommentText"/>
    <w:next w:val="CommentText"/>
    <w:link w:val="CommentSubjectChar"/>
    <w:uiPriority w:val="99"/>
    <w:semiHidden/>
    <w:unhideWhenUsed/>
    <w:pPr>
      <w:spacing w:after="200"/>
      <w:jc w:val="left"/>
    </w:pPr>
    <w:rPr>
      <w:rFonts w:asciiTheme="minorHAnsi" w:eastAsiaTheme="minorHAnsi" w:hAnsiTheme="minorHAnsi" w:cstheme="minorBidi"/>
      <w:b/>
      <w:sz w:val="20"/>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t-E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8"/>
    <w:pPr>
      <w:spacing w:after="0" w:line="160" w:lineRule="exact"/>
      <w:ind w:left="284" w:hanging="284"/>
      <w:jc w:val="both"/>
    </w:pPr>
    <w:rPr>
      <w:vertAlign w:val="superscri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
    <w:basedOn w:val="Normal"/>
    <w:link w:val="ListParagraphChar"/>
    <w:uiPriority w:val="34"/>
    <w:qFormat/>
    <w:pPr>
      <w:ind w:left="720"/>
      <w:contextualSpacing/>
    </w:p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34"/>
    <w:qFormat/>
  </w:style>
  <w:style w:type="character" w:customStyle="1" w:styleId="link-disabled">
    <w:name w:val="link-disabled"/>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imes New Roman" w:hAnsi="Times New Roman" w:cs="Times New Roman"/>
      <w:bCs/>
      <w:color w:val="000000"/>
      <w:sz w:val="24"/>
      <w:szCs w:val="24"/>
    </w:rPr>
  </w:style>
  <w:style w:type="character" w:customStyle="1" w:styleId="FooterCoverPageChar">
    <w:name w:val="Footer Cover Page Char"/>
    <w:basedOn w:val="DefaultParagraphFont"/>
    <w:link w:val="FooterCoverPage"/>
    <w:rPr>
      <w:rFonts w:ascii="Times New Roman" w:hAnsi="Times New Roman" w:cs="Times New Roman"/>
      <w:bCs/>
      <w:color w:val="000000"/>
      <w:sz w:val="24"/>
      <w:szCs w:val="24"/>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imes New Roman" w:hAnsi="Times New Roman" w:cs="Times New Roman"/>
      <w:bCs/>
      <w:color w:val="000000"/>
      <w:sz w:val="24"/>
      <w:szCs w:val="24"/>
    </w:rPr>
  </w:style>
  <w:style w:type="character" w:customStyle="1" w:styleId="HeaderCoverPageChar">
    <w:name w:val="Header Cover Page Char"/>
    <w:basedOn w:val="DefaultParagraphFont"/>
    <w:link w:val="HeaderCoverPage"/>
    <w:rPr>
      <w:rFonts w:ascii="Times New Roman" w:hAnsi="Times New Roman" w:cs="Times New Roman"/>
      <w:bCs/>
      <w:color w:val="000000"/>
      <w:sz w:val="24"/>
      <w:szCs w:val="24"/>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ootnote Text Char1,Footnote Text Char Char1,Footnote Text Char Char Char,FOOTNOTES Char Char,fn Char Char,single space Char Char,footnote text Char Char,Footnote Text Char1 Char Char,FOOTNOTES Char1,fn Char1,FOOTNOTES,fn"/>
    <w:basedOn w:val="Normal"/>
    <w:link w:val="FootnoteTextChar"/>
    <w:unhideWhenUsed/>
    <w:qFormat/>
    <w:pPr>
      <w:spacing w:after="0" w:line="240" w:lineRule="auto"/>
    </w:pPr>
    <w:rPr>
      <w:sz w:val="20"/>
      <w:szCs w:val="20"/>
    </w:rPr>
  </w:style>
  <w:style w:type="character" w:customStyle="1" w:styleId="FootnoteTextChar">
    <w:name w:val="Footnote Text Char"/>
    <w:aliases w:val="Footnote Char,Fußnote Char,Footnote Text Char1 Char,Footnote Text Char Char1 Char,Footnote Text Char Char Char Char,FOOTNOTES Char Char Char,fn Char Char Char,single space Char Char Char,footnote text Char Char Char,fn Char1 Char"/>
    <w:basedOn w:val="DefaultParagraphFont"/>
    <w:link w:val="FootnoteTex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ootnotesymbolCarZchn"/>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160" w:line="240" w:lineRule="auto"/>
      <w:jc w:val="both"/>
    </w:pPr>
    <w:rPr>
      <w:rFonts w:ascii="Arial" w:eastAsia="Times New Roman" w:hAnsi="Arial" w:cs="Times New Roman"/>
      <w:bCs/>
      <w:sz w:val="24"/>
      <w:szCs w:val="20"/>
    </w:rPr>
  </w:style>
  <w:style w:type="character" w:customStyle="1" w:styleId="CommentTextChar">
    <w:name w:val="Comment Text Char"/>
    <w:basedOn w:val="DefaultParagraphFont"/>
    <w:link w:val="CommentText"/>
    <w:uiPriority w:val="99"/>
    <w:rPr>
      <w:rFonts w:ascii="Arial" w:eastAsia="Times New Roman" w:hAnsi="Arial" w:cs="Times New Roman"/>
      <w:bCs/>
      <w:sz w:val="24"/>
      <w:szCs w:val="20"/>
      <w:lang w:eastAsia="et-EE"/>
    </w:rPr>
  </w:style>
  <w:style w:type="paragraph" w:styleId="CommentSubject">
    <w:name w:val="annotation subject"/>
    <w:basedOn w:val="CommentText"/>
    <w:next w:val="CommentText"/>
    <w:link w:val="CommentSubjectChar"/>
    <w:uiPriority w:val="99"/>
    <w:semiHidden/>
    <w:unhideWhenUsed/>
    <w:pPr>
      <w:spacing w:after="200"/>
      <w:jc w:val="left"/>
    </w:pPr>
    <w:rPr>
      <w:rFonts w:asciiTheme="minorHAnsi" w:eastAsiaTheme="minorHAnsi" w:hAnsiTheme="minorHAnsi" w:cstheme="minorBidi"/>
      <w:b/>
      <w:sz w:val="20"/>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t-E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8"/>
    <w:pPr>
      <w:spacing w:after="0" w:line="160" w:lineRule="exact"/>
      <w:ind w:left="284" w:hanging="284"/>
      <w:jc w:val="both"/>
    </w:pPr>
    <w:rPr>
      <w:vertAlign w:val="superscri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
    <w:basedOn w:val="Normal"/>
    <w:link w:val="ListParagraphChar"/>
    <w:uiPriority w:val="34"/>
    <w:qFormat/>
    <w:pPr>
      <w:ind w:left="720"/>
      <w:contextualSpacing/>
    </w:p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34"/>
    <w:qFormat/>
  </w:style>
  <w:style w:type="character" w:customStyle="1" w:styleId="link-disabled">
    <w:name w:val="link-disabled"/>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imes New Roman" w:hAnsi="Times New Roman" w:cs="Times New Roman"/>
      <w:bCs/>
      <w:color w:val="000000"/>
      <w:sz w:val="24"/>
      <w:szCs w:val="24"/>
    </w:rPr>
  </w:style>
  <w:style w:type="character" w:customStyle="1" w:styleId="FooterCoverPageChar">
    <w:name w:val="Footer Cover Page Char"/>
    <w:basedOn w:val="DefaultParagraphFont"/>
    <w:link w:val="FooterCoverPage"/>
    <w:rPr>
      <w:rFonts w:ascii="Times New Roman" w:hAnsi="Times New Roman" w:cs="Times New Roman"/>
      <w:bCs/>
      <w:color w:val="000000"/>
      <w:sz w:val="24"/>
      <w:szCs w:val="24"/>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imes New Roman" w:hAnsi="Times New Roman" w:cs="Times New Roman"/>
      <w:bCs/>
      <w:color w:val="000000"/>
      <w:sz w:val="24"/>
      <w:szCs w:val="24"/>
    </w:rPr>
  </w:style>
  <w:style w:type="character" w:customStyle="1" w:styleId="HeaderCoverPageChar">
    <w:name w:val="Header Cover Page Char"/>
    <w:basedOn w:val="DefaultParagraphFont"/>
    <w:link w:val="HeaderCoverPage"/>
    <w:rPr>
      <w:rFonts w:ascii="Times New Roman" w:hAnsi="Times New Roman" w:cs="Times New Roman"/>
      <w:bCs/>
      <w:color w:val="000000"/>
      <w:sz w:val="24"/>
      <w:szCs w:val="24"/>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79649">
      <w:bodyDiv w:val="1"/>
      <w:marLeft w:val="0"/>
      <w:marRight w:val="0"/>
      <w:marTop w:val="0"/>
      <w:marBottom w:val="0"/>
      <w:divBdr>
        <w:top w:val="none" w:sz="0" w:space="0" w:color="auto"/>
        <w:left w:val="none" w:sz="0" w:space="0" w:color="auto"/>
        <w:bottom w:val="none" w:sz="0" w:space="0" w:color="auto"/>
        <w:right w:val="none" w:sz="0" w:space="0" w:color="auto"/>
      </w:divBdr>
    </w:div>
    <w:div w:id="1067072729">
      <w:bodyDiv w:val="1"/>
      <w:marLeft w:val="0"/>
      <w:marRight w:val="0"/>
      <w:marTop w:val="0"/>
      <w:marBottom w:val="0"/>
      <w:divBdr>
        <w:top w:val="none" w:sz="0" w:space="0" w:color="auto"/>
        <w:left w:val="none" w:sz="0" w:space="0" w:color="auto"/>
        <w:bottom w:val="none" w:sz="0" w:space="0" w:color="auto"/>
        <w:right w:val="none" w:sz="0" w:space="0" w:color="auto"/>
      </w:divBdr>
    </w:div>
    <w:div w:id="116543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justice/newsroom/consumer-marketing/events/140317_en.htm" TargetMode="External"/><Relationship Id="rId3" Type="http://schemas.openxmlformats.org/officeDocument/2006/relationships/hyperlink" Target="http://ec.europa.eu/newsroom/just/item-detail.cfm?item_id=59332" TargetMode="External"/><Relationship Id="rId7" Type="http://schemas.openxmlformats.org/officeDocument/2006/relationships/hyperlink" Target="http://ec.europa.eu/consumers/enforcement/sweeps/directive/index_en.htm" TargetMode="External"/><Relationship Id="rId2" Type="http://schemas.openxmlformats.org/officeDocument/2006/relationships/hyperlink" Target="http://www.eesc.europa.eu/?i=portal.en.int-opinions.39555" TargetMode="External"/><Relationship Id="rId1" Type="http://schemas.openxmlformats.org/officeDocument/2006/relationships/hyperlink" Target="http://ec.europa.eu/newsroom/just/item-detail.cfm?item_id=59332" TargetMode="External"/><Relationship Id="rId6" Type="http://schemas.openxmlformats.org/officeDocument/2006/relationships/hyperlink" Target="http://ec.europa.eu/consumers/enforcement/sweeps/index_en.htm" TargetMode="External"/><Relationship Id="rId5" Type="http://schemas.openxmlformats.org/officeDocument/2006/relationships/hyperlink" Target="http://ec.europa.eu/consumers/consumer_rights/rights-contracts/directive/index_en.htm" TargetMode="External"/><Relationship Id="rId4" Type="http://schemas.openxmlformats.org/officeDocument/2006/relationships/hyperlink" Target="http://ec.europa.eu/justice/consumer-marketing/files/overview_regulatory_choices.pdf" TargetMode="External"/><Relationship Id="rId9" Type="http://schemas.openxmlformats.org/officeDocument/2006/relationships/hyperlink" Target="http://ec.europa.eu/eurostat/statistics-explained/index.php/E-commerce_statistics_for_individ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DD4C2187-F377-41D6-9638-355860B20DD8">Not Started</EC_Collab_Status>
    <EC_Collab_Reference xmlns="DD4C2187-F377-41D6-9638-355860B20DD8" xsi:nil="true"/>
    <EC_Collab_DocumentLanguage xmlns="DD4C2187-F377-41D6-9638-355860B20DD8">EN</EC_Collab_Document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75A74F2397AC74EBC5FDFEBC8E09B3E" ma:contentTypeVersion="0" ma:contentTypeDescription="Create a new document in this library." ma:contentTypeScope="" ma:versionID="76f2febc81193ffe341c4d393fd22140">
  <xsd:schema xmlns:xsd="http://www.w3.org/2001/XMLSchema" xmlns:xs="http://www.w3.org/2001/XMLSchema" xmlns:p="http://schemas.microsoft.com/office/2006/metadata/properties" xmlns:ns2="http://schemas.microsoft.com/sharepoint/v3/fields" xmlns:ns3="DD4C2187-F377-41D6-9638-355860B20DD8" targetNamespace="http://schemas.microsoft.com/office/2006/metadata/properties" ma:root="true" ma:fieldsID="8913c6bd367bc5aa03f2dde305dae439" ns2:_="" ns3:_="">
    <xsd:import namespace="http://schemas.microsoft.com/sharepoint/v3/fields"/>
    <xsd:import namespace="DD4C2187-F377-41D6-9638-355860B20DD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D4C2187-F377-41D6-9638-355860B20DD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63973-AC0C-41C6-9912-E05046E47E6F}">
  <ds:schemaRefs>
    <ds:schemaRef ds:uri="http://schemas.openxmlformats.org/package/2006/metadata/core-properties"/>
    <ds:schemaRef ds:uri="http://schemas.microsoft.com/sharepoint/v3/fields"/>
    <ds:schemaRef ds:uri="http://purl.org/dc/dcmitype/"/>
    <ds:schemaRef ds:uri="http://www.w3.org/XML/1998/namespace"/>
    <ds:schemaRef ds:uri="http://purl.org/dc/elements/1.1/"/>
    <ds:schemaRef ds:uri="DD4C2187-F377-41D6-9638-355860B20DD8"/>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9DFFCAB-DF7B-48FB-8CCC-E3FB0B8790C6}">
  <ds:schemaRefs>
    <ds:schemaRef ds:uri="http://schemas.microsoft.com/sharepoint/v3/contenttype/forms"/>
  </ds:schemaRefs>
</ds:datastoreItem>
</file>

<file path=customXml/itemProps3.xml><?xml version="1.0" encoding="utf-8"?>
<ds:datastoreItem xmlns:ds="http://schemas.openxmlformats.org/officeDocument/2006/customXml" ds:itemID="{E75EFA75-2E60-4646-ADC0-766550AF8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D4C2187-F377-41D6-9638-355860B20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24E11-8BC9-441B-8C0D-CCBB32AE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3012</Words>
  <Characters>22294</Characters>
  <Application>Microsoft Office Word</Application>
  <DocSecurity>0</DocSecurity>
  <Lines>332</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2017-03-29T08:36:00Z</cp:lastPrinted>
  <dcterms:created xsi:type="dcterms:W3CDTF">2017-05-12T13:03:00Z</dcterms:created>
  <dcterms:modified xsi:type="dcterms:W3CDTF">2017-05-24T14:18:00Z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0x010100258AA79CEB83498886A3A0868112325000375A74F2397AC74EBC5FDFEBC8E09B3E</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y fmtid="{D5CDD505-2E9C-101B-9397-08002B2CF9AE}" pid="6" name="DocStatus">
    <vt:lpwstr>Green</vt:lpwstr>
  </property>
</Properties>
</file>