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708020EB0724187BF2F5AE05B182DB3" style="width:450.8pt;height:411.3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0" w:after="200" w:line="276" w:lineRule="auto"/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</w:rPr>
        <w:lastRenderedPageBreak/>
        <w:t>Príloha I</w:t>
      </w:r>
      <w:r>
        <w:rPr>
          <w:b/>
          <w:noProof/>
          <w:sz w:val="28"/>
          <w:szCs w:val="28"/>
        </w:rPr>
        <w:br/>
      </w:r>
      <w:r>
        <w:rPr>
          <w:b/>
          <w:noProof/>
          <w:sz w:val="28"/>
        </w:rPr>
        <w:t>Údaje, ktoré sa majú monitorovať a nahlasovať</w:t>
      </w:r>
    </w:p>
    <w:p>
      <w:pPr>
        <w:pStyle w:val="ManualHeading1"/>
        <w:rPr>
          <w:noProof/>
        </w:rPr>
      </w:pPr>
      <w:r>
        <w:rPr>
          <w:noProof/>
        </w:rPr>
        <w:t xml:space="preserve">Časť A: </w:t>
      </w:r>
      <w:r>
        <w:rPr>
          <w:noProof/>
        </w:rPr>
        <w:tab/>
        <w:t>Údaje, ktoré majú monitorovať a nahlasovať členské štáty:</w:t>
      </w:r>
    </w:p>
    <w:p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  <w:t xml:space="preserve">identifikačné číslo vozidla všetkých nových vozidiel podľa článku 2 písm. a) a b), ktoré sú zaevidované na území členského štátu, </w:t>
      </w:r>
    </w:p>
    <w:p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  <w:t>názov výrobcu,</w:t>
      </w:r>
    </w:p>
    <w:p>
      <w:pPr>
        <w:pStyle w:val="Point0"/>
        <w:rPr>
          <w:noProof/>
        </w:rPr>
      </w:pPr>
      <w:r>
        <w:rPr>
          <w:noProof/>
        </w:rPr>
        <w:t>c)</w:t>
      </w:r>
      <w:r>
        <w:rPr>
          <w:noProof/>
        </w:rPr>
        <w:tab/>
        <w:t>značka (obchodný názov výrobcu),</w:t>
      </w:r>
    </w:p>
    <w:p>
      <w:pPr>
        <w:pStyle w:val="Point0"/>
        <w:rPr>
          <w:noProof/>
        </w:rPr>
      </w:pPr>
      <w:r>
        <w:rPr>
          <w:noProof/>
        </w:rPr>
        <w:t>d)</w:t>
      </w:r>
      <w:r>
        <w:rPr>
          <w:noProof/>
        </w:rPr>
        <w:tab/>
        <w:t>kód karosérie uvedený v položke 38 osvedčenia o zhode, ak je k dispozícii,</w:t>
      </w:r>
    </w:p>
    <w:p>
      <w:pPr>
        <w:pStyle w:val="Point0"/>
        <w:rPr>
          <w:noProof/>
        </w:rPr>
      </w:pPr>
      <w:r>
        <w:rPr>
          <w:noProof/>
        </w:rPr>
        <w:t>e)</w:t>
      </w:r>
      <w:r>
        <w:rPr>
          <w:noProof/>
        </w:rPr>
        <w:tab/>
        <w:t>v prípade vozidiel uvedených v článku 2 písm. a) informácie o pohonnej jednotke uvedené v položkách 23, 23.1 a 26 osvedčenia o zhode.</w:t>
      </w:r>
    </w:p>
    <w:p>
      <w:pPr>
        <w:pStyle w:val="ManualHeading1"/>
        <w:ind w:left="1440" w:hanging="1440"/>
        <w:rPr>
          <w:noProof/>
        </w:rPr>
      </w:pPr>
      <w:r>
        <w:rPr>
          <w:noProof/>
        </w:rPr>
        <w:t>Časť B:</w:t>
      </w:r>
      <w:r>
        <w:rPr>
          <w:noProof/>
        </w:rPr>
        <w:tab/>
        <w:t>Údaje, ktoré majú monitorovať a nahlasovať výrobcovia ťažkých úžitkových vozidiel:</w:t>
      </w:r>
    </w:p>
    <w:p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3785"/>
        <w:gridCol w:w="2281"/>
        <w:gridCol w:w="2613"/>
      </w:tblGrid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Č.</w:t>
            </w:r>
          </w:p>
        </w:tc>
        <w:tc>
          <w:tcPr>
            <w:tcW w:w="4661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Parametre monitorovania</w:t>
            </w:r>
          </w:p>
        </w:tc>
        <w:tc>
          <w:tcPr>
            <w:tcW w:w="1725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Zdroj</w:t>
            </w:r>
            <w:r>
              <w:rPr>
                <w:noProof/>
                <w:color w:val="000000"/>
                <w:sz w:val="22"/>
              </w:rPr>
              <w:t xml:space="preserve"> Dodatok 1 k prílohe I k nariadeniu […/…]</w:t>
            </w:r>
            <w:r>
              <w:rPr>
                <w:b/>
                <w:noProof/>
              </w:rPr>
              <w:t xml:space="preserve"> </w:t>
            </w:r>
          </w:p>
        </w:tc>
        <w:tc>
          <w:tcPr>
            <w:tcW w:w="2216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Opis</w:t>
            </w: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Identifikačné číslo vozidla (VIN)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1.1.1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  <w:color w:val="000000"/>
              </w:rPr>
              <w:t>Identifikácia vozidla a komponentov</w:t>
            </w: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Číslo osvedčenia motora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1.2.1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Číslo osvedčenia CdxA (v prípade potreby)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1.8.2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Číslo osvedčenia prevodovky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1.3.2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Číslo osvedčenia náprav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1.7.2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Číslo osvedčenia pneumatík, náprava 1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1.9.2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Číslo osvedčenia pneumatík, náprava 2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1.9.6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Číslo osvedčenia pneumatík, náprava 3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1.9.10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Číslo osvedčenia pneumatík, náprava 4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1.9.14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Kategória vozidla 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1.1.2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Klasifikácia vozidla</w:t>
            </w: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Usporiadanie náprav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1.1.3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Maximálna celková hmotnosť vozidla 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1.1.4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Skupina vozidiel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1.1.5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Názov výrobcu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1.1.6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Špecifikácia vozidla a podvozku</w:t>
            </w: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Značka (obchodný názov výrobcu)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1.1.7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16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Opravená pohotovostná hmotnosť vozidla 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1.1.8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Menovitý výkon motora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1.2.2.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Hlavné špecifikácie motora</w:t>
            </w: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Voľnobežné otáčky motora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1.2.3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Menovité otáčky motora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1.2.4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Zdvihový objem motora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1.2.5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Typ referenčného paliva motora 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1.2.6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Možnosť osvedčovania použitá pri tvorbe CdxA (predvolená hodnota alebo meranie)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1.8.1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Aerodynamika</w:t>
            </w: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Hodnota CdxA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1.8.3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Názov a adresa výrobcu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Hlavné špecifikácie prevodovky</w:t>
            </w: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Značka (obchodný názov výrobcu)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Zvolený typ osvedčovania na získanie mapy strát pre nástroj na výpočet energetickej spotreby vozidiel (štandardné hodnoty/metóda 1/metóda 2)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1.3.1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Typ prevodovky 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1.3.3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Počet prevodových stupňov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1.3.4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Koncový prevodový pomer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1.3.5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Odľahčovacia brzda (áno/nie)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1.3.6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Vývodový hriadeľ (áno/nie)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1.3.7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Názov a adresa výrobcu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</w:p>
          <w:p>
            <w:pPr>
              <w:spacing w:before="100" w:beforeAutospacing="1" w:after="100" w:afterAutospacing="1" w:line="276" w:lineRule="auto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Hlavné špecifikácie náprav</w:t>
            </w: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Značka (obchodný názov výrobcu)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34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Zvolený typ osvedčovania na získanie mapy strát pre nástroj na výpočet energetickej spotreby vozidiel (štandardné hodnoty/meranie)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1.7.1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Typ nápravy 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1.7.3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Stály prevod rozvodovky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1.7.4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37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Zvolený typ osvedčovania na získanie mapy strát pre nástroj na výpočet energetickej spotreby vozidiel (štandardné hodnoty/meranie)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1.6.1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Špecifikácie uhlového prevodu</w:t>
            </w: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Pomer uhlového prevodu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1.6.2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39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Názov a adresa výrobcu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Hlavné špecifikácie pneumatík</w:t>
            </w: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Značka (obchodný názov výrobcu)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Rozmery pneumatík, náprava 1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1.9.1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42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Špecifický koeficient valivého odporu všetkých pneumatík na náprave 1 (vľavo/vpravo)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1.9.3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Rozmery pneumatík, náprava 2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1.9.4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Dvojitá náprava (áno/nie), náprava 2 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1.9.5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Špecifický koeficient valivého odporu všetkých pneumatík na náprave 2 (vľavo/vpravo)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1.9.7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46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Rozmery pneumatík, náprava 3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1.9.8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47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Dvojitá náprava (áno/nie), náprava 3 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1.9.9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Špecifický koeficient valivého odporu všetkých pneumatík na náprave 3 (vľavo/vpravo)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1.9.11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49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Rozmery pneumatík, náprava 4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1.9.12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Dvojitá náprava (áno/nie), náprava 4 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1.9.13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51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Špecifický koeficient valivého odporu všetkých pneumatík na náprave 4 (vľavo/vpravo) 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1.9.15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Technológia chladiaceho ventilátora motora (áno/nie – ak áno, uveďte typ technológie)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1.10.1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Hlavné špecifikácie prídavných zariadení</w:t>
            </w: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53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Technológia čerpadla posilňovača riadenia (áno/nie – ak áno, uveďte typ technológie)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1.10.2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54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Technológia elektrického systému (áno/nie – ak áno, uveďte typ technológie)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1.10.3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Technológia pneumatického systému (áno/nie – ak áno, uveďte typ technológie)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1.10.4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Účel použitia (diaľková, regionálna, mestská doprava, stavebníctvo)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2.1.1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  <w:sz w:val="23"/>
              </w:rPr>
              <w:t>Parametre simulácie (pre každú kombináciu účelu použitia/zaťaženia/paliva)</w:t>
            </w: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57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Zaťaženie (podľa vymedzenia v nástroji na výpočet energetickej spotreby vozidiel)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2.1.2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Celková hmotnosť vozidla v simulácii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2.1.4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59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Priemerná rýchlosť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2.2.1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Jazdný výkon vozidla </w:t>
            </w:r>
            <w:r>
              <w:rPr>
                <w:noProof/>
                <w:sz w:val="23"/>
              </w:rPr>
              <w:t>(pre každú kombináciu účelu použitia/zaťaženia/paliva)</w:t>
            </w: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Minimálna okamžitá rýchlosť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2.2.2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61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Maximálna okamžitá rýchlosť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2.2.3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62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Maximálne spomalenie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2.2.4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Maximálne zrýchlenie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2.2.5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64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Percentuálny podiel času jazdy s plným zaťažením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2.2.6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65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Celkový počet prevodových stupňov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2.2.7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Celková najazdená vzdialenosť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2.2.8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Emisie CO</w:t>
            </w:r>
            <w:r>
              <w:rPr>
                <w:noProof/>
                <w:color w:val="000000"/>
                <w:sz w:val="22"/>
                <w:vertAlign w:val="subscript"/>
              </w:rPr>
              <w:t>2</w:t>
            </w:r>
            <w:r>
              <w:rPr>
                <w:noProof/>
                <w:color w:val="000000"/>
                <w:sz w:val="22"/>
              </w:rPr>
              <w:t xml:space="preserve"> </w:t>
            </w:r>
          </w:p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(vyjadrené v g/km, g/t-km, g/p-km, g/m³-km)</w:t>
            </w:r>
          </w:p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2.3.13 – 2.3.16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Emisie CO</w:t>
            </w:r>
            <w:r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 xml:space="preserve"> a spotreba paliva </w:t>
            </w:r>
            <w:r>
              <w:rPr>
                <w:noProof/>
                <w:sz w:val="23"/>
              </w:rPr>
              <w:t>(pre každú kombináciu účelu použitia/zaťaženia/paliva)</w:t>
            </w: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68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Spotreba paliva </w:t>
            </w:r>
          </w:p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(vyjadrená v l/100km, l/t-km, l/p-km, l/m³-km, MJ/km, MJ/t-km, MJ/p-km, MJ/m³-km)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2.3.1 – 2.3.12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69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Verzia nástroja na výpočet energetickej spotreby vozidiel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3.1.1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Softvér a informácie pre používateľa</w:t>
            </w: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Dátum a čas simulácie nástroja na výpočet energetickej spotreby vozidiel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3.1.2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71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Odkaz na používateľa/licenciu nástroja na výpočet energetickej spotreby vozidiel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3.1.3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72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Šifrovací algoritmus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3.1.4</w:t>
            </w:r>
          </w:p>
        </w:tc>
        <w:tc>
          <w:tcPr>
            <w:tcW w:w="2216" w:type="dxa"/>
            <w:vMerge/>
            <w:vAlign w:val="center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  <w:tr>
        <w:tc>
          <w:tcPr>
            <w:tcW w:w="687" w:type="dxa"/>
            <w:vAlign w:val="center"/>
          </w:tcPr>
          <w:p>
            <w:pPr>
              <w:spacing w:before="100" w:beforeAutospacing="1" w:after="100" w:afterAutospacing="1" w:line="276" w:lineRule="auto"/>
              <w:jc w:val="left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4661" w:type="dxa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Pokročilé technológie na znižovanie emisií CO</w:t>
            </w:r>
            <w:r>
              <w:rPr>
                <w:noProof/>
                <w:color w:val="000000"/>
                <w:sz w:val="22"/>
                <w:vertAlign w:val="subscript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spacing w:before="60" w:after="60" w:line="276" w:lineRule="auto"/>
              <w:jc w:val="left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216" w:type="dxa"/>
            <w:vAlign w:val="center"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Technológie na znižovanie emisií CO</w:t>
            </w:r>
            <w:r>
              <w:rPr>
                <w:noProof/>
                <w:vertAlign w:val="subscript"/>
              </w:rPr>
              <w:t xml:space="preserve">2 </w:t>
            </w:r>
            <w:r>
              <w:rPr>
                <w:noProof/>
              </w:rPr>
              <w:t>vozidiel</w:t>
            </w:r>
          </w:p>
        </w:tc>
      </w:tr>
    </w:tbl>
    <w:p>
      <w:pPr>
        <w:spacing w:before="0" w:after="200" w:line="276" w:lineRule="auto"/>
        <w:jc w:val="left"/>
        <w:rPr>
          <w:noProof/>
        </w:rPr>
      </w:pP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pgNumType w:start="2"/>
          <w:cols w:space="708"/>
          <w:docGrid w:linePitch="360"/>
        </w:sectPr>
      </w:pPr>
      <w:r>
        <w:rPr>
          <w:noProof/>
        </w:rPr>
        <w:br w:type="page"/>
      </w:r>
    </w:p>
    <w:p>
      <w:pPr>
        <w:rPr>
          <w:noProof/>
        </w:rPr>
      </w:pPr>
    </w:p>
    <w:p>
      <w:pPr>
        <w:jc w:val="center"/>
        <w:rPr>
          <w:b/>
          <w:noProof/>
        </w:rPr>
      </w:pPr>
      <w:r>
        <w:rPr>
          <w:b/>
          <w:noProof/>
        </w:rPr>
        <w:t>PRÍLOHA II</w:t>
      </w:r>
    </w:p>
    <w:p>
      <w:pPr>
        <w:jc w:val="center"/>
        <w:rPr>
          <w:b/>
          <w:noProof/>
        </w:rPr>
      </w:pPr>
      <w:r>
        <w:rPr>
          <w:b/>
          <w:noProof/>
        </w:rPr>
        <w:t>Nahlasovanie a správa údajov</w:t>
      </w:r>
    </w:p>
    <w:p>
      <w:pPr>
        <w:pStyle w:val="Heading1"/>
        <w:numPr>
          <w:ilvl w:val="0"/>
          <w:numId w:val="9"/>
        </w:numPr>
        <w:rPr>
          <w:noProof/>
        </w:rPr>
      </w:pPr>
      <w:r>
        <w:rPr>
          <w:noProof/>
        </w:rPr>
        <w:t>Nahlasovanie členskými štátmi</w:t>
      </w:r>
    </w:p>
    <w:p>
      <w:pPr>
        <w:ind w:left="720" w:hanging="720"/>
        <w:rPr>
          <w:noProof/>
        </w:rPr>
      </w:pPr>
      <w:r>
        <w:rPr>
          <w:noProof/>
        </w:rPr>
        <w:t>1.1</w:t>
      </w:r>
      <w:r>
        <w:rPr>
          <w:noProof/>
        </w:rPr>
        <w:tab/>
        <w:t xml:space="preserve">Od 1. januára 2019 členské štáty monitorujú údaje uvedené v časti A prílohy I za každý kalendárny rok. </w:t>
      </w:r>
    </w:p>
    <w:p>
      <w:pPr>
        <w:ind w:left="720" w:hanging="720"/>
        <w:rPr>
          <w:noProof/>
          <w:szCs w:val="24"/>
        </w:rPr>
      </w:pPr>
      <w:r>
        <w:rPr>
          <w:noProof/>
        </w:rPr>
        <w:t>1.2</w:t>
      </w:r>
      <w:r>
        <w:rPr>
          <w:noProof/>
        </w:rPr>
        <w:tab/>
        <w:t xml:space="preserve">Údaje v súlade s článkom 4 odošle kontaktné miesto príslušného orgánu prostredníctvom elektronického prenosu údajov do centrálneho archívu údajov, ktorý spravuje agentúra EEA. </w:t>
      </w:r>
    </w:p>
    <w:p>
      <w:pPr>
        <w:ind w:left="720"/>
        <w:jc w:val="left"/>
        <w:rPr>
          <w:noProof/>
        </w:rPr>
      </w:pPr>
      <w:r>
        <w:rPr>
          <w:noProof/>
        </w:rPr>
        <w:t>Kontaktné miesto oznámi Komisii a agentúre EEA odoslanie údajov e-mailom na tieto adresy:</w:t>
      </w:r>
      <w:r>
        <w:rPr>
          <w:noProof/>
        </w:rPr>
        <w:br/>
      </w:r>
    </w:p>
    <w:p>
      <w:pPr>
        <w:ind w:left="720"/>
        <w:jc w:val="left"/>
        <w:rPr>
          <w:noProof/>
        </w:rPr>
      </w:pPr>
      <w:r>
        <w:rPr>
          <w:noProof/>
        </w:rPr>
        <w:t>[</w:t>
      </w:r>
      <w:hyperlink r:id="rId18">
        <w:r>
          <w:rPr>
            <w:noProof/>
            <w:color w:val="0000FF" w:themeColor="hyperlink"/>
            <w:u w:val="single"/>
          </w:rPr>
          <w:t>EC-CO2-HDV-IMPLEMENTATION@ec.europa.eu</w:t>
        </w:r>
      </w:hyperlink>
      <w:r>
        <w:rPr>
          <w:noProof/>
        </w:rPr>
        <w:t>] a</w:t>
      </w:r>
    </w:p>
    <w:p>
      <w:pPr>
        <w:ind w:left="720"/>
        <w:jc w:val="left"/>
        <w:rPr>
          <w:noProof/>
        </w:rPr>
      </w:pPr>
      <w:hyperlink r:id="rId19">
        <w:r>
          <w:rPr>
            <w:noProof/>
            <w:color w:val="0000FF" w:themeColor="hyperlink"/>
            <w:u w:val="single"/>
          </w:rPr>
          <w:t>HDV-monitoring@eea.europa.eu</w:t>
        </w:r>
      </w:hyperlink>
      <w:r>
        <w:rPr>
          <w:noProof/>
        </w:rPr>
        <w:t>.</w:t>
      </w:r>
    </w:p>
    <w:p>
      <w:pPr>
        <w:pStyle w:val="Heading1"/>
        <w:rPr>
          <w:noProof/>
        </w:rPr>
      </w:pPr>
      <w:r>
        <w:rPr>
          <w:noProof/>
        </w:rPr>
        <w:t>Nahlasovanie výrobcami</w:t>
      </w:r>
    </w:p>
    <w:p>
      <w:pPr>
        <w:ind w:left="850" w:hanging="850"/>
        <w:rPr>
          <w:noProof/>
        </w:rPr>
      </w:pPr>
      <w:r>
        <w:rPr>
          <w:noProof/>
        </w:rPr>
        <w:t>2.1</w:t>
      </w:r>
      <w:r>
        <w:rPr>
          <w:noProof/>
        </w:rPr>
        <w:tab/>
        <w:t>Výrobcovia Komisii bezodkladne, najneskôr však do [31. decembra 2018], oznámia tieto informácie:</w:t>
      </w:r>
    </w:p>
    <w:p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>názov výrobcu uvedený v osvedčení o zhode alebo v osvedčení o schválení jednotlivého vozidla,</w:t>
      </w:r>
    </w:p>
    <w:p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  <w:t>svetový kód výrobcu (kód WMI) podľa vymedzenia v nariadení Komisie (EÚ) č. 19/2011</w:t>
      </w:r>
      <w:r>
        <w:rPr>
          <w:rStyle w:val="FootnoteReference"/>
          <w:noProof/>
        </w:rPr>
        <w:footnoteReference w:id="2"/>
      </w:r>
      <w:r>
        <w:rPr>
          <w:noProof/>
        </w:rPr>
        <w:t>, ktorý sa má použiť v identifikačnom čísle vozidla nových ťažkých úžitkových vozidiel uvádzaných na trh,</w:t>
      </w:r>
    </w:p>
    <w:p>
      <w:pPr>
        <w:pStyle w:val="Point1"/>
        <w:rPr>
          <w:noProof/>
        </w:rPr>
      </w:pPr>
      <w:r>
        <w:rPr>
          <w:noProof/>
        </w:rPr>
        <w:t>c)</w:t>
      </w:r>
      <w:r>
        <w:rPr>
          <w:noProof/>
        </w:rPr>
        <w:tab/>
        <w:t>kontaktné miesto zodpovedné za nahratie údajov do archívu obchodných údajov agentúry EEA.</w:t>
      </w:r>
    </w:p>
    <w:p>
      <w:pPr>
        <w:ind w:left="850"/>
        <w:rPr>
          <w:noProof/>
        </w:rPr>
      </w:pPr>
      <w:r>
        <w:rPr>
          <w:noProof/>
        </w:rPr>
        <w:t xml:space="preserve">Bezodkladne informujú Komisiu o akýchkoľvek zmenách týchto informácií. </w:t>
      </w:r>
    </w:p>
    <w:p>
      <w:pPr>
        <w:ind w:left="850"/>
        <w:rPr>
          <w:noProof/>
        </w:rPr>
      </w:pPr>
      <w:r>
        <w:rPr>
          <w:noProof/>
        </w:rPr>
        <w:t xml:space="preserve">Oznámenia sa odosielajú na adresy uvedené v bode 1.2. </w:t>
      </w:r>
    </w:p>
    <w:p>
      <w:pPr>
        <w:ind w:left="850" w:hanging="850"/>
        <w:rPr>
          <w:noProof/>
        </w:rPr>
      </w:pPr>
      <w:r>
        <w:rPr>
          <w:noProof/>
        </w:rPr>
        <w:t>2.2</w:t>
      </w:r>
      <w:r>
        <w:rPr>
          <w:noProof/>
        </w:rPr>
        <w:tab/>
        <w:t>Noví výrobcovia vstupujúci na trh bezodkladne poskytnú Komisii informácie uvedené v bode 2.1.</w:t>
      </w:r>
    </w:p>
    <w:p>
      <w:pPr>
        <w:ind w:left="850" w:hanging="850"/>
        <w:rPr>
          <w:noProof/>
        </w:rPr>
      </w:pPr>
      <w:r>
        <w:rPr>
          <w:noProof/>
        </w:rPr>
        <w:t>2.3</w:t>
      </w:r>
      <w:r>
        <w:rPr>
          <w:noProof/>
        </w:rPr>
        <w:tab/>
        <w:t>Od [1. januára 2019] a za každý ďalší kalendárny rok zaznamená každý výrobca údaje uvedené v časti B prílohy I za každé nové vyrobené ťažké úžitkové vozidlo.</w:t>
      </w:r>
    </w:p>
    <w:p>
      <w:pPr>
        <w:ind w:left="850" w:hanging="850"/>
        <w:rPr>
          <w:noProof/>
        </w:rPr>
      </w:pPr>
      <w:r>
        <w:rPr>
          <w:noProof/>
        </w:rPr>
        <w:lastRenderedPageBreak/>
        <w:t>2.4</w:t>
      </w:r>
      <w:r>
        <w:rPr>
          <w:noProof/>
        </w:rPr>
        <w:tab/>
        <w:t xml:space="preserve">Kontaktné miesto výrobcu odošle údaje uvedené v bode 2.3 v súlade s článkom 5 ods. 1 prostredníctvom elektronického prenosu do archívu obchodných údajov, ktorý spravuje agentúra EEA. </w:t>
      </w:r>
    </w:p>
    <w:p>
      <w:pPr>
        <w:ind w:left="850"/>
        <w:rPr>
          <w:noProof/>
        </w:rPr>
      </w:pPr>
      <w:r>
        <w:rPr>
          <w:noProof/>
        </w:rPr>
        <w:t>Kontaktné miesto oznámi Komisii a agentúre EEA odoslanie údajov e-mailom do funkčných e-mailových schránok uvedených v bode 1.2 tejto prílohy.</w:t>
      </w:r>
    </w:p>
    <w:p>
      <w:pPr>
        <w:pStyle w:val="Heading1"/>
        <w:rPr>
          <w:noProof/>
        </w:rPr>
      </w:pPr>
      <w:r>
        <w:rPr>
          <w:noProof/>
        </w:rPr>
        <w:t xml:space="preserve">Spracovanie údajov </w:t>
      </w:r>
    </w:p>
    <w:p>
      <w:pPr>
        <w:pStyle w:val="Point1"/>
        <w:ind w:left="850" w:hanging="850"/>
        <w:rPr>
          <w:noProof/>
        </w:rPr>
      </w:pPr>
      <w:r>
        <w:rPr>
          <w:noProof/>
        </w:rPr>
        <w:t>3.1</w:t>
      </w:r>
      <w:r>
        <w:rPr>
          <w:noProof/>
        </w:rPr>
        <w:tab/>
        <w:t>Agentúra EEA spracuje údaje odoslané v súlade s bodmi 1.2 a 2.4 a zaznamená spracované údaje v centrálnom registri údajov o ťažkých úžitkových vozidlách.</w:t>
      </w:r>
    </w:p>
    <w:p>
      <w:pPr>
        <w:pStyle w:val="Point0"/>
        <w:rPr>
          <w:noProof/>
        </w:rPr>
      </w:pPr>
      <w:r>
        <w:rPr>
          <w:noProof/>
        </w:rPr>
        <w:t>3.2</w:t>
      </w:r>
      <w:r>
        <w:rPr>
          <w:noProof/>
        </w:rPr>
        <w:tab/>
        <w:t>Údaje týkajúce sa vozidiel zaevidovaných v predchádzajúcom kalendárnom roku a zaznamenaných v registri sa počínajúc rokom [2020] zverejnia každý rok najneskôr do [31. októbra] s výnimkou údajových záznamov uvedených v článku 6 ods. 1.</w:t>
      </w:r>
    </w:p>
    <w:p>
      <w:pPr>
        <w:pStyle w:val="Point0"/>
        <w:rPr>
          <w:noProof/>
        </w:rPr>
      </w:pPr>
      <w:r>
        <w:rPr>
          <w:noProof/>
        </w:rPr>
        <w:t>3.3</w:t>
      </w:r>
      <w:r>
        <w:rPr>
          <w:noProof/>
        </w:rPr>
        <w:tab/>
        <w:t>Ak príslušný orgán alebo výrobcovia zistia, že predložené údaje obsahujú chyby, oznámia to bezodkladne Komisii a agentúre EEA tak, že do centrálneho archívu údajov alebo archívu obchodných údajov (podľa potreby) odošlú správu s oznámením o chybe, ako aj prostredníctvom e-mailu, ktorý odošlú do funkčných mailových schránok uvedených v bode 1.2.</w:t>
      </w:r>
    </w:p>
    <w:p>
      <w:pPr>
        <w:pStyle w:val="Point0"/>
        <w:rPr>
          <w:noProof/>
        </w:rPr>
      </w:pPr>
      <w:r>
        <w:rPr>
          <w:noProof/>
        </w:rPr>
        <w:t>3.4</w:t>
      </w:r>
      <w:r>
        <w:rPr>
          <w:noProof/>
        </w:rPr>
        <w:tab/>
        <w:t>Komisia s podporou agentúry EEA overí oznámené chyby a v prípade potreby údaje v registri opraví.</w:t>
      </w:r>
    </w:p>
    <w:p>
      <w:pPr>
        <w:pStyle w:val="Point0"/>
        <w:rPr>
          <w:noProof/>
        </w:rPr>
      </w:pPr>
      <w:r>
        <w:rPr>
          <w:noProof/>
        </w:rPr>
        <w:t>3.5</w:t>
      </w:r>
      <w:r>
        <w:rPr>
          <w:noProof/>
        </w:rPr>
        <w:tab/>
        <w:t>Komisia s podporou agentúry EEA v dostatočnom predstihu pred uplynutím lehôt na odoslanie údajov sprístupní dostupné elektronické formáty na odosielanie údajov podľa bodov 1.2 a 2.4.</w:t>
      </w:r>
    </w:p>
    <w:p>
      <w:pPr>
        <w:pStyle w:val="Point0"/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SK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SK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SK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SK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Nariadenie Komisie (EÚ) č. 19/2011 z 11. januára 2011 týkajúce sa požiadaviek na typové schválenie povinného štítku výrobcu a identifikačného čísla motorových vozidiel a ich prípojných vozidiel, ktorým sa vykonáva nariadenie Európskeho parlamentu a Rady (ES) č. 661/2009 o požiadavkách na typové schválenie motorových vozidiel, ich prípojných vozidiel a systémov, komponentov a samostatných technických jednotiek určených pre tieto vozidlá z hľadiska všeobecnej bezpečnosti (Ú. v. EÚ L 8, 12.1.2011, s. 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B7ED6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4EA4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8C696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1C224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47A17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7F213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D460F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50023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6-07 13:18:0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4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k návrhu 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E708020EB0724187BF2F5AE05B182DB3"/>
    <w:docVar w:name="LW_CROSSREFERENCE" w:val="{SWD(2017) 188 final}_x000b_{SWD(2017) 189 final}"/>
    <w:docVar w:name="LW_DocType" w:val="ANNEX"/>
    <w:docVar w:name="LW_EMISSION" w:val="31. 5. 2017"/>
    <w:docVar w:name="LW_EMISSION_ISODATE" w:val="2017-05-31"/>
    <w:docVar w:name="LW_EMISSION_LOCATION" w:val="BRX"/>
    <w:docVar w:name="LW_EMISSION_PREFIX" w:val="V Bruseli"/>
    <w:docVar w:name="LW_EMISSION_SUFFIX" w:val=" "/>
    <w:docVar w:name="LW_ID_DOCSTRUCTURE" w:val="COM/ANNEX"/>
    <w:docVar w:name="LW_ID_DOCTYPE" w:val="SG-017"/>
    <w:docVar w:name="LW_LANGUE" w:val="SK"/>
    <w:docVar w:name="LW_MARKING" w:val="&lt;UNUSED&gt;"/>
    <w:docVar w:name="LW_NOM.INST" w:val="EURÓPSKA KOMISIA"/>
    <w:docVar w:name="LW_NOM.INST_JOINTDOC" w:val="&lt;EMPTY&gt;"/>
    <w:docVar w:name="LW_OBJETACTEPRINCIPAL.CP" w:val="o monitorovaní a nahlasovaní emisií CO2 a spotreby paliva nových \u357?a\u382?kých ú\u382?itkových vozidiel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279"/>
    <w:docVar w:name="LW_REF.INTERNE" w:val="&lt;UNUSED&gt;"/>
    <w:docVar w:name="LW_SUPERTITRE" w:val="&lt;UNUSED&gt;"/>
    <w:docVar w:name="LW_TITRE.OBJ.CP" w:val="&lt;UNUSED&gt;"/>
    <w:docVar w:name="LW_TYPE.DOC.CP" w:val="PRÍLOHY"/>
    <w:docVar w:name="LW_TYPEACTEPRINCIPAL.CP" w:val="nariadenia Európskeho parlamentu a Rady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sk-SK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customStyle="1" w:styleId="ManualHa">
    <w:name w:val="Manual Ha"/>
    <w:basedOn w:val="Normal"/>
    <w:pPr>
      <w:keepNext/>
      <w:tabs>
        <w:tab w:val="num" w:pos="850"/>
      </w:tabs>
      <w:spacing w:before="360"/>
      <w:ind w:left="850" w:hanging="850"/>
      <w:outlineLvl w:val="0"/>
    </w:pPr>
    <w:rPr>
      <w:rFonts w:eastAsiaTheme="majorEastAsia"/>
      <w:b/>
      <w:bCs/>
      <w:smallCaps/>
      <w:szCs w:val="28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sk-SK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sk-SK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customStyle="1" w:styleId="ManualHa">
    <w:name w:val="Manual Ha"/>
    <w:basedOn w:val="Normal"/>
    <w:pPr>
      <w:keepNext/>
      <w:tabs>
        <w:tab w:val="num" w:pos="850"/>
      </w:tabs>
      <w:spacing w:before="360"/>
      <w:ind w:left="850" w:hanging="850"/>
      <w:outlineLvl w:val="0"/>
    </w:pPr>
    <w:rPr>
      <w:rFonts w:eastAsiaTheme="majorEastAsia"/>
      <w:b/>
      <w:bCs/>
      <w:smallCaps/>
      <w:szCs w:val="28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sk-SK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EC-CO2-HDV-IMPLEMENTATION@ec.europa.e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mailto:CO2-monitoring@eea.europa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19CD82E-E8A5-44B7-B875-4D7F2C1F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7</Pages>
  <Words>1168</Words>
  <Characters>7047</Characters>
  <Application>Microsoft Office Word</Application>
  <DocSecurity>0</DocSecurity>
  <Lines>469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LINDVALL Susanna (CLIMA)</dc:creator>
  <cp:lastModifiedBy>DIGIT/A3</cp:lastModifiedBy>
  <cp:revision>8</cp:revision>
  <cp:lastPrinted>2017-05-22T11:29:00Z</cp:lastPrinted>
  <dcterms:created xsi:type="dcterms:W3CDTF">2017-06-02T13:34:00Z</dcterms:created>
  <dcterms:modified xsi:type="dcterms:W3CDTF">2017-06-07T11:18:00Z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