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15C" w:rsidRDefault="0043283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06380C54B4B4DF1B14A32D19AB55D40" style="width:450.75pt;height:307.5pt">
            <v:imagedata r:id="rId9" o:title=""/>
          </v:shape>
        </w:pict>
      </w:r>
    </w:p>
    <w:bookmarkEnd w:id="0"/>
    <w:p w:rsidR="0053415C" w:rsidRDefault="0053415C">
      <w:pPr>
        <w:rPr>
          <w:rFonts w:ascii="Times New Roman" w:hAnsi="Times New Roman" w:cs="Times New Roman"/>
          <w:noProof/>
          <w:sz w:val="24"/>
          <w:szCs w:val="24"/>
        </w:rPr>
        <w:sectPr w:rsidR="0053415C">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53415C" w:rsidRDefault="0043283A">
      <w:pPr>
        <w:pStyle w:val="ListParagraph"/>
        <w:numPr>
          <w:ilvl w:val="0"/>
          <w:numId w:val="1"/>
        </w:numPr>
        <w:rPr>
          <w:rFonts w:ascii="Times New Roman" w:hAnsi="Times New Roman" w:cs="Times New Roman"/>
          <w:b/>
          <w:bCs/>
          <w:noProof/>
          <w:sz w:val="24"/>
          <w:szCs w:val="24"/>
        </w:rPr>
      </w:pPr>
      <w:r>
        <w:rPr>
          <w:rFonts w:ascii="Times New Roman" w:hAnsi="Times New Roman"/>
          <w:b/>
          <w:noProof/>
          <w:sz w:val="24"/>
        </w:rPr>
        <w:lastRenderedPageBreak/>
        <w:t>ĮVADAS</w:t>
      </w:r>
    </w:p>
    <w:p w:rsidR="0053415C" w:rsidRDefault="0043283A">
      <w:pPr>
        <w:jc w:val="both"/>
        <w:rPr>
          <w:rFonts w:ascii="Times New Roman" w:hAnsi="Times New Roman" w:cs="Times New Roman"/>
          <w:noProof/>
          <w:sz w:val="24"/>
          <w:szCs w:val="24"/>
        </w:rPr>
      </w:pPr>
      <w:r>
        <w:rPr>
          <w:rFonts w:ascii="Times New Roman" w:hAnsi="Times New Roman"/>
          <w:noProof/>
          <w:sz w:val="24"/>
        </w:rPr>
        <w:t>Finansinių priemonių rinkų reglamentas (FPRR)</w:t>
      </w:r>
      <w:r>
        <w:rPr>
          <w:rStyle w:val="FootnoteReference"/>
          <w:rFonts w:ascii="Times New Roman" w:hAnsi="Times New Roman"/>
          <w:noProof/>
          <w:sz w:val="24"/>
        </w:rPr>
        <w:footnoteReference w:id="1"/>
      </w:r>
      <w:r>
        <w:rPr>
          <w:rFonts w:ascii="Times New Roman" w:hAnsi="Times New Roman"/>
          <w:noProof/>
          <w:sz w:val="24"/>
        </w:rPr>
        <w:t xml:space="preserve"> ir Finansinių priemonių rinkų direktyva (FPRD 2)</w:t>
      </w:r>
      <w:r>
        <w:rPr>
          <w:rStyle w:val="FootnoteReference"/>
          <w:rFonts w:ascii="Times New Roman" w:hAnsi="Times New Roman"/>
          <w:noProof/>
          <w:sz w:val="24"/>
        </w:rPr>
        <w:footnoteReference w:id="2"/>
      </w:r>
      <w:r>
        <w:rPr>
          <w:rFonts w:ascii="Times New Roman" w:hAnsi="Times New Roman"/>
          <w:noProof/>
          <w:sz w:val="24"/>
        </w:rPr>
        <w:t xml:space="preserve"> Oficialiajame leidinyje buvo paskelbti 2014 m. birželio 12 d., įsigaliojo 2014 m. liepos 2 d. ir bus taikomi nuo 2018 m. sausio 3 d.</w:t>
      </w:r>
    </w:p>
    <w:p w:rsidR="0053415C" w:rsidRDefault="0043283A">
      <w:pPr>
        <w:jc w:val="both"/>
        <w:rPr>
          <w:rFonts w:ascii="Times New Roman" w:hAnsi="Times New Roman" w:cs="Times New Roman"/>
          <w:noProof/>
          <w:sz w:val="24"/>
          <w:szCs w:val="24"/>
        </w:rPr>
      </w:pPr>
      <w:r>
        <w:rPr>
          <w:rFonts w:ascii="Times New Roman" w:hAnsi="Times New Roman"/>
          <w:noProof/>
          <w:sz w:val="24"/>
        </w:rPr>
        <w:t>FPRD 2 ir FPRR nustatoma rinkos struktūra, kuria siekiama užtikrinti, ka</w:t>
      </w:r>
      <w:r>
        <w:rPr>
          <w:rFonts w:ascii="Times New Roman" w:hAnsi="Times New Roman"/>
          <w:noProof/>
          <w:sz w:val="24"/>
        </w:rPr>
        <w:t>d prekyba, kai tinkama, vyktų reguliuojamose platformose ir kad prekyba būtų skaidri, siekiant užtikrinti veiksmingą ir sąžiningą kainodarą.</w:t>
      </w:r>
    </w:p>
    <w:p w:rsidR="0053415C" w:rsidRDefault="0043283A">
      <w:pPr>
        <w:jc w:val="both"/>
        <w:rPr>
          <w:rFonts w:ascii="Times New Roman" w:hAnsi="Times New Roman" w:cs="Times New Roman"/>
          <w:noProof/>
          <w:sz w:val="24"/>
          <w:szCs w:val="24"/>
        </w:rPr>
      </w:pPr>
      <w:r>
        <w:rPr>
          <w:rFonts w:ascii="Times New Roman" w:hAnsi="Times New Roman"/>
          <w:noProof/>
          <w:sz w:val="24"/>
        </w:rPr>
        <w:t>Šiuo atžvilgiu pagal FPRR suteikiama išimtis: ne nuosavo kapitalo finansinėms priemonėms skirti skaidrumo reikalavi</w:t>
      </w:r>
      <w:r>
        <w:rPr>
          <w:rFonts w:ascii="Times New Roman" w:hAnsi="Times New Roman"/>
          <w:noProof/>
          <w:sz w:val="24"/>
        </w:rPr>
        <w:t>mai iki ir po sandorio sudarymo netaikomi reguliuojamoms rinkoms, rinkos operatoriams ir investicinėms įmonėms, kai vykdomas sandoris, kurio šalis yra Europos centrinių bankų sistemos (ECBS) narys, ir kai tas sandoris sudaromas įgyvendinant pinigų, užsieni</w:t>
      </w:r>
      <w:r>
        <w:rPr>
          <w:rFonts w:ascii="Times New Roman" w:hAnsi="Times New Roman"/>
          <w:noProof/>
          <w:sz w:val="24"/>
        </w:rPr>
        <w:t>o valiutos ir finansinio stabilumo politiką, kurią vykdyti tas ECBS narys yra teisiškai įgaliotas, ir kai tas narys kitai sandorio šaliai iš anksto pranešė, jog tam sandoriui taikoma išimtis. Be to, pagal FPRR Komisijai suteikiami įgaliojimai išplėsti šios</w:t>
      </w:r>
      <w:r>
        <w:rPr>
          <w:rFonts w:ascii="Times New Roman" w:hAnsi="Times New Roman"/>
          <w:noProof/>
          <w:sz w:val="24"/>
        </w:rPr>
        <w:t xml:space="preserve"> išimties taikymo sritį ir ją taikyti trečiųjų valstybių centriniams bankams, jeigu įvykdomos būtinos sąlygos. </w:t>
      </w:r>
    </w:p>
    <w:p w:rsidR="0053415C" w:rsidRDefault="0043283A">
      <w:pPr>
        <w:jc w:val="both"/>
        <w:rPr>
          <w:rFonts w:ascii="Times New Roman" w:hAnsi="Times New Roman" w:cs="Times New Roman"/>
          <w:noProof/>
          <w:sz w:val="24"/>
          <w:szCs w:val="24"/>
        </w:rPr>
      </w:pPr>
      <w:r>
        <w:rPr>
          <w:rFonts w:ascii="Times New Roman" w:hAnsi="Times New Roman"/>
          <w:noProof/>
          <w:sz w:val="24"/>
        </w:rPr>
        <w:t>Šiam tikslui pasiekti Europos Komisija užsakė išorinį tyrimą „Išimtys, taikomos trečiųjų valstybių centriniams bankams ir kitiems subjektams pag</w:t>
      </w:r>
      <w:r>
        <w:rPr>
          <w:rFonts w:ascii="Times New Roman" w:hAnsi="Times New Roman"/>
          <w:noProof/>
          <w:sz w:val="24"/>
        </w:rPr>
        <w:t>al Piktnaudžiavimo rinka reglamentą ir Finansinių priemonių rinkų reglamentą“ (toliau – tyrimas), kurį atliko Europos politikos studijų centras (angl. CEPS) ir Bolonijos universitetas. Tyrimas grindžiamas apklausa ir tiriamuoju darbu, jame taip pat išanali</w:t>
      </w:r>
      <w:r>
        <w:rPr>
          <w:rFonts w:ascii="Times New Roman" w:hAnsi="Times New Roman"/>
          <w:noProof/>
          <w:sz w:val="24"/>
        </w:rPr>
        <w:t>zuotos skaidrumo taisyklės iki ir po sandorio sudarymo, kurios taikomos trečiųjų valstybių centriniams bankams, kai jie prekiauja vertybiniais popieriais ir tik kai tie centriniai bankai vertybiniais popieriais prekiauja Sąjungoje.</w:t>
      </w:r>
    </w:p>
    <w:p w:rsidR="0053415C" w:rsidRDefault="0043283A">
      <w:pPr>
        <w:pStyle w:val="ListParagraph"/>
        <w:numPr>
          <w:ilvl w:val="0"/>
          <w:numId w:val="1"/>
        </w:numPr>
        <w:rPr>
          <w:rFonts w:ascii="Times New Roman" w:hAnsi="Times New Roman" w:cs="Times New Roman"/>
          <w:b/>
          <w:bCs/>
          <w:noProof/>
          <w:sz w:val="24"/>
          <w:szCs w:val="24"/>
        </w:rPr>
      </w:pPr>
      <w:r>
        <w:rPr>
          <w:rFonts w:ascii="Times New Roman" w:hAnsi="Times New Roman"/>
          <w:b/>
          <w:noProof/>
          <w:sz w:val="24"/>
        </w:rPr>
        <w:t>ATASKAITOS TEISINIS PAGR</w:t>
      </w:r>
      <w:r>
        <w:rPr>
          <w:rFonts w:ascii="Times New Roman" w:hAnsi="Times New Roman"/>
          <w:b/>
          <w:noProof/>
          <w:sz w:val="24"/>
        </w:rPr>
        <w:t>INDAS. FPRR 1 STRAIPSNIO 9 DALIS</w:t>
      </w:r>
    </w:p>
    <w:p w:rsidR="0053415C" w:rsidRDefault="0043283A">
      <w:pPr>
        <w:jc w:val="both"/>
        <w:rPr>
          <w:rFonts w:ascii="Times New Roman" w:hAnsi="Times New Roman" w:cs="Times New Roman"/>
          <w:noProof/>
          <w:sz w:val="24"/>
          <w:szCs w:val="24"/>
        </w:rPr>
      </w:pPr>
      <w:r>
        <w:rPr>
          <w:rFonts w:ascii="Times New Roman" w:hAnsi="Times New Roman"/>
          <w:noProof/>
          <w:sz w:val="24"/>
        </w:rPr>
        <w:t>FPRR 1 straipsnio 6 dalyje numatyta išimtis, pagal kurią skaidrumo taisyklės iki ir po sandorio sudarymo netaikomos sandoriams, kurių šalis yra Europos centrinių bankų sistemos (ECBS) narys, kai tas sandoris sudaromas įgyve</w:t>
      </w:r>
      <w:r>
        <w:rPr>
          <w:rFonts w:ascii="Times New Roman" w:hAnsi="Times New Roman"/>
          <w:noProof/>
          <w:sz w:val="24"/>
        </w:rPr>
        <w:t>ndinant pinigų, užsienio valiutos ir finansinio stabilumo politiką, kurią vykdyti tas ECBS narys yra teisiškai įgaliotas, ir kai tas narys kitai sandorio šaliai iš anksto pranešė, jog tam sandoriui taikoma išimtis.</w:t>
      </w:r>
    </w:p>
    <w:p w:rsidR="0053415C" w:rsidRDefault="0043283A">
      <w:pPr>
        <w:jc w:val="both"/>
        <w:rPr>
          <w:rFonts w:ascii="Times New Roman" w:hAnsi="Times New Roman" w:cs="Times New Roman"/>
          <w:i/>
          <w:noProof/>
          <w:sz w:val="24"/>
          <w:szCs w:val="24"/>
        </w:rPr>
      </w:pPr>
      <w:r>
        <w:rPr>
          <w:rFonts w:ascii="Times New Roman" w:hAnsi="Times New Roman"/>
          <w:noProof/>
          <w:sz w:val="24"/>
        </w:rPr>
        <w:t>Be to, pagal FPRR 1 straipsnio 9 dalį Kom</w:t>
      </w:r>
      <w:r>
        <w:rPr>
          <w:rFonts w:ascii="Times New Roman" w:hAnsi="Times New Roman"/>
          <w:noProof/>
          <w:sz w:val="24"/>
        </w:rPr>
        <w:t xml:space="preserve">isijai suteikiami įgaliojimai: </w:t>
      </w:r>
      <w:r>
        <w:rPr>
          <w:rFonts w:ascii="Times New Roman" w:hAnsi="Times New Roman"/>
          <w:i/>
          <w:noProof/>
          <w:sz w:val="24"/>
        </w:rPr>
        <w:t>„pagal 50 straipsnį priimti deleguotuosius aktus, pagal kuriuos 6 dalis būtų taikoma ir kitiems centriniams bankams.</w:t>
      </w:r>
    </w:p>
    <w:p w:rsidR="0053415C" w:rsidRDefault="0043283A">
      <w:pPr>
        <w:jc w:val="both"/>
        <w:rPr>
          <w:rFonts w:ascii="Times New Roman" w:hAnsi="Times New Roman" w:cs="Times New Roman"/>
          <w:i/>
          <w:noProof/>
          <w:sz w:val="24"/>
          <w:szCs w:val="24"/>
        </w:rPr>
      </w:pPr>
      <w:r>
        <w:rPr>
          <w:rFonts w:ascii="Times New Roman" w:hAnsi="Times New Roman"/>
          <w:i/>
          <w:noProof/>
          <w:sz w:val="24"/>
        </w:rPr>
        <w:t xml:space="preserve">Tuo tikslu Komisija ne vėliau kaip 2015 m. birželio 1 d. pateikia Europos Parlamentui ir Tarybai ataskaitą, </w:t>
      </w:r>
      <w:r>
        <w:rPr>
          <w:rFonts w:ascii="Times New Roman" w:hAnsi="Times New Roman"/>
          <w:i/>
          <w:noProof/>
          <w:sz w:val="24"/>
        </w:rPr>
        <w:t xml:space="preserve">kurioje įvertina trečiųjų valstybių centrinių bankų, šios dalies taikymo tikslais įskaitant ir Tarptautinių atsiskaitymų banką, sandoriams taikytiną tvarką. Į ataskaitą </w:t>
      </w:r>
      <w:r>
        <w:rPr>
          <w:rFonts w:ascii="Times New Roman" w:hAnsi="Times New Roman"/>
          <w:i/>
          <w:noProof/>
          <w:sz w:val="24"/>
        </w:rPr>
        <w:lastRenderedPageBreak/>
        <w:t xml:space="preserve">įtraukiama jų įstatymais numatytų užduočių ir prekybos apimčių Sąjungoje analizė. Toje </w:t>
      </w:r>
      <w:r>
        <w:rPr>
          <w:rFonts w:ascii="Times New Roman" w:hAnsi="Times New Roman"/>
          <w:i/>
          <w:noProof/>
          <w:sz w:val="24"/>
        </w:rPr>
        <w:t xml:space="preserve">ataskaitoje: </w:t>
      </w:r>
    </w:p>
    <w:p w:rsidR="0053415C" w:rsidRDefault="0043283A">
      <w:pPr>
        <w:jc w:val="both"/>
        <w:rPr>
          <w:rFonts w:ascii="Times New Roman" w:hAnsi="Times New Roman" w:cs="Times New Roman"/>
          <w:i/>
          <w:noProof/>
          <w:sz w:val="24"/>
          <w:szCs w:val="24"/>
        </w:rPr>
      </w:pPr>
      <w:r>
        <w:rPr>
          <w:rFonts w:ascii="Times New Roman" w:hAnsi="Times New Roman"/>
          <w:i/>
          <w:noProof/>
          <w:sz w:val="24"/>
        </w:rPr>
        <w:t xml:space="preserve">a) nurodomos atitinkamose trečiosiose valstybėse taikomos nuostatos, susijusios su centrinių bankų vykdomų sandorių reguliuojamu atskleidimu, įskaitant sandorius, kuriuos tose trečiosiose valstybėse įvykdė ECBS nariai; ir </w:t>
      </w:r>
    </w:p>
    <w:p w:rsidR="0053415C" w:rsidRDefault="0043283A">
      <w:pPr>
        <w:jc w:val="both"/>
        <w:rPr>
          <w:rFonts w:ascii="Times New Roman" w:hAnsi="Times New Roman" w:cs="Times New Roman"/>
          <w:i/>
          <w:noProof/>
          <w:sz w:val="24"/>
          <w:szCs w:val="24"/>
        </w:rPr>
      </w:pPr>
      <w:r>
        <w:rPr>
          <w:rFonts w:ascii="Times New Roman" w:hAnsi="Times New Roman"/>
          <w:i/>
          <w:noProof/>
          <w:sz w:val="24"/>
        </w:rPr>
        <w:t xml:space="preserve">b) įvertinamas galimas poveikis, kurį reguliuojamo atskleidimo reikalavimai Sąjungoje gali turėti trečiųjų valstybių centrinių bankų sandoriams. </w:t>
      </w:r>
    </w:p>
    <w:p w:rsidR="0053415C" w:rsidRDefault="0043283A">
      <w:pPr>
        <w:jc w:val="both"/>
        <w:rPr>
          <w:rFonts w:ascii="Times New Roman" w:hAnsi="Times New Roman" w:cs="Times New Roman"/>
          <w:i/>
          <w:noProof/>
          <w:sz w:val="24"/>
          <w:szCs w:val="24"/>
        </w:rPr>
      </w:pPr>
      <w:r>
        <w:rPr>
          <w:rFonts w:ascii="Times New Roman" w:hAnsi="Times New Roman"/>
          <w:i/>
          <w:noProof/>
          <w:sz w:val="24"/>
        </w:rPr>
        <w:t xml:space="preserve">Jei ataskaitoje padaroma išvada, kad 6 dalyje numatytą išimtį būtina taikyti sandoriams, kurių sandorio šalis </w:t>
      </w:r>
      <w:r>
        <w:rPr>
          <w:rFonts w:ascii="Times New Roman" w:hAnsi="Times New Roman"/>
          <w:i/>
          <w:noProof/>
          <w:sz w:val="24"/>
        </w:rPr>
        <w:t>yra trečiosios valstybės centrinis bankas, vykdantis pinigų politikos, užsienio valiutos ir finansinio stabilumo operacijas, Komisija numato, kad ta išimtis taikoma tos trečiosios valstybės centriniam bankui.“</w:t>
      </w:r>
    </w:p>
    <w:p w:rsidR="0053415C" w:rsidRDefault="0043283A">
      <w:pPr>
        <w:pStyle w:val="ListParagraph"/>
        <w:numPr>
          <w:ilvl w:val="0"/>
          <w:numId w:val="1"/>
        </w:numPr>
        <w:rPr>
          <w:rFonts w:ascii="Times New Roman" w:hAnsi="Times New Roman" w:cs="Times New Roman"/>
          <w:b/>
          <w:bCs/>
          <w:noProof/>
          <w:sz w:val="24"/>
          <w:szCs w:val="24"/>
        </w:rPr>
      </w:pPr>
      <w:r>
        <w:rPr>
          <w:rFonts w:ascii="Times New Roman" w:hAnsi="Times New Roman"/>
          <w:b/>
          <w:noProof/>
          <w:sz w:val="24"/>
        </w:rPr>
        <w:t>NAGRINĖTOS JURISDIKCIJOS</w:t>
      </w:r>
    </w:p>
    <w:p w:rsidR="0053415C" w:rsidRDefault="0043283A">
      <w:pPr>
        <w:jc w:val="both"/>
        <w:rPr>
          <w:rFonts w:ascii="Times New Roman" w:hAnsi="Times New Roman" w:cs="Times New Roman"/>
          <w:noProof/>
          <w:sz w:val="24"/>
          <w:szCs w:val="24"/>
        </w:rPr>
      </w:pPr>
      <w:r>
        <w:rPr>
          <w:rFonts w:ascii="Times New Roman" w:hAnsi="Times New Roman"/>
          <w:noProof/>
          <w:sz w:val="24"/>
        </w:rPr>
        <w:t>Ataskaitoje nagrinėto</w:t>
      </w:r>
      <w:r>
        <w:rPr>
          <w:rFonts w:ascii="Times New Roman" w:hAnsi="Times New Roman"/>
          <w:noProof/>
          <w:sz w:val="24"/>
        </w:rPr>
        <w:t xml:space="preserve">s šios valstybės: Australija, Brazilija, YAR Honkongas, Indija, Japonija, Jungtinės Amerikos Valstijos, Kanada, Korėjos Respublika, Meksika, Singapūras, Šveicarija bei Turkija, taip pat Tarptautinių atsiskaitymų bankas (TAB), kuris pagal FPRR 1 straipsnio </w:t>
      </w:r>
      <w:r>
        <w:rPr>
          <w:rFonts w:ascii="Times New Roman" w:hAnsi="Times New Roman"/>
          <w:noProof/>
          <w:sz w:val="24"/>
        </w:rPr>
        <w:t xml:space="preserve">9 dalį, ją taikant, laikytinas trečiosios valstybės centriniu banku. Atliekant vertinimą ateityje šis sąrašas gali būti keičiamas ir iš jo atitinkamos valstybės gali būti išbrauktos. </w:t>
      </w:r>
    </w:p>
    <w:p w:rsidR="0053415C" w:rsidRDefault="0043283A">
      <w:pPr>
        <w:jc w:val="both"/>
        <w:rPr>
          <w:rFonts w:ascii="Times New Roman" w:hAnsi="Times New Roman" w:cs="Times New Roman"/>
          <w:noProof/>
          <w:sz w:val="24"/>
          <w:szCs w:val="24"/>
        </w:rPr>
      </w:pPr>
      <w:r>
        <w:rPr>
          <w:rFonts w:ascii="Times New Roman" w:hAnsi="Times New Roman"/>
          <w:noProof/>
          <w:sz w:val="24"/>
        </w:rPr>
        <w:t>Svarbūs jurisdikcijų vertinimo kriterijai turėtų būti grindžiami ekonomi</w:t>
      </w:r>
      <w:r>
        <w:rPr>
          <w:rFonts w:ascii="Times New Roman" w:hAnsi="Times New Roman"/>
          <w:noProof/>
          <w:sz w:val="24"/>
        </w:rPr>
        <w:t xml:space="preserve">niais rodikliais, valstybių finansų sektoriaus dydžiu ir tarpusavio ryšiais su Sąjungos finansų sektoriumi, taip pat teisinės aplinkos, kuri yra trečiosios valstybės jurisdikcijoje, patikimumu. </w:t>
      </w:r>
    </w:p>
    <w:p w:rsidR="0053415C" w:rsidRDefault="0043283A">
      <w:pPr>
        <w:jc w:val="both"/>
        <w:rPr>
          <w:rFonts w:ascii="Times New Roman" w:hAnsi="Times New Roman"/>
          <w:noProof/>
          <w:sz w:val="24"/>
        </w:rPr>
      </w:pPr>
      <w:r>
        <w:rPr>
          <w:rFonts w:ascii="Times New Roman" w:hAnsi="Times New Roman"/>
          <w:noProof/>
          <w:sz w:val="24"/>
        </w:rPr>
        <w:t>Visų pirma dėl dydžio ir tarpusavio ryšių Komisija naudojo TV</w:t>
      </w:r>
      <w:r>
        <w:rPr>
          <w:rFonts w:ascii="Times New Roman" w:hAnsi="Times New Roman"/>
          <w:noProof/>
          <w:sz w:val="24"/>
        </w:rPr>
        <w:t>F paskelbtą sąrašą, kuriame nurodytos jurisdikcijos, esančios didžiausios sisteminės svarbos finansų įstaigų, kurioms privaloma TVF finansų sektoriaus vertinimo programa (angl. FSAP), buveinė. TVF metodika apima kiekvienos valstybės finansų sektoriaus dydį</w:t>
      </w:r>
      <w:r>
        <w:rPr>
          <w:rFonts w:ascii="Times New Roman" w:hAnsi="Times New Roman"/>
          <w:noProof/>
          <w:sz w:val="24"/>
        </w:rPr>
        <w:t xml:space="preserve"> ir tarpusavio ryšius, taigi atsižvelgiama į finansų rinkų aspektą. TVF vertinimu, šiai valstybių grupei tenka beveik 90 % pasaulio finansų sistemos ir 80 % pasaulio ekonominės veiklos ir ją sudaro dauguma G 20 valstybių ir Finansinio stabilumo tarybos (FS</w:t>
      </w:r>
      <w:r>
        <w:rPr>
          <w:rFonts w:ascii="Times New Roman" w:hAnsi="Times New Roman"/>
          <w:noProof/>
          <w:sz w:val="24"/>
        </w:rPr>
        <w:t>T) narių. ES valstybėse narėse buveinę turinčios įstaigos į šį tyrimą neįtrauktos. Be to, atitinkamų jurisdikcijų atrankai svarbūs du papildomi kriterijai: kad atitiktų 1 straipsnio 9 dalyje nustatytus vertinimo dėl išimties suteikimo reikalavimus, jurisdi</w:t>
      </w:r>
      <w:r>
        <w:rPr>
          <w:rFonts w:ascii="Times New Roman" w:hAnsi="Times New Roman"/>
          <w:noProof/>
          <w:sz w:val="24"/>
        </w:rPr>
        <w:t>kcija neturi būti įtraukta į Finansinių veiksmų darbo grupės (angl. FATF) sudarytą nebendradarbiaujančių jurisdikcijų sąrašą ir jurisdikcijos turi būti pasirašiusios Tarptautinės vertybinių popierių komisijų organizacijos (angl. IOSCO) daugiašalį susitarim</w:t>
      </w:r>
      <w:r>
        <w:rPr>
          <w:rFonts w:ascii="Times New Roman" w:hAnsi="Times New Roman"/>
          <w:noProof/>
          <w:sz w:val="24"/>
        </w:rPr>
        <w:t>o memorandumą.</w:t>
      </w:r>
    </w:p>
    <w:p w:rsidR="0053415C" w:rsidRDefault="0053415C">
      <w:pPr>
        <w:jc w:val="both"/>
        <w:rPr>
          <w:rFonts w:ascii="Times New Roman" w:hAnsi="Times New Roman" w:cs="Times New Roman"/>
          <w:noProof/>
          <w:sz w:val="24"/>
          <w:szCs w:val="24"/>
        </w:rPr>
      </w:pPr>
    </w:p>
    <w:p w:rsidR="0053415C" w:rsidRDefault="0043283A">
      <w:pPr>
        <w:pStyle w:val="ListParagraph"/>
        <w:keepNext/>
        <w:numPr>
          <w:ilvl w:val="0"/>
          <w:numId w:val="1"/>
        </w:numPr>
        <w:ind w:left="714" w:hanging="357"/>
        <w:rPr>
          <w:rFonts w:ascii="Times New Roman" w:hAnsi="Times New Roman" w:cs="Times New Roman"/>
          <w:b/>
          <w:bCs/>
          <w:noProof/>
          <w:sz w:val="24"/>
          <w:szCs w:val="24"/>
        </w:rPr>
      </w:pPr>
      <w:r>
        <w:rPr>
          <w:rFonts w:ascii="Times New Roman" w:hAnsi="Times New Roman"/>
          <w:b/>
          <w:noProof/>
          <w:sz w:val="24"/>
        </w:rPr>
        <w:t>ATSKIRŲ JURISDIKCIJŲ ANALIZĖ</w:t>
      </w:r>
    </w:p>
    <w:p w:rsidR="0053415C" w:rsidRDefault="0043283A">
      <w:pPr>
        <w:keepNext/>
        <w:spacing w:before="60"/>
        <w:jc w:val="both"/>
        <w:rPr>
          <w:rFonts w:ascii="Times New Roman" w:hAnsi="Times New Roman" w:cs="Times New Roman"/>
          <w:noProof/>
          <w:sz w:val="24"/>
          <w:szCs w:val="24"/>
        </w:rPr>
      </w:pPr>
      <w:r>
        <w:rPr>
          <w:rFonts w:ascii="Times New Roman" w:hAnsi="Times New Roman"/>
          <w:noProof/>
          <w:sz w:val="24"/>
        </w:rPr>
        <w:t xml:space="preserve">Nustatytų jurisdikcijų analizei pagal FPRR 1 straipsnio 9 dalį suteiktas įgaliojimas grindžiamas dviem pagrindiniais kriterijais, kurie buvo svarbūs Komisijos vertinime: </w:t>
      </w:r>
    </w:p>
    <w:p w:rsidR="0053415C" w:rsidRDefault="0043283A">
      <w:pPr>
        <w:pStyle w:val="ListParagraph"/>
        <w:numPr>
          <w:ilvl w:val="1"/>
          <w:numId w:val="1"/>
        </w:numPr>
        <w:spacing w:before="60"/>
        <w:jc w:val="both"/>
        <w:rPr>
          <w:rFonts w:ascii="Times New Roman" w:hAnsi="Times New Roman" w:cs="Times New Roman"/>
          <w:noProof/>
          <w:sz w:val="24"/>
          <w:szCs w:val="24"/>
        </w:rPr>
      </w:pPr>
      <w:r>
        <w:rPr>
          <w:rFonts w:ascii="Times New Roman" w:hAnsi="Times New Roman"/>
          <w:noProof/>
          <w:sz w:val="24"/>
        </w:rPr>
        <w:t>centrinių bankų vykdomų sandorių reguliu</w:t>
      </w:r>
      <w:r>
        <w:rPr>
          <w:rFonts w:ascii="Times New Roman" w:hAnsi="Times New Roman"/>
          <w:noProof/>
          <w:sz w:val="24"/>
        </w:rPr>
        <w:t>ojamo atskleidimo taisyklės: rinkos skaidrumo tvarka, taikoma centrinio banko sandoriams (rinkos skaidrumas) ir (arba) centrinio banko veiklos sistemos skaidrumas (veikos skaidrumas), ir</w:t>
      </w:r>
    </w:p>
    <w:p w:rsidR="0053415C" w:rsidRDefault="0043283A">
      <w:pPr>
        <w:pStyle w:val="ListParagraph"/>
        <w:numPr>
          <w:ilvl w:val="1"/>
          <w:numId w:val="1"/>
        </w:numPr>
        <w:spacing w:before="60"/>
        <w:jc w:val="both"/>
        <w:rPr>
          <w:rFonts w:ascii="Times New Roman" w:hAnsi="Times New Roman" w:cs="Times New Roman"/>
          <w:noProof/>
          <w:sz w:val="24"/>
          <w:szCs w:val="24"/>
        </w:rPr>
      </w:pPr>
      <w:r>
        <w:rPr>
          <w:rFonts w:ascii="Times New Roman" w:hAnsi="Times New Roman"/>
          <w:noProof/>
          <w:sz w:val="24"/>
        </w:rPr>
        <w:t xml:space="preserve">būtinybė taikyti išimtį: sandorių, kuriuos centrinis bankas vykdė su </w:t>
      </w:r>
      <w:r>
        <w:rPr>
          <w:rFonts w:ascii="Times New Roman" w:hAnsi="Times New Roman"/>
          <w:noProof/>
          <w:sz w:val="24"/>
        </w:rPr>
        <w:t xml:space="preserve">ES sandorių šalimis arba į ES biržų sąrašus įtrauktomis finansinėmis priemonėmis, apimtis. </w:t>
      </w:r>
    </w:p>
    <w:p w:rsidR="0053415C" w:rsidRDefault="0043283A">
      <w:pPr>
        <w:spacing w:before="60"/>
        <w:jc w:val="both"/>
        <w:rPr>
          <w:rFonts w:ascii="Times New Roman" w:hAnsi="Times New Roman" w:cs="Times New Roman"/>
          <w:noProof/>
          <w:sz w:val="24"/>
          <w:szCs w:val="24"/>
        </w:rPr>
      </w:pPr>
      <w:r>
        <w:rPr>
          <w:rFonts w:ascii="Times New Roman" w:hAnsi="Times New Roman"/>
          <w:noProof/>
          <w:sz w:val="24"/>
        </w:rPr>
        <w:t>Kad būtų galima atlikti vertinimą, šių dviejų kriterijų laikymasis laikytas privalomu, nes jie atspindi FPRR 1 straipsnio 9 dalyje nustatytus veiksnius. Taigi rinko</w:t>
      </w:r>
      <w:r>
        <w:rPr>
          <w:rFonts w:ascii="Times New Roman" w:hAnsi="Times New Roman"/>
          <w:noProof/>
          <w:sz w:val="24"/>
        </w:rPr>
        <w:t>s skaidrumas susijęs su atskirų vertybinių popierių sandorio skaidrumu, o veiklos skaidrumas reiškia platesnio masto skaidrumo taisykles, kurios taikomos centrinio banko operacijoms. Todėl, atsižvelgiant į FPRR tikslus ir taikymo sritį, kad būtų galima įve</w:t>
      </w:r>
      <w:r>
        <w:rPr>
          <w:rFonts w:ascii="Times New Roman" w:hAnsi="Times New Roman"/>
          <w:noProof/>
          <w:sz w:val="24"/>
        </w:rPr>
        <w:t>rtinti išimties trečiųjų valstybių centriniams bankams suteikimo pagal FPRR 1 straipsnio 9 dalies a punktą tikslingumą, buvo būtina išanalizuoti reguliavimo reikalavimus, susijusius su sandorių rinkos skaidrumu ir skaidrumu dėl veiklos sistemos. Be to, sva</w:t>
      </w:r>
      <w:r>
        <w:rPr>
          <w:rFonts w:ascii="Times New Roman" w:hAnsi="Times New Roman"/>
          <w:noProof/>
          <w:sz w:val="24"/>
        </w:rPr>
        <w:t xml:space="preserve">rbi sandorių tarp atitinkamo trečiosios valstybės centrinio banko ir ES apimtis, nes ji parodo galimą poveikį, kurį Sąjungos reguliuojamo atskleidimo reikalavimai gali turėti trečiosios valstybės centrinio banko sandoriams pagal FPRR 1 straipsnio 9 dalies </w:t>
      </w:r>
      <w:r>
        <w:rPr>
          <w:rFonts w:ascii="Times New Roman" w:hAnsi="Times New Roman"/>
          <w:noProof/>
          <w:sz w:val="24"/>
        </w:rPr>
        <w:t>b punktą.</w:t>
      </w:r>
    </w:p>
    <w:p w:rsidR="0053415C" w:rsidRDefault="0043283A">
      <w:pPr>
        <w:spacing w:before="60"/>
        <w:jc w:val="both"/>
        <w:rPr>
          <w:rFonts w:ascii="Times New Roman" w:hAnsi="Times New Roman" w:cs="Times New Roman"/>
          <w:noProof/>
          <w:sz w:val="24"/>
          <w:szCs w:val="24"/>
        </w:rPr>
      </w:pPr>
      <w:r>
        <w:rPr>
          <w:rFonts w:ascii="Times New Roman" w:hAnsi="Times New Roman"/>
          <w:noProof/>
          <w:sz w:val="24"/>
        </w:rPr>
        <w:t xml:space="preserve">Atsižvelgiant į FPRR reikalavimus ir tikslus, dar reikėjo atsižvelgti į šiuos kriterijus: </w:t>
      </w:r>
    </w:p>
    <w:p w:rsidR="0053415C" w:rsidRDefault="0043283A">
      <w:pPr>
        <w:spacing w:before="60"/>
        <w:ind w:left="1276" w:hanging="283"/>
        <w:jc w:val="both"/>
        <w:rPr>
          <w:rFonts w:ascii="Times New Roman" w:hAnsi="Times New Roman" w:cs="Times New Roman"/>
          <w:noProof/>
          <w:sz w:val="24"/>
          <w:szCs w:val="24"/>
        </w:rPr>
      </w:pPr>
      <w:r>
        <w:rPr>
          <w:rFonts w:ascii="Times New Roman" w:hAnsi="Times New Roman"/>
          <w:noProof/>
          <w:sz w:val="24"/>
        </w:rPr>
        <w:t>i) pranešimo procedūros, kuria remdamasis trečiosios valstybės centrinis bankas praneša savo ES sandorio šaliai, kad sandoriui taikoma išimtis, egzistavimą</w:t>
      </w:r>
      <w:r>
        <w:rPr>
          <w:rFonts w:ascii="Times New Roman" w:hAnsi="Times New Roman"/>
          <w:noProof/>
          <w:sz w:val="24"/>
        </w:rPr>
        <w:t xml:space="preserve">; </w:t>
      </w:r>
    </w:p>
    <w:p w:rsidR="0053415C" w:rsidRDefault="0043283A">
      <w:pPr>
        <w:spacing w:before="60"/>
        <w:ind w:left="1276" w:hanging="283"/>
        <w:jc w:val="both"/>
        <w:rPr>
          <w:rFonts w:ascii="Times New Roman" w:hAnsi="Times New Roman" w:cs="Times New Roman"/>
          <w:noProof/>
          <w:sz w:val="24"/>
          <w:szCs w:val="24"/>
        </w:rPr>
      </w:pPr>
      <w:r>
        <w:rPr>
          <w:rFonts w:ascii="Times New Roman" w:hAnsi="Times New Roman"/>
          <w:noProof/>
          <w:sz w:val="24"/>
        </w:rPr>
        <w:t xml:space="preserve">ii) trečiosios valstybės centrinio banko gebėjimą atskirti sandorius pagrindiniais politikos tikslais, kaip nustatyta pagal FPRR, ir sandorius vien tik investavimo tikslais ir </w:t>
      </w:r>
    </w:p>
    <w:p w:rsidR="0053415C" w:rsidRDefault="0043283A">
      <w:pPr>
        <w:spacing w:before="60"/>
        <w:ind w:left="1276" w:hanging="283"/>
        <w:jc w:val="both"/>
        <w:rPr>
          <w:rFonts w:ascii="Times New Roman" w:hAnsi="Times New Roman" w:cs="Times New Roman"/>
          <w:noProof/>
          <w:sz w:val="24"/>
          <w:szCs w:val="24"/>
        </w:rPr>
      </w:pPr>
      <w:r>
        <w:rPr>
          <w:rFonts w:ascii="Times New Roman" w:hAnsi="Times New Roman"/>
          <w:noProof/>
          <w:sz w:val="24"/>
        </w:rPr>
        <w:t>iii) panašių išimčių, taikytinų trečiųjų valstybių centriniams bankams, egzi</w:t>
      </w:r>
      <w:r>
        <w:rPr>
          <w:rFonts w:ascii="Times New Roman" w:hAnsi="Times New Roman"/>
          <w:noProof/>
          <w:sz w:val="24"/>
        </w:rPr>
        <w:t>stavimą tiriamoje jurisdikcijoje.</w:t>
      </w:r>
    </w:p>
    <w:p w:rsidR="0053415C" w:rsidRDefault="0043283A">
      <w:pPr>
        <w:spacing w:before="60"/>
        <w:jc w:val="both"/>
        <w:rPr>
          <w:rFonts w:ascii="Times New Roman" w:hAnsi="Times New Roman" w:cs="Times New Roman"/>
          <w:noProof/>
          <w:sz w:val="24"/>
          <w:szCs w:val="24"/>
        </w:rPr>
      </w:pPr>
      <w:r>
        <w:rPr>
          <w:rFonts w:ascii="Times New Roman" w:hAnsi="Times New Roman"/>
          <w:noProof/>
          <w:sz w:val="24"/>
        </w:rPr>
        <w:t>Pirmiau minėti kriterijai buvo vertinami atsižvelgiant į FPRR reikalavimus ir tikslus. Visų pirma pagal FPRR išimtys pagal FPRR 1 straipsnio 6 dalį negali būti suteikiamos centriniams bankams, kai jie vykdo operacijas vien</w:t>
      </w:r>
      <w:r>
        <w:rPr>
          <w:rFonts w:ascii="Times New Roman" w:hAnsi="Times New Roman"/>
          <w:noProof/>
          <w:sz w:val="24"/>
        </w:rPr>
        <w:t xml:space="preserve"> tik investavimo tikslais. Todėl šiame tyrime nagrinėta, ar trečiųjų valstybių centriniai bankai skiria sandorius, vykdomus reguliavimo ir investavimo tikslais. Be to, tyrime analizuota, ar trečiųjų valstybių centriniai bankai turi pranešimo apie sandorius</w:t>
      </w:r>
      <w:r>
        <w:rPr>
          <w:rFonts w:ascii="Times New Roman" w:hAnsi="Times New Roman"/>
          <w:noProof/>
          <w:sz w:val="24"/>
        </w:rPr>
        <w:t>, kuriems taikoma išimtis, procedūrą, ar jie bent jau svarsto tokią procedūrą nustatyti prekybai su ES finansų sandorių šalimis, nes tai didina skaidrumą ir dėl to tai numatyta FPRR. Galiausiai galimybė centriniams bankams, kurie prekiauja trečiųjų valstyb</w:t>
      </w:r>
      <w:r>
        <w:rPr>
          <w:rFonts w:ascii="Times New Roman" w:hAnsi="Times New Roman"/>
          <w:noProof/>
          <w:sz w:val="24"/>
        </w:rPr>
        <w:t>ių prekybos vietose, pasinaudoti įstatymais numatyta išimtimi gali turėti poveikio išimties tikslingumo ekonominio veiksmingumo analizei.</w:t>
      </w:r>
    </w:p>
    <w:p w:rsidR="0053415C" w:rsidRDefault="0043283A">
      <w:pPr>
        <w:spacing w:before="60"/>
        <w:jc w:val="both"/>
        <w:rPr>
          <w:rFonts w:ascii="Times New Roman" w:hAnsi="Times New Roman" w:cs="Times New Roman"/>
          <w:noProof/>
          <w:sz w:val="24"/>
          <w:szCs w:val="24"/>
        </w:rPr>
      </w:pPr>
      <w:r>
        <w:rPr>
          <w:rFonts w:ascii="Times New Roman" w:hAnsi="Times New Roman"/>
          <w:noProof/>
          <w:sz w:val="24"/>
        </w:rPr>
        <w:t>Įvertinusi šiuos kriterijus, Komisija padarė išvadą, kad labai svarbu, jog trečiųjų valstybių centriniai bankai gali a</w:t>
      </w:r>
      <w:r>
        <w:rPr>
          <w:rFonts w:ascii="Times New Roman" w:hAnsi="Times New Roman"/>
          <w:noProof/>
          <w:sz w:val="24"/>
        </w:rPr>
        <w:t>tskirti</w:t>
      </w:r>
      <w:r>
        <w:rPr>
          <w:noProof/>
        </w:rPr>
        <w:t xml:space="preserve"> </w:t>
      </w:r>
      <w:r>
        <w:rPr>
          <w:rFonts w:ascii="Times New Roman" w:hAnsi="Times New Roman"/>
          <w:noProof/>
          <w:sz w:val="24"/>
        </w:rPr>
        <w:t>sandorius, kurie vykdomi reguliavimo ir investavimo tikslais, nes priešingu atveju bet kokia išimtis pagal 1 straipsnio 9 dalį nebūtų pakankamai apibrėžta. Kita vertus, po išsamesnės analizės galima teigti, kad tai, jog rengiant šią ataskaitą nebuv</w:t>
      </w:r>
      <w:r>
        <w:rPr>
          <w:rFonts w:ascii="Times New Roman" w:hAnsi="Times New Roman"/>
          <w:noProof/>
          <w:sz w:val="24"/>
        </w:rPr>
        <w:t xml:space="preserve">o pranešimo apie sandorius, kuriems taikoma išimtis, procedūrų, nėra pakankamai reikšminga priežastis, kad 1 straipsnio 9 dalyje numatyta išimtis neturėtų būti taikoma jurisdikcijoms, kurios tuo metu tokių procedūrų neturėjo, bet yra nurodžiusios, kad yra </w:t>
      </w:r>
      <w:r>
        <w:rPr>
          <w:rFonts w:ascii="Times New Roman" w:hAnsi="Times New Roman"/>
          <w:noProof/>
          <w:sz w:val="24"/>
        </w:rPr>
        <w:t>pasirengusios jas įgyvendinti, kai tik pradės veikti FPRR tvarka. Galiausiai įstatymais nustatytų išimčių egzistavimas jurisdikcijoje, kuri vertinama dėl centrinių bankų sandorių prekiaujant trečiųjų valstybių prekybos vietose, nėra laikomas būtina sąlyga,</w:t>
      </w:r>
      <w:r>
        <w:rPr>
          <w:rFonts w:ascii="Times New Roman" w:hAnsi="Times New Roman"/>
          <w:noProof/>
          <w:sz w:val="24"/>
        </w:rPr>
        <w:t xml:space="preserve"> kad būtų taikoma išimtis, nes to pagal FPRR 1 straipsnio 9 dalį nėra aiškiai reikalaujama.</w:t>
      </w:r>
    </w:p>
    <w:p w:rsidR="0053415C" w:rsidRDefault="0043283A">
      <w:pPr>
        <w:jc w:val="both"/>
        <w:rPr>
          <w:rFonts w:ascii="Times New Roman" w:hAnsi="Times New Roman" w:cs="Times New Roman"/>
          <w:noProof/>
          <w:sz w:val="24"/>
          <w:szCs w:val="24"/>
        </w:rPr>
      </w:pPr>
      <w:r>
        <w:rPr>
          <w:rFonts w:ascii="Times New Roman" w:hAnsi="Times New Roman"/>
          <w:noProof/>
          <w:sz w:val="24"/>
        </w:rPr>
        <w:t>Bendra vertinimo apžvalga pateikiama 1 priede</w:t>
      </w:r>
      <w:r>
        <w:rPr>
          <w:rStyle w:val="FootnoteReference"/>
          <w:rFonts w:ascii="Times New Roman" w:hAnsi="Times New Roman"/>
          <w:noProof/>
          <w:sz w:val="24"/>
        </w:rPr>
        <w:footnoteReference w:id="3"/>
      </w:r>
      <w:r>
        <w:rPr>
          <w:rFonts w:ascii="Times New Roman" w:hAnsi="Times New Roman"/>
          <w:noProof/>
          <w:sz w:val="24"/>
        </w:rPr>
        <w:t>.</w:t>
      </w:r>
      <w:r>
        <w:rPr>
          <w:rFonts w:ascii="Times" w:hAnsi="Times"/>
          <w:noProof/>
          <w:sz w:val="24"/>
        </w:rPr>
        <w:t xml:space="preserve"> Komisija padarė išvadą,</w:t>
      </w:r>
      <w:r>
        <w:rPr>
          <w:noProof/>
        </w:rPr>
        <w:t xml:space="preserve"> </w:t>
      </w:r>
      <w:r>
        <w:rPr>
          <w:rFonts w:ascii="Times" w:hAnsi="Times"/>
          <w:noProof/>
          <w:sz w:val="24"/>
        </w:rPr>
        <w:t>kad, atsižvelgiant į rinkos ir (arba) veiklos skaidrumo sistemas, pirmiau minėtos jurisdikci</w:t>
      </w:r>
      <w:r>
        <w:rPr>
          <w:rFonts w:ascii="Times" w:hAnsi="Times"/>
          <w:noProof/>
          <w:sz w:val="24"/>
        </w:rPr>
        <w:t xml:space="preserve">jos turi teisines sistemas, kuriomis užtikrinamas </w:t>
      </w:r>
      <w:r>
        <w:rPr>
          <w:rFonts w:ascii="Times New Roman" w:hAnsi="Times New Roman"/>
          <w:noProof/>
          <w:sz w:val="24"/>
        </w:rPr>
        <w:t>pakankamas skaidrumo lygis</w:t>
      </w:r>
      <w:r>
        <w:rPr>
          <w:rStyle w:val="FootnoteReference"/>
          <w:rFonts w:ascii="Times New Roman" w:hAnsi="Times New Roman"/>
          <w:noProof/>
          <w:sz w:val="24"/>
        </w:rPr>
        <w:footnoteReference w:id="4"/>
      </w:r>
      <w:r>
        <w:rPr>
          <w:rFonts w:ascii="Times New Roman" w:hAnsi="Times New Roman"/>
          <w:noProof/>
          <w:sz w:val="24"/>
        </w:rPr>
        <w:t>. Be to, prekybos veikla ES, kurią vykdo šios jurisdikcijos, yra pakankamai reikšminga, kad skaidrumo reikalavimų iki ir po sandorio sudarymo išimties taikymas būtų pagrįstas ir š</w:t>
      </w:r>
      <w:r>
        <w:rPr>
          <w:rFonts w:ascii="Times New Roman" w:hAnsi="Times New Roman"/>
          <w:noProof/>
          <w:sz w:val="24"/>
        </w:rPr>
        <w:t>iose jurisdikcijose. Komisija taip pat padarė išvadą, kad tikslinga taikyti išimtį TAB, kuriam nereikėtų trukdyti atlikti savo svarbias viešojo intereso funkcijas ir padėti tarptautinei centrinių bankų bendruomenei. Priešingai nei centriniai bankai, TAB ai</w:t>
      </w:r>
      <w:r>
        <w:rPr>
          <w:rFonts w:ascii="Times New Roman" w:hAnsi="Times New Roman"/>
          <w:noProof/>
          <w:sz w:val="24"/>
        </w:rPr>
        <w:t xml:space="preserve">škiai minimas kaip subjektas, kurį galima būtų įtraukti, jei prireiktų. Skirtingai nei vertinimas, susijęs su centriniais bankais, ši išvada padaryta remiantis kokybiniu vertinimu. </w:t>
      </w:r>
    </w:p>
    <w:p w:rsidR="0053415C" w:rsidRDefault="0043283A">
      <w:pPr>
        <w:spacing w:before="60"/>
        <w:jc w:val="both"/>
        <w:rPr>
          <w:rFonts w:ascii="Times New Roman" w:hAnsi="Times New Roman" w:cs="Times New Roman"/>
          <w:noProof/>
          <w:sz w:val="24"/>
          <w:szCs w:val="24"/>
        </w:rPr>
      </w:pPr>
      <w:r>
        <w:rPr>
          <w:rFonts w:ascii="Times New Roman" w:hAnsi="Times New Roman"/>
          <w:noProof/>
          <w:sz w:val="24"/>
        </w:rPr>
        <w:t xml:space="preserve">Toliau pateikiama glausta atrinktų valstybių atitikties pirmiau minėtiems </w:t>
      </w:r>
      <w:r>
        <w:rPr>
          <w:rFonts w:ascii="Times New Roman" w:hAnsi="Times New Roman"/>
          <w:noProof/>
          <w:sz w:val="24"/>
        </w:rPr>
        <w:t xml:space="preserve">kriterijams analizė. Detalus aprašymas ir išsami analizė pateikiama CEPS tyrime. </w:t>
      </w:r>
    </w:p>
    <w:p w:rsidR="0053415C" w:rsidRDefault="0043283A">
      <w:pPr>
        <w:jc w:val="both"/>
        <w:rPr>
          <w:rFonts w:ascii="Times New Roman" w:hAnsi="Times New Roman" w:cs="Times New Roman"/>
          <w:b/>
          <w:bCs/>
          <w:noProof/>
          <w:sz w:val="24"/>
          <w:szCs w:val="24"/>
        </w:rPr>
      </w:pPr>
      <w:bookmarkStart w:id="1" w:name="_Toc413169301"/>
      <w:bookmarkStart w:id="2" w:name="_Toc412950561"/>
      <w:bookmarkStart w:id="3" w:name="_Toc412947399"/>
      <w:bookmarkStart w:id="4" w:name="_Toc412933595"/>
      <w:bookmarkStart w:id="5" w:name="_Toc412835395"/>
      <w:bookmarkStart w:id="6" w:name="_Toc418165659"/>
      <w:r>
        <w:rPr>
          <w:rFonts w:ascii="Times New Roman" w:hAnsi="Times New Roman"/>
          <w:b/>
          <w:noProof/>
          <w:sz w:val="24"/>
        </w:rPr>
        <w:t>Australijos rezervų bankas</w:t>
      </w:r>
      <w:bookmarkEnd w:id="1"/>
      <w:bookmarkEnd w:id="2"/>
      <w:bookmarkEnd w:id="3"/>
      <w:bookmarkEnd w:id="4"/>
      <w:bookmarkEnd w:id="5"/>
      <w:bookmarkEnd w:id="6"/>
      <w:r>
        <w:rPr>
          <w:rFonts w:ascii="Times New Roman" w:hAnsi="Times New Roman"/>
          <w:b/>
          <w:noProof/>
          <w:sz w:val="24"/>
        </w:rPr>
        <w:t xml:space="preserve"> (angl. RBA)</w:t>
      </w:r>
    </w:p>
    <w:p w:rsidR="0053415C" w:rsidRDefault="0043283A">
      <w:pPr>
        <w:spacing w:after="0"/>
        <w:jc w:val="both"/>
        <w:rPr>
          <w:rFonts w:ascii="Times New Roman" w:hAnsi="Times New Roman" w:cs="Times New Roman"/>
          <w:i/>
          <w:noProof/>
          <w:sz w:val="24"/>
          <w:szCs w:val="24"/>
        </w:rPr>
      </w:pPr>
      <w:r>
        <w:rPr>
          <w:rFonts w:ascii="Times New Roman" w:hAnsi="Times New Roman"/>
          <w:i/>
          <w:noProof/>
          <w:sz w:val="24"/>
        </w:rPr>
        <w:t>Pagrindiniai kriterijai</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 xml:space="preserve">Ne nuosavo kapitalo priemonėms taisyklės dėl prekybos skaidrumo netaikomos. Kalbant apie veiklos skaidrumą, RBA teikia informaciją apie savo balanso straipsnius, skelbia kasdienes atvirosios rinkos operacijas ir pateikia tam tikrą apibendrintą informaciją </w:t>
      </w:r>
      <w:r>
        <w:rPr>
          <w:rFonts w:ascii="Times New Roman" w:hAnsi="Times New Roman"/>
          <w:noProof/>
          <w:sz w:val="24"/>
        </w:rPr>
        <w:t xml:space="preserve">apie savo sandorius po jų įvykdymo per elektronines naujienų tarnybas. </w:t>
      </w:r>
    </w:p>
    <w:p w:rsidR="0053415C" w:rsidRDefault="0053415C">
      <w:pPr>
        <w:spacing w:after="0"/>
        <w:jc w:val="both"/>
        <w:rPr>
          <w:rFonts w:ascii="Times New Roman" w:hAnsi="Times New Roman" w:cs="Times New Roman"/>
          <w:noProof/>
          <w:sz w:val="24"/>
          <w:szCs w:val="24"/>
        </w:rPr>
      </w:pP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RBA prekybos su ES sandorių šalimis arba prekybos į ES biržų sąrašus įtrauktomis finansinėmis priemonėmis apimtis didelė.</w:t>
      </w:r>
    </w:p>
    <w:p w:rsidR="0053415C" w:rsidRDefault="0053415C">
      <w:pPr>
        <w:spacing w:after="0"/>
        <w:jc w:val="both"/>
        <w:rPr>
          <w:rFonts w:ascii="Times New Roman" w:hAnsi="Times New Roman" w:cs="Times New Roman"/>
          <w:noProof/>
          <w:sz w:val="24"/>
          <w:szCs w:val="24"/>
        </w:rPr>
      </w:pPr>
    </w:p>
    <w:p w:rsidR="0053415C" w:rsidRDefault="0043283A">
      <w:pPr>
        <w:spacing w:after="0"/>
        <w:jc w:val="both"/>
        <w:rPr>
          <w:rFonts w:ascii="Times New Roman" w:hAnsi="Times New Roman" w:cs="Times New Roman"/>
          <w:i/>
          <w:noProof/>
          <w:sz w:val="24"/>
          <w:szCs w:val="24"/>
        </w:rPr>
      </w:pPr>
      <w:r>
        <w:rPr>
          <w:rFonts w:ascii="Times New Roman" w:hAnsi="Times New Roman"/>
          <w:i/>
          <w:noProof/>
          <w:sz w:val="24"/>
        </w:rPr>
        <w:t>Papildomi kriterijai</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Užsienio centriniams bankams išimtis dė</w:t>
      </w:r>
      <w:r>
        <w:rPr>
          <w:rFonts w:ascii="Times New Roman" w:hAnsi="Times New Roman"/>
          <w:noProof/>
          <w:sz w:val="24"/>
        </w:rPr>
        <w:t xml:space="preserve">l skaidrumo reikalavimų taikoma. </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Laikoma, kad RBA gali atskirti sandorius politikos tikslais ir sandorius kitais tikslais (kaip antai investavimo tikslais).</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Galiausiai, nors įstaiga ir neturi procedūros, pagal kurią sandorio šalims galėtų pranešti apie iš</w:t>
      </w:r>
      <w:r>
        <w:rPr>
          <w:rFonts w:ascii="Times New Roman" w:hAnsi="Times New Roman"/>
          <w:noProof/>
          <w:sz w:val="24"/>
        </w:rPr>
        <w:t>imties prekybai su ES finansų sandorių šalimis egzistavimą, ji paskelbė esanti pasirengusi tokią procedūrą įgyvendinti, kai tik pradės veikti FPRR tvarka.</w:t>
      </w:r>
    </w:p>
    <w:p w:rsidR="0053415C" w:rsidRDefault="0053415C">
      <w:pPr>
        <w:spacing w:after="0"/>
        <w:jc w:val="both"/>
        <w:rPr>
          <w:rFonts w:ascii="Times New Roman" w:hAnsi="Times New Roman" w:cs="Times New Roman"/>
          <w:noProof/>
          <w:sz w:val="24"/>
          <w:szCs w:val="24"/>
        </w:rPr>
      </w:pPr>
    </w:p>
    <w:p w:rsidR="0053415C" w:rsidRDefault="0043283A">
      <w:pPr>
        <w:jc w:val="both"/>
        <w:rPr>
          <w:rFonts w:ascii="Times New Roman" w:hAnsi="Times New Roman" w:cs="Times New Roman"/>
          <w:b/>
          <w:noProof/>
          <w:sz w:val="24"/>
          <w:szCs w:val="24"/>
        </w:rPr>
      </w:pPr>
      <w:r>
        <w:rPr>
          <w:rFonts w:ascii="Times New Roman" w:hAnsi="Times New Roman"/>
          <w:b/>
          <w:noProof/>
          <w:sz w:val="24"/>
        </w:rPr>
        <w:t>Brazilijos centrinis bankas (port. BCB)</w:t>
      </w:r>
    </w:p>
    <w:p w:rsidR="0053415C" w:rsidRDefault="0043283A">
      <w:pPr>
        <w:spacing w:after="0"/>
        <w:jc w:val="both"/>
        <w:rPr>
          <w:rFonts w:ascii="Times New Roman" w:hAnsi="Times New Roman" w:cs="Times New Roman"/>
          <w:i/>
          <w:noProof/>
          <w:sz w:val="24"/>
          <w:szCs w:val="24"/>
        </w:rPr>
      </w:pPr>
      <w:r>
        <w:rPr>
          <w:rFonts w:ascii="Times New Roman" w:hAnsi="Times New Roman"/>
          <w:i/>
          <w:noProof/>
          <w:sz w:val="24"/>
        </w:rPr>
        <w:t>Pagrindiniai kriterijai</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Privalomos taisyklės, kuriomis regul</w:t>
      </w:r>
      <w:r>
        <w:rPr>
          <w:rFonts w:ascii="Times New Roman" w:hAnsi="Times New Roman"/>
          <w:noProof/>
          <w:sz w:val="24"/>
        </w:rPr>
        <w:t xml:space="preserve">iuojamas skaidrumas prekiaujant finansinėmis priemonėmis, apima kai kurias ne nuosavo kapitalo priemones, įskaitant skolinius įsipareigojimus, komercinius vekselius ir išvestines finansines priemones. Vyriausybės obligacijos ir perleidžiamosios priemonės, </w:t>
      </w:r>
      <w:r>
        <w:rPr>
          <w:rFonts w:ascii="Times New Roman" w:hAnsi="Times New Roman"/>
          <w:noProof/>
          <w:sz w:val="24"/>
        </w:rPr>
        <w:t>kurias užtikrina finansų įstaiga, yra pagrindinės rinkų skaidrumo taisyklių išimtys. Kalbant apie veiklos skaidrumą, nacionalinis centrinis bankas išsamią informaciją apie atvirosios rinkos operacijas skelbia „Sisbacen“ ir savo interneto svetainėje, kur ta</w:t>
      </w:r>
      <w:r>
        <w:rPr>
          <w:rFonts w:ascii="Times New Roman" w:hAnsi="Times New Roman"/>
          <w:noProof/>
          <w:sz w:val="24"/>
        </w:rPr>
        <w:t xml:space="preserve">ip pat pateikiama informacija apie aukcionų rezultatus, įskaitant su užsienio valiutos operacijomis susijusius rezultatus. </w:t>
      </w:r>
    </w:p>
    <w:p w:rsidR="0053415C" w:rsidRDefault="0053415C">
      <w:pPr>
        <w:spacing w:after="0"/>
        <w:jc w:val="both"/>
        <w:rPr>
          <w:rFonts w:ascii="Times New Roman" w:hAnsi="Times New Roman" w:cs="Times New Roman"/>
          <w:noProof/>
          <w:sz w:val="24"/>
          <w:szCs w:val="24"/>
        </w:rPr>
      </w:pP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BCB prekybos su ES sandorių šalimis arba prekybos į ES biržų sąrašus įtrauktomis finansinėmis priemonėmis apimtis didelė.</w:t>
      </w:r>
    </w:p>
    <w:p w:rsidR="0053415C" w:rsidRDefault="0053415C">
      <w:pPr>
        <w:spacing w:after="0"/>
        <w:jc w:val="both"/>
        <w:rPr>
          <w:rFonts w:ascii="Times New Roman" w:hAnsi="Times New Roman" w:cs="Times New Roman"/>
          <w:noProof/>
          <w:sz w:val="24"/>
          <w:szCs w:val="24"/>
        </w:rPr>
      </w:pPr>
    </w:p>
    <w:p w:rsidR="0053415C" w:rsidRDefault="0043283A">
      <w:pPr>
        <w:spacing w:after="0"/>
        <w:jc w:val="both"/>
        <w:rPr>
          <w:rFonts w:ascii="Times New Roman" w:hAnsi="Times New Roman" w:cs="Times New Roman"/>
          <w:i/>
          <w:noProof/>
          <w:sz w:val="24"/>
          <w:szCs w:val="24"/>
        </w:rPr>
      </w:pPr>
      <w:r>
        <w:rPr>
          <w:rFonts w:ascii="Times New Roman" w:hAnsi="Times New Roman"/>
          <w:i/>
          <w:noProof/>
          <w:sz w:val="24"/>
        </w:rPr>
        <w:t>Papildom</w:t>
      </w:r>
      <w:r>
        <w:rPr>
          <w:rFonts w:ascii="Times New Roman" w:hAnsi="Times New Roman"/>
          <w:i/>
          <w:noProof/>
          <w:sz w:val="24"/>
        </w:rPr>
        <w:t>i kriterijai</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Užsienio centriniams bankams išimtis dėl skaidrumo reikalavimų netaikoma.</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BCB gali atskirti sandorius politikos tikslais ir sandorius kitais tikslais (ypač investavimo tikslais), kurių vaidmuo nedidelis.</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Galiausiai, įstaiga turi procedūrą, pag</w:t>
      </w:r>
      <w:r>
        <w:rPr>
          <w:rFonts w:ascii="Times New Roman" w:hAnsi="Times New Roman"/>
          <w:noProof/>
          <w:sz w:val="24"/>
        </w:rPr>
        <w:t>al kurią sandorio šalims gali pranešti apie išimties prekybai su ES finansų sandorių šalimis egzistavimą.</w:t>
      </w:r>
    </w:p>
    <w:p w:rsidR="0053415C" w:rsidRDefault="0053415C">
      <w:pPr>
        <w:spacing w:after="0"/>
        <w:jc w:val="both"/>
        <w:rPr>
          <w:rFonts w:ascii="Times New Roman" w:hAnsi="Times New Roman" w:cs="Times New Roman"/>
          <w:b/>
          <w:noProof/>
          <w:sz w:val="24"/>
          <w:szCs w:val="24"/>
        </w:rPr>
      </w:pPr>
    </w:p>
    <w:p w:rsidR="0053415C" w:rsidRDefault="0043283A">
      <w:pPr>
        <w:jc w:val="both"/>
        <w:rPr>
          <w:rFonts w:ascii="Times New Roman" w:hAnsi="Times New Roman" w:cs="Times New Roman"/>
          <w:b/>
          <w:noProof/>
          <w:sz w:val="24"/>
          <w:szCs w:val="24"/>
        </w:rPr>
      </w:pPr>
      <w:r>
        <w:rPr>
          <w:rFonts w:ascii="Times New Roman" w:hAnsi="Times New Roman"/>
          <w:b/>
          <w:noProof/>
          <w:sz w:val="24"/>
        </w:rPr>
        <w:t>Kanados bankas (angl. BoC)</w:t>
      </w:r>
    </w:p>
    <w:p w:rsidR="0053415C" w:rsidRDefault="0043283A">
      <w:pPr>
        <w:spacing w:after="0"/>
        <w:jc w:val="both"/>
        <w:rPr>
          <w:rFonts w:ascii="Times New Roman" w:hAnsi="Times New Roman" w:cs="Times New Roman"/>
          <w:i/>
          <w:noProof/>
          <w:sz w:val="24"/>
          <w:szCs w:val="24"/>
        </w:rPr>
      </w:pPr>
      <w:r>
        <w:rPr>
          <w:rFonts w:ascii="Times New Roman" w:hAnsi="Times New Roman"/>
          <w:i/>
          <w:noProof/>
          <w:sz w:val="24"/>
        </w:rPr>
        <w:t>Pagrindiniai kriterijai</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Kiek tai susiję su rinkos skaidrumu, privalomos taisyklės dėl prekybos finansinėmis priemonėmis ap</w:t>
      </w:r>
      <w:r>
        <w:rPr>
          <w:rFonts w:ascii="Times New Roman" w:hAnsi="Times New Roman"/>
          <w:noProof/>
          <w:sz w:val="24"/>
        </w:rPr>
        <w:t>ima kai kurias ne nuosavo kapitalo priemones, įskaitant obligacijas, komercinius vekselius ir išvestines finansines priemones. Tačiau išimtis aiškiai taikoma vyriausybės obligacijoms, taip pat ir užsienio vertybiniams popieriams. Veiklos skaidrumo priemonė</w:t>
      </w:r>
      <w:r>
        <w:rPr>
          <w:rFonts w:ascii="Times New Roman" w:hAnsi="Times New Roman"/>
          <w:noProof/>
          <w:sz w:val="24"/>
        </w:rPr>
        <w:t xml:space="preserve">s apima BoC skelbiamą išankstinę informaciją prieš sandorius, atliekamus kaip nustatyto termino atpirkimo sandoriai balanso valdymo tikslais (angl. </w:t>
      </w:r>
      <w:r>
        <w:rPr>
          <w:rFonts w:ascii="Times New Roman" w:hAnsi="Times New Roman"/>
          <w:i/>
          <w:noProof/>
          <w:sz w:val="24"/>
        </w:rPr>
        <w:t>Term Repo for Balance Sheet Management Purposes</w:t>
      </w:r>
      <w:r>
        <w:rPr>
          <w:rFonts w:ascii="Times New Roman" w:hAnsi="Times New Roman"/>
          <w:noProof/>
          <w:sz w:val="24"/>
        </w:rPr>
        <w:t>). Šių sandorių apibendrinti rezultatai taip pat skelbiami na</w:t>
      </w:r>
      <w:r>
        <w:rPr>
          <w:rFonts w:ascii="Times New Roman" w:hAnsi="Times New Roman"/>
          <w:noProof/>
          <w:sz w:val="24"/>
        </w:rPr>
        <w:t xml:space="preserve">cionalinio centrinio banko interneto svetainėje. </w:t>
      </w:r>
    </w:p>
    <w:p w:rsidR="0053415C" w:rsidRDefault="0053415C">
      <w:pPr>
        <w:spacing w:after="0"/>
        <w:jc w:val="both"/>
        <w:rPr>
          <w:rFonts w:ascii="Times New Roman" w:hAnsi="Times New Roman" w:cs="Times New Roman"/>
          <w:noProof/>
          <w:sz w:val="24"/>
          <w:szCs w:val="24"/>
        </w:rPr>
      </w:pPr>
    </w:p>
    <w:p w:rsidR="0043283A" w:rsidRDefault="0043283A">
      <w:pPr>
        <w:spacing w:after="0"/>
        <w:jc w:val="both"/>
        <w:rPr>
          <w:rFonts w:ascii="Times New Roman" w:hAnsi="Times New Roman"/>
          <w:noProof/>
          <w:sz w:val="24"/>
        </w:rPr>
      </w:pPr>
      <w:r>
        <w:rPr>
          <w:rFonts w:ascii="Times New Roman" w:hAnsi="Times New Roman"/>
          <w:noProof/>
          <w:sz w:val="24"/>
        </w:rPr>
        <w:t>BoC prekybos su ES sandorių šalimis arba prekybos į ES biržų sąrašus įtrauktomis finansinėmis priemonėmis apimtis didelė.</w:t>
      </w:r>
    </w:p>
    <w:p w:rsidR="0043283A" w:rsidRDefault="0043283A" w:rsidP="0043283A">
      <w:pPr>
        <w:rPr>
          <w:noProof/>
        </w:rPr>
      </w:pPr>
      <w:r>
        <w:rPr>
          <w:noProof/>
        </w:rPr>
        <w:br w:type="page"/>
      </w:r>
    </w:p>
    <w:p w:rsidR="0053415C" w:rsidRDefault="0043283A">
      <w:pPr>
        <w:spacing w:after="0"/>
        <w:jc w:val="both"/>
        <w:rPr>
          <w:rFonts w:ascii="Times New Roman" w:hAnsi="Times New Roman" w:cs="Times New Roman"/>
          <w:i/>
          <w:noProof/>
          <w:sz w:val="24"/>
          <w:szCs w:val="24"/>
        </w:rPr>
      </w:pPr>
      <w:r>
        <w:rPr>
          <w:rFonts w:ascii="Times New Roman" w:hAnsi="Times New Roman"/>
          <w:i/>
          <w:noProof/>
          <w:sz w:val="24"/>
        </w:rPr>
        <w:t>Papildomi kriterijai</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 xml:space="preserve">Užsienio centriniams bankams išimtis dėl skaidrumo reikalavimų gali būti taikoma. </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BoC gali atskirti sandorius politikos tikslais ir sandorius kitais tikslais (ypač investavimo tikslais).</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Galiausiai, nors įstaiga dabar ir neturi procedūros, pagal kurią san</w:t>
      </w:r>
      <w:r>
        <w:rPr>
          <w:rFonts w:ascii="Times New Roman" w:hAnsi="Times New Roman"/>
          <w:noProof/>
          <w:sz w:val="24"/>
        </w:rPr>
        <w:t>dorio šalims galėtų pranešti apie išimties prekybai su ES finansų sandorių šalimis egzistavimą, ji yra pasirengusi ją įgyvendinti, kai tik pradės veikti FPRR tvarka.</w:t>
      </w:r>
    </w:p>
    <w:p w:rsidR="0053415C" w:rsidRDefault="0053415C">
      <w:pPr>
        <w:spacing w:after="0"/>
        <w:jc w:val="both"/>
        <w:rPr>
          <w:rFonts w:ascii="Times New Roman" w:hAnsi="Times New Roman" w:cs="Times New Roman"/>
          <w:noProof/>
          <w:sz w:val="24"/>
          <w:szCs w:val="24"/>
        </w:rPr>
      </w:pPr>
    </w:p>
    <w:p w:rsidR="0053415C" w:rsidRDefault="0043283A">
      <w:pPr>
        <w:spacing w:after="0"/>
        <w:jc w:val="both"/>
        <w:rPr>
          <w:rFonts w:ascii="Times New Roman" w:hAnsi="Times New Roman" w:cs="Times New Roman"/>
          <w:b/>
          <w:noProof/>
          <w:sz w:val="24"/>
          <w:szCs w:val="24"/>
        </w:rPr>
      </w:pPr>
      <w:r>
        <w:rPr>
          <w:rFonts w:ascii="Times New Roman" w:hAnsi="Times New Roman"/>
          <w:b/>
          <w:noProof/>
          <w:sz w:val="24"/>
        </w:rPr>
        <w:t>Kinijos liaudies bankas (angl. PBoC)</w:t>
      </w:r>
    </w:p>
    <w:p w:rsidR="0053415C" w:rsidRDefault="0053415C">
      <w:pPr>
        <w:spacing w:after="0"/>
        <w:jc w:val="both"/>
        <w:rPr>
          <w:rFonts w:ascii="Times New Roman" w:hAnsi="Times New Roman" w:cs="Times New Roman"/>
          <w:noProof/>
          <w:sz w:val="24"/>
          <w:szCs w:val="24"/>
        </w:rPr>
      </w:pPr>
    </w:p>
    <w:p w:rsidR="0053415C" w:rsidRDefault="0043283A">
      <w:pPr>
        <w:spacing w:after="0"/>
        <w:jc w:val="both"/>
        <w:rPr>
          <w:rFonts w:ascii="Times New Roman" w:hAnsi="Times New Roman" w:cs="Times New Roman"/>
          <w:i/>
          <w:noProof/>
          <w:sz w:val="24"/>
          <w:szCs w:val="24"/>
        </w:rPr>
      </w:pPr>
      <w:r>
        <w:rPr>
          <w:rFonts w:ascii="Times New Roman" w:hAnsi="Times New Roman"/>
          <w:i/>
          <w:noProof/>
          <w:sz w:val="24"/>
        </w:rPr>
        <w:t>Pagrindiniai kriterijai</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 xml:space="preserve">PBoC neturi skaidrumo </w:t>
      </w:r>
      <w:r>
        <w:rPr>
          <w:rFonts w:ascii="Times New Roman" w:hAnsi="Times New Roman"/>
          <w:noProof/>
          <w:sz w:val="24"/>
        </w:rPr>
        <w:t>reikalavimų ne nuosavo kapitalo priemonėms, ir nesitikima, kad rinkos dalyviai atskleistų sandorio detales arba apie jas praneštų. Veiklos skaidrumas pasiekiamas viešai skelbiant atvirosios rinkos operacijas ir trumpalaikių likvidumo operacijų rezultatus.</w:t>
      </w:r>
    </w:p>
    <w:p w:rsidR="0053415C" w:rsidRDefault="0053415C">
      <w:pPr>
        <w:spacing w:after="0"/>
        <w:jc w:val="both"/>
        <w:rPr>
          <w:rFonts w:ascii="Times New Roman" w:hAnsi="Times New Roman" w:cs="Times New Roman"/>
          <w:noProof/>
          <w:sz w:val="24"/>
          <w:szCs w:val="24"/>
        </w:rPr>
      </w:pP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Europos Komisija laukia duomenų apie PBoC prekybos veiklą ES finansų rinkose ir su ES sandorių šalimis. Dėl to šiuo metu negalima įvertinti ekonominio išimties suteikimo pagrindimo.</w:t>
      </w:r>
    </w:p>
    <w:p w:rsidR="0053415C" w:rsidRDefault="0053415C">
      <w:pPr>
        <w:spacing w:after="0"/>
        <w:jc w:val="both"/>
        <w:rPr>
          <w:rFonts w:ascii="Times New Roman" w:hAnsi="Times New Roman" w:cs="Times New Roman"/>
          <w:noProof/>
          <w:sz w:val="24"/>
          <w:szCs w:val="24"/>
        </w:rPr>
      </w:pPr>
    </w:p>
    <w:p w:rsidR="0053415C" w:rsidRDefault="0043283A">
      <w:pPr>
        <w:spacing w:after="0"/>
        <w:jc w:val="both"/>
        <w:rPr>
          <w:rFonts w:ascii="Times New Roman" w:hAnsi="Times New Roman" w:cs="Times New Roman"/>
          <w:i/>
          <w:noProof/>
          <w:sz w:val="24"/>
          <w:szCs w:val="24"/>
        </w:rPr>
      </w:pPr>
      <w:r>
        <w:rPr>
          <w:rFonts w:ascii="Times New Roman" w:hAnsi="Times New Roman"/>
          <w:i/>
          <w:noProof/>
          <w:sz w:val="24"/>
        </w:rPr>
        <w:t>Papildomi kriterijai</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Kadangi įstaiga atitinka tik vieną iš trijų pagrind</w:t>
      </w:r>
      <w:r>
        <w:rPr>
          <w:rFonts w:ascii="Times New Roman" w:hAnsi="Times New Roman"/>
          <w:noProof/>
          <w:sz w:val="24"/>
        </w:rPr>
        <w:t>inių kriterijų, CEPS daugiau dėmesio skyrė trims papildomiems kriterijams:</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 užsienio centriniams bankams bendra išimtis dėl skaidrumo reikalavimų netaikoma,</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 nebuvo parodytas įstaigos gebėjimas atskirti sandorius, vykdomus investavimo tikslais, ir sandor</w:t>
      </w:r>
      <w:r>
        <w:rPr>
          <w:rFonts w:ascii="Times New Roman" w:hAnsi="Times New Roman"/>
          <w:noProof/>
          <w:sz w:val="24"/>
        </w:rPr>
        <w:t>ius, vykdomus politikos tikslais,</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 nepranešta apie jokias pranešimo procedūras, kuriomis siekiama informuoti ES sandorių šalis, kad sandoriams skaidrumo reikalavimai netaikomi.</w:t>
      </w:r>
    </w:p>
    <w:p w:rsidR="0053415C" w:rsidRDefault="0053415C">
      <w:pPr>
        <w:spacing w:after="0"/>
        <w:jc w:val="both"/>
        <w:rPr>
          <w:rFonts w:ascii="Times New Roman" w:hAnsi="Times New Roman" w:cs="Times New Roman"/>
          <w:noProof/>
          <w:sz w:val="24"/>
          <w:szCs w:val="24"/>
        </w:rPr>
      </w:pP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Dėl to, kad trūksta informacijos apie sandorius, įvykdytus su ES sandorių šal</w:t>
      </w:r>
      <w:r>
        <w:rPr>
          <w:rFonts w:ascii="Times New Roman" w:hAnsi="Times New Roman"/>
          <w:noProof/>
          <w:sz w:val="24"/>
        </w:rPr>
        <w:t>imis arba į ES biržų sąrašus įtrauktomis finansinėmis priemonėmis, CEPS negalėjo tuo metu padaryti išvados dėl PBoC išimties pagal FPRR 1 straipsnio 9 dalį tikslingumo ir būtinybės.</w:t>
      </w:r>
    </w:p>
    <w:p w:rsidR="0053415C" w:rsidRDefault="0053415C">
      <w:pPr>
        <w:spacing w:after="0"/>
        <w:jc w:val="both"/>
        <w:rPr>
          <w:rFonts w:ascii="Times New Roman" w:hAnsi="Times New Roman" w:cs="Times New Roman"/>
          <w:noProof/>
          <w:sz w:val="24"/>
          <w:szCs w:val="24"/>
        </w:rPr>
      </w:pPr>
    </w:p>
    <w:p w:rsidR="0053415C" w:rsidRDefault="0043283A">
      <w:pPr>
        <w:spacing w:after="0"/>
        <w:jc w:val="both"/>
        <w:rPr>
          <w:rFonts w:ascii="Times New Roman" w:hAnsi="Times New Roman" w:cs="Times New Roman"/>
          <w:b/>
          <w:noProof/>
          <w:sz w:val="24"/>
          <w:szCs w:val="24"/>
        </w:rPr>
      </w:pPr>
      <w:r>
        <w:rPr>
          <w:rFonts w:ascii="Times New Roman" w:hAnsi="Times New Roman"/>
          <w:b/>
          <w:noProof/>
          <w:sz w:val="24"/>
        </w:rPr>
        <w:t>Honkongo pinigų institucija (angl. HKMA)</w:t>
      </w:r>
    </w:p>
    <w:p w:rsidR="0053415C" w:rsidRDefault="0053415C">
      <w:pPr>
        <w:spacing w:after="0"/>
        <w:jc w:val="both"/>
        <w:rPr>
          <w:rFonts w:ascii="Times New Roman" w:hAnsi="Times New Roman" w:cs="Times New Roman"/>
          <w:i/>
          <w:noProof/>
          <w:sz w:val="24"/>
          <w:szCs w:val="24"/>
        </w:rPr>
      </w:pPr>
    </w:p>
    <w:p w:rsidR="0053415C" w:rsidRDefault="0043283A">
      <w:pPr>
        <w:spacing w:after="0"/>
        <w:jc w:val="both"/>
        <w:rPr>
          <w:rFonts w:ascii="Times New Roman" w:hAnsi="Times New Roman" w:cs="Times New Roman"/>
          <w:i/>
          <w:noProof/>
          <w:sz w:val="24"/>
          <w:szCs w:val="24"/>
        </w:rPr>
      </w:pPr>
      <w:r>
        <w:rPr>
          <w:rFonts w:ascii="Times New Roman" w:hAnsi="Times New Roman"/>
          <w:i/>
          <w:noProof/>
          <w:sz w:val="24"/>
        </w:rPr>
        <w:t>Pagrindiniai kriterijai</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Kiek ta</w:t>
      </w:r>
      <w:r>
        <w:rPr>
          <w:rFonts w:ascii="Times New Roman" w:hAnsi="Times New Roman"/>
          <w:noProof/>
          <w:sz w:val="24"/>
        </w:rPr>
        <w:t>i susiję su rinkos skaidrumu, Honkongas neturi skaidrumo reikalavimų prekybai ne nuosavo kapitalo priemonėmis. Kalbant apie veiklos skaidrumą, nacionalinis centrinis bankas atskleidžia bendrus savo balanso straipsnius ir užsienio atsargų pokyčius, o ne inf</w:t>
      </w:r>
      <w:r>
        <w:rPr>
          <w:rFonts w:ascii="Times New Roman" w:hAnsi="Times New Roman"/>
          <w:noProof/>
          <w:sz w:val="24"/>
        </w:rPr>
        <w:t xml:space="preserve">ormaciją apie sandorius. Tačiau jis teikia konkrečią išsamią informaciją apie biržinio fondo vekselių ir sertifikatų emisijas. </w:t>
      </w:r>
    </w:p>
    <w:p w:rsidR="0053415C" w:rsidRDefault="0053415C">
      <w:pPr>
        <w:spacing w:after="0"/>
        <w:jc w:val="both"/>
        <w:rPr>
          <w:rFonts w:ascii="Times New Roman" w:hAnsi="Times New Roman" w:cs="Times New Roman"/>
          <w:noProof/>
          <w:sz w:val="24"/>
          <w:szCs w:val="24"/>
        </w:rPr>
      </w:pP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HKMA prekybos su ES sandorių šalimis arba prekybos į ES biržų sąrašus įtrauktomis finansinėmis priemonėmis apimtis didelė.</w:t>
      </w:r>
    </w:p>
    <w:p w:rsidR="0053415C" w:rsidRDefault="0053415C">
      <w:pPr>
        <w:spacing w:after="0"/>
        <w:jc w:val="both"/>
        <w:rPr>
          <w:rFonts w:ascii="Times New Roman" w:hAnsi="Times New Roman" w:cs="Times New Roman"/>
          <w:noProof/>
          <w:sz w:val="24"/>
          <w:szCs w:val="24"/>
        </w:rPr>
      </w:pPr>
    </w:p>
    <w:p w:rsidR="0053415C" w:rsidRDefault="0043283A">
      <w:pPr>
        <w:keepNext/>
        <w:spacing w:after="0"/>
        <w:jc w:val="both"/>
        <w:rPr>
          <w:rFonts w:ascii="Times New Roman" w:hAnsi="Times New Roman" w:cs="Times New Roman"/>
          <w:i/>
          <w:noProof/>
          <w:sz w:val="24"/>
          <w:szCs w:val="24"/>
        </w:rPr>
      </w:pPr>
      <w:r>
        <w:rPr>
          <w:rFonts w:ascii="Times New Roman" w:hAnsi="Times New Roman"/>
          <w:i/>
          <w:noProof/>
          <w:sz w:val="24"/>
        </w:rPr>
        <w:t>Pap</w:t>
      </w:r>
      <w:r>
        <w:rPr>
          <w:rFonts w:ascii="Times New Roman" w:hAnsi="Times New Roman"/>
          <w:i/>
          <w:noProof/>
          <w:sz w:val="24"/>
        </w:rPr>
        <w:t>ildomi kriterijai</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 xml:space="preserve">Užsienio centriniams bankams išimtis dėl skaidrumo reikalavimų netaikoma. </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HKMA gali atskirti sandorius politikos tikslais ir sandorius vien tik investavimo tikslais, kurių vaidmuo nedidelis.</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 xml:space="preserve">Galiausiai, HKMA turi procedūrą, pagal kurią </w:t>
      </w:r>
      <w:r>
        <w:rPr>
          <w:rFonts w:ascii="Times New Roman" w:hAnsi="Times New Roman"/>
          <w:noProof/>
          <w:sz w:val="24"/>
        </w:rPr>
        <w:t>sandorio šalims gali pranešti apie išimties prekybai su ES finansų sandorių šalimis egzistavimą.</w:t>
      </w:r>
    </w:p>
    <w:p w:rsidR="0053415C" w:rsidRDefault="0053415C">
      <w:pPr>
        <w:spacing w:after="0"/>
        <w:jc w:val="both"/>
        <w:rPr>
          <w:rFonts w:ascii="Times New Roman" w:hAnsi="Times New Roman" w:cs="Times New Roman"/>
          <w:noProof/>
          <w:sz w:val="24"/>
          <w:szCs w:val="24"/>
        </w:rPr>
      </w:pPr>
    </w:p>
    <w:p w:rsidR="0053415C" w:rsidRDefault="0043283A">
      <w:pPr>
        <w:jc w:val="both"/>
        <w:rPr>
          <w:rFonts w:ascii="Times New Roman" w:hAnsi="Times New Roman" w:cs="Times New Roman"/>
          <w:b/>
          <w:noProof/>
          <w:sz w:val="24"/>
          <w:szCs w:val="24"/>
        </w:rPr>
      </w:pPr>
      <w:r>
        <w:rPr>
          <w:rFonts w:ascii="Times New Roman" w:hAnsi="Times New Roman"/>
          <w:b/>
          <w:noProof/>
          <w:sz w:val="24"/>
        </w:rPr>
        <w:t>Indijos rezervų bankas (angl. RBI)</w:t>
      </w:r>
    </w:p>
    <w:p w:rsidR="0053415C" w:rsidRDefault="0043283A">
      <w:pPr>
        <w:spacing w:after="0"/>
        <w:jc w:val="both"/>
        <w:rPr>
          <w:rFonts w:ascii="Times New Roman" w:hAnsi="Times New Roman" w:cs="Times New Roman"/>
          <w:i/>
          <w:noProof/>
          <w:sz w:val="24"/>
          <w:szCs w:val="24"/>
        </w:rPr>
      </w:pPr>
      <w:r>
        <w:rPr>
          <w:rFonts w:ascii="Times New Roman" w:hAnsi="Times New Roman"/>
          <w:i/>
          <w:noProof/>
          <w:sz w:val="24"/>
        </w:rPr>
        <w:t>Pagrindiniai kriterijai</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Kiek tai susiję su rinkos skaidrumu, apie ne biržos ne nuosavo kapitalo priemonių sandorius (papras</w:t>
      </w:r>
      <w:r>
        <w:rPr>
          <w:rFonts w:ascii="Times New Roman" w:hAnsi="Times New Roman"/>
          <w:noProof/>
          <w:sz w:val="24"/>
        </w:rPr>
        <w:t>tai vykdomus telefonu) pranešama pagal derybinių sandorių sistemos antrinės rinkos modulį. Informacija apie vertybinių popierių prekybos kainas pateikiama RBI ir „Clearing Corporation of India Ltd.“ (CCIL) interneto svetainėse. Kalbant apie veiklos skaidru</w:t>
      </w:r>
      <w:r>
        <w:rPr>
          <w:rFonts w:ascii="Times New Roman" w:hAnsi="Times New Roman"/>
          <w:noProof/>
          <w:sz w:val="24"/>
        </w:rPr>
        <w:t xml:space="preserve">mą, RBI skelbia aukcionų kalendorių, o išsamią informaciją apie atvirosios rinkos operacijas ir likvidumo priemones, taip pat </w:t>
      </w:r>
      <w:r>
        <w:rPr>
          <w:rFonts w:ascii="Times New Roman" w:hAnsi="Times New Roman"/>
          <w:i/>
          <w:noProof/>
          <w:sz w:val="24"/>
        </w:rPr>
        <w:t>ex post</w:t>
      </w:r>
      <w:r>
        <w:rPr>
          <w:rFonts w:ascii="Times New Roman" w:hAnsi="Times New Roman"/>
          <w:noProof/>
          <w:sz w:val="24"/>
        </w:rPr>
        <w:t xml:space="preserve"> apibendrintus operacijų rezultatus atskleidžia iš anksto. Jis taip pat kas savaitę atskleidžia atvirosios rinkos operacijų</w:t>
      </w:r>
      <w:r>
        <w:rPr>
          <w:rFonts w:ascii="Times New Roman" w:hAnsi="Times New Roman"/>
          <w:noProof/>
          <w:sz w:val="24"/>
        </w:rPr>
        <w:t xml:space="preserve"> ir užsienio valiutos politikos statistinę informaciją mėnesiniame biuletenyje (informacija apie užsienio valiutų sandorius neatskleidžiama). </w:t>
      </w:r>
    </w:p>
    <w:p w:rsidR="0053415C" w:rsidRDefault="0053415C">
      <w:pPr>
        <w:spacing w:after="0"/>
        <w:jc w:val="both"/>
        <w:rPr>
          <w:rFonts w:ascii="Times New Roman" w:hAnsi="Times New Roman" w:cs="Times New Roman"/>
          <w:noProof/>
          <w:sz w:val="24"/>
          <w:szCs w:val="24"/>
        </w:rPr>
      </w:pP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Prekybos su ES sandorių šalimis arba prekybos į ES biržų sąrašus įtrauktomis finansinėmis priemonėmis apimtis ma</w:t>
      </w:r>
      <w:r>
        <w:rPr>
          <w:rFonts w:ascii="Times New Roman" w:hAnsi="Times New Roman"/>
          <w:noProof/>
          <w:sz w:val="24"/>
        </w:rPr>
        <w:t xml:space="preserve">ža. </w:t>
      </w:r>
    </w:p>
    <w:p w:rsidR="0053415C" w:rsidRDefault="0053415C">
      <w:pPr>
        <w:spacing w:after="0"/>
        <w:jc w:val="both"/>
        <w:rPr>
          <w:rFonts w:ascii="Times New Roman" w:hAnsi="Times New Roman" w:cs="Times New Roman"/>
          <w:noProof/>
          <w:sz w:val="24"/>
          <w:szCs w:val="24"/>
        </w:rPr>
      </w:pPr>
    </w:p>
    <w:p w:rsidR="0053415C" w:rsidRDefault="0043283A">
      <w:pPr>
        <w:spacing w:after="0"/>
        <w:jc w:val="both"/>
        <w:rPr>
          <w:rFonts w:ascii="Times New Roman" w:hAnsi="Times New Roman" w:cs="Times New Roman"/>
          <w:i/>
          <w:noProof/>
          <w:sz w:val="24"/>
          <w:szCs w:val="24"/>
        </w:rPr>
      </w:pPr>
      <w:r>
        <w:rPr>
          <w:rFonts w:ascii="Times New Roman" w:hAnsi="Times New Roman"/>
          <w:i/>
          <w:noProof/>
          <w:sz w:val="24"/>
        </w:rPr>
        <w:t>Papildomi kriterijai</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RBI nepraneša apie užsienio centrinių bankų užsienio valiutų sandorius ir apskritai nėra įpareigojimo pranešti apie sandorius su užsienio centriniais bankais. RBI gali atskirti sandorius politikos tikslais ir sandorius vien tik i</w:t>
      </w:r>
      <w:r>
        <w:rPr>
          <w:rFonts w:ascii="Times New Roman" w:hAnsi="Times New Roman"/>
          <w:noProof/>
          <w:sz w:val="24"/>
        </w:rPr>
        <w:t>nvestavimo tikslais, kurių vaidmuo nedidelis.</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Galiausiai, nors įstaiga ir neturi procedūros, pagal kurią sandorio šalims galėtų pranešti apie išimties prekybai su ES finansų sandorių šalimis egzistavimą, ji yra pasirengusi ją įgyvendinti, kai tik pradės ve</w:t>
      </w:r>
      <w:r>
        <w:rPr>
          <w:rFonts w:ascii="Times New Roman" w:hAnsi="Times New Roman"/>
          <w:noProof/>
          <w:sz w:val="24"/>
        </w:rPr>
        <w:t>ikti FPRR tvarka.</w:t>
      </w:r>
    </w:p>
    <w:p w:rsidR="0053415C" w:rsidRDefault="0053415C">
      <w:pPr>
        <w:spacing w:after="0"/>
        <w:jc w:val="both"/>
        <w:rPr>
          <w:rFonts w:ascii="Times New Roman" w:hAnsi="Times New Roman" w:cs="Times New Roman"/>
          <w:noProof/>
          <w:sz w:val="24"/>
          <w:szCs w:val="24"/>
        </w:rPr>
      </w:pPr>
    </w:p>
    <w:p w:rsidR="0053415C" w:rsidRDefault="0043283A">
      <w:pPr>
        <w:jc w:val="both"/>
        <w:rPr>
          <w:rFonts w:ascii="Times New Roman" w:hAnsi="Times New Roman" w:cs="Times New Roman"/>
          <w:b/>
          <w:noProof/>
          <w:sz w:val="24"/>
          <w:szCs w:val="24"/>
        </w:rPr>
      </w:pPr>
      <w:r>
        <w:rPr>
          <w:rFonts w:ascii="Times New Roman" w:hAnsi="Times New Roman"/>
          <w:b/>
          <w:noProof/>
          <w:sz w:val="24"/>
        </w:rPr>
        <w:t>Japonijos bankas (angl. BoJ)</w:t>
      </w:r>
    </w:p>
    <w:p w:rsidR="0053415C" w:rsidRDefault="0043283A">
      <w:pPr>
        <w:spacing w:after="0"/>
        <w:jc w:val="both"/>
        <w:rPr>
          <w:rFonts w:ascii="Times New Roman" w:hAnsi="Times New Roman" w:cs="Times New Roman"/>
          <w:i/>
          <w:noProof/>
          <w:sz w:val="24"/>
          <w:szCs w:val="24"/>
        </w:rPr>
      </w:pPr>
      <w:r>
        <w:rPr>
          <w:rFonts w:ascii="Times New Roman" w:hAnsi="Times New Roman"/>
          <w:i/>
          <w:noProof/>
          <w:sz w:val="24"/>
        </w:rPr>
        <w:t>Pagrindiniai kriterijai</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Privalomos rinkos skaidrumo taisyklės apima tam tikrus pranešimo apie ne biržos išvestines finansines priemones reikalavimus, bet rinkos operatoriai įpareigoti pranešti tik ministerija</w:t>
      </w:r>
      <w:r>
        <w:rPr>
          <w:rFonts w:ascii="Times New Roman" w:hAnsi="Times New Roman"/>
          <w:noProof/>
          <w:sz w:val="24"/>
        </w:rPr>
        <w:t>i ir sandorių duomenų saugykloms, o ne visuomenei. Tačiau savireguliacijos organizacijos paskelbė konkrečius reikalavimus skelbti ne nuosavo kapitalo finansinių priemonių referencines kainas. Kiek tai susiję su veiklos skaidrumu, BoJ neskelbia informacijos</w:t>
      </w:r>
      <w:r>
        <w:rPr>
          <w:rFonts w:ascii="Times New Roman" w:hAnsi="Times New Roman"/>
          <w:noProof/>
          <w:sz w:val="24"/>
        </w:rPr>
        <w:t xml:space="preserve"> iš anksto, bet skelbia apibendrintus aukcionų rezultatus po kiekvieno įvykusio sandorio. </w:t>
      </w:r>
    </w:p>
    <w:p w:rsidR="0053415C" w:rsidRDefault="0053415C">
      <w:pPr>
        <w:spacing w:after="0"/>
        <w:jc w:val="both"/>
        <w:rPr>
          <w:rFonts w:ascii="Times New Roman" w:hAnsi="Times New Roman" w:cs="Times New Roman"/>
          <w:noProof/>
          <w:sz w:val="24"/>
          <w:szCs w:val="24"/>
        </w:rPr>
      </w:pP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Prekybos su ES sandorių šalimis arba prekybos į ES biržų sąrašus įtrauktomis finansinėmis priemonėmis apimtis maža.</w:t>
      </w:r>
    </w:p>
    <w:p w:rsidR="0053415C" w:rsidRDefault="0053415C">
      <w:pPr>
        <w:spacing w:after="0"/>
        <w:jc w:val="both"/>
        <w:rPr>
          <w:rFonts w:ascii="Times New Roman" w:hAnsi="Times New Roman" w:cs="Times New Roman"/>
          <w:noProof/>
          <w:sz w:val="24"/>
          <w:szCs w:val="24"/>
        </w:rPr>
      </w:pPr>
    </w:p>
    <w:p w:rsidR="0053415C" w:rsidRDefault="0043283A">
      <w:pPr>
        <w:keepNext/>
        <w:spacing w:after="0"/>
        <w:jc w:val="both"/>
        <w:rPr>
          <w:rFonts w:ascii="Times New Roman" w:hAnsi="Times New Roman" w:cs="Times New Roman"/>
          <w:i/>
          <w:noProof/>
          <w:sz w:val="24"/>
          <w:szCs w:val="24"/>
        </w:rPr>
      </w:pPr>
      <w:r>
        <w:rPr>
          <w:rFonts w:ascii="Times New Roman" w:hAnsi="Times New Roman"/>
          <w:i/>
          <w:noProof/>
          <w:sz w:val="24"/>
        </w:rPr>
        <w:t>Papildomi kriterijai</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 xml:space="preserve">Užsienio centriniams </w:t>
      </w:r>
      <w:r>
        <w:rPr>
          <w:rFonts w:ascii="Times New Roman" w:hAnsi="Times New Roman"/>
          <w:noProof/>
          <w:sz w:val="24"/>
        </w:rPr>
        <w:t>bankams išimtis dėl skaidrumo reikalavimų gali būti taikoma pagal bendrąją nuostatą dėl konfidencialumo, kuri taikoma atvejams, kai atskleidus informaciją būtų padaryta žala santykiams su trečiosiomis valstybėmis.</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BoJ gali atskirti sandorius politikos tiks</w:t>
      </w:r>
      <w:r>
        <w:rPr>
          <w:rFonts w:ascii="Times New Roman" w:hAnsi="Times New Roman"/>
          <w:noProof/>
          <w:sz w:val="24"/>
        </w:rPr>
        <w:t>lais ir sandorius vien tik investavimo tikslais, kurių vaidmuo nedidelis.</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Galiausiai, nors įstaiga ir neturi procedūros, pagal kurią sandorio šalims galėtų pranešti apie išimties prekybai su ES finansų sandorių šalimis egzistavimą, ji yra pasirengusi ją įg</w:t>
      </w:r>
      <w:r>
        <w:rPr>
          <w:rFonts w:ascii="Times New Roman" w:hAnsi="Times New Roman"/>
          <w:noProof/>
          <w:sz w:val="24"/>
        </w:rPr>
        <w:t>yvendinti, kai tik pradės veikti FPRR tvarka.</w:t>
      </w:r>
    </w:p>
    <w:p w:rsidR="0053415C" w:rsidRDefault="0053415C">
      <w:pPr>
        <w:spacing w:after="0"/>
        <w:jc w:val="both"/>
        <w:rPr>
          <w:rFonts w:ascii="Times New Roman" w:hAnsi="Times New Roman" w:cs="Times New Roman"/>
          <w:noProof/>
          <w:sz w:val="24"/>
          <w:szCs w:val="24"/>
        </w:rPr>
      </w:pPr>
    </w:p>
    <w:p w:rsidR="0053415C" w:rsidRDefault="0043283A">
      <w:pPr>
        <w:jc w:val="both"/>
        <w:rPr>
          <w:rFonts w:ascii="Times New Roman" w:hAnsi="Times New Roman" w:cs="Times New Roman"/>
          <w:b/>
          <w:noProof/>
          <w:sz w:val="24"/>
          <w:szCs w:val="24"/>
        </w:rPr>
      </w:pPr>
      <w:r>
        <w:rPr>
          <w:rFonts w:ascii="Times New Roman" w:hAnsi="Times New Roman"/>
          <w:b/>
          <w:noProof/>
          <w:sz w:val="24"/>
        </w:rPr>
        <w:t>Meksikos bankas („Banxico“)</w:t>
      </w:r>
    </w:p>
    <w:p w:rsidR="0053415C" w:rsidRDefault="0043283A">
      <w:pPr>
        <w:spacing w:after="0"/>
        <w:jc w:val="both"/>
        <w:rPr>
          <w:rFonts w:ascii="Times New Roman" w:hAnsi="Times New Roman" w:cs="Times New Roman"/>
          <w:i/>
          <w:noProof/>
          <w:sz w:val="24"/>
          <w:szCs w:val="24"/>
        </w:rPr>
      </w:pPr>
      <w:r>
        <w:rPr>
          <w:rFonts w:ascii="Times New Roman" w:hAnsi="Times New Roman"/>
          <w:i/>
          <w:noProof/>
          <w:sz w:val="24"/>
        </w:rPr>
        <w:t>Pagrindiniai kriterijai</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„Banxico“ neturi privalomų taisyklių dėl prekybos ne nuosavo kapitalo priemonėmis skaidrumo. Tačiau savireguliacijos taisyklės apima reikalavimus nurodyti ka</w:t>
      </w:r>
      <w:r>
        <w:rPr>
          <w:rFonts w:ascii="Times New Roman" w:hAnsi="Times New Roman"/>
          <w:noProof/>
          <w:sz w:val="24"/>
        </w:rPr>
        <w:t xml:space="preserve">iną. Kalbant apie veiklos skaidrumą, prieš aukcionus informaciniame biuletenyje „Banxico“ skelbia pagrindinę informaciją, įskaitant operacijos numatomą sumą ir rūšį. </w:t>
      </w:r>
    </w:p>
    <w:p w:rsidR="0053415C" w:rsidRDefault="0053415C">
      <w:pPr>
        <w:spacing w:after="0"/>
        <w:jc w:val="both"/>
        <w:rPr>
          <w:rFonts w:ascii="Times New Roman" w:hAnsi="Times New Roman" w:cs="Times New Roman"/>
          <w:noProof/>
          <w:sz w:val="24"/>
          <w:szCs w:val="24"/>
        </w:rPr>
      </w:pP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 xml:space="preserve">„Banxico“ prekybos su ES sandorių šalimis arba prekybos į ES biržų sąrašus įtrauktomis </w:t>
      </w:r>
      <w:r>
        <w:rPr>
          <w:rFonts w:ascii="Times New Roman" w:hAnsi="Times New Roman"/>
          <w:noProof/>
          <w:sz w:val="24"/>
        </w:rPr>
        <w:t>finansinėmis priemonėmis apimtis maža.</w:t>
      </w:r>
    </w:p>
    <w:p w:rsidR="0053415C" w:rsidRDefault="0053415C">
      <w:pPr>
        <w:spacing w:after="0"/>
        <w:jc w:val="both"/>
        <w:rPr>
          <w:rFonts w:ascii="Times New Roman" w:hAnsi="Times New Roman" w:cs="Times New Roman"/>
          <w:noProof/>
          <w:sz w:val="24"/>
          <w:szCs w:val="24"/>
        </w:rPr>
      </w:pPr>
    </w:p>
    <w:p w:rsidR="0053415C" w:rsidRDefault="0043283A">
      <w:pPr>
        <w:spacing w:after="0"/>
        <w:jc w:val="both"/>
        <w:rPr>
          <w:rFonts w:ascii="Times New Roman" w:hAnsi="Times New Roman" w:cs="Times New Roman"/>
          <w:i/>
          <w:noProof/>
          <w:sz w:val="24"/>
          <w:szCs w:val="24"/>
        </w:rPr>
      </w:pPr>
      <w:r>
        <w:rPr>
          <w:rFonts w:ascii="Times New Roman" w:hAnsi="Times New Roman"/>
          <w:i/>
          <w:noProof/>
          <w:sz w:val="24"/>
        </w:rPr>
        <w:t>Papildomi kriterijai</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Užsienio centrinių bankų sandoriams išimtis dėl skaidrumo reikalavimų netaikoma. „Banxico“ gali atskirti sandorius politikos tikslais ir sandorius vien tik investavimo tikslais, kurių vaidmuo ned</w:t>
      </w:r>
      <w:r>
        <w:rPr>
          <w:rFonts w:ascii="Times New Roman" w:hAnsi="Times New Roman"/>
          <w:noProof/>
          <w:sz w:val="24"/>
        </w:rPr>
        <w:t>idelis.</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Galiausiai, „Banxico“ turi procedūrą, pagal kurią sandorio šalims gali pranešti apie išimties prekybai su ES finansų sandorių šalimis egzistavimą.</w:t>
      </w:r>
    </w:p>
    <w:p w:rsidR="0053415C" w:rsidRDefault="0053415C">
      <w:pPr>
        <w:spacing w:after="0"/>
        <w:jc w:val="both"/>
        <w:rPr>
          <w:rFonts w:ascii="Times New Roman" w:hAnsi="Times New Roman" w:cs="Times New Roman"/>
          <w:noProof/>
          <w:sz w:val="24"/>
          <w:szCs w:val="24"/>
        </w:rPr>
      </w:pPr>
    </w:p>
    <w:p w:rsidR="0053415C" w:rsidRDefault="0043283A">
      <w:pPr>
        <w:jc w:val="both"/>
        <w:rPr>
          <w:rFonts w:ascii="Times New Roman" w:hAnsi="Times New Roman" w:cs="Times New Roman"/>
          <w:b/>
          <w:noProof/>
          <w:sz w:val="24"/>
          <w:szCs w:val="24"/>
        </w:rPr>
      </w:pPr>
      <w:r>
        <w:rPr>
          <w:rFonts w:ascii="Times New Roman" w:hAnsi="Times New Roman"/>
          <w:b/>
          <w:noProof/>
          <w:sz w:val="24"/>
        </w:rPr>
        <w:t>Singapūro pinigų institucija (angl. MAS)</w:t>
      </w:r>
    </w:p>
    <w:p w:rsidR="0053415C" w:rsidRDefault="0043283A">
      <w:pPr>
        <w:spacing w:after="0"/>
        <w:jc w:val="both"/>
        <w:rPr>
          <w:rFonts w:ascii="Times New Roman" w:hAnsi="Times New Roman" w:cs="Times New Roman"/>
          <w:i/>
          <w:noProof/>
          <w:sz w:val="24"/>
          <w:szCs w:val="24"/>
        </w:rPr>
      </w:pPr>
      <w:r>
        <w:rPr>
          <w:rFonts w:ascii="Times New Roman" w:hAnsi="Times New Roman"/>
          <w:i/>
          <w:noProof/>
          <w:sz w:val="24"/>
        </w:rPr>
        <w:t>Pagrindiniai kriterijai</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Kiek tai susiję su rinkos skaidrumu</w:t>
      </w:r>
      <w:r>
        <w:rPr>
          <w:rFonts w:ascii="Times New Roman" w:hAnsi="Times New Roman"/>
          <w:noProof/>
          <w:sz w:val="24"/>
        </w:rPr>
        <w:t>, pagal MAS paskelbtas Rinkų reguliavimo gaires taikant Vertybinių popierių ir ateities sandorių įstatymą nustatomas įpareigojimas teikti informaciją iki sandorio sudarymo (geriausios pirkimo ir pardavimo kainos) ir po sandorio sudarymo (įvykdytų sandorių)</w:t>
      </w:r>
      <w:r>
        <w:rPr>
          <w:rFonts w:ascii="Times New Roman" w:hAnsi="Times New Roman"/>
          <w:noProof/>
          <w:sz w:val="24"/>
        </w:rPr>
        <w:t xml:space="preserve">. Šios taisyklės ir gairės taikomos biržoms ir pripažintiems rinkos operatoriams, bet ne prekiautojams. Kalbant apie veiklos skaidrumą, MAS rinkos dalyviams skelbia aukcionų sąlygas ir aukcionų rezultatus. </w:t>
      </w:r>
    </w:p>
    <w:p w:rsidR="0053415C" w:rsidRDefault="0053415C">
      <w:pPr>
        <w:spacing w:after="0"/>
        <w:jc w:val="both"/>
        <w:rPr>
          <w:rFonts w:ascii="Times New Roman" w:hAnsi="Times New Roman" w:cs="Times New Roman"/>
          <w:noProof/>
          <w:sz w:val="24"/>
          <w:szCs w:val="24"/>
        </w:rPr>
      </w:pP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MAS prekybos su ES sandorių šalimis arba prekybo</w:t>
      </w:r>
      <w:r>
        <w:rPr>
          <w:rFonts w:ascii="Times New Roman" w:hAnsi="Times New Roman"/>
          <w:noProof/>
          <w:sz w:val="24"/>
        </w:rPr>
        <w:t>s į ES biržų sąrašus įtrauktomis finansinėmis priemonėmis apimtis didelė.</w:t>
      </w:r>
    </w:p>
    <w:p w:rsidR="0053415C" w:rsidRDefault="0053415C">
      <w:pPr>
        <w:spacing w:after="0"/>
        <w:jc w:val="both"/>
        <w:rPr>
          <w:rFonts w:ascii="Times New Roman" w:hAnsi="Times New Roman" w:cs="Times New Roman"/>
          <w:i/>
          <w:noProof/>
          <w:sz w:val="24"/>
          <w:szCs w:val="24"/>
        </w:rPr>
      </w:pPr>
    </w:p>
    <w:p w:rsidR="0053415C" w:rsidRDefault="0043283A">
      <w:pPr>
        <w:keepNext/>
        <w:spacing w:after="0"/>
        <w:jc w:val="both"/>
        <w:rPr>
          <w:rFonts w:ascii="Times New Roman" w:hAnsi="Times New Roman" w:cs="Times New Roman"/>
          <w:noProof/>
          <w:sz w:val="24"/>
          <w:szCs w:val="24"/>
        </w:rPr>
      </w:pPr>
      <w:r>
        <w:rPr>
          <w:rFonts w:ascii="Times New Roman" w:hAnsi="Times New Roman"/>
          <w:i/>
          <w:noProof/>
          <w:sz w:val="24"/>
        </w:rPr>
        <w:t>Papildomi kriterijai</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MAS užsienio centrinių bankų šalies vidaus sandoriams išimties dėl skaidrumo reikalavimų netaiko. MAS gali atskirti sandorius politikos tikslais ir sandorius vi</w:t>
      </w:r>
      <w:r>
        <w:rPr>
          <w:rFonts w:ascii="Times New Roman" w:hAnsi="Times New Roman"/>
          <w:noProof/>
          <w:sz w:val="24"/>
        </w:rPr>
        <w:t>en tik investavimo tikslais, kurių vaidmuo nedidelis.</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Galiausiai, nors MAS ir neturi procedūros, pagal kurią sandorio šalims galėtų pranešti apie išimties prekybai su ES finansų sandorių šalimis egzistavimą, ji yra pasirengusi ją įgyvendinti, kai tik pradė</w:t>
      </w:r>
      <w:r>
        <w:rPr>
          <w:rFonts w:ascii="Times New Roman" w:hAnsi="Times New Roman"/>
          <w:noProof/>
          <w:sz w:val="24"/>
        </w:rPr>
        <w:t>s veikti FPRR tvarka.</w:t>
      </w:r>
    </w:p>
    <w:p w:rsidR="0053415C" w:rsidRDefault="0053415C">
      <w:pPr>
        <w:spacing w:after="0"/>
        <w:jc w:val="both"/>
        <w:rPr>
          <w:rFonts w:ascii="Times New Roman" w:hAnsi="Times New Roman" w:cs="Times New Roman"/>
          <w:noProof/>
          <w:sz w:val="24"/>
          <w:szCs w:val="24"/>
        </w:rPr>
      </w:pPr>
    </w:p>
    <w:p w:rsidR="0053415C" w:rsidRDefault="0053415C">
      <w:pPr>
        <w:spacing w:after="0"/>
        <w:jc w:val="both"/>
        <w:rPr>
          <w:rFonts w:ascii="Times New Roman" w:hAnsi="Times New Roman" w:cs="Times New Roman"/>
          <w:noProof/>
          <w:sz w:val="24"/>
          <w:szCs w:val="24"/>
        </w:rPr>
      </w:pPr>
    </w:p>
    <w:p w:rsidR="0053415C" w:rsidRDefault="0043283A">
      <w:pPr>
        <w:jc w:val="both"/>
        <w:rPr>
          <w:rFonts w:ascii="Times New Roman" w:hAnsi="Times New Roman" w:cs="Times New Roman"/>
          <w:b/>
          <w:noProof/>
          <w:sz w:val="24"/>
          <w:szCs w:val="24"/>
        </w:rPr>
      </w:pPr>
      <w:bookmarkStart w:id="7" w:name="_Toc413169346"/>
      <w:bookmarkStart w:id="8" w:name="_Toc412950570"/>
      <w:bookmarkStart w:id="9" w:name="_Toc412947408"/>
      <w:bookmarkStart w:id="10" w:name="_Toc412933640"/>
      <w:bookmarkStart w:id="11" w:name="_Toc418165668"/>
      <w:r>
        <w:rPr>
          <w:rFonts w:ascii="Times New Roman" w:hAnsi="Times New Roman"/>
          <w:b/>
          <w:noProof/>
          <w:sz w:val="24"/>
        </w:rPr>
        <w:t>Korėjos bankas (angl. BoK)</w:t>
      </w:r>
      <w:bookmarkEnd w:id="7"/>
      <w:bookmarkEnd w:id="8"/>
      <w:bookmarkEnd w:id="9"/>
      <w:bookmarkEnd w:id="10"/>
      <w:bookmarkEnd w:id="11"/>
    </w:p>
    <w:p w:rsidR="0053415C" w:rsidRDefault="0043283A">
      <w:pPr>
        <w:spacing w:after="0"/>
        <w:jc w:val="both"/>
        <w:rPr>
          <w:rFonts w:ascii="Times New Roman" w:hAnsi="Times New Roman" w:cs="Times New Roman"/>
          <w:i/>
          <w:noProof/>
          <w:sz w:val="24"/>
          <w:szCs w:val="24"/>
        </w:rPr>
      </w:pPr>
      <w:r>
        <w:rPr>
          <w:rFonts w:ascii="Times New Roman" w:hAnsi="Times New Roman"/>
          <w:i/>
          <w:noProof/>
          <w:sz w:val="24"/>
        </w:rPr>
        <w:t>Pagrindiniai kriterijai</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Privalomose taisyklėse nėra jokių rinkos skaidrumo reikalavimų ne nuosavo kapitalo priemonėms. Tačiau rinkos savireguliacijos taisyklėse yra skaidrumo įpareigojimų dėl ne nuosavo ka</w:t>
      </w:r>
      <w:r>
        <w:rPr>
          <w:rFonts w:ascii="Times New Roman" w:hAnsi="Times New Roman"/>
          <w:noProof/>
          <w:sz w:val="24"/>
        </w:rPr>
        <w:t>pitalo priemonių, kuriomis BoK paprastai prekiauja, referencinių kainų. Kiek tai susiję su veiklos skaidrumu, BoK skelbia apibendrintą informaciją apie savo balanso straipsnius. Užsienio valiutos valdymo klausimu BoK skelbia apibendrintą informaciją apie s</w:t>
      </w:r>
      <w:r>
        <w:rPr>
          <w:rFonts w:ascii="Times New Roman" w:hAnsi="Times New Roman"/>
          <w:noProof/>
          <w:sz w:val="24"/>
        </w:rPr>
        <w:t>avo užsienio turto investicijų dalį.</w:t>
      </w:r>
    </w:p>
    <w:p w:rsidR="0053415C" w:rsidRDefault="0053415C">
      <w:pPr>
        <w:spacing w:after="0"/>
        <w:jc w:val="both"/>
        <w:rPr>
          <w:rFonts w:ascii="Times New Roman" w:hAnsi="Times New Roman" w:cs="Times New Roman"/>
          <w:noProof/>
          <w:sz w:val="24"/>
          <w:szCs w:val="24"/>
        </w:rPr>
      </w:pP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BoK prekybos su ES sandorių šalimis arba prekybos į ES biržų sąrašus įtrauktomis finansinėmis priemonėmis apimtis didelė.</w:t>
      </w:r>
    </w:p>
    <w:p w:rsidR="0053415C" w:rsidRDefault="0053415C">
      <w:pPr>
        <w:spacing w:after="0"/>
        <w:jc w:val="both"/>
        <w:rPr>
          <w:rFonts w:ascii="Times New Roman" w:hAnsi="Times New Roman" w:cs="Times New Roman"/>
          <w:noProof/>
          <w:sz w:val="24"/>
          <w:szCs w:val="24"/>
        </w:rPr>
      </w:pPr>
    </w:p>
    <w:p w:rsidR="0053415C" w:rsidRDefault="0043283A">
      <w:pPr>
        <w:spacing w:after="0"/>
        <w:jc w:val="both"/>
        <w:rPr>
          <w:rFonts w:ascii="Times New Roman" w:hAnsi="Times New Roman" w:cs="Times New Roman"/>
          <w:i/>
          <w:noProof/>
          <w:sz w:val="24"/>
          <w:szCs w:val="24"/>
        </w:rPr>
      </w:pPr>
      <w:r>
        <w:rPr>
          <w:rFonts w:ascii="Times New Roman" w:hAnsi="Times New Roman"/>
          <w:i/>
          <w:noProof/>
          <w:sz w:val="24"/>
        </w:rPr>
        <w:t>Papildomi kriterijai</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Užsienio centrinių bankų šalies vidaus sandoriams išimtis dėl skaidrumo re</w:t>
      </w:r>
      <w:r>
        <w:rPr>
          <w:rFonts w:ascii="Times New Roman" w:hAnsi="Times New Roman"/>
          <w:noProof/>
          <w:sz w:val="24"/>
        </w:rPr>
        <w:t>ikalavimų netaikoma.</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BoK gali atskirti sandorius politikos tikslais ir sandorius vien tik investavimo tikslais, kurių vaidmuo nedidelis.</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 xml:space="preserve">Galiausiai, nors BoK ir neturi procedūros, pagal kurią ES sandorio šalims galėtų pranešti apie išimties prekybai su ES </w:t>
      </w:r>
      <w:r>
        <w:rPr>
          <w:rFonts w:ascii="Times New Roman" w:hAnsi="Times New Roman"/>
          <w:noProof/>
          <w:sz w:val="24"/>
        </w:rPr>
        <w:t>finansų sandorių šalimis egzistavimą, jis yra pasirengęs ją įgyvendinti, kai tik pradės veikti FPRR tvarka.</w:t>
      </w:r>
    </w:p>
    <w:p w:rsidR="0053415C" w:rsidRDefault="0053415C">
      <w:pPr>
        <w:spacing w:after="0"/>
        <w:jc w:val="both"/>
        <w:rPr>
          <w:rFonts w:ascii="Times New Roman" w:hAnsi="Times New Roman" w:cs="Times New Roman"/>
          <w:noProof/>
          <w:sz w:val="24"/>
          <w:szCs w:val="24"/>
        </w:rPr>
      </w:pPr>
    </w:p>
    <w:p w:rsidR="0053415C" w:rsidRDefault="0043283A">
      <w:pPr>
        <w:jc w:val="both"/>
        <w:rPr>
          <w:rFonts w:ascii="Times New Roman" w:hAnsi="Times New Roman" w:cs="Times New Roman"/>
          <w:b/>
          <w:noProof/>
          <w:sz w:val="24"/>
          <w:szCs w:val="24"/>
        </w:rPr>
      </w:pPr>
      <w:r>
        <w:rPr>
          <w:rFonts w:ascii="Times New Roman" w:hAnsi="Times New Roman"/>
          <w:b/>
          <w:noProof/>
          <w:sz w:val="24"/>
        </w:rPr>
        <w:t>Šveicarijos nacionalinis bankas (angl. SNB)</w:t>
      </w:r>
    </w:p>
    <w:p w:rsidR="0053415C" w:rsidRDefault="0043283A">
      <w:pPr>
        <w:spacing w:after="0"/>
        <w:jc w:val="both"/>
        <w:rPr>
          <w:rFonts w:ascii="Times New Roman" w:hAnsi="Times New Roman" w:cs="Times New Roman"/>
          <w:i/>
          <w:noProof/>
          <w:sz w:val="24"/>
          <w:szCs w:val="24"/>
        </w:rPr>
      </w:pPr>
      <w:r>
        <w:rPr>
          <w:rFonts w:ascii="Times New Roman" w:hAnsi="Times New Roman"/>
          <w:i/>
          <w:noProof/>
          <w:sz w:val="24"/>
        </w:rPr>
        <w:t>Pagrindiniai kriterijai</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Kiek tai susiję su rinkos skaidrumu, ne nuosavo kapitalo priemonėms taikomi pranešimo reikalavimai, taip pat didelei daliai savo sandorių vykdyti SNB naudoja platformą „SIX Repo“, kuri skirta atpirkimo sandoriams tarpbankinėje rinkoje ir kurioje taikomi sk</w:t>
      </w:r>
      <w:r>
        <w:rPr>
          <w:rFonts w:ascii="Times New Roman" w:hAnsi="Times New Roman"/>
          <w:noProof/>
          <w:sz w:val="24"/>
        </w:rPr>
        <w:t xml:space="preserve">aidrumo reikalavimai iki ir po sandorio sudarymo. Dėl veiklos skaidrumo SNB visuomenei skelbia išsamią informaciją apie savo atvirosios rinkos operacijas ir nuolatines galimybes. </w:t>
      </w:r>
    </w:p>
    <w:p w:rsidR="0053415C" w:rsidRDefault="0053415C">
      <w:pPr>
        <w:spacing w:after="0"/>
        <w:jc w:val="both"/>
        <w:rPr>
          <w:rFonts w:ascii="Times New Roman" w:hAnsi="Times New Roman" w:cs="Times New Roman"/>
          <w:noProof/>
          <w:sz w:val="24"/>
          <w:szCs w:val="24"/>
        </w:rPr>
      </w:pP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SNB prekybos su ES sandorių šalimis arba prekybos į ES biržų sąrašus įtrauk</w:t>
      </w:r>
      <w:r>
        <w:rPr>
          <w:rFonts w:ascii="Times New Roman" w:hAnsi="Times New Roman"/>
          <w:noProof/>
          <w:sz w:val="24"/>
        </w:rPr>
        <w:t>tomis finansinėmis priemonėmis apimtis didelė.</w:t>
      </w:r>
    </w:p>
    <w:p w:rsidR="0053415C" w:rsidRDefault="0053415C">
      <w:pPr>
        <w:spacing w:after="0"/>
        <w:jc w:val="both"/>
        <w:rPr>
          <w:rFonts w:ascii="Times New Roman" w:hAnsi="Times New Roman" w:cs="Times New Roman"/>
          <w:noProof/>
          <w:sz w:val="24"/>
          <w:szCs w:val="24"/>
        </w:rPr>
      </w:pPr>
    </w:p>
    <w:p w:rsidR="0053415C" w:rsidRDefault="0043283A">
      <w:pPr>
        <w:keepNext/>
        <w:spacing w:after="0"/>
        <w:jc w:val="both"/>
        <w:rPr>
          <w:rFonts w:ascii="Times New Roman" w:hAnsi="Times New Roman" w:cs="Times New Roman"/>
          <w:i/>
          <w:noProof/>
          <w:sz w:val="24"/>
          <w:szCs w:val="24"/>
        </w:rPr>
      </w:pPr>
      <w:r>
        <w:rPr>
          <w:rFonts w:ascii="Times New Roman" w:hAnsi="Times New Roman"/>
          <w:i/>
          <w:noProof/>
          <w:sz w:val="24"/>
        </w:rPr>
        <w:t>Papildomi kriterijai</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Užsienio centrinių bankų šalies vidaus sandoriams išimtis dėl skaidrumo reikalavimų netaikoma, bet klausimas dabar svarstomas. Be to, SNB gali atskirti sandorius politikos tikslais ir san</w:t>
      </w:r>
      <w:r>
        <w:rPr>
          <w:rFonts w:ascii="Times New Roman" w:hAnsi="Times New Roman"/>
          <w:noProof/>
          <w:sz w:val="24"/>
        </w:rPr>
        <w:t>dorius vien tik investavimo tikslais, kurių vaidmuo nedidelis.</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 xml:space="preserve">Galiausiai, nors SNB ir neturi procedūros, pagal kurią sandorio šalims galėtų pranešti apie išimties prekybai su ES finansų sandorių šalimis egzistavimą, jis yra pasirengęs ją įgyvendinti, kai </w:t>
      </w:r>
      <w:r>
        <w:rPr>
          <w:rFonts w:ascii="Times New Roman" w:hAnsi="Times New Roman"/>
          <w:noProof/>
          <w:sz w:val="24"/>
        </w:rPr>
        <w:t>tik pradės veikti FPRR tvarka.</w:t>
      </w:r>
    </w:p>
    <w:p w:rsidR="0053415C" w:rsidRDefault="0053415C">
      <w:pPr>
        <w:spacing w:after="0"/>
        <w:jc w:val="both"/>
        <w:rPr>
          <w:rFonts w:ascii="Times New Roman" w:hAnsi="Times New Roman" w:cs="Times New Roman"/>
          <w:noProof/>
          <w:sz w:val="24"/>
          <w:szCs w:val="24"/>
        </w:rPr>
      </w:pPr>
    </w:p>
    <w:p w:rsidR="0053415C" w:rsidRDefault="0043283A">
      <w:pPr>
        <w:keepNext/>
        <w:jc w:val="both"/>
        <w:rPr>
          <w:rFonts w:ascii="Times New Roman" w:hAnsi="Times New Roman" w:cs="Times New Roman"/>
          <w:b/>
          <w:noProof/>
          <w:sz w:val="24"/>
          <w:szCs w:val="24"/>
        </w:rPr>
      </w:pPr>
      <w:r>
        <w:rPr>
          <w:rFonts w:ascii="Times New Roman" w:hAnsi="Times New Roman"/>
          <w:b/>
          <w:noProof/>
          <w:sz w:val="24"/>
        </w:rPr>
        <w:t>Turkijos Respublikos centrinis bankas (angl. CBRT)</w:t>
      </w:r>
    </w:p>
    <w:p w:rsidR="0053415C" w:rsidRDefault="0043283A">
      <w:pPr>
        <w:keepNext/>
        <w:spacing w:after="0"/>
        <w:jc w:val="both"/>
        <w:rPr>
          <w:rFonts w:ascii="Times New Roman" w:hAnsi="Times New Roman" w:cs="Times New Roman"/>
          <w:i/>
          <w:noProof/>
          <w:sz w:val="24"/>
          <w:szCs w:val="24"/>
        </w:rPr>
      </w:pPr>
      <w:r>
        <w:rPr>
          <w:rFonts w:ascii="Times New Roman" w:hAnsi="Times New Roman"/>
          <w:i/>
          <w:noProof/>
          <w:sz w:val="24"/>
        </w:rPr>
        <w:t>Pagrindiniai kriterijai</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Turkija ne nuosavo kapitalo priemonėms (išskyrus ne biržos išvestines finansines priemones) turi skaidrumo reikalavimų, įtrauktų į privalomas taisykl</w:t>
      </w:r>
      <w:r>
        <w:rPr>
          <w:rFonts w:ascii="Times New Roman" w:hAnsi="Times New Roman"/>
          <w:noProof/>
          <w:sz w:val="24"/>
        </w:rPr>
        <w:t>es ir savireguliacijos taisykles. CBRT yra Stambulo biržos („Borsa Istanbul“) narys; jo ir kitų biržos narių prekybos ne nuosavo kapitalo priemonėmis per šią platformą apimtį atskleidžia birža. Dėl veiklos skaidrumo CBRT skelbia apibendrintą atvirosios rin</w:t>
      </w:r>
      <w:r>
        <w:rPr>
          <w:rFonts w:ascii="Times New Roman" w:hAnsi="Times New Roman"/>
          <w:noProof/>
          <w:sz w:val="24"/>
        </w:rPr>
        <w:t>kos operacijų informaciją, kaip antai apie atpirkimo sandorius ir atvirkštinius atpirkimo sandorius per aukcionus ir kotiruotes, vienakrypčius pirkimus per aukcionus ir kotiruotes, taip pat ir informaciją apie likvidumo vekselius. Stambulo birža atskleidži</w:t>
      </w:r>
      <w:r>
        <w:rPr>
          <w:rFonts w:ascii="Times New Roman" w:hAnsi="Times New Roman"/>
          <w:noProof/>
          <w:sz w:val="24"/>
        </w:rPr>
        <w:t>a CBRT prekybos per savo platformą apimtį. CBRT informaciją apie atsargų valdymo veiklą atskleidžia savo metinėje ataskaitoje (informaciją apie lyginamuosius investicijų rodiklius, bendrą informaciją apie portfelio sudėtį) ir kai kuriose mėnesinėse ataskai</w:t>
      </w:r>
      <w:r>
        <w:rPr>
          <w:rFonts w:ascii="Times New Roman" w:hAnsi="Times New Roman"/>
          <w:noProof/>
          <w:sz w:val="24"/>
        </w:rPr>
        <w:t xml:space="preserve">tose. </w:t>
      </w:r>
    </w:p>
    <w:p w:rsidR="0053415C" w:rsidRDefault="0053415C">
      <w:pPr>
        <w:spacing w:after="0"/>
        <w:jc w:val="both"/>
        <w:rPr>
          <w:rFonts w:ascii="Times New Roman" w:hAnsi="Times New Roman" w:cs="Times New Roman"/>
          <w:noProof/>
          <w:sz w:val="24"/>
          <w:szCs w:val="24"/>
        </w:rPr>
      </w:pP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Prekybos su ES sandorių šalimis arba prekybos į ES biržų sąrašus įtrauktomis finansinėmis priemonėmis apimtis didelė.</w:t>
      </w:r>
    </w:p>
    <w:p w:rsidR="0053415C" w:rsidRDefault="0053415C">
      <w:pPr>
        <w:spacing w:after="0"/>
        <w:jc w:val="both"/>
        <w:rPr>
          <w:rFonts w:ascii="Times New Roman" w:hAnsi="Times New Roman" w:cs="Times New Roman"/>
          <w:noProof/>
          <w:sz w:val="24"/>
          <w:szCs w:val="24"/>
        </w:rPr>
      </w:pPr>
    </w:p>
    <w:p w:rsidR="0053415C" w:rsidRDefault="0043283A">
      <w:pPr>
        <w:spacing w:after="0"/>
        <w:jc w:val="both"/>
        <w:rPr>
          <w:rFonts w:ascii="Times New Roman" w:hAnsi="Times New Roman" w:cs="Times New Roman"/>
          <w:i/>
          <w:noProof/>
          <w:sz w:val="24"/>
          <w:szCs w:val="24"/>
        </w:rPr>
      </w:pPr>
      <w:r>
        <w:rPr>
          <w:rFonts w:ascii="Times New Roman" w:hAnsi="Times New Roman"/>
          <w:i/>
          <w:noProof/>
          <w:sz w:val="24"/>
        </w:rPr>
        <w:t>Papildomi kriterijai</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Užsienio centrinių bankų šalies vidaus sandoriams išimtis dėl skaidrumo reikalavimų netaikoma. CBRT gali ats</w:t>
      </w:r>
      <w:r>
        <w:rPr>
          <w:rFonts w:ascii="Times New Roman" w:hAnsi="Times New Roman"/>
          <w:noProof/>
          <w:sz w:val="24"/>
        </w:rPr>
        <w:t>kirti sandorius politikos tikslais ir sandorius vien tik investavimo tikslais, kurių vaidmuo nedidelis.</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Galiausiai, nors CBRT ir neturi procedūros, pagal kurią ES sandorio šalims galėtų pranešti apie išimties prekybai su ES finansų sandorių šalimis egzista</w:t>
      </w:r>
      <w:r>
        <w:rPr>
          <w:rFonts w:ascii="Times New Roman" w:hAnsi="Times New Roman"/>
          <w:noProof/>
          <w:sz w:val="24"/>
        </w:rPr>
        <w:t>vimą, jis yra pasirengęs ją įgyvendinti, kai tik pradės veikti FPRR tvarka.</w:t>
      </w:r>
    </w:p>
    <w:p w:rsidR="0053415C" w:rsidRDefault="0053415C">
      <w:pPr>
        <w:spacing w:after="0"/>
        <w:jc w:val="both"/>
        <w:rPr>
          <w:rFonts w:ascii="Times New Roman" w:hAnsi="Times New Roman" w:cs="Times New Roman"/>
          <w:noProof/>
          <w:sz w:val="24"/>
          <w:szCs w:val="24"/>
        </w:rPr>
      </w:pPr>
    </w:p>
    <w:p w:rsidR="0053415C" w:rsidRDefault="0043283A">
      <w:pPr>
        <w:jc w:val="both"/>
        <w:rPr>
          <w:rFonts w:ascii="Times New Roman" w:hAnsi="Times New Roman" w:cs="Times New Roman"/>
          <w:b/>
          <w:bCs/>
          <w:noProof/>
          <w:sz w:val="24"/>
          <w:szCs w:val="24"/>
        </w:rPr>
      </w:pPr>
      <w:bookmarkStart w:id="12" w:name="_Toc418165671"/>
      <w:r>
        <w:rPr>
          <w:rFonts w:ascii="Times New Roman" w:hAnsi="Times New Roman"/>
          <w:b/>
          <w:noProof/>
          <w:sz w:val="24"/>
        </w:rPr>
        <w:t>Jungtinių Amerikos Valstijų Federalinio rezervo sistema – Niujorko federalinių rezervų bankas (angl. FRBNY)</w:t>
      </w:r>
      <w:bookmarkEnd w:id="12"/>
    </w:p>
    <w:p w:rsidR="0053415C" w:rsidRDefault="0043283A">
      <w:pPr>
        <w:spacing w:after="0"/>
        <w:jc w:val="both"/>
        <w:rPr>
          <w:rFonts w:ascii="Times New Roman" w:hAnsi="Times New Roman" w:cs="Times New Roman"/>
          <w:i/>
          <w:noProof/>
          <w:sz w:val="24"/>
          <w:szCs w:val="24"/>
        </w:rPr>
      </w:pPr>
      <w:r>
        <w:rPr>
          <w:rFonts w:ascii="Times New Roman" w:hAnsi="Times New Roman"/>
          <w:i/>
          <w:noProof/>
          <w:sz w:val="24"/>
        </w:rPr>
        <w:t>Pagrindiniai kriterijai</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Jungtinės Amerikos Valstijos turi išsamius ne n</w:t>
      </w:r>
      <w:r>
        <w:rPr>
          <w:rFonts w:ascii="Times New Roman" w:hAnsi="Times New Roman"/>
          <w:noProof/>
          <w:sz w:val="24"/>
        </w:rPr>
        <w:t>uosavo kapitalo priemonėms taikomus skaidrumo reikalavimus, išdėstytus savireguliacijos taisyklėse (Finansų sektoriaus reguliavimo institucijos FINRA pranešimų apie prekybą ir reikalavimų laikymąsi priemonė). Vyriausybės vertybiniams popieriams skaidrumo r</w:t>
      </w:r>
      <w:r>
        <w:rPr>
          <w:rFonts w:ascii="Times New Roman" w:hAnsi="Times New Roman"/>
          <w:noProof/>
          <w:sz w:val="24"/>
        </w:rPr>
        <w:t>eikalavimai netaikomi (nors asmenims, vykdantiems sandorius JAV iždo vertybiniais popieriais ir JAV agentūrų skoliniais įsipareigojimais, JAV doleriu denominuotu turtu užtikrintais ir hipoteka užtikrintais vertybiniais popieriais, taikomi reikalavimai pran</w:t>
      </w:r>
      <w:r>
        <w:rPr>
          <w:rFonts w:ascii="Times New Roman" w:hAnsi="Times New Roman"/>
          <w:noProof/>
          <w:sz w:val="24"/>
        </w:rPr>
        <w:t xml:space="preserve">ešti apie pozicijas). Dėl veiklos skaidrumo FRBNY skelbia išsamią informaciją apie savo sandorius prieš ir po jų sudarymo. </w:t>
      </w:r>
    </w:p>
    <w:p w:rsidR="0053415C" w:rsidRDefault="0053415C">
      <w:pPr>
        <w:spacing w:after="0"/>
        <w:jc w:val="both"/>
        <w:rPr>
          <w:rFonts w:ascii="Times New Roman" w:hAnsi="Times New Roman" w:cs="Times New Roman"/>
          <w:noProof/>
          <w:sz w:val="24"/>
          <w:szCs w:val="24"/>
        </w:rPr>
      </w:pP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FRBNY prekybos su ES sandorių šalimis arba prekybos į ES biržų sąrašus įtrauktomis finansinėmis priemonėmis apimtis maža.</w:t>
      </w:r>
    </w:p>
    <w:p w:rsidR="0053415C" w:rsidRDefault="0053415C">
      <w:pPr>
        <w:spacing w:after="0"/>
        <w:jc w:val="both"/>
        <w:rPr>
          <w:rFonts w:ascii="Times New Roman" w:hAnsi="Times New Roman" w:cs="Times New Roman"/>
          <w:noProof/>
          <w:sz w:val="24"/>
          <w:szCs w:val="24"/>
        </w:rPr>
      </w:pPr>
    </w:p>
    <w:p w:rsidR="0053415C" w:rsidRDefault="0043283A">
      <w:pPr>
        <w:keepNext/>
        <w:spacing w:after="0"/>
        <w:jc w:val="both"/>
        <w:rPr>
          <w:rFonts w:ascii="Times New Roman" w:hAnsi="Times New Roman" w:cs="Times New Roman"/>
          <w:i/>
          <w:noProof/>
          <w:sz w:val="24"/>
          <w:szCs w:val="24"/>
        </w:rPr>
      </w:pPr>
      <w:r>
        <w:rPr>
          <w:rFonts w:ascii="Times New Roman" w:hAnsi="Times New Roman"/>
          <w:i/>
          <w:noProof/>
          <w:sz w:val="24"/>
        </w:rPr>
        <w:t>Papildomi kriterijai</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Užsienio centrinių bankų sandoriams išimtis dėl skaidrumo reikalavimų iš esmės netaikoma, tačiau jiems gali būti taikoma išimtis dėl valstybės obligacijų ir vertybinių popierių užsienio valiuta. Ne biržos išvestinių finansinių priemoni</w:t>
      </w:r>
      <w:r>
        <w:rPr>
          <w:rFonts w:ascii="Times New Roman" w:hAnsi="Times New Roman"/>
          <w:noProof/>
          <w:sz w:val="24"/>
        </w:rPr>
        <w:t xml:space="preserve">ų sandoriams su užsienio centriniais bankais išimtis nėra kategoriškai taikoma (nors taikoma ne biržos išvestinėms finansinėms priemonėms su JAV valdžios institucijomis). </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FRBNY gali atskirti sandorius politikos tikslais ir sandorius vien tik investavimo t</w:t>
      </w:r>
      <w:r>
        <w:rPr>
          <w:rFonts w:ascii="Times New Roman" w:hAnsi="Times New Roman"/>
          <w:noProof/>
          <w:sz w:val="24"/>
        </w:rPr>
        <w:t>ikslais, kurių vaidmuo nedidelis.</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Galiausiai, FRBNY turi procedūrą, pagal kurią ES sandorių šalims gali pranešti apie išimties prekybai su ES finansų sandorių šalimis egzistavimą.</w:t>
      </w:r>
    </w:p>
    <w:p w:rsidR="0053415C" w:rsidRDefault="0053415C">
      <w:pPr>
        <w:spacing w:after="0"/>
        <w:jc w:val="both"/>
        <w:rPr>
          <w:rFonts w:ascii="Times New Roman" w:hAnsi="Times New Roman" w:cs="Times New Roman"/>
          <w:noProof/>
          <w:sz w:val="24"/>
          <w:szCs w:val="24"/>
        </w:rPr>
      </w:pPr>
    </w:p>
    <w:p w:rsidR="0053415C" w:rsidRDefault="0043283A">
      <w:pPr>
        <w:jc w:val="both"/>
        <w:rPr>
          <w:rFonts w:ascii="Times New Roman" w:hAnsi="Times New Roman" w:cs="Times New Roman"/>
          <w:b/>
          <w:noProof/>
          <w:sz w:val="24"/>
          <w:szCs w:val="24"/>
        </w:rPr>
      </w:pPr>
      <w:r>
        <w:rPr>
          <w:rFonts w:ascii="Times New Roman" w:hAnsi="Times New Roman"/>
          <w:b/>
          <w:noProof/>
          <w:sz w:val="24"/>
        </w:rPr>
        <w:t>Tarptautinių atsiskaitymų bankas (TAB)</w:t>
      </w:r>
    </w:p>
    <w:p w:rsidR="0053415C" w:rsidRDefault="0043283A">
      <w:pPr>
        <w:spacing w:after="0"/>
        <w:jc w:val="both"/>
        <w:rPr>
          <w:rFonts w:ascii="Times New Roman" w:hAnsi="Times New Roman" w:cs="Times New Roman"/>
          <w:i/>
          <w:noProof/>
          <w:sz w:val="24"/>
          <w:szCs w:val="24"/>
        </w:rPr>
      </w:pPr>
      <w:r>
        <w:rPr>
          <w:rFonts w:ascii="Times New Roman" w:hAnsi="Times New Roman"/>
          <w:i/>
          <w:noProof/>
          <w:sz w:val="24"/>
        </w:rPr>
        <w:t>Pagrindiniai kriterijai</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Nors TAB įtr</w:t>
      </w:r>
      <w:r>
        <w:rPr>
          <w:rFonts w:ascii="Times New Roman" w:hAnsi="Times New Roman"/>
          <w:noProof/>
          <w:sz w:val="24"/>
        </w:rPr>
        <w:t>auktas į Šveicarijos sistemą, vidaus rinkos skaidrumo tvarka TAB sandoriams netaikoma. Kiek tai susiję su veiklos skaidrumu TAB skelbia apibendrintą informaciją. TAB sandorių šalys yra centriniai bankai, pinigų institucijos ir tarptautinės viešosios instit</w:t>
      </w:r>
      <w:r>
        <w:rPr>
          <w:rFonts w:ascii="Times New Roman" w:hAnsi="Times New Roman"/>
          <w:noProof/>
          <w:sz w:val="24"/>
        </w:rPr>
        <w:t>ucijos.</w:t>
      </w:r>
    </w:p>
    <w:p w:rsidR="0053415C" w:rsidRDefault="0053415C">
      <w:pPr>
        <w:spacing w:after="0"/>
        <w:jc w:val="both"/>
        <w:rPr>
          <w:rFonts w:ascii="Times New Roman" w:hAnsi="Times New Roman" w:cs="Times New Roman"/>
          <w:noProof/>
          <w:sz w:val="24"/>
          <w:szCs w:val="24"/>
        </w:rPr>
      </w:pP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Prekybos su ES sandorių šalimis arba prekybos į ES biržų sąrašus įtrauktomis finansinėmis priemonėmis apimtis didelė.</w:t>
      </w:r>
    </w:p>
    <w:p w:rsidR="0053415C" w:rsidRDefault="0053415C">
      <w:pPr>
        <w:spacing w:after="0"/>
        <w:jc w:val="both"/>
        <w:rPr>
          <w:rFonts w:ascii="Times New Roman" w:hAnsi="Times New Roman" w:cs="Times New Roman"/>
          <w:noProof/>
          <w:sz w:val="24"/>
          <w:szCs w:val="24"/>
        </w:rPr>
      </w:pPr>
    </w:p>
    <w:p w:rsidR="0053415C" w:rsidRDefault="0043283A">
      <w:pPr>
        <w:spacing w:after="0"/>
        <w:jc w:val="both"/>
        <w:rPr>
          <w:rFonts w:ascii="Times New Roman" w:hAnsi="Times New Roman" w:cs="Times New Roman"/>
          <w:i/>
          <w:noProof/>
          <w:sz w:val="24"/>
          <w:szCs w:val="24"/>
        </w:rPr>
      </w:pPr>
      <w:r>
        <w:rPr>
          <w:rFonts w:ascii="Times New Roman" w:hAnsi="Times New Roman"/>
          <w:i/>
          <w:noProof/>
          <w:sz w:val="24"/>
        </w:rPr>
        <w:t>Papildomi kriterijai</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 xml:space="preserve">TAB atveju išimtis užsienio centriniams bankams netaikoma, nes jų sandoriams šalies (Šveicarijos) vidaus </w:t>
      </w:r>
      <w:r>
        <w:rPr>
          <w:rFonts w:ascii="Times New Roman" w:hAnsi="Times New Roman"/>
          <w:noProof/>
          <w:sz w:val="24"/>
        </w:rPr>
        <w:t>teisė netaikoma.</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TAB gali atskirti sandorius politikos tikslais ir sandorius vien tik investavimo tikslais, kurių vaidmuo nedidelis.</w:t>
      </w:r>
    </w:p>
    <w:p w:rsidR="0053415C" w:rsidRDefault="0043283A">
      <w:pPr>
        <w:spacing w:after="0"/>
        <w:jc w:val="both"/>
        <w:rPr>
          <w:rFonts w:ascii="Times New Roman" w:hAnsi="Times New Roman" w:cs="Times New Roman"/>
          <w:noProof/>
          <w:sz w:val="24"/>
          <w:szCs w:val="24"/>
        </w:rPr>
      </w:pPr>
      <w:r>
        <w:rPr>
          <w:rFonts w:ascii="Times New Roman" w:hAnsi="Times New Roman"/>
          <w:noProof/>
          <w:sz w:val="24"/>
        </w:rPr>
        <w:t>Galiausiai, TAB neturi procedūros, pagal kurią sandorio šalims galėtų pranešti apie išimties prekybai su ES finansų sandori</w:t>
      </w:r>
      <w:r>
        <w:rPr>
          <w:rFonts w:ascii="Times New Roman" w:hAnsi="Times New Roman"/>
          <w:noProof/>
          <w:sz w:val="24"/>
        </w:rPr>
        <w:t>ų šalimis egzistavimą, jis būtų pasirengęs ją įgyvendinti, kai tik pradės veikti FPRR tvarka.</w:t>
      </w:r>
    </w:p>
    <w:p w:rsidR="0053415C" w:rsidRDefault="0053415C">
      <w:pPr>
        <w:spacing w:after="0"/>
        <w:jc w:val="both"/>
        <w:rPr>
          <w:rFonts w:ascii="Times New Roman" w:hAnsi="Times New Roman" w:cs="Times New Roman"/>
          <w:noProof/>
          <w:sz w:val="24"/>
          <w:szCs w:val="24"/>
        </w:rPr>
      </w:pPr>
    </w:p>
    <w:p w:rsidR="0053415C" w:rsidRDefault="0043283A">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rPr>
        <w:t>IŠVADOS</w:t>
      </w:r>
    </w:p>
    <w:p w:rsidR="0053415C" w:rsidRDefault="0043283A">
      <w:pPr>
        <w:jc w:val="both"/>
        <w:rPr>
          <w:rFonts w:ascii="Times New Roman" w:hAnsi="Times New Roman" w:cs="Times New Roman"/>
          <w:noProof/>
          <w:sz w:val="24"/>
          <w:szCs w:val="24"/>
        </w:rPr>
      </w:pPr>
      <w:r>
        <w:rPr>
          <w:rFonts w:ascii="Times New Roman" w:hAnsi="Times New Roman"/>
          <w:noProof/>
          <w:sz w:val="24"/>
        </w:rPr>
        <w:t>Remdamasi gauta informacija Komisija daro išvadą, kad išimtį dėl FPRR skaidrumo reikalavimų iki ir po sandorio sudarymo pagal FPRR 1 straipsnio 9 dalį ti</w:t>
      </w:r>
      <w:r>
        <w:rPr>
          <w:rFonts w:ascii="Times New Roman" w:hAnsi="Times New Roman"/>
          <w:noProof/>
          <w:sz w:val="24"/>
        </w:rPr>
        <w:t>kslinga taikyti šios ataskaitos priede išvardytiems trečiųjų valstybių centriniams bankams.</w:t>
      </w:r>
    </w:p>
    <w:p w:rsidR="0053415C" w:rsidRDefault="0043283A">
      <w:pPr>
        <w:jc w:val="both"/>
        <w:rPr>
          <w:rFonts w:ascii="Times New Roman" w:hAnsi="Times New Roman" w:cs="Times New Roman"/>
          <w:noProof/>
          <w:sz w:val="24"/>
          <w:szCs w:val="24"/>
        </w:rPr>
      </w:pPr>
      <w:r>
        <w:rPr>
          <w:rFonts w:ascii="Times New Roman" w:hAnsi="Times New Roman"/>
          <w:noProof/>
          <w:sz w:val="24"/>
        </w:rPr>
        <w:t>Ši išvada gali būti keičiama ateityje, atsižvelgus į naujus trečiųjų valstybių centrinių bankų pateiktus duomenis, trečiųjų valstybių teisės aktų pokyčius arba pasi</w:t>
      </w:r>
      <w:r>
        <w:rPr>
          <w:rFonts w:ascii="Times New Roman" w:hAnsi="Times New Roman"/>
          <w:noProof/>
          <w:sz w:val="24"/>
        </w:rPr>
        <w:t>keitusias faktines aplinkybes. Dėl šių įvykių gali prireikti peržiūrėti trečiųjų valstybių centrinių bankų, kuriems taikoma išimtis, sąrašą.</w:t>
      </w:r>
      <w:bookmarkStart w:id="13" w:name="_GoBack"/>
      <w:bookmarkEnd w:id="13"/>
    </w:p>
    <w:sectPr w:rsidR="0053415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15C" w:rsidRDefault="0043283A">
      <w:pPr>
        <w:spacing w:after="0" w:line="240" w:lineRule="auto"/>
      </w:pPr>
      <w:r>
        <w:separator/>
      </w:r>
    </w:p>
  </w:endnote>
  <w:endnote w:type="continuationSeparator" w:id="0">
    <w:p w:rsidR="0053415C" w:rsidRDefault="0043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15C" w:rsidRDefault="005341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15C" w:rsidRDefault="0043283A">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15C" w:rsidRDefault="0053415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15C" w:rsidRDefault="0053415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63618"/>
      <w:docPartObj>
        <w:docPartGallery w:val="Page Numbers (Bottom of Page)"/>
        <w:docPartUnique/>
      </w:docPartObj>
    </w:sdtPr>
    <w:sdtEndPr>
      <w:rPr>
        <w:noProof/>
      </w:rPr>
    </w:sdtEndPr>
    <w:sdtContent>
      <w:p w:rsidR="0053415C" w:rsidRDefault="0043283A">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53415C" w:rsidRDefault="0053415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15C" w:rsidRDefault="005341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15C" w:rsidRDefault="0043283A">
      <w:pPr>
        <w:spacing w:after="0" w:line="240" w:lineRule="auto"/>
      </w:pPr>
      <w:r>
        <w:separator/>
      </w:r>
    </w:p>
  </w:footnote>
  <w:footnote w:type="continuationSeparator" w:id="0">
    <w:p w:rsidR="0053415C" w:rsidRDefault="0043283A">
      <w:pPr>
        <w:spacing w:after="0" w:line="240" w:lineRule="auto"/>
      </w:pPr>
      <w:r>
        <w:continuationSeparator/>
      </w:r>
    </w:p>
  </w:footnote>
  <w:footnote w:id="1">
    <w:p w:rsidR="0053415C" w:rsidRDefault="0043283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2014 m. gegužės 15 d. Europos Parlamento ir Tarybos reglamentas (ES) Nr. 600/2014 dėl finansinių priemonių rinkų, kuriuo iš dalies keičiamas Reglamentas (ES) Nr. 648/2012 (OL L 173, 2014 6 12, p. 84).</w:t>
      </w:r>
    </w:p>
  </w:footnote>
  <w:footnote w:id="2">
    <w:p w:rsidR="0053415C" w:rsidRDefault="0043283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2014 m. gegužės 15 d. Europos Parlamento ir Tarybos </w:t>
      </w:r>
      <w:r>
        <w:rPr>
          <w:rFonts w:ascii="Times New Roman" w:hAnsi="Times New Roman" w:cs="Times New Roman"/>
        </w:rPr>
        <w:t>direktyva 2014/65/ES dėl finansinių priemonių rinkų, kuria iš dalies keičiamos Direktyva 2002/92/EB ir Direktyva 2011/61/ES (OL L 173, 2014 6 12).</w:t>
      </w:r>
    </w:p>
  </w:footnote>
  <w:footnote w:id="3">
    <w:p w:rsidR="0053415C" w:rsidRDefault="0043283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Kinijos Liaudies Respublika (Kinijos liaudies bankas) į sąrašą neįtraukta, nes ji nepateikė pakankamai info</w:t>
      </w:r>
      <w:r>
        <w:rPr>
          <w:rFonts w:ascii="Times New Roman" w:hAnsi="Times New Roman" w:cs="Times New Roman"/>
        </w:rPr>
        <w:t>rmacijos, susijusios su savo prekybos veikla ES, kad Komisija galėtų atlikti vertinimą.</w:t>
      </w:r>
    </w:p>
  </w:footnote>
  <w:footnote w:id="4">
    <w:p w:rsidR="0053415C" w:rsidRDefault="0043283A">
      <w:pPr>
        <w:pStyle w:val="FootnoteText"/>
      </w:pPr>
      <w:r>
        <w:rPr>
          <w:rStyle w:val="FootnoteReference"/>
          <w:rFonts w:ascii="Times New Roman" w:hAnsi="Times New Roman" w:cs="Times New Roman"/>
        </w:rPr>
        <w:footnoteRef/>
      </w:r>
      <w:r>
        <w:rPr>
          <w:rFonts w:ascii="Times New Roman" w:hAnsi="Times New Roman" w:cs="Times New Roman"/>
        </w:rPr>
        <w:t xml:space="preserve"> Šios ataskaitos tikslas nėra įvertinti, ar pirmiau minėtos jurisdikcijos turi prekybos skaidrumo taisykles, kurios gali būti laikomos lygiavertėmis pagal FPRR taikomo</w:t>
      </w:r>
      <w:r>
        <w:rPr>
          <w:rFonts w:ascii="Times New Roman" w:hAnsi="Times New Roman" w:cs="Times New Roman"/>
        </w:rPr>
        <w:t>ms taisyklėms. Šios ataskaitos išvados neturi įtakos bet kokiam tokiam vertinimui. Šio vertinimo tikslais užtenka, kad tiriama jurisdikcija turėtų atskleidimo sistemą.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15C" w:rsidRDefault="005341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15C" w:rsidRDefault="0053415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15C" w:rsidRDefault="0053415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15C" w:rsidRDefault="0053415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15C" w:rsidRDefault="0053415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15C" w:rsidRDefault="005341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E3F98"/>
    <w:multiLevelType w:val="hybridMultilevel"/>
    <w:tmpl w:val="DCD466BA"/>
    <w:lvl w:ilvl="0" w:tplc="E3888B3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hideSpellingErrors/>
  <w:hideGrammaticalErrors/>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06380C54B4B4DF1B14A32D19AB55D40"/>
    <w:docVar w:name="LW_CROSSREFERENCE" w:val="&lt;UNUSED&gt;"/>
    <w:docVar w:name="LW_DocType" w:val="NORMAL"/>
    <w:docVar w:name="LW_EMISSION" w:val="2017 06 09"/>
    <w:docVar w:name="LW_EMISSION_ISODATE" w:val="2017-06-09"/>
    <w:docVar w:name="LW_EMISSION_LOCATION" w:val="BRX"/>
    <w:docVar w:name="LW_EMISSION_PREFIX" w:val="Briuselis, "/>
    <w:docVar w:name="LW_EMISSION_SUFFIX" w:val=" "/>
    <w:docVar w:name="LW_ID_DOCTYPE_NONLW" w:val="CP-006"/>
    <w:docVar w:name="LW_LANGUE" w:val="LT"/>
    <w:docVar w:name="LW_MARKING" w:val="&lt;UNUSED&gt;"/>
    <w:docVar w:name="LW_NOM.INST" w:val="EUROPOS KOMISIJA"/>
    <w:docVar w:name="LW_NOM.INST_JOINTDOC" w:val="&lt;EMPTY&gt;"/>
    <w:docVar w:name="LW_PART_NBR" w:val="1"/>
    <w:docVar w:name="LW_PART_NBR_TOTAL" w:val="1"/>
    <w:docVar w:name="LW_REF.INST.NEW" w:val="COM"/>
    <w:docVar w:name="LW_REF.INST.NEW_ADOPTED" w:val="final"/>
    <w:docVar w:name="LW_REF.INST.NEW_TEXT" w:val="(2017) 298"/>
    <w:docVar w:name="LW_REF.INTERNE" w:val="&lt;UNUSED&gt;"/>
    <w:docVar w:name="LW_SOUS.TITRE.OBJ.CP" w:val="&lt;UNUSED&gt;"/>
    <w:docVar w:name="LW_SUPERTITRE" w:val="&lt;UNUSED&gt;"/>
    <w:docVar w:name="LW_TITRE.OBJ.CP" w:val="Tre\u269?i\u371?j\u371? valstybi\u371? centriniams bankams ir kitiems subjektams pagal Finansini\u371? priemoni\u371? rink\u371? reglament\u261? (FPRR) taikomos i\u353?imtys"/>
    <w:docVar w:name="LW_TYPE.DOC.CP" w:val="KOMISIJOS ATASKAITA EUROPOS PARLAMENTUI IR TARYBAI"/>
  </w:docVars>
  <w:rsids>
    <w:rsidRoot w:val="0053415C"/>
    <w:rsid w:val="0043283A"/>
    <w:rsid w:val="005341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377624">
      <w:bodyDiv w:val="1"/>
      <w:marLeft w:val="0"/>
      <w:marRight w:val="0"/>
      <w:marTop w:val="0"/>
      <w:marBottom w:val="0"/>
      <w:divBdr>
        <w:top w:val="none" w:sz="0" w:space="0" w:color="auto"/>
        <w:left w:val="none" w:sz="0" w:space="0" w:color="auto"/>
        <w:bottom w:val="none" w:sz="0" w:space="0" w:color="auto"/>
        <w:right w:val="none" w:sz="0" w:space="0" w:color="auto"/>
      </w:divBdr>
      <w:divsChild>
        <w:div w:id="455635238">
          <w:marLeft w:val="0"/>
          <w:marRight w:val="0"/>
          <w:marTop w:val="0"/>
          <w:marBottom w:val="0"/>
          <w:divBdr>
            <w:top w:val="none" w:sz="0" w:space="0" w:color="auto"/>
            <w:left w:val="none" w:sz="0" w:space="0" w:color="auto"/>
            <w:bottom w:val="none" w:sz="0" w:space="0" w:color="auto"/>
            <w:right w:val="none" w:sz="0" w:space="0" w:color="auto"/>
          </w:divBdr>
        </w:div>
        <w:div w:id="1488791083">
          <w:marLeft w:val="0"/>
          <w:marRight w:val="0"/>
          <w:marTop w:val="0"/>
          <w:marBottom w:val="0"/>
          <w:divBdr>
            <w:top w:val="none" w:sz="0" w:space="0" w:color="auto"/>
            <w:left w:val="none" w:sz="0" w:space="0" w:color="auto"/>
            <w:bottom w:val="none" w:sz="0" w:space="0" w:color="auto"/>
            <w:right w:val="none" w:sz="0" w:space="0" w:color="auto"/>
          </w:divBdr>
        </w:div>
      </w:divsChild>
    </w:div>
    <w:div w:id="1903520673">
      <w:bodyDiv w:val="1"/>
      <w:marLeft w:val="0"/>
      <w:marRight w:val="0"/>
      <w:marTop w:val="0"/>
      <w:marBottom w:val="0"/>
      <w:divBdr>
        <w:top w:val="none" w:sz="0" w:space="0" w:color="auto"/>
        <w:left w:val="none" w:sz="0" w:space="0" w:color="auto"/>
        <w:bottom w:val="none" w:sz="0" w:space="0" w:color="auto"/>
        <w:right w:val="none" w:sz="0" w:space="0" w:color="auto"/>
      </w:divBdr>
      <w:divsChild>
        <w:div w:id="2132745700">
          <w:marLeft w:val="0"/>
          <w:marRight w:val="0"/>
          <w:marTop w:val="0"/>
          <w:marBottom w:val="0"/>
          <w:divBdr>
            <w:top w:val="none" w:sz="0" w:space="0" w:color="auto"/>
            <w:left w:val="none" w:sz="0" w:space="0" w:color="auto"/>
            <w:bottom w:val="none" w:sz="0" w:space="0" w:color="auto"/>
            <w:right w:val="none" w:sz="0" w:space="0" w:color="auto"/>
          </w:divBdr>
        </w:div>
        <w:div w:id="929390545">
          <w:marLeft w:val="0"/>
          <w:marRight w:val="0"/>
          <w:marTop w:val="0"/>
          <w:marBottom w:val="0"/>
          <w:divBdr>
            <w:top w:val="none" w:sz="0" w:space="0" w:color="auto"/>
            <w:left w:val="none" w:sz="0" w:space="0" w:color="auto"/>
            <w:bottom w:val="none" w:sz="0" w:space="0" w:color="auto"/>
            <w:right w:val="none" w:sz="0" w:space="0" w:color="auto"/>
          </w:divBdr>
        </w:div>
      </w:divsChild>
    </w:div>
    <w:div w:id="2122413052">
      <w:bodyDiv w:val="1"/>
      <w:marLeft w:val="0"/>
      <w:marRight w:val="0"/>
      <w:marTop w:val="0"/>
      <w:marBottom w:val="0"/>
      <w:divBdr>
        <w:top w:val="none" w:sz="0" w:space="0" w:color="auto"/>
        <w:left w:val="none" w:sz="0" w:space="0" w:color="auto"/>
        <w:bottom w:val="none" w:sz="0" w:space="0" w:color="auto"/>
        <w:right w:val="none" w:sz="0" w:space="0" w:color="auto"/>
      </w:divBdr>
      <w:divsChild>
        <w:div w:id="2029210041">
          <w:marLeft w:val="0"/>
          <w:marRight w:val="0"/>
          <w:marTop w:val="0"/>
          <w:marBottom w:val="0"/>
          <w:divBdr>
            <w:top w:val="none" w:sz="0" w:space="0" w:color="auto"/>
            <w:left w:val="none" w:sz="0" w:space="0" w:color="auto"/>
            <w:bottom w:val="none" w:sz="0" w:space="0" w:color="auto"/>
            <w:right w:val="none" w:sz="0" w:space="0" w:color="auto"/>
          </w:divBdr>
        </w:div>
        <w:div w:id="1369838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62B7C-7291-4C7F-9D91-276ECF9B2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13</Pages>
  <Words>4150</Words>
  <Characters>23660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37</cp:revision>
  <cp:lastPrinted>2017-04-27T09:06:00Z</cp:lastPrinted>
  <dcterms:created xsi:type="dcterms:W3CDTF">2017-04-11T13:14:00Z</dcterms:created>
  <dcterms:modified xsi:type="dcterms:W3CDTF">2017-06-01T07:00:00Z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