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C3" w:rsidRDefault="0041094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BDC1AFF4A4B4AD3BD9C12203E10A1FB" style="width:450.75pt;height:321pt">
            <v:imagedata r:id="rId9" o:title=""/>
          </v:shape>
        </w:pict>
      </w:r>
    </w:p>
    <w:bookmarkEnd w:id="0"/>
    <w:p w:rsidR="001409C3" w:rsidRDefault="001409C3">
      <w:pPr>
        <w:rPr>
          <w:rFonts w:ascii="Times New Roman" w:hAnsi="Times New Roman" w:cs="Times New Roman"/>
          <w:noProof/>
          <w:sz w:val="24"/>
          <w:szCs w:val="24"/>
        </w:rPr>
        <w:sectPr w:rsidR="001409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1409C3" w:rsidRDefault="00410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 xml:space="preserve">WPROWADZENIE 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Rozporządzenie w sprawie rynków instrumentów finansowych (zwane dalej „MiFIR”)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oraz dyrektywa w sprawie rynków instrumentów finansowych (MiFID 2)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zostały opublikowane w Dzienniku Urzędowym dnia 12 czerwca 2014 r., weszły w życie dnia 2 lipca 2014 r. i będą miały zastosowanie od dnia 3 stycznia 2018 r. 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MiFID 2 i MiFIR wprowadzono</w:t>
      </w:r>
      <w:r>
        <w:rPr>
          <w:rFonts w:ascii="Times New Roman" w:hAnsi="Times New Roman"/>
          <w:noProof/>
          <w:sz w:val="24"/>
        </w:rPr>
        <w:t xml:space="preserve"> strukturę rynkową, która ma na celu zapewnienie, by transakcje – w stosownych przypadkach – były zawierane na platformach regulowanych oraz by były przejrzyste, zapewniając tym samym wydajne i sprawiedliwe kształtowanie cen.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ramach tego MiFIR przewiduje</w:t>
      </w:r>
      <w:r>
        <w:rPr>
          <w:rFonts w:ascii="Times New Roman" w:hAnsi="Times New Roman"/>
          <w:noProof/>
          <w:sz w:val="24"/>
        </w:rPr>
        <w:t xml:space="preserve"> wyłączenie ze stosowania wymogów przejrzystości przed- i posttransakcyjnej w odniesieniu do nieudziałowych instrumentów finansowych, z którego rynki regulowane, operatorzy rynku i firmy inwestycyjne mogą skorzystać w odniesieniu do transakcji, w których k</w:t>
      </w:r>
      <w:r>
        <w:rPr>
          <w:rFonts w:ascii="Times New Roman" w:hAnsi="Times New Roman"/>
          <w:noProof/>
          <w:sz w:val="24"/>
        </w:rPr>
        <w:t>ontrahent jest członkiem Europejskiego Systemu Banków Centralnych (ESBC), a transakcja jest zawierana w ramach wykonywania polityki pieniężnej, operacji walutowych i polityki stabilności finansowej, które ten członek ESBC ma prawo prowadzić na podstawie od</w:t>
      </w:r>
      <w:r>
        <w:rPr>
          <w:rFonts w:ascii="Times New Roman" w:hAnsi="Times New Roman"/>
          <w:noProof/>
          <w:sz w:val="24"/>
        </w:rPr>
        <w:t>powiednich przepisów oraz gdy ten członek ESBC powiadomił z wyprzedzeniem swojego kontrahenta, że dana transakcja podlega wyłączeniu. Ponadto zgodnie z MiFIR Komisja ma prawo rozszerzyć zakres tego wyłączenia na banki centralne państw trzecich, jeżeli speł</w:t>
      </w:r>
      <w:r>
        <w:rPr>
          <w:rFonts w:ascii="Times New Roman" w:hAnsi="Times New Roman"/>
          <w:noProof/>
          <w:sz w:val="24"/>
        </w:rPr>
        <w:t xml:space="preserve">nione zostały warunki wstępne. 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tym celu Komisja Europejska zleciła Centrum Studiów nad Polityką Europejską (CEPS) oraz Uniwersytetowi Bolońskiemu przeprowadzenie badania na temat „Zwolnień dla banków centralnych państw trzecich i innych podmiotów na pod</w:t>
      </w:r>
      <w:r>
        <w:rPr>
          <w:rFonts w:ascii="Times New Roman" w:hAnsi="Times New Roman"/>
          <w:noProof/>
          <w:sz w:val="24"/>
        </w:rPr>
        <w:t>stawie rozporządzenia w sprawie nadużyć na rynku (MAR) i rozporządzenia w sprawie rynków instrumentów finansowych (MiFIR)” („badanie”). Podstawę tego badania stanowią sondaż i badania naukowe i zawiera ono analizę zasad przejrzystości przed- i posttransakc</w:t>
      </w:r>
      <w:r>
        <w:rPr>
          <w:rFonts w:ascii="Times New Roman" w:hAnsi="Times New Roman"/>
          <w:noProof/>
          <w:sz w:val="24"/>
        </w:rPr>
        <w:t xml:space="preserve">yjnej mających zastosowanie do obrotu papierami wartościowymi przez banki centralne państw trzecich oraz zakresu, w jakim te banki centralne prowadzą obrót papierami wartościowymi w Unii. </w:t>
      </w:r>
    </w:p>
    <w:p w:rsidR="001409C3" w:rsidRDefault="00410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PODSTAWA PRAWNA SPRAWOZDANIA: ART. 1 UST. 9 MiFIR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Art. 1 ust. 6 MiF</w:t>
      </w:r>
      <w:r>
        <w:rPr>
          <w:rFonts w:ascii="Times New Roman" w:hAnsi="Times New Roman"/>
          <w:noProof/>
          <w:sz w:val="24"/>
        </w:rPr>
        <w:t>IR przewiduje wyłączenie ze stosowania przepisów dotyczących przejrzystości przed- i posttransakcyjnej w odniesieniu do transakcji, w których kontrahent jest członkiem Europejskiego Systemu Banków Centralnych (ESBC), a transakcja jest zawierana w ramach wy</w:t>
      </w:r>
      <w:r>
        <w:rPr>
          <w:rFonts w:ascii="Times New Roman" w:hAnsi="Times New Roman"/>
          <w:noProof/>
          <w:sz w:val="24"/>
        </w:rPr>
        <w:t>konywania polityki pieniężnej, operacji walutowych i polityki stabilności finansowej, które ten członek ESBC ma prawo prowadzić na podstawie odpowiednich przepisów oraz gdy ten członek ESBC powiadomił z wyprzedzeniem swojego kontrahenta, że dana transakcja</w:t>
      </w:r>
      <w:r>
        <w:rPr>
          <w:rFonts w:ascii="Times New Roman" w:hAnsi="Times New Roman"/>
          <w:noProof/>
          <w:sz w:val="24"/>
        </w:rPr>
        <w:t xml:space="preserve"> podlega wyłączeniu. </w:t>
      </w:r>
    </w:p>
    <w:p w:rsidR="001409C3" w:rsidRDefault="0041094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Ponadto zgodnie z art. 1 ust. 9 MiFIR Komisja jest uprawniona do: „[...] przyjmowania aktów delegowanych zgodnie z art. 50 w celu rozszerzenia zakresu stosowania ust. 6 na inne banki centralne.</w:t>
      </w:r>
    </w:p>
    <w:p w:rsidR="001409C3" w:rsidRDefault="0041094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tym celu do dnia 1 czerwca 2015 r. Kom</w:t>
      </w:r>
      <w:r>
        <w:rPr>
          <w:rFonts w:ascii="Times New Roman" w:hAnsi="Times New Roman"/>
          <w:noProof/>
          <w:sz w:val="24"/>
        </w:rPr>
        <w:t>isja przedstawi Parlamentowi Europejskiemu i Radzie sprawozdanie oceniające traktowanie transakcji dokonywanych przez banki centralne państw trzecich, do których na potrzeby niniejszego ustępu zalicza się Bank Rozrachunków Międzynarodowych.</w:t>
      </w:r>
      <w:r>
        <w:rPr>
          <w:rFonts w:ascii="Times New Roman" w:hAnsi="Times New Roman"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Sprawozdanie ob</w:t>
      </w:r>
      <w:r>
        <w:rPr>
          <w:rFonts w:ascii="Times New Roman" w:hAnsi="Times New Roman"/>
          <w:noProof/>
          <w:sz w:val="24"/>
        </w:rPr>
        <w:t>ejmuje analizę ich zadań statutowych i wolumeny obrotu w Unii.</w:t>
      </w:r>
      <w:r>
        <w:rPr>
          <w:rFonts w:ascii="Times New Roman" w:hAnsi="Times New Roman"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Sprawozdanie to:</w:t>
      </w:r>
      <w:r>
        <w:rPr>
          <w:rFonts w:ascii="Times New Roman" w:hAnsi="Times New Roman"/>
          <w:i/>
          <w:noProof/>
          <w:sz w:val="24"/>
        </w:rPr>
        <w:t xml:space="preserve"> </w:t>
      </w:r>
    </w:p>
    <w:p w:rsidR="001409C3" w:rsidRDefault="0041094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a) określa przepisy mające zastosowanie w odpowiednich państwach trzecich w odniesieniu do obowiązkowego ujawniania transakcji dokonywanych przez banki centralne, wraz z </w:t>
      </w:r>
      <w:r>
        <w:rPr>
          <w:rFonts w:ascii="Times New Roman" w:hAnsi="Times New Roman"/>
          <w:noProof/>
          <w:sz w:val="24"/>
        </w:rPr>
        <w:t>transakcjami dokonywanymi przez członków ESBC w tych państwach trzecich, oraz</w:t>
      </w:r>
      <w:r>
        <w:rPr>
          <w:rFonts w:ascii="Times New Roman" w:hAnsi="Times New Roman"/>
          <w:i/>
          <w:noProof/>
          <w:sz w:val="24"/>
        </w:rPr>
        <w:t xml:space="preserve"> </w:t>
      </w:r>
    </w:p>
    <w:p w:rsidR="001409C3" w:rsidRDefault="0041094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b) ocenia potencjalny wpływ wymogów obowiązkowego ujawniania w Unii na transakcje dokonywane przez banki centralne państw trzecich.</w:t>
      </w:r>
      <w:r>
        <w:rPr>
          <w:rFonts w:ascii="Times New Roman" w:hAnsi="Times New Roman"/>
          <w:i/>
          <w:noProof/>
          <w:sz w:val="24"/>
        </w:rPr>
        <w:t xml:space="preserve"> </w:t>
      </w:r>
    </w:p>
    <w:p w:rsidR="001409C3" w:rsidRDefault="0041094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Jeżeli w sprawozdaniu stwierdza się, że </w:t>
      </w:r>
      <w:r>
        <w:rPr>
          <w:rFonts w:ascii="Times New Roman" w:hAnsi="Times New Roman"/>
          <w:noProof/>
          <w:sz w:val="24"/>
        </w:rPr>
        <w:t>wyłączenie przewidziane w ust. 6 jest konieczne w odniesieniu do transakcji, których kontrahentem jest bank centralny państwa trzeciego prowadzący operacje związane z polityką pieniężną, operacje walutowe i operacje związane ze stabilnością finansową, Komi</w:t>
      </w:r>
      <w:r>
        <w:rPr>
          <w:rFonts w:ascii="Times New Roman" w:hAnsi="Times New Roman"/>
          <w:noProof/>
          <w:sz w:val="24"/>
        </w:rPr>
        <w:t>sja przewiduje, że to wyłączenie ma zastosowanie do tego banku centralnego państwa trzeciego”.</w:t>
      </w:r>
      <w:r>
        <w:rPr>
          <w:rFonts w:ascii="Times New Roman" w:hAnsi="Times New Roman"/>
          <w:i/>
          <w:noProof/>
          <w:sz w:val="24"/>
        </w:rPr>
        <w:t xml:space="preserve"> </w:t>
      </w:r>
    </w:p>
    <w:p w:rsidR="001409C3" w:rsidRDefault="00410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ROZPATRYWANE JURYSDYKCJE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Sprawozdanie obejmuje następujące państwa: Australię, Brazylię, Indie, Japonię, Kanadę, Republikę Korei, Meksyk, Singapur, Specjalny Re</w:t>
      </w:r>
      <w:r>
        <w:rPr>
          <w:rFonts w:ascii="Times New Roman" w:hAnsi="Times New Roman"/>
          <w:noProof/>
          <w:sz w:val="24"/>
        </w:rPr>
        <w:t>gion Administracyjny Hongkong Chińskiej Republiki Ludowej, Stany Zjednoczone, Szwajcarię i Turcję oraz Bank Rozrachunków Międzynarodowych (zwany dalej BIS), który – zgodnie z art. 1 ust. 9 MiFIR – ma być uznawany za bank centralny państwa trzeciego do celó</w:t>
      </w:r>
      <w:r>
        <w:rPr>
          <w:rFonts w:ascii="Times New Roman" w:hAnsi="Times New Roman"/>
          <w:noProof/>
          <w:sz w:val="24"/>
        </w:rPr>
        <w:t xml:space="preserve">w tego ustępu. Wykaz ten pozostaje bez uszczerbku dla ewentualnych zmian i skreśleń odpowiednich państw, które zostaną poddane ocenie w przyszłości. 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Odpowiednie kryteria stosowane do oceny jurysdykcji powinny być oparte na wskaźnikach gospodarczych, wielk</w:t>
      </w:r>
      <w:r>
        <w:rPr>
          <w:rFonts w:ascii="Times New Roman" w:hAnsi="Times New Roman"/>
          <w:noProof/>
          <w:sz w:val="24"/>
        </w:rPr>
        <w:t xml:space="preserve">ości i stopniu wzajemnych powiązań między sektorem finansowym państwa trzeciego z sektorem finansowym Unii oraz solidności otoczenia prawnego istniejącego w jurysdykcji państwa trzeciego. 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szczególności w kontekście wielkości i stopnia wzajemnych powiąza</w:t>
      </w:r>
      <w:r>
        <w:rPr>
          <w:rFonts w:ascii="Times New Roman" w:hAnsi="Times New Roman"/>
          <w:noProof/>
          <w:sz w:val="24"/>
        </w:rPr>
        <w:t>ń Komisja skorzystała z opublikowanego przez MFW wykazu jurysdykcji, które pełnią funkcję siedziby w przypadku większości instytucji finansowych o znaczeniu systemowym, dla których program oceny sektora finansowego (FSAP) MFW ma charakter obowiązkowy. Meto</w:t>
      </w:r>
      <w:r>
        <w:rPr>
          <w:rFonts w:ascii="Times New Roman" w:hAnsi="Times New Roman"/>
          <w:noProof/>
          <w:sz w:val="24"/>
        </w:rPr>
        <w:t>dyka MFW obejmuje zarówno stopień wzajemnych powiązań sektora finansowego każdego państwa, jak i wielkość tego sektora, a zatem uwzględnia się w niej rozmiar rynków finansowych. Zdaniem MFW wymieniona wyżej grupa państw obejmuje blisko 90 % światowego syst</w:t>
      </w:r>
      <w:r>
        <w:rPr>
          <w:rFonts w:ascii="Times New Roman" w:hAnsi="Times New Roman"/>
          <w:noProof/>
          <w:sz w:val="24"/>
        </w:rPr>
        <w:t xml:space="preserve">emu finansowego i 80 % działalności gospodarczej na świecie; grupa ta obejmuje ponadto większość państw grupy G-20 i członków Rady Stabilności Finansowej. W badaniu nie </w:t>
      </w:r>
      <w:r>
        <w:rPr>
          <w:rFonts w:ascii="Times New Roman" w:hAnsi="Times New Roman"/>
          <w:noProof/>
          <w:sz w:val="24"/>
        </w:rPr>
        <w:lastRenderedPageBreak/>
        <w:t xml:space="preserve">uwzględniono instytucji posiadających siedzibę w państwach członkowskich UE. Ponadto w </w:t>
      </w:r>
      <w:r>
        <w:rPr>
          <w:rFonts w:ascii="Times New Roman" w:hAnsi="Times New Roman"/>
          <w:noProof/>
          <w:sz w:val="24"/>
        </w:rPr>
        <w:t>odniesieniu do wyboru stosownych jurysdykcji istotne są dwa dodatkowe kryteria: aby jurysdykcja mogła kwalifikować się do objęcia jej oceną pod kątem przyznania wyłączenia, o którym mowa w art. 1 ust. 9, nie może ona znajdować się w wykazie jurysdykcji nie</w:t>
      </w:r>
      <w:r>
        <w:rPr>
          <w:rFonts w:ascii="Times New Roman" w:hAnsi="Times New Roman"/>
          <w:noProof/>
          <w:sz w:val="24"/>
        </w:rPr>
        <w:t>chętnych współpracy opracowanym przez Grupę Specjalną ds. Przeciwdziałania Praniu Pieniędzy (FATF) i powinna być sygnatariuszem wielostronnego porozumienia o współpracy i wymianie informacji IOSCO.</w:t>
      </w:r>
    </w:p>
    <w:p w:rsidR="001409C3" w:rsidRDefault="001409C3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</w:t>
      </w:r>
    </w:p>
    <w:p w:rsidR="001409C3" w:rsidRDefault="00410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ANALIZA POSZCZEGÓLNYCH JURYSDYKCJI  </w:t>
      </w:r>
    </w:p>
    <w:p w:rsidR="001409C3" w:rsidRDefault="00410946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Podstawę analizy z</w:t>
      </w:r>
      <w:r>
        <w:rPr>
          <w:rFonts w:ascii="Times New Roman" w:hAnsi="Times New Roman"/>
          <w:noProof/>
          <w:sz w:val="24"/>
        </w:rPr>
        <w:t xml:space="preserve">identyfikowanych jurysdykcji na mocy upoważnienia, o którym mowa w art. 1 ust. 9 MiFIR, stanowią dwa kluczowe kryteria, z których oba mają decydujące znaczenie dla oceny dokonywanej przez Komisję: </w:t>
      </w:r>
    </w:p>
    <w:p w:rsidR="001409C3" w:rsidRDefault="00410946">
      <w:pPr>
        <w:pStyle w:val="ListParagraph"/>
        <w:numPr>
          <w:ilvl w:val="1"/>
          <w:numId w:val="1"/>
        </w:num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zasady dotyczące obowiązkowego ujawniania transakcji dokon</w:t>
      </w:r>
      <w:r>
        <w:rPr>
          <w:rFonts w:ascii="Times New Roman" w:hAnsi="Times New Roman"/>
          <w:noProof/>
          <w:sz w:val="24"/>
        </w:rPr>
        <w:t>ywanych przez banki centralne: system przejrzystości rynku mający zastosowanie do transakcji banku centralnego („przejrzystość rynku”) lub przejrzystość ram operacyjnych banku centralnego („przejrzystość operacyjna”); oraz</w:t>
      </w:r>
    </w:p>
    <w:p w:rsidR="001409C3" w:rsidRDefault="00410946">
      <w:pPr>
        <w:pStyle w:val="ListParagraph"/>
        <w:numPr>
          <w:ilvl w:val="1"/>
          <w:numId w:val="1"/>
        </w:num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konieczność przyznania wyłączenia</w:t>
      </w:r>
      <w:r>
        <w:rPr>
          <w:rFonts w:ascii="Times New Roman" w:hAnsi="Times New Roman"/>
          <w:noProof/>
          <w:sz w:val="24"/>
        </w:rPr>
        <w:t xml:space="preserve">: wolumen transakcji zrealizowanych przez bank centralny z kontrahentami z UE lub na instrumentach finansowych notowanych na rynkach UE. </w:t>
      </w:r>
    </w:p>
    <w:p w:rsidR="001409C3" w:rsidRDefault="00410946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Do celów oceny spełnienie tych dwóch kryteriów uznano za obowiązkowe, ponieważ uwzględniają one czynniki określone w a</w:t>
      </w:r>
      <w:r>
        <w:rPr>
          <w:rFonts w:ascii="Times New Roman" w:hAnsi="Times New Roman"/>
          <w:noProof/>
          <w:sz w:val="24"/>
        </w:rPr>
        <w:t>rt. 1 ust. 9 MiFIR. W tym względzie „przejrzystość rynku” dotyczy przejrzystości konkretnej transakcji obejmującej poszczególne papiery wartościowe, natomiast „przejrzystość operacyjna” dotyczy szerszych zasad przejrzystości regulujących operacje banku cen</w:t>
      </w:r>
      <w:r>
        <w:rPr>
          <w:rFonts w:ascii="Times New Roman" w:hAnsi="Times New Roman"/>
          <w:noProof/>
          <w:sz w:val="24"/>
        </w:rPr>
        <w:t>tralnego. W związku z tym, biorąc pod uwagę cele i zakres stosowania MiFIR, uznano, że analiza wymogów regulacyjnych dotyczących przejrzystości rynku w odniesieniu do transakcji oraz przejrzystości wynikającej ze stosowania ram operacyjnych jest konieczna,</w:t>
      </w:r>
      <w:r>
        <w:rPr>
          <w:rFonts w:ascii="Times New Roman" w:hAnsi="Times New Roman"/>
          <w:noProof/>
          <w:sz w:val="24"/>
        </w:rPr>
        <w:t xml:space="preserve"> aby można było ocenić stosowność przyznania wyłączenia bankom centralnym państw trzecich zgodnie z art. 1 ust. 9 lit. a) MiFIR. Ponadto istotny jest wolumen transakcji między państwem trzecim danego banku centralnego a UE, ponieważ stanowi on wskaźnik pot</w:t>
      </w:r>
      <w:r>
        <w:rPr>
          <w:rFonts w:ascii="Times New Roman" w:hAnsi="Times New Roman"/>
          <w:noProof/>
          <w:sz w:val="24"/>
        </w:rPr>
        <w:t xml:space="preserve">encjalnego wpływu wymogów obowiązkowego ujawniania w Unii na transakcje dokonywane przez banki centralne państw trzecich zgodnie z art. 1 ust. 9 lit. b) MiFIR. </w:t>
      </w:r>
    </w:p>
    <w:p w:rsidR="001409C3" w:rsidRDefault="00410946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Dodatkowo, biorąc pod uwagę wymogi i cele określone w MiFIR, należy uwzględnić następujące kryt</w:t>
      </w:r>
      <w:r>
        <w:rPr>
          <w:rFonts w:ascii="Times New Roman" w:hAnsi="Times New Roman"/>
          <w:noProof/>
          <w:sz w:val="24"/>
        </w:rPr>
        <w:t xml:space="preserve">eria: </w:t>
      </w:r>
    </w:p>
    <w:p w:rsidR="001409C3" w:rsidRDefault="00410946">
      <w:pPr>
        <w:spacing w:before="60"/>
        <w:ind w:left="1276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(i) istnienie procedury powiadamiania, za pomocą której bank centralny państwa trzeciego powiadamia swojego kontrahenta z UE, że transakcja jest objęta wyłączeniem; </w:t>
      </w:r>
    </w:p>
    <w:p w:rsidR="001409C3" w:rsidRDefault="00410946">
      <w:pPr>
        <w:spacing w:before="60"/>
        <w:ind w:left="1276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(ii) zdolność banku centralnego państwa trzeciego do dokonania rozróżnienia między </w:t>
      </w:r>
      <w:r>
        <w:rPr>
          <w:rFonts w:ascii="Times New Roman" w:hAnsi="Times New Roman"/>
          <w:noProof/>
          <w:sz w:val="24"/>
        </w:rPr>
        <w:t xml:space="preserve">transakcjami dokonywanymi na potrzeby najważniejszych celów politycznych określonych w MiFIR a transakcjami dokonywanymi wyłącznie w celach „czysto” inwestycyjnych; oraz </w:t>
      </w:r>
    </w:p>
    <w:p w:rsidR="001409C3" w:rsidRDefault="00410946">
      <w:pPr>
        <w:spacing w:before="60"/>
        <w:ind w:left="1276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(iii) istnienie podobnego wyłączenia, z którego mogą korzystać banki centralne państw</w:t>
      </w:r>
      <w:r>
        <w:rPr>
          <w:rFonts w:ascii="Times New Roman" w:hAnsi="Times New Roman"/>
          <w:noProof/>
          <w:sz w:val="24"/>
        </w:rPr>
        <w:t xml:space="preserve"> trzecich w jurysdykcji będącej przedmiotem analizy.</w:t>
      </w:r>
    </w:p>
    <w:p w:rsidR="001409C3" w:rsidRDefault="00410946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Powyższe kryteria dodatkowe zostały poddane ocenie z uwzględnieniem wymogów i celów określonych w MiFIR. W szczególności – zgodnie z MiFIR – wyłączenia, o których mowa w art. 1 ust. 6 MiFIR, nie mogą zos</w:t>
      </w:r>
      <w:r>
        <w:rPr>
          <w:rFonts w:ascii="Times New Roman" w:hAnsi="Times New Roman"/>
          <w:noProof/>
          <w:sz w:val="24"/>
        </w:rPr>
        <w:t>tać przyznane bankom centralnym, gdy realizują one operacje w celach czysto inwestycyjnych. W związku z tym w badaniu przeanalizowano, czy banki centralne państw trzecich dokonują rozróżnienia między transakcjami realizowanymi w celach regulacyjnych a tran</w:t>
      </w:r>
      <w:r>
        <w:rPr>
          <w:rFonts w:ascii="Times New Roman" w:hAnsi="Times New Roman"/>
          <w:noProof/>
          <w:sz w:val="24"/>
        </w:rPr>
        <w:t>sakcjami dokonywanymi w celach inwestycyjnych. Ponadto w badaniu przeanalizowano, czy banki centralne państw trzecich dysponują procedurą powiadamiania w odniesieniu do transakcji objętych wyłączeniem lub czy przynajmniej rozważają wprowadzenie takiej proc</w:t>
      </w:r>
      <w:r>
        <w:rPr>
          <w:rFonts w:ascii="Times New Roman" w:hAnsi="Times New Roman"/>
          <w:noProof/>
          <w:sz w:val="24"/>
        </w:rPr>
        <w:t>edury w odniesieniu do transakcji realizowanych z kontrahentami finansowymi z UE, tj. czegoś, co zwiększa poziom przejrzystości i jest w związku z tym przewidziane w MiFIR. Ponadto dostępność ustawowego wyłączenia dla banków centralnych realizujących trans</w:t>
      </w:r>
      <w:r>
        <w:rPr>
          <w:rFonts w:ascii="Times New Roman" w:hAnsi="Times New Roman"/>
          <w:noProof/>
          <w:sz w:val="24"/>
        </w:rPr>
        <w:t xml:space="preserve">akcje w systemach obrotu państw trzecich może wpływać na analizę kosztów i wyników dotyczącą stosowności wyłączenia. </w:t>
      </w:r>
    </w:p>
    <w:p w:rsidR="001409C3" w:rsidRDefault="00410946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 przeprowadzeniu oceny tych kryteriów Komisja doszła do wniosku, że zdolność banków centralnych państw trzecich do rozróżnienia między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t</w:t>
      </w:r>
      <w:r>
        <w:rPr>
          <w:rFonts w:ascii="Times New Roman" w:hAnsi="Times New Roman"/>
          <w:noProof/>
          <w:sz w:val="24"/>
        </w:rPr>
        <w:t>ransakcjami realizowanymi do celów regulacyjnych oraz transakcjami realizowanymi do celów inwestycyjnych ma kluczowe znaczenie, ponieważ w przeciwnym razie wszelkie wyłączenie przyznane na podstawie art. 1 ust. 9 nie byłoby wystarczająco wyraźnie uzasadnio</w:t>
      </w:r>
      <w:r>
        <w:rPr>
          <w:rFonts w:ascii="Times New Roman" w:hAnsi="Times New Roman"/>
          <w:noProof/>
          <w:sz w:val="24"/>
        </w:rPr>
        <w:t>ne. Po dalszej analizie uznano natomiast, że brak – w chwili opracowywania niniejszego sprawozdania – procedur powiadamiania  w sprawie transakcji objętych wyłączeniem nie jest wystarczająco istotny, by uznać, że wyłączenie na mocy art. 1 ust. 9 nie powinn</w:t>
      </w:r>
      <w:r>
        <w:rPr>
          <w:rFonts w:ascii="Times New Roman" w:hAnsi="Times New Roman"/>
          <w:noProof/>
          <w:sz w:val="24"/>
        </w:rPr>
        <w:t>o być dostępne, ponieważ jurysdykcje, w których takie procedury obecnie nie obowiązują, wskazały, że są gotowe je wdrożyć natychmiast po wprowadzeniu systemu określonego w MiFIR. Ponadto istnienia – w jurysdykcji poddanej analizie – ustawowych wyłączeń dot</w:t>
      </w:r>
      <w:r>
        <w:rPr>
          <w:rFonts w:ascii="Times New Roman" w:hAnsi="Times New Roman"/>
          <w:noProof/>
          <w:sz w:val="24"/>
        </w:rPr>
        <w:t>yczących transakcji realizowanych przez banki centralne w systemach obrotu państw trzecich nie uznaje się za niezbędne do kwalifikowania się do przyznania wyłączenia, ponieważ nie jest to wymóg wyraźnie określony w art. 1 ust. 9 MiFIR.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Ogólny przegląd ocen</w:t>
      </w:r>
      <w:r>
        <w:rPr>
          <w:rFonts w:ascii="Times New Roman" w:hAnsi="Times New Roman"/>
          <w:noProof/>
          <w:sz w:val="24"/>
        </w:rPr>
        <w:t>y przedstawiono w załączniku 1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" w:hAnsi="Times"/>
          <w:noProof/>
          <w:sz w:val="24"/>
        </w:rPr>
        <w:t xml:space="preserve"> Komisja stwierdziła</w:t>
      </w:r>
      <w:r>
        <w:rPr>
          <w:noProof/>
        </w:rPr>
        <w:t xml:space="preserve"> </w:t>
      </w:r>
      <w:r>
        <w:rPr>
          <w:rFonts w:ascii="Times" w:hAnsi="Times"/>
          <w:noProof/>
          <w:sz w:val="24"/>
        </w:rPr>
        <w:t>– w świetle istniejących w tych jurysdykcjach ram przejrzystości rynku lub przejrzystości operacyjnej – że wprowadzono w nich ramy prawne, które pozwalają uzyskać</w:t>
      </w:r>
      <w:r>
        <w:rPr>
          <w:rFonts w:ascii="Times New Roman" w:hAnsi="Times New Roman"/>
          <w:noProof/>
          <w:sz w:val="24"/>
        </w:rPr>
        <w:t xml:space="preserve"> wystarczający poziom przejrzystości rynk</w:t>
      </w:r>
      <w:r>
        <w:rPr>
          <w:rFonts w:ascii="Times New Roman" w:hAnsi="Times New Roman"/>
          <w:noProof/>
          <w:sz w:val="24"/>
        </w:rPr>
        <w:t>u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 xml:space="preserve">. Ponadto działalność handlowa podmiotów z tych jurysdykcji w UE jest </w:t>
      </w:r>
      <w:r>
        <w:rPr>
          <w:rFonts w:ascii="Times New Roman" w:hAnsi="Times New Roman"/>
          <w:noProof/>
          <w:sz w:val="24"/>
        </w:rPr>
        <w:lastRenderedPageBreak/>
        <w:t>wystarczająco istotna, by uzasadnić rozszerzenie na te jurysdykcje wyłączenia ze spełnienia wymogów przejrzystości przed- i posttransakcyjnej. Ponadto Komisja stwierdziła, że wyłączeni</w:t>
      </w:r>
      <w:r>
        <w:rPr>
          <w:rFonts w:ascii="Times New Roman" w:hAnsi="Times New Roman"/>
          <w:noProof/>
          <w:sz w:val="24"/>
        </w:rPr>
        <w:t>e należy przyznać BIS, którego zdolność do pełnienia istotnych funkcji związanych z interesem publicznym oraz wspierania międzynarodowej społeczności banków centralnych nie powinna zostać naruszona. W przeciwieństwie do banków centralnych BIS został wyraźn</w:t>
      </w:r>
      <w:r>
        <w:rPr>
          <w:rFonts w:ascii="Times New Roman" w:hAnsi="Times New Roman"/>
          <w:noProof/>
          <w:sz w:val="24"/>
        </w:rPr>
        <w:t xml:space="preserve">ie wymieniony jako podmiot, który w razie potrzeby może zostać objęty wyłączeniem. W przeciwieństwie do oceny dotyczącej banków centralnych ten wniosek osiągnięto na podstawie oceny jakościowej. </w:t>
      </w:r>
    </w:p>
    <w:p w:rsidR="001409C3" w:rsidRDefault="00410946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Poniżej przedstawiono krótkie podsumowanie analizy wybranych państw pod kątem wspomnianych powyżej kryteriów. Szczegółowy opis oraz pogłębioną analizę można znaleźć we wspomnianym badaniu CEPS. </w:t>
      </w:r>
    </w:p>
    <w:p w:rsidR="001409C3" w:rsidRDefault="00410946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" w:name="_Toc413169301"/>
      <w:bookmarkStart w:id="2" w:name="_Toc412950561"/>
      <w:bookmarkStart w:id="3" w:name="_Toc412947399"/>
      <w:bookmarkStart w:id="4" w:name="_Toc412933595"/>
      <w:bookmarkStart w:id="5" w:name="_Toc412835395"/>
      <w:bookmarkStart w:id="6" w:name="_Toc418165659"/>
      <w:r>
        <w:rPr>
          <w:rFonts w:ascii="Times New Roman" w:hAnsi="Times New Roman"/>
          <w:b/>
          <w:noProof/>
          <w:sz w:val="24"/>
        </w:rPr>
        <w:t>Bank Rezerw Australii</w:t>
      </w:r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b/>
          <w:noProof/>
          <w:sz w:val="24"/>
        </w:rPr>
        <w:t xml:space="preserve"> (RBA)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Instrumenty nie</w:t>
      </w:r>
      <w:r>
        <w:rPr>
          <w:rFonts w:ascii="Times New Roman" w:hAnsi="Times New Roman"/>
          <w:noProof/>
          <w:sz w:val="24"/>
        </w:rPr>
        <w:t>udziałowe są wyłączone z zakresu przepisów zapewniających przejrzystość obrotu. Jeżeli chodzi o przejrzystość operacyjną, RBA przedstawia informacje na temat pozycji swojego bilansu, ogłasza swoje codzienne operacje otwartego rynku i przekazuje pewne zagre</w:t>
      </w:r>
      <w:r>
        <w:rPr>
          <w:rFonts w:ascii="Times New Roman" w:hAnsi="Times New Roman"/>
          <w:noProof/>
          <w:sz w:val="24"/>
        </w:rPr>
        <w:t xml:space="preserve">gowane informacje na temat swoich transakcji (po dokonaniu tych transakcji) za pośrednictwem elektronicznych serwisów informacyjnych.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Wolumen obrotu RBA w ramach transakcji z kontrahentami z UE lub transakcji na instrumentach finansowych notowanych na </w:t>
      </w:r>
      <w:r>
        <w:rPr>
          <w:rFonts w:ascii="Times New Roman" w:hAnsi="Times New Roman"/>
          <w:noProof/>
          <w:sz w:val="24"/>
        </w:rPr>
        <w:t>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Zagraniczne banki centralne mogą korzystać z możliwości wyłączenia z wymogów przejrzystości. 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Uznaje się, że RBA jest w stanie dokonywać rozróżnienia między transakcjami do celów politycznych a transakcjami do in</w:t>
      </w:r>
      <w:r>
        <w:rPr>
          <w:rFonts w:ascii="Times New Roman" w:hAnsi="Times New Roman"/>
          <w:noProof/>
          <w:sz w:val="24"/>
        </w:rPr>
        <w:t>nych celów (takich jak cele „inwestycyjne”).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Ponadto, chociaż instytucja ta nie posiada żadnej procedury powiadamiania swoich kontrahentów o istnieniu wyłączenia dotyczącego transakcji z kontrahentami finansowymi z UE, oświadczyła, że jest gotowa do jej wd</w:t>
      </w:r>
      <w:r>
        <w:rPr>
          <w:rFonts w:ascii="Times New Roman" w:hAnsi="Times New Roman"/>
          <w:noProof/>
          <w:sz w:val="24"/>
        </w:rPr>
        <w:t>rożenia bezzwłocznie po wprowadzeniu systemu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Bank Centralny Brazylii (BCB)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Obowiązkowe przepisy regulujące przejrzystość obrotu instrumentami finansowymi obejmują niektóre instrumenty nieudziałowe, w tym skrypty d</w:t>
      </w:r>
      <w:r>
        <w:rPr>
          <w:rFonts w:ascii="Times New Roman" w:hAnsi="Times New Roman"/>
          <w:noProof/>
          <w:sz w:val="24"/>
        </w:rPr>
        <w:t>łużne, papiery komercyjne i instrumenty pochodne. Zwolnienie ze stosowania zasad przejrzystości rynku dotyczy głównie obligacji państwowych i zbywalnych instrumentów gwarantowanych przez instytucję finansową. Jeżeli chodzi o przejrzystość operacyjną, krajo</w:t>
      </w:r>
      <w:r>
        <w:rPr>
          <w:rFonts w:ascii="Times New Roman" w:hAnsi="Times New Roman"/>
          <w:noProof/>
          <w:sz w:val="24"/>
        </w:rPr>
        <w:t xml:space="preserve">wy bank centralny ogłasza szczegółowe informacje na temat operacji otwartego rynku na portalu Sisbacen i na swojej stronie internetowej, gdzie podaje również informacje na temat wyników aukcji, w tym dotyczących kursów walutowych.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BCB w ra</w:t>
      </w:r>
      <w:r>
        <w:rPr>
          <w:rFonts w:ascii="Times New Roman" w:hAnsi="Times New Roman"/>
          <w:noProof/>
          <w:sz w:val="24"/>
        </w:rPr>
        <w:t>mach transakcji z kontrahentami z UE lub transakcji na instrumentach finansowych notowanych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Zagraniczne banki centralne nie mogą korzystać z możliwości wyłączenia z wymogów przejrzystości. 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BCB jest w stanie d</w:t>
      </w:r>
      <w:r>
        <w:rPr>
          <w:rFonts w:ascii="Times New Roman" w:hAnsi="Times New Roman"/>
          <w:noProof/>
          <w:sz w:val="24"/>
        </w:rPr>
        <w:t>okonywać rozróżnienia między transakcjami do celów politycznych a transakcjami do innych celów (w szczególności do celów „inwestycyjnych”), które odgrywają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 instytucja posiada  procedurę powiadamiania swoich kontrahentów o istnieniu</w:t>
      </w:r>
      <w:r>
        <w:rPr>
          <w:rFonts w:ascii="Times New Roman" w:hAnsi="Times New Roman"/>
          <w:noProof/>
          <w:sz w:val="24"/>
        </w:rPr>
        <w:t xml:space="preserve"> wyłączenia dotyczącego transakcji z kontrahentami finansowymi z UE.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Bank Kanady (BoC)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Jeżeli chodzi o przejrzystość rynku, obowiązkowe przepisy dotyczące obrotu instrumentami finansowymi obejmują pewne instrumenty nieudziałowe, takie ja</w:t>
      </w:r>
      <w:r>
        <w:rPr>
          <w:rFonts w:ascii="Times New Roman" w:hAnsi="Times New Roman"/>
          <w:noProof/>
          <w:sz w:val="24"/>
        </w:rPr>
        <w:t>k obligacje, papiery komercyjne i instrumenty pochodne. Obligacje państwowe, jak również zagraniczne papiery wartościowe, zostały jednak wyraźnie wyłączone. Do środków z zakresu przejrzystości operacyjnej należy publikowanie z wyprzedzeniem przez BoC infor</w:t>
      </w:r>
      <w:r>
        <w:rPr>
          <w:rFonts w:ascii="Times New Roman" w:hAnsi="Times New Roman"/>
          <w:noProof/>
          <w:sz w:val="24"/>
        </w:rPr>
        <w:t xml:space="preserve">macji na temat terminowych transakcji repo do celów zarządzania bilansem. Zagregowane wyniki tych transakcji są również publikowane na stronie internetowej krajowego banku centralnego.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BoC w ramach transakcji z kontrahentami z UE lub trans</w:t>
      </w:r>
      <w:r>
        <w:rPr>
          <w:rFonts w:ascii="Times New Roman" w:hAnsi="Times New Roman"/>
          <w:noProof/>
          <w:sz w:val="24"/>
        </w:rPr>
        <w:t>akcji na instrumentach finansowych notowanych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Zagraniczne banki centralne mogą korzystać z możliwości wyłączenia z wymogów przejrzystości. 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BoC jest w stanie dokonywać rozróżnienia między transakcjami do celów</w:t>
      </w:r>
      <w:r>
        <w:rPr>
          <w:rFonts w:ascii="Times New Roman" w:hAnsi="Times New Roman"/>
          <w:noProof/>
          <w:sz w:val="24"/>
        </w:rPr>
        <w:t xml:space="preserve"> politycznych a transakcjami do innych celów (a w szczególności do celów „inwestycyjnych”).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Ponadto, chociaż w instytucji tej nie istnieje obecnie żadna procedura powiadamiania swoich kontrahentów o istnieniu wyłączenia dotyczącego transakcji z </w:t>
      </w:r>
      <w:r>
        <w:rPr>
          <w:rFonts w:ascii="Times New Roman" w:hAnsi="Times New Roman"/>
          <w:noProof/>
          <w:sz w:val="24"/>
        </w:rPr>
        <w:t>kontrahentami finansowymi z UE, jest ona gotowa do jej wdrożenia bezzwłocznie po wprowadzeniu systemu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10946" w:rsidRDefault="00410946">
      <w:pPr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br w:type="page"/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Ludowy Bank Chin (PBoC)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PBoC nie posiada żadnych wymogów dotyczących przejrzystości w odniesieniu do </w:t>
      </w:r>
      <w:r>
        <w:rPr>
          <w:rFonts w:ascii="Times New Roman" w:hAnsi="Times New Roman"/>
          <w:noProof/>
          <w:sz w:val="24"/>
        </w:rPr>
        <w:t>instrumentów nieudziałowych, a uczestnicy rynku nie muszą ujawniać i zgłaszać szczegółowych danych na temat transakcji. Przejrzystość operacyjną uzyskuje się dzięki publicznemu ogłaszaniu operacji otwartego rynku oraz wyników krótkoterminowych operacji pły</w:t>
      </w:r>
      <w:r>
        <w:rPr>
          <w:rFonts w:ascii="Times New Roman" w:hAnsi="Times New Roman"/>
          <w:noProof/>
          <w:sz w:val="24"/>
        </w:rPr>
        <w:t>nnościowych.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Komisja Europejska oczekuje na dane dotyczące działalności handlowej PBoC na rynkach finansowych UE oraz w ramach transakcji z kontrahentami z UE. W związku z tym w chwili obecnej nie można ocenić przesłanek gospodarczych, które uzasadniałyby</w:t>
      </w:r>
      <w:r>
        <w:rPr>
          <w:rFonts w:ascii="Times New Roman" w:hAnsi="Times New Roman"/>
          <w:noProof/>
          <w:sz w:val="24"/>
        </w:rPr>
        <w:t xml:space="preserve"> przyznanie wyłączenia.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Ponieważ instytucja spełnia tylko jedno z trzech kluczowych kryteriów, CEPS zwróciło większą uwagę na trzy kryteria dodatkowe: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– zagraniczne banki centralne nie korzystają z ogólnego wyłączenia z wymogów przejrzy</w:t>
      </w:r>
      <w:r>
        <w:rPr>
          <w:rFonts w:ascii="Times New Roman" w:hAnsi="Times New Roman"/>
          <w:noProof/>
          <w:sz w:val="24"/>
        </w:rPr>
        <w:t>stości;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– nie wykazano, że instytucja jest w stanie dokonywać rozróżnienia między transakcjami do celów inwestycyjnych a transakcjami do celów politycznych;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– nie zgłoszono żadnych procedur powiadamiania, których celem jest poinformowanie kontrahentów z UE</w:t>
      </w:r>
      <w:r>
        <w:rPr>
          <w:rFonts w:ascii="Times New Roman" w:hAnsi="Times New Roman"/>
          <w:noProof/>
          <w:sz w:val="24"/>
        </w:rPr>
        <w:t>, że transakcje nie podlegają wymogom przejrzystości.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związku z brakiem informacji dotyczących transakcji realizowanych z udziałem kontrahentów z UE lub na instrumentach finansowych notowanych na rynkach UE CEPS nie mogło na chwilę obecną wyciągnąć wnio</w:t>
      </w:r>
      <w:r>
        <w:rPr>
          <w:rFonts w:ascii="Times New Roman" w:hAnsi="Times New Roman"/>
          <w:noProof/>
          <w:sz w:val="24"/>
        </w:rPr>
        <w:t xml:space="preserve">sków na temat stosowności i konieczności przyznania PBoC wyłączenia na podstawie art. 1 ust. 9 MiFIR. 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lang w:val="en-GB"/>
        </w:rPr>
        <w:t>Urząd Monetarny Hongkongu (The Hong Kong Monetary Authority (HKMA))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  <w:lang w:val="en-GB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Jeżeli chodzi o przejrzystość rynku, Hongkong nie posiada żadnyc</w:t>
      </w:r>
      <w:r>
        <w:rPr>
          <w:rFonts w:ascii="Times New Roman" w:hAnsi="Times New Roman"/>
          <w:noProof/>
          <w:sz w:val="24"/>
        </w:rPr>
        <w:t>h wymogów przejrzystości dotyczących obrotu instrumentami nieudziałowymi. Jeżeli chodzi o przejrzystość operacyjną, krajowy bank centralny nie ujawnia informacji dotyczących transakcji, tylko ogólne pozycje swojego bilansu oraz zmiany w rezerwach walutowyc</w:t>
      </w:r>
      <w:r>
        <w:rPr>
          <w:rFonts w:ascii="Times New Roman" w:hAnsi="Times New Roman"/>
          <w:noProof/>
          <w:sz w:val="24"/>
        </w:rPr>
        <w:t>h. Zapewnia on jednak konkretne i szczegółowe informacje na temat emisji bonów i skryptów funduszu walutowego (</w:t>
      </w:r>
      <w:r>
        <w:rPr>
          <w:rFonts w:ascii="Times New Roman" w:hAnsi="Times New Roman"/>
          <w:i/>
          <w:noProof/>
          <w:sz w:val="24"/>
        </w:rPr>
        <w:t>Exchange Fund Bills and Notes</w:t>
      </w:r>
      <w:r>
        <w:rPr>
          <w:rFonts w:ascii="Times New Roman" w:hAnsi="Times New Roman"/>
          <w:noProof/>
          <w:sz w:val="24"/>
        </w:rPr>
        <w:t xml:space="preserve">).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HKMA w ramach transakcji z kontrahentami z UE lub transakcji na instrumentach finansowych notowa</w:t>
      </w:r>
      <w:r>
        <w:rPr>
          <w:rFonts w:ascii="Times New Roman" w:hAnsi="Times New Roman"/>
          <w:noProof/>
          <w:sz w:val="24"/>
        </w:rPr>
        <w:t>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10946" w:rsidRDefault="00410946">
      <w:pPr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br w:type="page"/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Zagraniczne banki centralne nie mogą korzystać z możliwości wyłączenia z wymogów przejrzystości. 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HKMA jest w stanie dokonywać rozróżnienia między transakcjami do celów politycznych a transakcjami do celó</w:t>
      </w:r>
      <w:r>
        <w:rPr>
          <w:rFonts w:ascii="Times New Roman" w:hAnsi="Times New Roman"/>
          <w:noProof/>
          <w:sz w:val="24"/>
        </w:rPr>
        <w:t>w „wyłącznie” inwestycyjnych, które odgrywają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 HKMA posiada  procedurę powiadamiania swoich kontrahentów o istnieniu wyłączenia dotyczącego transakcji z kontrahentami finansowymi z UE.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Bank Rezerw Indii (RBI)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Jeżeli chodzi o przejrzystość rynku, transakcje pozagiełdowe na instrumentach nieudziałowych (które zwykle zawiera się telefonicznie) zgłaszane są za pośrednictwem modułu rynku wtórnego w ramach </w:t>
      </w:r>
      <w:r>
        <w:rPr>
          <w:rFonts w:ascii="Times New Roman" w:hAnsi="Times New Roman"/>
          <w:i/>
          <w:noProof/>
          <w:sz w:val="24"/>
        </w:rPr>
        <w:t>Negotiated Dealing System</w:t>
      </w:r>
      <w:r>
        <w:rPr>
          <w:rFonts w:ascii="Times New Roman" w:hAnsi="Times New Roman"/>
          <w:noProof/>
          <w:sz w:val="24"/>
        </w:rPr>
        <w:t xml:space="preserve"> (systemu obrotu negocjowanego). Inf</w:t>
      </w:r>
      <w:r>
        <w:rPr>
          <w:rFonts w:ascii="Times New Roman" w:hAnsi="Times New Roman"/>
          <w:noProof/>
          <w:sz w:val="24"/>
        </w:rPr>
        <w:t xml:space="preserve">ormacje na temat ustalonych cen papierów wartościowych są dostępne na stronach internetowych RBI i przedsiębiorstwa Clearing Corporation of India Ltd. (CCIL). Jeżeli chodzi o przejrzystość operacyjną, RBI publikuje kalendarz aukcji, a w przypadku operacji </w:t>
      </w:r>
      <w:r>
        <w:rPr>
          <w:rFonts w:ascii="Times New Roman" w:hAnsi="Times New Roman"/>
          <w:noProof/>
          <w:sz w:val="24"/>
        </w:rPr>
        <w:t xml:space="preserve">otwartego rynku i instrumentów płynnościowych z wyprzedzeniem ujawnia szczegółowe informacje na temat tych operacji oraz zagregowane wyniki operacji </w:t>
      </w:r>
      <w:r>
        <w:rPr>
          <w:rFonts w:ascii="Times New Roman" w:hAnsi="Times New Roman"/>
          <w:i/>
          <w:noProof/>
          <w:sz w:val="24"/>
        </w:rPr>
        <w:t>ex post</w:t>
      </w:r>
      <w:r>
        <w:rPr>
          <w:rFonts w:ascii="Times New Roman" w:hAnsi="Times New Roman"/>
          <w:noProof/>
          <w:sz w:val="24"/>
        </w:rPr>
        <w:t>. Ujawnia on również cotygodniowo informacje statystyczne dotyczące operacji otwartego rynku, a takż</w:t>
      </w:r>
      <w:r>
        <w:rPr>
          <w:rFonts w:ascii="Times New Roman" w:hAnsi="Times New Roman"/>
          <w:noProof/>
          <w:sz w:val="24"/>
        </w:rPr>
        <w:t xml:space="preserve">e publikuje informacje na temat polityki walutowej w swoim comiesięcznym biuletynie (nie ujawnia się informacji na temat transakcji walutowych).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w ramach transakcji z kontrahentami z UE lub transakcji na instrumentach finansowych notowanyc</w:t>
      </w:r>
      <w:r>
        <w:rPr>
          <w:rFonts w:ascii="Times New Roman" w:hAnsi="Times New Roman"/>
          <w:noProof/>
          <w:sz w:val="24"/>
        </w:rPr>
        <w:t xml:space="preserve">h na rynkach UE jest niski.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RBI nie zgłasza transakcji walutowych zawieranych przez zagraniczne banki centralne; co do zasady nie istnieje również obowiązek zgłaszania transakcji zawieranych z zagranicznymi bankami centralnymi. RBI jes</w:t>
      </w:r>
      <w:r>
        <w:rPr>
          <w:rFonts w:ascii="Times New Roman" w:hAnsi="Times New Roman"/>
          <w:noProof/>
          <w:sz w:val="24"/>
        </w:rPr>
        <w:t>t w stanie dokonywać rozróżnienia między transakcjami do celów politycznych a transakcjami do celów „wyłącznie” inwestycyjnych, które odgrywają 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Ponadto, chociaż w instytucji tej nie istnieje obecnie żadna procedura powiadamiania swoich ko</w:t>
      </w:r>
      <w:r>
        <w:rPr>
          <w:rFonts w:ascii="Times New Roman" w:hAnsi="Times New Roman"/>
          <w:noProof/>
          <w:sz w:val="24"/>
        </w:rPr>
        <w:t>ntrahentów o istnieniu wyłączenia dotyczącego transakcji z kontrahentami finansowymi z UE, jest ona gotowa do jej wdrożenia bezzwłocznie po wprowadzeniu systemu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Bank Japonii (BoJ)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Obowiązkowe przepisy dotyczące pr</w:t>
      </w:r>
      <w:r>
        <w:rPr>
          <w:rFonts w:ascii="Times New Roman" w:hAnsi="Times New Roman"/>
          <w:noProof/>
          <w:sz w:val="24"/>
        </w:rPr>
        <w:t>zejrzystości rynku obejmują pewne wymogi sprawozdawcze w zakresie instrumentów pochodnych będących przedmiotem obrotu poza rynkiem regulowanym, ale operatorzy rynku muszą jedynie przekazywać sprawozdania do odpowiedniego ministerstwa i repozytoriów transak</w:t>
      </w:r>
      <w:r>
        <w:rPr>
          <w:rFonts w:ascii="Times New Roman" w:hAnsi="Times New Roman"/>
          <w:noProof/>
          <w:sz w:val="24"/>
        </w:rPr>
        <w:t xml:space="preserve">cji, a nie udostępniać je publicznie. Organizacje działające w zakresie samoregulacji opracowały jednak szczegółowe wymogi dotyczące publikowania cen referencyjnych nieudziałowych instrumentów finansowych. Jeżeli chodzi o przejrzystość operacyjną, BoJ nie </w:t>
      </w:r>
      <w:r>
        <w:rPr>
          <w:rFonts w:ascii="Times New Roman" w:hAnsi="Times New Roman"/>
          <w:noProof/>
          <w:sz w:val="24"/>
        </w:rPr>
        <w:t xml:space="preserve">publikuje informacji z wyprzedzeniem, ale publikuje zagregowane wyniki aukcji po zawarciu każdej transakcji.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w ramach transakcji z kontrahentami z UE lub transakcji na instrumentach finansowych notowanych na rynkach UE jest niski.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</w:t>
      </w:r>
      <w:r>
        <w:rPr>
          <w:rFonts w:ascii="Times New Roman" w:hAnsi="Times New Roman"/>
          <w:i/>
          <w:noProof/>
          <w:sz w:val="24"/>
        </w:rPr>
        <w:t>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Zagraniczne banki centralne mogą korzystać z możliwości wyłączenia z wymogów przejrzystości na podstawie ogólnej klauzuli poufności mającej zastosowanie w przypadkach, w których ujawnienie informacji zaszkodziłoby stosunkom z państwami trzecimi</w:t>
      </w:r>
      <w:r>
        <w:rPr>
          <w:rFonts w:ascii="Times New Roman" w:hAnsi="Times New Roman"/>
          <w:noProof/>
          <w:sz w:val="24"/>
        </w:rPr>
        <w:t>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BoJ jest w stanie dokonywać rozróżnienia między transakcjami do celów politycznych a transakcjami do celów „wyłącznie” inwestycyjnych, które odgrywają 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Ponadto, chociaż w instytucji tej nie istnieje obecnie żadna procedura powiadamiania </w:t>
      </w:r>
      <w:r>
        <w:rPr>
          <w:rFonts w:ascii="Times New Roman" w:hAnsi="Times New Roman"/>
          <w:noProof/>
          <w:sz w:val="24"/>
        </w:rPr>
        <w:t>swoich kontrahentów o istnieniu wyłączenia dotyczącego transakcji z kontrahentami finansowymi z UE, jest ona gotowa do jej wdrożenia bezzwłocznie po wprowadzeniu systemu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Bank Meksyku (Banxico)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Banxico nie posiada </w:t>
      </w:r>
      <w:r>
        <w:rPr>
          <w:rFonts w:ascii="Times New Roman" w:hAnsi="Times New Roman"/>
          <w:noProof/>
          <w:sz w:val="24"/>
        </w:rPr>
        <w:t>żadnych obowiązkowych przepisów w zakresie wymogów przejrzystości dotyczących transakcji na instrumentach nieudziałowych. Zasady dotyczące samoregulacji obejmują jednak obowiązki w zakresie notowań. Jeżeli chodzi o przejrzystość operacyjną, Banxico publiku</w:t>
      </w:r>
      <w:r>
        <w:rPr>
          <w:rFonts w:ascii="Times New Roman" w:hAnsi="Times New Roman"/>
          <w:noProof/>
          <w:sz w:val="24"/>
        </w:rPr>
        <w:t xml:space="preserve">je z wyprzedzeniem główne informacje na temat aukcji, w tym szacowaną kwotę i rodzaj operacji, w biuletynie informacyjnym.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Banxico w ramach transakcji z kontrahentami z UE lub transakcji na instrumentach finansowych notowanych na rynkach U</w:t>
      </w:r>
      <w:r>
        <w:rPr>
          <w:rFonts w:ascii="Times New Roman" w:hAnsi="Times New Roman"/>
          <w:noProof/>
          <w:sz w:val="24"/>
        </w:rPr>
        <w:t>E jest niski.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W przypadku transakcji zawieranych przez zagraniczne banki centralne nie można korzystać z możliwości wyłączenia z wymogów przejrzystości. Banxico jest w stanie dokonywać rozróżnienia między transakcjami do celów </w:t>
      </w:r>
      <w:r>
        <w:rPr>
          <w:rFonts w:ascii="Times New Roman" w:hAnsi="Times New Roman"/>
          <w:noProof/>
          <w:sz w:val="24"/>
        </w:rPr>
        <w:t>politycznych a transakcjami do celów „wyłącznie” inwestycyjnych, które odgrywają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 Banxico posiada  procedurę powiadamiania swoich kontrahentów o istnieniu wyłączenia dotyczącego transakcji z kontrahentami finansowymi z UE.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lang w:val="en-GB"/>
        </w:rPr>
        <w:t xml:space="preserve">Urząd </w:t>
      </w:r>
      <w:r>
        <w:rPr>
          <w:rFonts w:ascii="Times New Roman" w:hAnsi="Times New Roman"/>
          <w:b/>
          <w:noProof/>
          <w:sz w:val="24"/>
          <w:lang w:val="en-GB"/>
        </w:rPr>
        <w:t>Monetarny Singapuru (Monetary Authority of Singapore (MAS))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Jeżeli chodzi o przejrzystość rynku, w ramach wdrażania ustawy o papierach wartościowych i kontraktach terminowych typu future MAS wydał wytyczne dotyczące regulacji rynków, w kt</w:t>
      </w:r>
      <w:r>
        <w:rPr>
          <w:rFonts w:ascii="Times New Roman" w:hAnsi="Times New Roman"/>
          <w:noProof/>
          <w:sz w:val="24"/>
        </w:rPr>
        <w:t>órych przewidziano obowiązek podawania informacji zarówno sprzed zawarcia transakcji (najlepsza oferta i ceny ofert), jak i po jej zawarciu (dokonane transakcje). Te zasady i wytyczne mają zastosowanie do giełd i do uznanych operatorów rynku, a nie do deal</w:t>
      </w:r>
      <w:r>
        <w:rPr>
          <w:rFonts w:ascii="Times New Roman" w:hAnsi="Times New Roman"/>
          <w:noProof/>
          <w:sz w:val="24"/>
        </w:rPr>
        <w:t xml:space="preserve">erów. Jeżeli chodzi o przejrzystość operacyjną, MAS przekazuje uczestnikom rynku zasady aukcji i wyniki aukcji.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MAS w ramach transakcji z kontrahentami z UE lub transakcji na instrumentach finansowych notowanych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MAS nie przyznaje wyłączenia z wymogów przejrzystości w przypadku transakcji krajowych dokonywanych przez zagraniczne banki centralne. MAS jest w stanie dokonywać rozróżnienia między transakcjami do celów politycznych a transakcjami </w:t>
      </w:r>
      <w:r>
        <w:rPr>
          <w:rFonts w:ascii="Times New Roman" w:hAnsi="Times New Roman"/>
          <w:noProof/>
          <w:sz w:val="24"/>
        </w:rPr>
        <w:t>do celów „wyłącznie” inwestycyjnych, które odgrywają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Ponadto, chociaż MAS nie dysponuje obecnie żadną procedurą powiadamiania swoich kontrahentów o istnieniu wyłączenia dotyczącego transakcji z kontrahentami finansowymi z UE, jest on gotow</w:t>
      </w:r>
      <w:r>
        <w:rPr>
          <w:rFonts w:ascii="Times New Roman" w:hAnsi="Times New Roman"/>
          <w:noProof/>
          <w:sz w:val="24"/>
        </w:rPr>
        <w:t>y do jej wdrożenia bezzwłocznie po wprowadzeniu systemu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7" w:name="_Toc413169346"/>
      <w:bookmarkStart w:id="8" w:name="_Toc412950570"/>
      <w:bookmarkStart w:id="9" w:name="_Toc412947408"/>
      <w:bookmarkStart w:id="10" w:name="_Toc412933640"/>
      <w:bookmarkStart w:id="11" w:name="_Toc418165668"/>
      <w:r>
        <w:rPr>
          <w:rFonts w:ascii="Times New Roman" w:hAnsi="Times New Roman"/>
          <w:b/>
          <w:noProof/>
          <w:sz w:val="24"/>
        </w:rPr>
        <w:t>Bank Korei (BoK)</w:t>
      </w:r>
      <w:bookmarkEnd w:id="7"/>
      <w:bookmarkEnd w:id="8"/>
      <w:bookmarkEnd w:id="9"/>
      <w:bookmarkEnd w:id="10"/>
      <w:bookmarkEnd w:id="11"/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obowiązkowych przepisach  nie przewidziano żadnych wymogów przejrzystości rynku w odniesieniu do instrumentów nieudziałowych. Zasady rynko</w:t>
      </w:r>
      <w:r>
        <w:rPr>
          <w:rFonts w:ascii="Times New Roman" w:hAnsi="Times New Roman"/>
          <w:noProof/>
          <w:sz w:val="24"/>
        </w:rPr>
        <w:t>we w ramach samoregulacji obejmują jednak obowiązki zachowania przejrzystości cen referencyjnych instrumentów nieudziałowych, którymi BoK zazwyczaj prowadzi obrót. Jeżeli chodzi o przejrzystość operacyjną, BoK publikuje zagregowane informacje na temat pozy</w:t>
      </w:r>
      <w:r>
        <w:rPr>
          <w:rFonts w:ascii="Times New Roman" w:hAnsi="Times New Roman"/>
          <w:noProof/>
          <w:sz w:val="24"/>
        </w:rPr>
        <w:t xml:space="preserve">cji swojego bilansu. Jeżeli chodzi o zarządzanie walutowe, BoK publikuje zagregowane informacje na temat transzy inwestycyjnej jego aktywów zagranicznych.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BoK w ramach transakcji z kontrahentami z UE lub transakcji na instrumentach finanso</w:t>
      </w:r>
      <w:r>
        <w:rPr>
          <w:rFonts w:ascii="Times New Roman" w:hAnsi="Times New Roman"/>
          <w:noProof/>
          <w:sz w:val="24"/>
        </w:rPr>
        <w:t>wych notowanych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przypadku transakcji krajowych zawieranych przez zagraniczne banki centralne nie można korzystać z możliwości wyłączenia z wymogów przejrzystości.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BoK jest w stanie dokonywać rozróżnienia mię</w:t>
      </w:r>
      <w:r>
        <w:rPr>
          <w:rFonts w:ascii="Times New Roman" w:hAnsi="Times New Roman"/>
          <w:noProof/>
          <w:sz w:val="24"/>
        </w:rPr>
        <w:t>dzy transakcjami do celów politycznych a transakcjami do celów „wyłącznie” inwestycyjnych, które odgrywają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Ponadto, chociaż BoK nie dysponuje obecnie żadną procedurą powiadamiania swoich kontrahentów z UE o istnieniu wyłączenia dotyczącego</w:t>
      </w:r>
      <w:r>
        <w:rPr>
          <w:rFonts w:ascii="Times New Roman" w:hAnsi="Times New Roman"/>
          <w:noProof/>
          <w:sz w:val="24"/>
        </w:rPr>
        <w:t xml:space="preserve"> transakcji z kontrahentami finansowymi z UE, jest on gotowy do jej wdrożenia bezzwłocznie po wprowadzeniu systemu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Narodowy Bank Szwajcarii (SNB)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Jeżeli chodzi o przejrzystość rynku, istnieją wymogi sprawozdawcze dotyczące instrumentów nieudziałowych, a platforma SIX Repo, za pośrednictwem której SNB zawiera dużą liczbę swoich transakcji, jest dostępna również dla transakcji repo na rynku międzybank</w:t>
      </w:r>
      <w:r>
        <w:rPr>
          <w:rFonts w:ascii="Times New Roman" w:hAnsi="Times New Roman"/>
          <w:noProof/>
          <w:sz w:val="24"/>
        </w:rPr>
        <w:t xml:space="preserve">owym oraz podlega wymogom przejrzystości przed- i posttransakcyjnej. Jeżeli chodzi o przejrzystość operacyjną, SNB publikuje szczegółowe informacje na temat zawieranych przez siebie operacji otwartego rynku oraz operacji banku centralnego na koniec dnia.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SNB w ramach transakcji z kontrahentami z UE lub transakcji na instrumentach finansowych notowanych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przypadku transakcji krajowych zawieranych przez zagraniczne banki centralne nie można korz</w:t>
      </w:r>
      <w:r>
        <w:rPr>
          <w:rFonts w:ascii="Times New Roman" w:hAnsi="Times New Roman"/>
          <w:noProof/>
          <w:sz w:val="24"/>
        </w:rPr>
        <w:t>ystać z możliwości wyłączenia z wymogów przejrzystości, ale kwestia ta jest obecnie przedmiotem dyskusji. SNB jest w stanie dokonywać rozróżnienia między transakcjami do celów politycznych a transakcjami do celów „wyłącznie” inwestycyjnych, które odgrywają</w:t>
      </w:r>
      <w:r>
        <w:rPr>
          <w:rFonts w:ascii="Times New Roman" w:hAnsi="Times New Roman"/>
          <w:noProof/>
          <w:sz w:val="24"/>
        </w:rPr>
        <w:t xml:space="preserve">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Ponadto, chociaż SNB nie dysponuje obecnie żadną procedurą powiadamiania swoich kontrahentów o istnieniu wyłączenia dotyczącego transakcji z kontrahentami finansowymi z UE, jest on gotowy do jej wdrożenia bezzwłocznie po wprowadzeniu syst</w:t>
      </w:r>
      <w:r>
        <w:rPr>
          <w:rFonts w:ascii="Times New Roman" w:hAnsi="Times New Roman"/>
          <w:noProof/>
          <w:sz w:val="24"/>
        </w:rPr>
        <w:t>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Bank Centralny Republiki Tureckiej (CBRT)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Turcja posiada wymogi przejrzystości w odniesieniu do instrumentów nieudziałowych (z wyjątkiem instrumentów pochodnych będących przedmiotem obrotu poza rynkiem regulowanym) zawarte w przepisach obowiązkowych i zasadach w ramach samoregulacji. CBRT jest czł</w:t>
      </w:r>
      <w:r>
        <w:rPr>
          <w:rFonts w:ascii="Times New Roman" w:hAnsi="Times New Roman"/>
          <w:noProof/>
          <w:sz w:val="24"/>
        </w:rPr>
        <w:t>onkiem Borsa Istanbul, a jego wolumen obrotu w zakresie transakcji na instrumentach nieudziałowych zawieranych za pośrednictwem tej platformy jest ujawniany przez giełdę wraz z wolumenami pozostałych członków platformy. Jeżeli chodzi o przejrzystość operac</w:t>
      </w:r>
      <w:r>
        <w:rPr>
          <w:rFonts w:ascii="Times New Roman" w:hAnsi="Times New Roman"/>
          <w:noProof/>
          <w:sz w:val="24"/>
        </w:rPr>
        <w:t>yjną, CBRT ujawnia zagregowane szczegółowe informacje na temat operacji otwartego rynku, takich jak transakcje repo i transakcje reverse repo zawierane w drodze aukcji i notowań oraz bezwarunkowe transakcje zawierane w drodze aukcji i notowań, a także na t</w:t>
      </w:r>
      <w:r>
        <w:rPr>
          <w:rFonts w:ascii="Times New Roman" w:hAnsi="Times New Roman"/>
          <w:noProof/>
          <w:sz w:val="24"/>
        </w:rPr>
        <w:t>emat bonów płynnościowych. Borsa Istanbul ujawnia wolumeny obrotu CBRT w ramach transakcji zawartych za pośrednictwem tej platformy. CBRT ujawnia informacje na temat zarządzania rezerwami w swoim sprawozdaniu rocznym (informacje na temat inwestycyjnych poz</w:t>
      </w:r>
      <w:r>
        <w:rPr>
          <w:rFonts w:ascii="Times New Roman" w:hAnsi="Times New Roman"/>
          <w:noProof/>
          <w:sz w:val="24"/>
        </w:rPr>
        <w:t xml:space="preserve">iomów referencyjnych, ogólne informacje na temat składu portfela) oraz w niektórych sprawozdaniach miesięcznych.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w ramach transakcji z kontrahentami z UE lub transakcji na instrumentach finansowych notowanych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10946" w:rsidRDefault="00410946">
      <w:pPr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br w:type="page"/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</w:t>
      </w:r>
      <w:r>
        <w:rPr>
          <w:rFonts w:ascii="Times New Roman" w:hAnsi="Times New Roman"/>
          <w:i/>
          <w:noProof/>
          <w:sz w:val="24"/>
        </w:rPr>
        <w:t>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przypadku transakcji krajowych zawieranych przez zagraniczne banki centralne nie można korzystać z możliwości wyłączenia z wymogów przejrzystości. CBRT jest w stanie dokonywać rozróżnienia między transakcjami do celów politycznych a tran</w:t>
      </w:r>
      <w:r>
        <w:rPr>
          <w:rFonts w:ascii="Times New Roman" w:hAnsi="Times New Roman"/>
          <w:noProof/>
          <w:sz w:val="24"/>
        </w:rPr>
        <w:t>sakcjami do celów „wyłącznie” inwestycyjnych, które odgrywają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Ponadto, chociaż CBRT nie dysponuje obecnie żadną procedurą powiadamiania swoich kontrahentów z UE o istnieniu wyłączenia dotyczącego transakcji z kontrahentami finansowymi z UE</w:t>
      </w:r>
      <w:r>
        <w:rPr>
          <w:rFonts w:ascii="Times New Roman" w:hAnsi="Times New Roman"/>
          <w:noProof/>
          <w:sz w:val="24"/>
        </w:rPr>
        <w:t>, jest on gotowy do jej wdrożenia bezzwłocznie po wprowadzeniu systemu przewidzianego w MiFIR.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2" w:name="_Toc418165671"/>
      <w:r>
        <w:rPr>
          <w:rFonts w:ascii="Times New Roman" w:hAnsi="Times New Roman"/>
          <w:b/>
          <w:noProof/>
          <w:sz w:val="24"/>
        </w:rPr>
        <w:t>System Rezerwy Federalnej Stanów Zjednoczonych – Federalny Bank Rezerw w Nowym Jorku (FRBNY)</w:t>
      </w:r>
      <w:bookmarkEnd w:id="12"/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Stanach Zjednoczonych istnieją kompleksowe wymo</w:t>
      </w:r>
      <w:r>
        <w:rPr>
          <w:rFonts w:ascii="Times New Roman" w:hAnsi="Times New Roman"/>
          <w:noProof/>
          <w:sz w:val="24"/>
        </w:rPr>
        <w:t>gi przejrzystości w odniesieniu do instrumentów nieudziałowych, które to wymogi zawarto w zasadach w ramach samoregulacji (sprawozdawczość dotycząca transakcji i mechanizm zgodności FINRA). Papiery wartościowe emitowane przez państwo są wyłączone z wymogów</w:t>
      </w:r>
      <w:r>
        <w:rPr>
          <w:rFonts w:ascii="Times New Roman" w:hAnsi="Times New Roman"/>
          <w:noProof/>
          <w:sz w:val="24"/>
        </w:rPr>
        <w:t xml:space="preserve"> przejrzystości (chociaż osoby zawierające transakcje na papierach wartościowych skarbu państwa Stanów Zjednoczonych, a także skryptach dłużnych agencji rządowych Stanów Zjednoczonych oraz denominowanych w dolarach amerykańskich papierach wartościowych zab</w:t>
      </w:r>
      <w:r>
        <w:rPr>
          <w:rFonts w:ascii="Times New Roman" w:hAnsi="Times New Roman"/>
          <w:noProof/>
          <w:sz w:val="24"/>
        </w:rPr>
        <w:t>ezpieczonych aktywami i hipotekami podlegają obowiązkowym wymogom w zakresie sprawozdawczości dotyczącej pozycji). Jeżeli chodzi o przejrzystość operacyjną, FRBNY ujawnia obszerne informacje na temat szczegółów swoich transakcji zarówno przed, jak i po ich</w:t>
      </w:r>
      <w:r>
        <w:rPr>
          <w:rFonts w:ascii="Times New Roman" w:hAnsi="Times New Roman"/>
          <w:noProof/>
          <w:sz w:val="24"/>
        </w:rPr>
        <w:t xml:space="preserve"> zawarciu.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FRBNY w ramach transakcji z kontrahentami z UE lub transakcji na instrumentach finansowych notowanych na rynkach UE jest niski.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 przypadku transakcji zawieranych przez zagraniczne banki centralne co do zasad</w:t>
      </w:r>
      <w:r>
        <w:rPr>
          <w:rFonts w:ascii="Times New Roman" w:hAnsi="Times New Roman"/>
          <w:noProof/>
          <w:sz w:val="24"/>
        </w:rPr>
        <w:t>y nie można korzystać z możliwości wyłączenia z wymogów przejrzystości, ale banki te mogą korzystać z wyłączenia w odniesieniu do obligacji skarbowych i papierów wartościowych denominowanych w obcych walutach. Transakcje na instrumentach pochodnych będącyc</w:t>
      </w:r>
      <w:r>
        <w:rPr>
          <w:rFonts w:ascii="Times New Roman" w:hAnsi="Times New Roman"/>
          <w:noProof/>
          <w:sz w:val="24"/>
        </w:rPr>
        <w:t>h przedmiotem obrotu poza rynkiem regulowanym zawierane z zagranicznymi bankami centralnymi nie są kategorycznie wykluczone (w przeciwieństwie do transakcji na instrumentach pochodnych będących przedmiotem obrotu poza rynkiem regulowanym zawieranych z orga</w:t>
      </w:r>
      <w:r>
        <w:rPr>
          <w:rFonts w:ascii="Times New Roman" w:hAnsi="Times New Roman"/>
          <w:noProof/>
          <w:sz w:val="24"/>
        </w:rPr>
        <w:t xml:space="preserve">nami Stanów Zjednoczonych). 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FRBNY jest w stanie dokonywać rozróżnienia między transakcjami do celów politycznych a transakcjami do celów „wyłącznie” inwestycyjnych, które odgrywają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Ponadto FRBNY nie posiada żadnej procedury powiadamiania </w:t>
      </w:r>
      <w:r>
        <w:rPr>
          <w:rFonts w:ascii="Times New Roman" w:hAnsi="Times New Roman"/>
          <w:noProof/>
          <w:sz w:val="24"/>
        </w:rPr>
        <w:t>swoich kontrahentów o istnieniu wyłączenia dotyczącego transakcji z kontrahentami finansowymi z UE.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10946" w:rsidRDefault="00410946">
      <w:pPr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br w:type="page"/>
      </w:r>
    </w:p>
    <w:p w:rsidR="001409C3" w:rsidRDefault="0041094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13" w:name="_GoBack"/>
      <w:bookmarkEnd w:id="13"/>
      <w:r>
        <w:rPr>
          <w:rFonts w:ascii="Times New Roman" w:hAnsi="Times New Roman"/>
          <w:b/>
          <w:noProof/>
          <w:sz w:val="24"/>
        </w:rPr>
        <w:t>Bank Rozrachunków Międzynarodowych (BIS)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Kluczowe kryteria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Chociaż siedziba BIS znajduje się w Szwajcarii, tamtejszy krajowy system przejrzystości rynku ni</w:t>
      </w:r>
      <w:r>
        <w:rPr>
          <w:rFonts w:ascii="Times New Roman" w:hAnsi="Times New Roman"/>
          <w:noProof/>
          <w:sz w:val="24"/>
        </w:rPr>
        <w:t>e ma zastosowania do transakcji zawieranych przez BIS.  Jeżeli chodzi o przejrzystość operacyjną, BIS ujawnia informacje w formie zagregowanej. Wśród kontrahentów BIS są banki centralne, organy kształtujące politykę pieniężną oraz międzynarodowe instytucje</w:t>
      </w:r>
      <w:r>
        <w:rPr>
          <w:rFonts w:ascii="Times New Roman" w:hAnsi="Times New Roman"/>
          <w:noProof/>
          <w:sz w:val="24"/>
        </w:rPr>
        <w:t xml:space="preserve"> publiczne. 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Wolumen obrotu w ramach transakcji z kontrahentami z UE lub transakcji na instrumentach finansowych notowanych na rynkach UE jest wysoki.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Kryteria dodatkowe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Zwolnienie  zagranicznych banków centralnych nie ma zastosowania do BIS, ponieważ pr</w:t>
      </w:r>
      <w:r>
        <w:rPr>
          <w:rFonts w:ascii="Times New Roman" w:hAnsi="Times New Roman"/>
          <w:noProof/>
          <w:sz w:val="24"/>
        </w:rPr>
        <w:t>awo krajowe (szwajcarskie) nie ma zastosowania do zawieranych przez nie transakcji.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BIS jest w stanie dokonywać rozróżnienia między transakcjami do celów politycznych a transakcjami do celów „wyłącznie” inwestycyjnych, które odgrywają  marginalną rolę.</w:t>
      </w:r>
    </w:p>
    <w:p w:rsidR="001409C3" w:rsidRDefault="0041094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Pon</w:t>
      </w:r>
      <w:r>
        <w:rPr>
          <w:rFonts w:ascii="Times New Roman" w:hAnsi="Times New Roman"/>
          <w:noProof/>
          <w:sz w:val="24"/>
        </w:rPr>
        <w:t>adto BIS nie dysponuje obecnie żadną procedurą powiadamiania swoich kontrahentów o istnieniu wyłączenia dotyczącego transakcji z kontrahentami finansowymi z UE, ale będzie on gotowy do jej wdrożenia bezzwłocznie po wprowadzeniu systemu przewidzianego w MiF</w:t>
      </w:r>
      <w:r>
        <w:rPr>
          <w:rFonts w:ascii="Times New Roman" w:hAnsi="Times New Roman"/>
          <w:noProof/>
          <w:sz w:val="24"/>
        </w:rPr>
        <w:t>IR.</w:t>
      </w:r>
    </w:p>
    <w:p w:rsidR="001409C3" w:rsidRDefault="001409C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09C3" w:rsidRDefault="004109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WNIOSKI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Na podstawie uzyskanych informacji Komisja stwierdza, że należy przyznać wyłączenie z wymogów przejrzystości przed- i posttransakcyjnej przewidzianych w MiFIR zgodnie z art. 1 ust. 9 MiFIR bankom centralnym państw trzecich, które wymieniono w </w:t>
      </w:r>
      <w:r>
        <w:rPr>
          <w:rFonts w:ascii="Times New Roman" w:hAnsi="Times New Roman"/>
          <w:noProof/>
          <w:sz w:val="24"/>
        </w:rPr>
        <w:t>załączniku do niniejszego sprawozdania.</w:t>
      </w:r>
    </w:p>
    <w:p w:rsidR="001409C3" w:rsidRDefault="004109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Wniosek ten pozostaje bez uszczerbku dla ewentualnych zmian w przyszłości, mając na uwadze nowe informacje przedstawione przez banki centralne państw trzecich, zmiany w przepisach państw trzecich lub zmianę okoliczno</w:t>
      </w:r>
      <w:r>
        <w:rPr>
          <w:rFonts w:ascii="Times New Roman" w:hAnsi="Times New Roman"/>
          <w:noProof/>
          <w:sz w:val="24"/>
        </w:rPr>
        <w:t>ści faktycznych. Takie zdarzenia mogą spowodować, że konieczny będzie przegląd wykazu banków centralnych państw trzecich objętych wyłączeniem.</w:t>
      </w:r>
    </w:p>
    <w:sectPr w:rsidR="001409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C3" w:rsidRDefault="00410946">
      <w:pPr>
        <w:spacing w:after="0" w:line="240" w:lineRule="auto"/>
      </w:pPr>
      <w:r>
        <w:separator/>
      </w:r>
    </w:p>
  </w:endnote>
  <w:endnote w:type="continuationSeparator" w:id="0">
    <w:p w:rsidR="001409C3" w:rsidRDefault="0041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410946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63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9C3" w:rsidRDefault="004109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409C3" w:rsidRDefault="001409C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C3" w:rsidRDefault="00410946">
      <w:pPr>
        <w:spacing w:after="0" w:line="240" w:lineRule="auto"/>
      </w:pPr>
      <w:r>
        <w:separator/>
      </w:r>
    </w:p>
  </w:footnote>
  <w:footnote w:type="continuationSeparator" w:id="0">
    <w:p w:rsidR="001409C3" w:rsidRDefault="00410946">
      <w:pPr>
        <w:spacing w:after="0" w:line="240" w:lineRule="auto"/>
      </w:pPr>
      <w:r>
        <w:continuationSeparator/>
      </w:r>
    </w:p>
  </w:footnote>
  <w:footnote w:id="1">
    <w:p w:rsidR="001409C3" w:rsidRDefault="0041094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Rozporządzenie Parlamentu Europejskiego i Rady (UE) nr 600/2014 z dnia 15 maja 2014 r. w sprawie rynków instrumentów finansowych oraz zmieniające rozporządzenie (UE) nr 648/2012 (Dz.U. L 173 z 12.6.2014, s. 84).</w:t>
      </w:r>
    </w:p>
  </w:footnote>
  <w:footnote w:id="2">
    <w:p w:rsidR="001409C3" w:rsidRDefault="0041094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Dyrektywa Parlamentu Europejskiego i Rady</w:t>
      </w:r>
      <w:r>
        <w:rPr>
          <w:rFonts w:ascii="Times New Roman" w:hAnsi="Times New Roman"/>
        </w:rPr>
        <w:t xml:space="preserve"> 2014/65/UE z dnia 15 maja 2014 r. w sprawie rynków instrumentów finansowych oraz zmieniająca dyrektywę 2002/92/WE i dyrektywę 2011/61/UE (Dz.U. L 173 z 12.6.2014, s. 349).</w:t>
      </w:r>
    </w:p>
  </w:footnote>
  <w:footnote w:id="3">
    <w:p w:rsidR="001409C3" w:rsidRDefault="0041094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Chińska Republika Ludowa (Ludowy Bank Chin) nie została uwzględniona w wykazie, p</w:t>
      </w:r>
      <w:r>
        <w:rPr>
          <w:rFonts w:ascii="Times New Roman" w:hAnsi="Times New Roman"/>
        </w:rPr>
        <w:t>onieważ nie przedstawiła informacji na temat prowadzonej przez siebie działalności handlowej w UE, które byłyby wystarczające do tego, by Komisja mogła przeprowadzić ocenę.</w:t>
      </w:r>
    </w:p>
  </w:footnote>
  <w:footnote w:id="4">
    <w:p w:rsidR="001409C3" w:rsidRDefault="00410946"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Celem niniejszego sprawozdania nie jest ocena, czy w powyższych jurysdykcjach obo</w:t>
      </w:r>
      <w:r>
        <w:rPr>
          <w:rFonts w:ascii="Times New Roman" w:hAnsi="Times New Roman"/>
        </w:rPr>
        <w:t>wiązują przepisy dotyczące przejrzystości transakcji, które można uznać za równoważne zasadom mającym zastosowanie na mocy MiFIR. Wnioski zawarte w niniejszym sprawozdaniu pozostają bez uszczerbku dla jakiejkolwiek oceny tego rodzaju. Do celów niniejszej o</w:t>
      </w:r>
      <w:r>
        <w:rPr>
          <w:rFonts w:ascii="Times New Roman" w:hAnsi="Times New Roman"/>
        </w:rPr>
        <w:t>ceny wystarczające jest, by w danej jurysdykcji istniały ramy dotyczące ujawniania informacji.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3" w:rsidRDefault="001409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F98"/>
    <w:multiLevelType w:val="hybridMultilevel"/>
    <w:tmpl w:val="DCD466BA"/>
    <w:lvl w:ilvl="0" w:tplc="E388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3BDC1AFF4A4B4AD3BD9C12203E10A1FB"/>
    <w:docVar w:name="LW_CROSSREFERENCE" w:val="&lt;UNUSED&gt;"/>
    <w:docVar w:name="LW_DocType" w:val="NORMAL"/>
    <w:docVar w:name="LW_EMISSION" w:val="9.6.2017"/>
    <w:docVar w:name="LW_EMISSION_ISODATE" w:val="2017-06-09"/>
    <w:docVar w:name="LW_EMISSION_LOCATION" w:val="BRX"/>
    <w:docVar w:name="LW_EMISSION_PREFIX" w:val="Bruksela, dnia "/>
    <w:docVar w:name="LW_EMISSION_SUFFIX" w:val=" r."/>
    <w:docVar w:name="LW_ID_DOCTYPE_NONLW" w:val="CP-006"/>
    <w:docVar w:name="LW_LANGUE" w:val="PL"/>
    <w:docVar w:name="LW_MARKING" w:val="&lt;UNUSED&gt;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298"/>
    <w:docVar w:name="LW_REF.INTERNE" w:val="&lt;UNUSED&gt;"/>
    <w:docVar w:name="LW_SOUS.TITRE.OBJ.CP" w:val="&lt;UNUSED&gt;"/>
    <w:docVar w:name="LW_SUPERTITRE" w:val="&lt;UNUSED&gt;"/>
    <w:docVar w:name="LW_TITRE.OBJ.CP" w:val="Wy\u322?\u261?czenia dotycz\u261?ce banków centralnych pa\u324?stw trzecich oraz innych podmiotów przyznane na podstawie rozporz\u261?dzenia w sprawie rynków instrumentów finansowych (MiFIR)"/>
    <w:docVar w:name="LW_TYPE.DOC.CP" w:val="SPRAWOZDANIE KOMISJI DLA PARLAMENTU EUROPEJSKIEGO I RADY"/>
  </w:docVars>
  <w:rsids>
    <w:rsidRoot w:val="001409C3"/>
    <w:rsid w:val="001409C3"/>
    <w:rsid w:val="004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1046-01DA-4963-9710-93476BCE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BARTH Carmen (SG)</cp:lastModifiedBy>
  <cp:revision>24</cp:revision>
  <cp:lastPrinted>2016-09-22T14:03:00Z</cp:lastPrinted>
  <dcterms:created xsi:type="dcterms:W3CDTF">2017-04-11T13:14:00Z</dcterms:created>
  <dcterms:modified xsi:type="dcterms:W3CDTF">2017-06-01T07:04:00Z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