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BE4B58AC91074F78A9964EEB7BF43784" style="width:450.35pt;height:352.5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UZASADNIENIE</w:t>
      </w:r>
    </w:p>
    <w:p>
      <w:pPr>
        <w:pStyle w:val="ManualHeading1"/>
        <w:rPr>
          <w:noProof/>
        </w:rPr>
      </w:pPr>
      <w:r>
        <w:rPr>
          <w:noProof/>
        </w:rPr>
        <w:t>KONTEKST WNIOSKU</w:t>
      </w:r>
    </w:p>
    <w:p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Zasady mające zastosowanie do wkładów finansowych z Europejskiego Funduszu Dostosowania do Globalizacji (EFG) określono w rozporządzeniu Parlamentu Europejskiego i Rady (UE) nr 1309/2013 z dnia 17 grudnia 2013 r. w sprawie Europejskiego Funduszu Dostosowania do Globalizacji (2014–2020) i uchylenia rozporządzenia (WE) nr 1927/2006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(„rozporządzenie w sprawie EFG”).</w:t>
      </w:r>
    </w:p>
    <w:p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W dniu 1 lutego 2017 r. Finlandia złożyła wniosek EGF/2017/002 FI/Microsoft 2 o wkład finansowy z EFG w związku ze zwolnieniami</w:t>
      </w:r>
      <w:r>
        <w:rPr>
          <w:rStyle w:val="FootnoteReference"/>
          <w:noProof/>
        </w:rPr>
        <w:footnoteReference w:id="2"/>
      </w:r>
      <w:r>
        <w:rPr>
          <w:noProof/>
          <w:color w:val="FFFFFF" w:themeColor="background1"/>
          <w:u w:val="single"/>
        </w:rPr>
        <w:t xml:space="preserve"> </w:t>
      </w:r>
      <w:r>
        <w:rPr>
          <w:noProof/>
        </w:rPr>
        <w:t xml:space="preserve"> w przedsiębiorstwie Microsoft (Microsoft Mobile Oy) oraz u 11 dostawców i producentów znajdujących się poniżej w łańcuchu dostaw w Finlandii (zwanych dalej „zwolnieniami”). </w:t>
      </w:r>
    </w:p>
    <w:p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 xml:space="preserve">Po przeanalizowaniu wniosku Komisja uznała, zgodnie ze wszystkimi właściwymi przepisami rozporządzenia w sprawie EFG, że warunki przyznania wkładu finansowego z EFG zostały spełnione. </w:t>
      </w:r>
    </w:p>
    <w:p>
      <w:pPr>
        <w:pStyle w:val="ManualHeading1"/>
        <w:rPr>
          <w:noProof/>
        </w:rPr>
      </w:pPr>
      <w:r>
        <w:rPr>
          <w:noProof/>
        </w:rPr>
        <w:t>STRESZCZENIE WNIOSKU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1"/>
      </w:tblGrid>
      <w:tr>
        <w:tc>
          <w:tcPr>
            <w:tcW w:w="4786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Wniosek EFG</w:t>
            </w:r>
          </w:p>
        </w:tc>
        <w:tc>
          <w:tcPr>
            <w:tcW w:w="4501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EGF/2017/002 FI/Microsoft 2</w:t>
            </w:r>
          </w:p>
        </w:tc>
      </w:tr>
      <w:tr>
        <w:tc>
          <w:tcPr>
            <w:tcW w:w="4786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Państwo członkowskie</w:t>
            </w:r>
          </w:p>
        </w:tc>
        <w:tc>
          <w:tcPr>
            <w:tcW w:w="4501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Finlandia</w:t>
            </w:r>
          </w:p>
        </w:tc>
      </w:tr>
      <w:t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Region, którego dotyczy wniosek (poziom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</w:rPr>
              <w:t xml:space="preserve"> NUTS 2)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Helsinki-Uusimaa (Uusimaa, FI1B1)</w:t>
            </w:r>
          </w:p>
          <w:p>
            <w:pPr>
              <w:spacing w:before="60" w:after="60"/>
              <w:ind w:rightChars="192" w:right="461"/>
              <w:jc w:val="left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Länsi-Suomi (Pirkanmaa, FI197)</w:t>
            </w:r>
          </w:p>
          <w:p>
            <w:pPr>
              <w:spacing w:before="60" w:after="60"/>
              <w:ind w:rightChars="192" w:right="461"/>
              <w:jc w:val="left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Etelä-Suomi (Varsinais-Suomi,FI1C1)</w:t>
            </w:r>
          </w:p>
        </w:tc>
      </w:tr>
      <w:tr>
        <w:tc>
          <w:tcPr>
            <w:tcW w:w="4786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Data złożenia wniosku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 lutego 2017 r.</w:t>
            </w:r>
          </w:p>
        </w:tc>
      </w:tr>
      <w:t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Data potwierdzenia przyjęcia wniosku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 lutego 2017 r.</w:t>
            </w:r>
          </w:p>
        </w:tc>
      </w:tr>
      <w:t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Data wniosku o dodatkowe informacje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15 lutego 2017 r.</w:t>
            </w:r>
          </w:p>
        </w:tc>
      </w:tr>
      <w:t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Termin przekazania dodatkowych informacji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29 marca 2017 r.</w:t>
            </w:r>
          </w:p>
        </w:tc>
      </w:tr>
      <w:tr>
        <w:tc>
          <w:tcPr>
            <w:tcW w:w="4786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Termin przeprowadzenia oceny</w:t>
            </w:r>
          </w:p>
        </w:tc>
        <w:tc>
          <w:tcPr>
            <w:tcW w:w="4501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21 czerwca 2017 r.</w:t>
            </w:r>
          </w:p>
        </w:tc>
      </w:tr>
      <w:tr>
        <w:tc>
          <w:tcPr>
            <w:tcW w:w="4786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Kryteria interwencji</w:t>
            </w:r>
          </w:p>
        </w:tc>
        <w:tc>
          <w:tcPr>
            <w:tcW w:w="4501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Art. 4 ust. 1 lit. a) rozporządzenia w sprawie EFG</w:t>
            </w:r>
          </w:p>
        </w:tc>
      </w:tr>
      <w:t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br w:type="page"/>
              <w:t>Główne przedsiębiorstwo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Microsoft (Microsoft Mobile Oy)</w:t>
            </w:r>
            <w:r>
              <w:rPr>
                <w:noProof/>
                <w:color w:val="FFFFFF" w:themeColor="background1"/>
                <w:u w:val="single"/>
              </w:rPr>
              <w:t>)</w:t>
            </w:r>
          </w:p>
        </w:tc>
      </w:tr>
      <w:t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br w:type="page"/>
              <w:t>Liczba przedsiębiorstw, których dotyczy wniosek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12</w:t>
            </w:r>
          </w:p>
        </w:tc>
      </w:tr>
      <w:tr>
        <w:tc>
          <w:tcPr>
            <w:tcW w:w="4786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Sektor (sektory) działalności gospodarczej</w:t>
            </w:r>
          </w:p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(Dział według klasyfikacji NACE Rev. 2)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4501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 xml:space="preserve">62 Działalność związana z oprogramowaniem, doradztwem w zakresie informatyki i inna działalność </w:t>
            </w:r>
          </w:p>
        </w:tc>
      </w:tr>
      <w:tr>
        <w:tc>
          <w:tcPr>
            <w:tcW w:w="4786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br w:type="page"/>
              <w:t>Liczba jednostek zależnych, dostawców i producentów znajdujących się poniżej w łańcuchu dostaw</w:t>
            </w:r>
          </w:p>
        </w:tc>
        <w:tc>
          <w:tcPr>
            <w:tcW w:w="4501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11</w:t>
            </w:r>
          </w:p>
        </w:tc>
      </w:tr>
      <w:t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Okres odniesienia (cztery miesiące):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 xml:space="preserve">12 lipca 2016 r. – 12 listopada 2016 r. </w:t>
            </w:r>
          </w:p>
        </w:tc>
      </w:tr>
      <w:tr>
        <w:tc>
          <w:tcPr>
            <w:tcW w:w="4786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highlight w:val="magenta"/>
              </w:rPr>
            </w:pPr>
            <w:r>
              <w:rPr>
                <w:noProof/>
              </w:rPr>
              <w:t>Liczba zwolnień w okresie odniesienia (</w:t>
            </w:r>
            <w:r>
              <w:rPr>
                <w:i/>
                <w:noProof/>
              </w:rPr>
              <w:t>a</w:t>
            </w:r>
            <w:r>
              <w:rPr>
                <w:noProof/>
              </w:rPr>
              <w:t>)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highlight w:val="magenta"/>
              </w:rPr>
            </w:pPr>
            <w:r>
              <w:rPr>
                <w:noProof/>
              </w:rPr>
              <w:t>1 248</w:t>
            </w:r>
          </w:p>
        </w:tc>
      </w:tr>
      <w:t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highlight w:val="magenta"/>
              </w:rPr>
            </w:pPr>
            <w:r>
              <w:rPr>
                <w:noProof/>
              </w:rPr>
              <w:t>Liczba zwolnień przed okresem odniesienia lub po nim (</w:t>
            </w:r>
            <w:r>
              <w:rPr>
                <w:i/>
                <w:noProof/>
              </w:rPr>
              <w:t>b</w:t>
            </w:r>
            <w:r>
              <w:rPr>
                <w:noProof/>
              </w:rPr>
              <w:t>)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47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 xml:space="preserve">Całkowita liczba zwolnień </w:t>
            </w: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1 248</w:t>
            </w:r>
          </w:p>
        </w:tc>
      </w:tr>
      <w:tr>
        <w:tc>
          <w:tcPr>
            <w:tcW w:w="4786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Całkowita liczba uprawnionych beneficjentów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1 248</w:t>
            </w:r>
          </w:p>
        </w:tc>
      </w:tr>
      <w:t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Całkowita liczba beneficjentów objętych pomocą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1 000</w:t>
            </w:r>
          </w:p>
        </w:tc>
      </w:tr>
      <w:tr>
        <w:tc>
          <w:tcPr>
            <w:tcW w:w="47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Liczba objętych pomocą młodych osób niekształcących się, niepracujących ani nieszkolących się (młodzież NEET)</w:t>
            </w: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47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Budżet na zindywidualizowane usługi (w EUR)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5 559 300</w:t>
            </w:r>
          </w:p>
        </w:tc>
      </w:tr>
      <w:t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Budżet na realizację EFG</w:t>
            </w:r>
            <w:r>
              <w:rPr>
                <w:rStyle w:val="FootnoteReference"/>
                <w:noProof/>
              </w:rPr>
              <w:footnoteReference w:id="5"/>
            </w:r>
            <w:r>
              <w:rPr>
                <w:noProof/>
              </w:rPr>
              <w:t xml:space="preserve"> (w EUR)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   307 500</w:t>
            </w:r>
          </w:p>
        </w:tc>
      </w:tr>
      <w:t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Całkowity budżet (w EUR)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5 866 800</w:t>
            </w:r>
          </w:p>
        </w:tc>
      </w:tr>
      <w:tr>
        <w:tc>
          <w:tcPr>
            <w:tcW w:w="47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Wkład z EFG (60 %) (w EUR)</w:t>
            </w:r>
          </w:p>
        </w:tc>
        <w:tc>
          <w:tcPr>
            <w:tcW w:w="45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3 520 080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OCENA WNIOSKU</w:t>
      </w:r>
    </w:p>
    <w:p>
      <w:pPr>
        <w:pStyle w:val="ManualHeading2"/>
        <w:rPr>
          <w:noProof/>
        </w:rPr>
      </w:pPr>
      <w:r>
        <w:rPr>
          <w:noProof/>
        </w:rPr>
        <w:t>Procedura</w:t>
      </w:r>
    </w:p>
    <w:p>
      <w:pPr>
        <w:pStyle w:val="ManualNumPar1"/>
        <w:rPr>
          <w:noProof/>
        </w:rPr>
      </w:pPr>
      <w:r>
        <w:t>4.</w:t>
      </w:r>
      <w:r>
        <w:tab/>
      </w:r>
      <w:r>
        <w:rPr>
          <w:noProof/>
        </w:rPr>
        <w:t>Finlandia złożyła wniosek EGF/2017/002 FI/Microsoft 2 dnia 1 lutego 2017 r., czyli w ciągu 12 tygodni od daty spełnienia kryteriów interwencji określonych w art. 4 rozporządzenia w sprawie EFG. W tym samym dniu Komisja potwierdziła otrzymanie wniosku, a w dniu 15 lutego 2017 r. zwróciła się do władz Finlandii o dodatkowe informacje. Informacje te przedstawiono w terminie sześciu tygodni. Termin 12 tygodni od otrzymania kompletnego wniosku, w którym Komisja powinna ocenić jego zgodność z warunkami przyznania wkładu finansowego, upływa w dniu 21 czerwca 2017 r.</w:t>
      </w:r>
    </w:p>
    <w:p>
      <w:pPr>
        <w:pStyle w:val="ManualHeading2"/>
        <w:rPr>
          <w:noProof/>
        </w:rPr>
      </w:pPr>
      <w:r>
        <w:rPr>
          <w:noProof/>
        </w:rPr>
        <w:t>Kwalifikowalność wniosku</w:t>
      </w:r>
    </w:p>
    <w:p>
      <w:pPr>
        <w:pStyle w:val="ManualHeading3"/>
        <w:rPr>
          <w:noProof/>
        </w:rPr>
      </w:pPr>
      <w:r>
        <w:rPr>
          <w:noProof/>
        </w:rPr>
        <w:t>Przedmiotowe przedsiębiorstwa i beneficjenci</w:t>
      </w:r>
    </w:p>
    <w:p>
      <w:pPr>
        <w:pStyle w:val="ManualNumPar1"/>
        <w:rPr>
          <w:noProof/>
        </w:rPr>
      </w:pPr>
      <w:r>
        <w:t>5.</w:t>
      </w:r>
      <w:r>
        <w:tab/>
      </w:r>
      <w:r>
        <w:rPr>
          <w:noProof/>
        </w:rPr>
        <w:t>Wniosek dotyczy 1 248 pracowników zwolnionych w przedsiębiorstwie Microsoft Oy (Microsoft Mobile Oy) oraz u 11 dostawców i producentów niższego szczebla. Główne przedsiębiorstwo prowadzi działalność w sektorze gospodarki klasyfikowanym do działu 62 NACE Rev. 2 („Działalność związana z oprogramowaniem, doradztwem w zakresie informatyki i inna działalność”). Przedsiębiorstwo Microsoft dokonało zwolnień głównie w zaliczanych do poziomu NUTS 2 regionach Helsinki-Uusimaa, Länsi-Suomi i Etelä-Suomi.</w:t>
      </w:r>
    </w:p>
    <w:p>
      <w:pPr>
        <w:pStyle w:val="Text1"/>
        <w:rPr>
          <w:noProof/>
        </w:rPr>
      </w:pPr>
    </w:p>
    <w:tbl>
      <w:tblPr>
        <w:tblW w:w="834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480"/>
        <w:gridCol w:w="360"/>
        <w:gridCol w:w="2940"/>
        <w:gridCol w:w="600"/>
        <w:gridCol w:w="600"/>
      </w:tblGrid>
      <w:tr>
        <w:trPr>
          <w:trHeight w:val="284"/>
          <w:tblHeader/>
        </w:trPr>
        <w:tc>
          <w:tcPr>
            <w:tcW w:w="8340" w:type="dxa"/>
            <w:gridSpan w:val="6"/>
            <w:shd w:val="clear" w:color="auto" w:fill="D9D9D9" w:themeFill="background1" w:themeFillShade="D9"/>
          </w:tcPr>
          <w:p>
            <w:pPr>
              <w:spacing w:beforeLines="20" w:before="48" w:afterLines="20" w:after="48" w:line="276" w:lineRule="auto"/>
              <w:ind w:left="57"/>
              <w:jc w:val="center"/>
              <w:rPr>
                <w:rFonts w:eastAsia="Calibri"/>
                <w:noProof/>
                <w:szCs w:val="24"/>
              </w:rPr>
            </w:pPr>
            <w:r>
              <w:rPr>
                <w:b/>
                <w:noProof/>
              </w:rPr>
              <w:t>Przedsiębiorstwa i liczba zwolnień w okresie odniesienia</w:t>
            </w:r>
          </w:p>
        </w:tc>
      </w:tr>
      <w:tr>
        <w:tc>
          <w:tcPr>
            <w:tcW w:w="33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right="252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Microsoft Mobile Oy</w:t>
            </w:r>
          </w:p>
        </w:tc>
        <w:tc>
          <w:tcPr>
            <w:tcW w:w="84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1 191</w:t>
            </w:r>
          </w:p>
        </w:tc>
        <w:tc>
          <w:tcPr>
            <w:tcW w:w="354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Manpower Group Solutions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</w:tr>
      <w:tr>
        <w:trPr>
          <w:trHeight w:val="138"/>
        </w:trPr>
        <w:tc>
          <w:tcPr>
            <w:tcW w:w="3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Accenture Oy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Sale Nordic Oy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</w:tr>
      <w:tr>
        <w:tc>
          <w:tcPr>
            <w:tcW w:w="3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HCL Technologies Ltd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Spellpoint Oy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</w:tr>
      <w:tr>
        <w:tc>
          <w:tcPr>
            <w:tcW w:w="3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ISS Palvelut OyManpower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Symbio Finland Oy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</w:tr>
      <w:tr>
        <w:tc>
          <w:tcPr>
            <w:tcW w:w="33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JOT Automation Oy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3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Tieto Oy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</w:tr>
      <w:tr>
        <w:tc>
          <w:tcPr>
            <w:tcW w:w="33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Lionbridge Oy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Varamiespalvelu-Group Oy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</w:tr>
      <w:tr>
        <w:trPr>
          <w:trHeight w:val="284"/>
        </w:trPr>
        <w:tc>
          <w:tcPr>
            <w:tcW w:w="3840" w:type="dxa"/>
            <w:gridSpan w:val="2"/>
            <w:tcBorders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</w:rPr>
              <w:t>Liczba przedsiębiorstw ogółem:</w:t>
            </w:r>
            <w:r>
              <w:rPr>
                <w:b/>
                <w:noProof/>
                <w:sz w:val="22"/>
              </w:rPr>
              <w:t xml:space="preserve"> 12</w:t>
            </w:r>
          </w:p>
        </w:tc>
        <w:tc>
          <w:tcPr>
            <w:tcW w:w="3300" w:type="dxa"/>
            <w:gridSpan w:val="2"/>
            <w:tcBorders>
              <w:left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Liczba zwolnień ogółem: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1</w:t>
            </w:r>
            <w:r>
              <w:rPr>
                <w:noProof/>
              </w:rPr>
              <w:t> </w:t>
            </w:r>
            <w:r>
              <w:rPr>
                <w:b/>
                <w:noProof/>
              </w:rPr>
              <w:t>248</w:t>
            </w:r>
          </w:p>
        </w:tc>
      </w:tr>
      <w:tr>
        <w:trPr>
          <w:trHeight w:val="284"/>
        </w:trPr>
        <w:tc>
          <w:tcPr>
            <w:tcW w:w="7140" w:type="dxa"/>
            <w:gridSpan w:val="4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Łączna liczba osób, które zaprzestały prowadzenia działalności na własny rachunek:</w:t>
            </w:r>
            <w:r>
              <w:rPr>
                <w:noProof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0</w:t>
            </w:r>
          </w:p>
        </w:tc>
      </w:tr>
      <w:tr>
        <w:trPr>
          <w:trHeight w:val="284"/>
        </w:trPr>
        <w:tc>
          <w:tcPr>
            <w:tcW w:w="7140" w:type="dxa"/>
            <w:gridSpan w:val="4"/>
            <w:tcBorders>
              <w:top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Łączna liczba uprawnionych pracowników i osób prowadzących działalność na własny rachunek: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1</w:t>
            </w:r>
            <w:r>
              <w:rPr>
                <w:noProof/>
              </w:rPr>
              <w:t> </w:t>
            </w:r>
            <w:r>
              <w:rPr>
                <w:b/>
                <w:noProof/>
              </w:rPr>
              <w:t>248</w:t>
            </w:r>
          </w:p>
        </w:tc>
      </w:tr>
    </w:tbl>
    <w:p>
      <w:pPr>
        <w:pStyle w:val="ManualHeading3"/>
        <w:rPr>
          <w:noProof/>
        </w:rPr>
      </w:pPr>
      <w:r>
        <w:rPr>
          <w:noProof/>
        </w:rPr>
        <w:t>Kryteria interwencji</w:t>
      </w:r>
    </w:p>
    <w:p>
      <w:pPr>
        <w:pStyle w:val="ManualNumPar1"/>
        <w:rPr>
          <w:noProof/>
        </w:rPr>
      </w:pPr>
      <w:r>
        <w:t>6.</w:t>
      </w:r>
      <w:r>
        <w:tab/>
      </w:r>
      <w:r>
        <w:rPr>
          <w:noProof/>
        </w:rPr>
        <w:t>Finlandia złożyła wniosek zgodnie z kryterium interwencji określonym w art. 4 ust. 1 lit. a) rozporządzenia w sprawie EFG, które wymaga co najmniej 500 zwolnień w czteromiesięcznym okresie odniesienia, w przedsiębiorstwie w państwie członkowskim, z uwzględnieniem zwolnień pracowników u jego dostawców i producentów znajdujących się poniżej w łańcuchu dostaw</w:t>
      </w:r>
      <w:bookmarkStart w:id="1" w:name="_Ref372189348"/>
      <w:r>
        <w:rPr>
          <w:noProof/>
          <w:color w:val="FFFFFF" w:themeColor="background1"/>
        </w:rPr>
        <w:t xml:space="preserve">. </w:t>
      </w:r>
    </w:p>
    <w:p>
      <w:pPr>
        <w:pStyle w:val="ManualNumPar1"/>
        <w:rPr>
          <w:noProof/>
        </w:rPr>
      </w:pPr>
      <w:r>
        <w:t>7.</w:t>
      </w:r>
      <w:r>
        <w:tab/>
      </w:r>
      <w:r>
        <w:rPr>
          <w:noProof/>
        </w:rPr>
        <w:t xml:space="preserve">Czteromiesięczny okres odniesienia dla wniosku biegnie od dnia 12 lipca 2016 r. do dnia 12 listopada 2016 r. </w:t>
      </w:r>
      <w:bookmarkEnd w:id="1"/>
    </w:p>
    <w:p>
      <w:pPr>
        <w:pStyle w:val="ManualNumPar1"/>
        <w:rPr>
          <w:noProof/>
        </w:rPr>
      </w:pPr>
      <w:r>
        <w:t>8.</w:t>
      </w:r>
      <w:r>
        <w:tab/>
      </w:r>
      <w:r>
        <w:rPr>
          <w:noProof/>
        </w:rPr>
        <w:t>Zwolnienia w okresie odniesienia przedstawiają się następująco: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1 191 zwolnień dokonanych przez przedsiębiorstwo Microsoft;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57 pracowników zwolnionych przez 11 dostawców lub producentów znajdujących się na niższym szczeblu w łańcuchu dostaw dla przedsiębiorstwa Microsoft.</w:t>
      </w:r>
    </w:p>
    <w:p>
      <w:pPr>
        <w:pStyle w:val="ManualHeading3"/>
        <w:rPr>
          <w:noProof/>
        </w:rPr>
      </w:pPr>
      <w:r>
        <w:rPr>
          <w:noProof/>
        </w:rPr>
        <w:t>Obliczenie liczby zwolnień i przypadków ustania działalności</w:t>
      </w:r>
    </w:p>
    <w:p>
      <w:pPr>
        <w:pStyle w:val="ManualNumPar1"/>
        <w:rPr>
          <w:noProof/>
        </w:rPr>
      </w:pPr>
      <w:r>
        <w:t>9.</w:t>
      </w:r>
      <w:r>
        <w:tab/>
      </w:r>
      <w:r>
        <w:rPr>
          <w:noProof/>
        </w:rPr>
        <w:t>Zwolnienia w okresie odniesienia obliczono w następujący sposób: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1 248 od daty indywidualnego zawiadomienia pracownika przez pracodawcę o zwolnieniu.</w:t>
      </w:r>
    </w:p>
    <w:p>
      <w:pPr>
        <w:pStyle w:val="ManualHeading3"/>
        <w:rPr>
          <w:noProof/>
        </w:rPr>
      </w:pPr>
      <w:r>
        <w:rPr>
          <w:noProof/>
        </w:rPr>
        <w:t>Kwalifikujący się beneficjenci</w:t>
      </w:r>
    </w:p>
    <w:p>
      <w:pPr>
        <w:pStyle w:val="ManualNumPar1"/>
        <w:rPr>
          <w:noProof/>
        </w:rPr>
      </w:pPr>
      <w:r>
        <w:t>10.</w:t>
      </w:r>
      <w:r>
        <w:tab/>
      </w:r>
      <w:r>
        <w:rPr>
          <w:noProof/>
        </w:rPr>
        <w:t>Łączna liczba uprawnionych beneficjentów wynosi 1 248.</w:t>
      </w:r>
    </w:p>
    <w:p>
      <w:pPr>
        <w:pStyle w:val="ManualHeading2"/>
        <w:tabs>
          <w:tab w:val="clear" w:pos="850"/>
        </w:tabs>
        <w:ind w:left="0" w:firstLine="0"/>
        <w:rPr>
          <w:noProof/>
        </w:rPr>
      </w:pPr>
      <w:r>
        <w:rPr>
          <w:noProof/>
        </w:rPr>
        <w:t>Związek między zwolnieniami pracowników a poważnymi zmianami strukturalnymi w handlu światowym spowodowanymi globalizacją</w:t>
      </w:r>
    </w:p>
    <w:p>
      <w:pPr>
        <w:pStyle w:val="ManualNumPar1"/>
        <w:rPr>
          <w:noProof/>
        </w:rPr>
      </w:pPr>
      <w:r>
        <w:t>11.</w:t>
      </w:r>
      <w:r>
        <w:tab/>
      </w:r>
      <w:r>
        <w:rPr>
          <w:noProof/>
        </w:rPr>
        <w:t xml:space="preserve">Aby ustalić związek między zwolnieniami pracowników a poważnymi zmianami strukturalnymi w handlu światowym spowodowanymi globalizacją, Finlandia twierdzi, że głównym powodem redukcji etatów jest światowa konkurencja w sektorze telefonii komórkowej oraz wynikająca z niej strata udziału w rynku przez Microsoft Mobile Oy (oraz przez ich system operacyjny oparty na systemie Windows). </w:t>
      </w:r>
    </w:p>
    <w:p>
      <w:pPr>
        <w:pStyle w:val="ManualNumPar1"/>
        <w:rPr>
          <w:noProof/>
        </w:rPr>
      </w:pPr>
      <w:r>
        <w:t>12.</w:t>
      </w:r>
      <w:r>
        <w:tab/>
      </w:r>
      <w:r>
        <w:rPr>
          <w:noProof/>
        </w:rPr>
        <w:t>Przedsiębiorstwo Microsoft Mobile Oy z siedzibą w Espoo w Finlandii zostało założone w 2014 r. po tym, jak Microsoft (Stany Zjednoczone) dokonał zakupu przedsiębiorstwa telefonii komórkowej Nokia. Około 4 700 pracowników Nokii zostało przeniesionych do Microsoft Mobile Oy w Finlandii.</w:t>
      </w:r>
    </w:p>
    <w:p>
      <w:pPr>
        <w:pStyle w:val="ManualNumPar1"/>
        <w:rPr>
          <w:noProof/>
        </w:rPr>
      </w:pPr>
      <w:r>
        <w:t>13.</w:t>
      </w:r>
      <w:r>
        <w:tab/>
      </w:r>
      <w:r>
        <w:rPr>
          <w:noProof/>
        </w:rPr>
        <w:t>Nokia korzystała wyłącznie z systemu operacyjnego Microsoft Windows. Praktykę tę kontynuowano w Microsoft Mobile Oy. W połowie 2013 r. udział w rynku tego systemu operacyjnego wynosił 3,3 %; do 2016 r. udział ten zmniejszył się do 0,8 %. Udział w rynku systemów operacyjnych konkurencji zwiększył się; na początku 2016 r. udział w rynku systemu operacyjnego Android wynosił 82,2 %, a systemu iOS (Apple) — 14,6 %</w:t>
      </w:r>
      <w:r>
        <w:rPr>
          <w:rStyle w:val="FootnoteReference"/>
          <w:noProof/>
        </w:rPr>
        <w:footnoteReference w:id="6"/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t>14.</w:t>
      </w:r>
      <w:r>
        <w:tab/>
      </w:r>
      <w:r>
        <w:rPr>
          <w:noProof/>
        </w:rPr>
        <w:t>Spadek ten miał miejsce, mimo iż przedsiębiorstwo Microsoft Mobile Oy wypuściło na rynek nowe urządzenia mobilne oraz zainwestowało we wzornictwo, części oraz marketing</w:t>
      </w:r>
      <w:r>
        <w:rPr>
          <w:rStyle w:val="FootnoteReference"/>
          <w:noProof/>
        </w:rPr>
        <w:footnoteReference w:id="8"/>
      </w:r>
      <w:r>
        <w:rPr>
          <w:rStyle w:val="FootnoteReference"/>
          <w:noProof/>
        </w:rPr>
        <w:t>.</w:t>
      </w:r>
      <w:r>
        <w:rPr>
          <w:noProof/>
        </w:rPr>
        <w:t xml:space="preserve"> Konkurenci oferują tańszy sprzęt oraz systemy operacyjne, które są bardzo atrakcyjne dla nowych klientów na rynkach wschodzących i europejskich.</w:t>
      </w:r>
    </w:p>
    <w:p>
      <w:pPr>
        <w:pStyle w:val="ManualNumPar1"/>
        <w:rPr>
          <w:noProof/>
        </w:rPr>
      </w:pPr>
      <w:r>
        <w:t>15.</w:t>
      </w:r>
      <w:r>
        <w:tab/>
      </w:r>
      <w:r>
        <w:rPr>
          <w:noProof/>
        </w:rPr>
        <w:t>Obecny wniosek stanowi kontynuację szeregu wcześniejszych wniosków złożonych przez Finlandię dotyczących pogorszenia się sytuacji Nokii EGF/2007/003 FI/Perlos, EGF/2012/006 FI/Nokia Salo, EGF/2013/001 FI/Nokia, EGF/2015/001 FI/Broadcom, EGF/2015/005 FI/Computer Programming, EGF/2016/001 FI/Microsoft oraz EGF/2016/008 FI/Nokia Network Systems).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</w:rPr>
      </w:pPr>
      <w:r>
        <w:rPr>
          <w:noProof/>
        </w:rPr>
        <w:t>Zdarzenia, które doprowadziły do zwolnień i przypadków ustania działalności</w:t>
      </w:r>
    </w:p>
    <w:p>
      <w:pPr>
        <w:pStyle w:val="ManualNumPar1"/>
        <w:rPr>
          <w:noProof/>
        </w:rPr>
      </w:pPr>
      <w:r>
        <w:t>16.</w:t>
      </w:r>
      <w:r>
        <w:tab/>
      </w:r>
      <w:r>
        <w:rPr>
          <w:noProof/>
        </w:rPr>
        <w:t>Produkcja urządzeń mobilnych przenosi się do państw o niższym poziomie wynagrodzeń, w których warunki pracy są często niegodziwe</w:t>
      </w:r>
      <w:r>
        <w:rPr>
          <w:rStyle w:val="FootnoteReference"/>
          <w:noProof/>
        </w:rPr>
        <w:footnoteReference w:id="9"/>
      </w:r>
      <w:r>
        <w:rPr>
          <w:noProof/>
        </w:rPr>
        <w:t>. Niskie zarobki poprawiają opłacalność</w:t>
      </w:r>
      <w:r>
        <w:rPr>
          <w:rStyle w:val="FootnoteReference"/>
          <w:noProof/>
        </w:rPr>
        <w:footnoteReference w:id="10"/>
      </w:r>
      <w:r>
        <w:rPr>
          <w:noProof/>
        </w:rPr>
        <w:t>. Rynki wschodzące charakteryzują się dużym popytem na tanie urządzenia mobilne. Rośnie również europejski przywóz tego typu urządzeń do Europy</w:t>
      </w:r>
      <w:r>
        <w:rPr>
          <w:rStyle w:val="FootnoteReference"/>
          <w:noProof/>
        </w:rPr>
        <w:footnoteReference w:id="11"/>
      </w:r>
      <w:r>
        <w:rPr>
          <w:rStyle w:val="FootnoteReference"/>
          <w:noProof/>
        </w:rPr>
        <w:t>.</w:t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t>17.</w:t>
      </w:r>
      <w:r>
        <w:tab/>
      </w:r>
      <w:r>
        <w:rPr>
          <w:noProof/>
        </w:rPr>
        <w:t>Utrata udziału w rynku przez Nokię była spowodowana agresywnym wejściem na rynek szeregu producentów smartfonów z Azji Wschodniej, którzy czerpią korzyści z niskich kosztów produkcji i taniej siły roboczej.</w:t>
      </w:r>
    </w:p>
    <w:p>
      <w:pPr>
        <w:pStyle w:val="ManualNumPar1"/>
        <w:rPr>
          <w:noProof/>
        </w:rPr>
      </w:pPr>
      <w:r>
        <w:t>18.</w:t>
      </w:r>
      <w:r>
        <w:tab/>
      </w:r>
      <w:r>
        <w:rPr>
          <w:noProof/>
        </w:rPr>
        <w:t>Zyskali na tym producenci z siedzibą w Stanach Zjednoczonych i Azji, którzy korzystają z systemów operacyjnych Android i iOS.</w:t>
      </w:r>
    </w:p>
    <w:p>
      <w:pPr>
        <w:pStyle w:val="ManualNumPar1"/>
        <w:rPr>
          <w:noProof/>
        </w:rPr>
      </w:pPr>
      <w:r>
        <w:t>19.</w:t>
      </w:r>
      <w:r>
        <w:tab/>
      </w:r>
      <w:r>
        <w:rPr>
          <w:noProof/>
        </w:rPr>
        <w:t>Android ma setki partnerów, zwłaszcza w Azji, którzy każdego roku wypuszczają na rynek nowe telefony. Na rynku dostępnych jest wiele opcji z systemem Android w średnich i niskich przedziałach cenowych. Jest to szczególnie ważne na rynkach w Indiach, Afryce oraz na Bliskim Wschodzie.</w:t>
      </w:r>
    </w:p>
    <w:p>
      <w:pPr>
        <w:pStyle w:val="ManualNumPar1"/>
        <w:rPr>
          <w:rStyle w:val="FootnoteReference"/>
          <w:noProof/>
          <w:szCs w:val="24"/>
          <w:vertAlign w:val="baseline"/>
        </w:rPr>
      </w:pPr>
      <w:r>
        <w:rPr>
          <w:rStyle w:val="FootnoteReference"/>
        </w:rPr>
        <w:t>20.</w:t>
      </w:r>
      <w:r>
        <w:rPr>
          <w:rStyle w:val="FootnoteReference"/>
        </w:rPr>
        <w:tab/>
      </w:r>
      <w:r>
        <w:rPr>
          <w:noProof/>
        </w:rPr>
        <w:t>Produkcja urządzeń mobilnych przeniosła się z Korei Południowej do Chin, a w ostatnim czasie do państw oferujących jeszcze niższe koszty produkcji, takich jak Wietnam</w:t>
      </w:r>
      <w:r>
        <w:rPr>
          <w:rStyle w:val="FootnoteReference"/>
          <w:noProof/>
        </w:rPr>
        <w:footnoteReference w:id="12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t>21.</w:t>
      </w:r>
      <w:r>
        <w:tab/>
      </w:r>
      <w:r>
        <w:rPr>
          <w:noProof/>
        </w:rPr>
        <w:t xml:space="preserve">W maju 2016 r. Microsoft zapowiedział, że może zredukować nawet 1 350 etatów w Microsoft Mobile Oy w Finlandii. Wszystkie zakłady Microsoft Mobile Oy są zamykane. W regionie Helsinki-Uusimaa pracę straciło 550 pracowników, na obszarze Pirkanmaa (w regionie Länsi-Suomi) — 500, a w Salo (region Etelä-Suomi) – 300. </w:t>
      </w:r>
    </w:p>
    <w:p>
      <w:pPr>
        <w:pStyle w:val="ManualNumPar1"/>
        <w:rPr>
          <w:noProof/>
        </w:rPr>
      </w:pPr>
      <w:r>
        <w:t>22.</w:t>
      </w:r>
      <w:r>
        <w:tab/>
      </w:r>
      <w:r>
        <w:rPr>
          <w:noProof/>
        </w:rPr>
        <w:t>Obecnie prowadzona jest interwencja EFG (EGF/2016/001 FI/Microsoft) ukierunkowana na pomoc pracownikom, którzy zostali zwolnieni przez Microsoft wcześniej. Beneficjenci objęci pomocą w ramach niniejszego wniosku to inni beneficjenci, niż ci objęci pomocą w przywołanej sprawie.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</w:rPr>
      </w:pPr>
      <w:r>
        <w:rPr>
          <w:noProof/>
        </w:rPr>
        <w:t>Spodziewany wpływ zwolnień na gospodarkę lokalną, regionalną lub krajową oraz na zatrudnienie</w:t>
      </w:r>
    </w:p>
    <w:p>
      <w:pPr>
        <w:autoSpaceDE w:val="0"/>
        <w:autoSpaceDN w:val="0"/>
        <w:adjustRightInd w:val="0"/>
        <w:spacing w:before="0" w:after="0"/>
        <w:jc w:val="left"/>
        <w:rPr>
          <w:noProof/>
          <w:szCs w:val="24"/>
        </w:rPr>
      </w:pPr>
      <w:r>
        <w:rPr>
          <w:noProof/>
        </w:rPr>
        <w:t>Regiony zaliczane do poziomu NUTS 2 to Helsinki-Uusimaa, Etelä-Suomi i Länsi-Suomi.</w:t>
      </w:r>
    </w:p>
    <w:p>
      <w:pPr>
        <w:autoSpaceDE w:val="0"/>
        <w:autoSpaceDN w:val="0"/>
        <w:adjustRightInd w:val="0"/>
        <w:spacing w:before="0" w:after="0"/>
        <w:jc w:val="left"/>
        <w:rPr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jc w:val="left"/>
        <w:rPr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jc w:val="left"/>
        <w:rPr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jc w:val="left"/>
        <w:rPr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jc w:val="left"/>
        <w:rPr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jc w:val="left"/>
        <w:rPr>
          <w:b/>
          <w:bCs/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jc w:val="left"/>
        <w:rPr>
          <w:b/>
          <w:bCs/>
          <w:noProof/>
          <w:szCs w:val="24"/>
        </w:rPr>
      </w:pPr>
      <w:r>
        <w:rPr>
          <w:b/>
          <w:noProof/>
        </w:rPr>
        <w:t>Helsinki-Uusimaa</w:t>
      </w:r>
    </w:p>
    <w:p>
      <w:pPr>
        <w:pStyle w:val="ManualNumPar1"/>
        <w:rPr>
          <w:noProof/>
        </w:rPr>
      </w:pPr>
      <w:r>
        <w:t>23.</w:t>
      </w:r>
      <w:r>
        <w:tab/>
      </w:r>
      <w:r>
        <w:rPr>
          <w:noProof/>
        </w:rPr>
        <w:t>W latach 2012–2016 szeroko zakrojone zwolnienia w regionie Helsinki-Uusimaa dotyczyły głównie przemysłu elektronicznego i oprogramowania. Jesienią 2016 r. miały miejsce zwolnienia w różnych sektorach produkcji oraz w budownictwie.</w:t>
      </w:r>
    </w:p>
    <w:p>
      <w:pPr>
        <w:pStyle w:val="ManualNumPar1"/>
        <w:rPr>
          <w:noProof/>
        </w:rPr>
      </w:pPr>
      <w:r>
        <w:t>24.</w:t>
      </w:r>
      <w:r>
        <w:tab/>
      </w:r>
      <w:r>
        <w:rPr>
          <w:noProof/>
        </w:rPr>
        <w:t>W trzecim kwartale 2016 r. liczba osób zatrudnionych w sektorze informacji i komunikacji była o 6 000 osób niższa niż rok wcześniej. Bezrobocie wśród wysoko wykwalifikowanych pracowników oraz specjalistów z dziedziny ICT stale rośnie</w:t>
      </w:r>
      <w:r>
        <w:rPr>
          <w:rStyle w:val="FootnoteReference"/>
          <w:noProof/>
        </w:rPr>
        <w:footnoteReference w:id="13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t>25.</w:t>
      </w:r>
      <w:r>
        <w:tab/>
      </w:r>
      <w:r>
        <w:rPr>
          <w:noProof/>
        </w:rPr>
        <w:t xml:space="preserve">W latach 2012–2016 szeroko zakrojone zwolnienia w miastach Helsinki, Espoo oraz Vanta dotyczyły głównie przemysłu elektronicznego oraz oprogramowania. W latach 2012–2016 przedsiębiorstwa te zwolniły ponad 5 000 pracowników. </w:t>
      </w:r>
    </w:p>
    <w:p>
      <w:pPr>
        <w:pStyle w:val="ManualNumPar1"/>
        <w:rPr>
          <w:noProof/>
        </w:rPr>
      </w:pPr>
      <w:r>
        <w:t>26.</w:t>
      </w:r>
      <w:r>
        <w:tab/>
      </w:r>
      <w:r>
        <w:rPr>
          <w:noProof/>
        </w:rPr>
        <w:t>Około 72 % osób zwolnionych w tym regionie ma wyższe wykształcenie.</w:t>
      </w:r>
    </w:p>
    <w:p>
      <w:pPr>
        <w:autoSpaceDE w:val="0"/>
        <w:autoSpaceDN w:val="0"/>
        <w:adjustRightInd w:val="0"/>
        <w:spacing w:before="0" w:after="0"/>
        <w:jc w:val="left"/>
        <w:rPr>
          <w:b/>
          <w:bCs/>
          <w:noProof/>
          <w:szCs w:val="24"/>
        </w:rPr>
      </w:pPr>
      <w:r>
        <w:rPr>
          <w:b/>
          <w:noProof/>
        </w:rPr>
        <w:t xml:space="preserve">Länsi-Suomi </w:t>
      </w:r>
    </w:p>
    <w:p>
      <w:pPr>
        <w:pStyle w:val="ManualNumPar1"/>
        <w:rPr>
          <w:noProof/>
        </w:rPr>
      </w:pPr>
      <w:r>
        <w:t>27.</w:t>
      </w:r>
      <w:r>
        <w:tab/>
      </w:r>
      <w:r>
        <w:rPr>
          <w:noProof/>
        </w:rPr>
        <w:t xml:space="preserve">Obszarem najbardziej dotkniętym przez zwolnienia w Microsoft Mobile Oy w tym regionie jest obszar Pirkanmaa. </w:t>
      </w:r>
    </w:p>
    <w:p>
      <w:pPr>
        <w:pStyle w:val="ManualNumPar1"/>
        <w:rPr>
          <w:noProof/>
        </w:rPr>
      </w:pPr>
      <w:r>
        <w:t>28.</w:t>
      </w:r>
      <w:r>
        <w:tab/>
      </w:r>
      <w:r>
        <w:rPr>
          <w:noProof/>
        </w:rPr>
        <w:t>W 2016 r. liczba bezrobotnych osób poszukujących pracy zarejestrowanych w urzędzie zatrudnienia i rozwoju gospodarczego Pirkanmaa wynosiła 38 077. Bezrobotne osoby poszukujące pracy stanowiły 14,6 % siły roboczej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. </w:t>
      </w:r>
    </w:p>
    <w:p>
      <w:pPr>
        <w:pStyle w:val="ManualNumPar1"/>
        <w:rPr>
          <w:noProof/>
        </w:rPr>
      </w:pPr>
      <w:r>
        <w:t>29.</w:t>
      </w:r>
      <w:r>
        <w:tab/>
      </w:r>
      <w:r>
        <w:rPr>
          <w:noProof/>
        </w:rPr>
        <w:t xml:space="preserve">Obecnie w ww. urzędzie w Pirkanmaa zarejestrowanych jest około 1 700 osób bezrobotnych poszukujących pracy w sektorze ICT. W 2016 r. osoby długotrwale bezrobotne stanowiły 40 % wszystkich zarejestrowanych bezrobotnych w sektorze ITC w Pirkanmaa. </w:t>
      </w:r>
    </w:p>
    <w:p>
      <w:pPr>
        <w:pStyle w:val="ManualNumPar1"/>
        <w:rPr>
          <w:noProof/>
        </w:rPr>
      </w:pPr>
      <w:r>
        <w:t>30.</w:t>
      </w:r>
      <w:r>
        <w:tab/>
      </w:r>
      <w:r>
        <w:rPr>
          <w:noProof/>
        </w:rPr>
        <w:t>Grupą zawodową, która zmaga się z największym wzrostem bezrobocia, są specjaliści z wyższym wykształceniem. We wrześniu 2016 r. w tym regionie zarejestrowanych było łącznie 6 084 osób bezrobotnych poszukujących pracy, posiadających dyplom uczelni wyższej. Stopa bezrobocia wśród dobrze wykształconych pracowników w sektorze technologii w tym regionie wzrosła w zeszłym o 8,1 punktu procentowego.</w:t>
      </w:r>
    </w:p>
    <w:p>
      <w:pPr>
        <w:autoSpaceDE w:val="0"/>
        <w:autoSpaceDN w:val="0"/>
        <w:adjustRightInd w:val="0"/>
        <w:spacing w:before="0" w:after="0"/>
        <w:jc w:val="left"/>
        <w:rPr>
          <w:b/>
          <w:bCs/>
          <w:noProof/>
          <w:szCs w:val="24"/>
        </w:rPr>
      </w:pPr>
      <w:r>
        <w:rPr>
          <w:b/>
          <w:noProof/>
        </w:rPr>
        <w:t xml:space="preserve">Etelä-Suomi </w:t>
      </w:r>
    </w:p>
    <w:p>
      <w:pPr>
        <w:pStyle w:val="ManualNumPar1"/>
        <w:rPr>
          <w:noProof/>
        </w:rPr>
      </w:pPr>
      <w:r>
        <w:t>31.</w:t>
      </w:r>
      <w:r>
        <w:tab/>
      </w:r>
      <w:r>
        <w:rPr>
          <w:noProof/>
        </w:rPr>
        <w:t xml:space="preserve">W tym regionie miejscem najbardziej dotkniętym przez zwolnienia w Microsoft Mobile Oy jest miasto Salo. Według urzędu zatrudnienia i rozwoju gospodarczego w Salo pracę straci 300 pracowników pracujących dla przedsiębiorstwa Microsoft. </w:t>
      </w:r>
    </w:p>
    <w:p>
      <w:pPr>
        <w:pStyle w:val="ManualNumPar1"/>
        <w:rPr>
          <w:noProof/>
        </w:rPr>
      </w:pPr>
      <w:r>
        <w:t>32.</w:t>
      </w:r>
      <w:r>
        <w:tab/>
      </w:r>
      <w:r>
        <w:rPr>
          <w:noProof/>
        </w:rPr>
        <w:t xml:space="preserve">W latach 2007–2014 miasto Salo straciło łącznie 6 900 miejsc pracy, co jest równie spadkowi o 26 punktów procentowych. W wyniku zakończenia działalności przez byłego producenta telefonów komórkowych Nokia oraz pogorszenia koniunktury gospodarczej w latach 2008–2016 bezrobocie w tym regionie wzrosło ponad dwukrotnie. </w:t>
      </w:r>
    </w:p>
    <w:p>
      <w:pPr>
        <w:pStyle w:val="ManualNumPar1"/>
        <w:rPr>
          <w:rStyle w:val="FootnoteReference"/>
          <w:noProof/>
          <w:vertAlign w:val="baseline"/>
        </w:rPr>
      </w:pPr>
      <w:r>
        <w:rPr>
          <w:rStyle w:val="FootnoteReference"/>
        </w:rPr>
        <w:t>33.</w:t>
      </w:r>
      <w:r>
        <w:rPr>
          <w:rStyle w:val="FootnoteReference"/>
        </w:rPr>
        <w:tab/>
      </w:r>
      <w:r>
        <w:rPr>
          <w:noProof/>
        </w:rPr>
        <w:t>Stopa bezrobocia w regionie wzrosła o ponad 10 punktów procentowych, z 7,0 % do 17,5 %. To wyjątkowo duży wzrost, nawet w porównaniu z innymi fińskimi gminami, w których działa Nokia/Microsoft</w:t>
      </w:r>
      <w:r>
        <w:rPr>
          <w:rStyle w:val="FootnoteReference"/>
          <w:noProof/>
        </w:rPr>
        <w:footnoteReference w:id="15"/>
      </w:r>
      <w:r>
        <w:rPr>
          <w:rStyle w:val="FootnoteReference"/>
          <w:noProof/>
        </w:rPr>
        <w:t>.</w:t>
      </w:r>
    </w:p>
    <w:p>
      <w:pPr>
        <w:pStyle w:val="ManualNumPar1"/>
        <w:rPr>
          <w:noProof/>
        </w:rPr>
      </w:pPr>
      <w:r>
        <w:t>34.</w:t>
      </w:r>
      <w:r>
        <w:tab/>
      </w:r>
      <w:r>
        <w:rPr>
          <w:noProof/>
        </w:rPr>
        <w:t xml:space="preserve">W Salo wzrósł także odsetek bezrobotnych o wysokich kwalifikacjach. </w:t>
      </w:r>
    </w:p>
    <w:p>
      <w:pPr>
        <w:pStyle w:val="ManualHeading2"/>
        <w:rPr>
          <w:noProof/>
        </w:rPr>
      </w:pPr>
      <w:r>
        <w:rPr>
          <w:noProof/>
        </w:rPr>
        <w:t>Beneficjenci objęci pomocą i proponowane działania</w:t>
      </w:r>
    </w:p>
    <w:p>
      <w:pPr>
        <w:pStyle w:val="ManualHeading3"/>
        <w:rPr>
          <w:noProof/>
        </w:rPr>
      </w:pPr>
      <w:r>
        <w:rPr>
          <w:noProof/>
        </w:rPr>
        <w:t>Beneficjenci objęci pomocą</w:t>
      </w:r>
    </w:p>
    <w:p>
      <w:pPr>
        <w:pStyle w:val="ManualNumPar1"/>
        <w:rPr>
          <w:noProof/>
        </w:rPr>
      </w:pPr>
      <w:r>
        <w:t>35.</w:t>
      </w:r>
      <w:r>
        <w:tab/>
      </w:r>
      <w:r>
        <w:rPr>
          <w:noProof/>
        </w:rPr>
        <w:t>Szacowana liczba zwolnionych pracowników, co do których zakłada się, że skorzystają ze środków pomocy, wynosi 1 000. Podział tych pracowników według płci, obywatelstwa i grupy wiekowej przedstawia się następująco: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2063"/>
        <w:gridCol w:w="1176"/>
        <w:gridCol w:w="1176"/>
      </w:tblGrid>
      <w:tr>
        <w:trPr>
          <w:jc w:val="center"/>
        </w:trPr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Kategoria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 xml:space="preserve">Liczba </w:t>
            </w:r>
            <w:r>
              <w:rPr>
                <w:noProof/>
              </w:rPr>
              <w:br/>
              <w:t>beneficjentów objętych pomocą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Płeć: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Mężczyźni: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740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(74,0 %)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Kobiety: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260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(26,0 %)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Obywatelstwo: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Obywatele UE: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955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(95,5 %)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Obywatele spoza UE: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(4,5 %)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Grupa wiekowa: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15–24 lat: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(0 %)</w:t>
            </w:r>
          </w:p>
        </w:tc>
      </w:tr>
      <w:tr>
        <w:trPr>
          <w:jc w:val="center"/>
        </w:trPr>
        <w:tc>
          <w:tcPr>
            <w:tcW w:w="1496" w:type="dxa"/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25-29 lat: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(2,5 %)</w:t>
            </w:r>
          </w:p>
        </w:tc>
      </w:tr>
      <w:tr>
        <w:trPr>
          <w:jc w:val="center"/>
        </w:trPr>
        <w:tc>
          <w:tcPr>
            <w:tcW w:w="1496" w:type="dxa"/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30-54 lat: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925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(92,5 %)</w:t>
            </w:r>
          </w:p>
        </w:tc>
      </w:tr>
      <w:tr>
        <w:trPr>
          <w:jc w:val="center"/>
        </w:trPr>
        <w:tc>
          <w:tcPr>
            <w:tcW w:w="1496" w:type="dxa"/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55-64 lat: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(5,0 %)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osoby w wieku powyżej 64 lat: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</w:rPr>
            </w:pPr>
            <w:r>
              <w:rPr>
                <w:noProof/>
              </w:rPr>
              <w:t>(0 %)</w:t>
            </w:r>
          </w:p>
        </w:tc>
      </w:tr>
    </w:tbl>
    <w:p>
      <w:pPr>
        <w:pStyle w:val="ManualHeading3"/>
        <w:rPr>
          <w:noProof/>
          <w:u w:val="single"/>
        </w:rPr>
      </w:pPr>
      <w:r>
        <w:rPr>
          <w:noProof/>
        </w:rPr>
        <w:t>Kwalifikowalność proponowanych działań</w:t>
      </w:r>
    </w:p>
    <w:p>
      <w:pPr>
        <w:pStyle w:val="ManualNumPar1"/>
        <w:rPr>
          <w:noProof/>
        </w:rPr>
      </w:pPr>
      <w:bookmarkStart w:id="2" w:name="_Ref372214239"/>
      <w:r>
        <w:t>36.</w:t>
      </w:r>
      <w:r>
        <w:tab/>
      </w:r>
      <w:r>
        <w:rPr>
          <w:noProof/>
        </w:rPr>
        <w:t xml:space="preserve">Usługi zindywidualizowane, które mają być świadczone na rzecz zwolnionych pracowników, obejmują następujące działania: </w:t>
      </w:r>
      <w:bookmarkEnd w:id="2"/>
    </w:p>
    <w:p>
      <w:pPr>
        <w:pStyle w:val="Tiret1"/>
        <w:rPr>
          <w:noProof/>
        </w:rPr>
      </w:pPr>
      <w:r>
        <w:rPr>
          <w:noProof/>
          <w:u w:val="single"/>
        </w:rPr>
        <w:t>coaching i inne środki przygotowawcze</w:t>
      </w:r>
      <w:r>
        <w:rPr>
          <w:noProof/>
        </w:rPr>
        <w:t>: środki te będą obejmować szkolenie na temat poszukiwania pracy, wsparcie mobilności pracowników (usługi „EURES”), indywidualne porady (coaching zawodowy), coaching pod kątem kariery oraz oceny specjalistyczne;</w:t>
      </w:r>
    </w:p>
    <w:p>
      <w:pPr>
        <w:pStyle w:val="Tiret1"/>
        <w:rPr>
          <w:noProof/>
          <w:u w:val="single"/>
        </w:rPr>
      </w:pPr>
      <w:r>
        <w:rPr>
          <w:noProof/>
          <w:u w:val="single"/>
        </w:rPr>
        <w:t>usługi związane z zatrudnieniem i usługi dla przedsiębiorców:</w:t>
      </w:r>
      <w:r>
        <w:rPr>
          <w:noProof/>
        </w:rPr>
        <w:t xml:space="preserve"> środki te będą obejmować wspieranie niezależnych osób poszukujących pracy, ocenę umiejętności i kompetencji, możliwości wypróbowania określonej pracy oraz imprezy rekrutacyjne;</w:t>
      </w:r>
    </w:p>
    <w:p>
      <w:pPr>
        <w:pStyle w:val="Tiret1"/>
        <w:rPr>
          <w:noProof/>
          <w:u w:val="single"/>
        </w:rPr>
      </w:pPr>
      <w:r>
        <w:rPr>
          <w:noProof/>
          <w:u w:val="single"/>
        </w:rPr>
        <w:t>szkolenia</w:t>
      </w:r>
      <w:r>
        <w:rPr>
          <w:noProof/>
        </w:rPr>
        <w:t>: środek ten będzie obejmować szkolenie zawodowe oraz szkolenie dotyczące zmian, reedukację oraz szkolenie związane z mobilnością pracowników;</w:t>
      </w:r>
      <w:r>
        <w:rPr>
          <w:noProof/>
          <w:u w:val="single"/>
        </w:rPr>
        <w:t xml:space="preserve"> </w:t>
      </w:r>
    </w:p>
    <w:p>
      <w:pPr>
        <w:pStyle w:val="Tiret1"/>
        <w:rPr>
          <w:noProof/>
        </w:rPr>
      </w:pPr>
      <w:r>
        <w:rPr>
          <w:noProof/>
          <w:u w:val="single"/>
        </w:rPr>
        <w:t xml:space="preserve">dotacja na rozpoczęcie działalności </w:t>
      </w:r>
      <w:r>
        <w:rPr>
          <w:noProof/>
        </w:rPr>
        <w:t>środek ten zapewni dotacje na rozpoczęcie działalności, aby promować powstawanie przedsiębiorstw oraz zakładanie i rozwój działalności gospodarczej wymagającej pracy w pełnym wymiarze w sektorze ICT oraz innych sektorach;</w:t>
      </w:r>
    </w:p>
    <w:p>
      <w:pPr>
        <w:pStyle w:val="Tiret1"/>
        <w:rPr>
          <w:noProof/>
        </w:rPr>
      </w:pPr>
      <w:r>
        <w:rPr>
          <w:noProof/>
          <w:u w:val="single"/>
        </w:rPr>
        <w:t>dopłaty do wynagrodzeń</w:t>
      </w:r>
      <w:r>
        <w:rPr>
          <w:noProof/>
        </w:rPr>
        <w:t>: środek ten będzie wspierał zatrudnienie w nowej pracy poprzez zmniejszenie kosztów wynagrodzenia. Dopłata do wynagrodzenia stanowi 30–50 % koszów wynagrodzenia;</w:t>
      </w:r>
    </w:p>
    <w:p>
      <w:pPr>
        <w:pStyle w:val="Tiret1"/>
        <w:rPr>
          <w:noProof/>
        </w:rPr>
      </w:pPr>
      <w:r>
        <w:rPr>
          <w:noProof/>
          <w:u w:val="single"/>
        </w:rPr>
        <w:t>dodatki na podróż i zakwaterowanie:</w:t>
      </w:r>
      <w:r>
        <w:rPr>
          <w:noProof/>
        </w:rPr>
        <w:t xml:space="preserve"> środek ten ma służyć pokryciu kosztów poniesionych przez osobę poszukującą pracy w trakcie szkolenia.</w:t>
      </w:r>
    </w:p>
    <w:p>
      <w:pPr>
        <w:pStyle w:val="ManualNumPar1"/>
        <w:rPr>
          <w:noProof/>
        </w:rPr>
      </w:pPr>
      <w:bookmarkStart w:id="3" w:name="_Ref372214242"/>
      <w:r>
        <w:t>37.</w:t>
      </w:r>
      <w:r>
        <w:tab/>
      </w:r>
      <w:r>
        <w:rPr>
          <w:noProof/>
        </w:rPr>
        <w:t>Opisane proponowane działania stanowią aktywne instrumenty rynku pracy należące do działań kwalifikowalnych określonych w art. 7 rozporządzenia w sprawie EFG. Działania te nie zastępują biernych środków ochrony socjalnej.</w:t>
      </w:r>
    </w:p>
    <w:p>
      <w:pPr>
        <w:pStyle w:val="ManualNumPar1"/>
        <w:rPr>
          <w:noProof/>
        </w:rPr>
      </w:pPr>
      <w:r>
        <w:t>38.</w:t>
      </w:r>
      <w:r>
        <w:tab/>
      </w:r>
      <w:r>
        <w:rPr>
          <w:noProof/>
        </w:rPr>
        <w:t>Finlandia dostarczyła wymagane informacje na temat działań, do których zobowiązane jest przedmiotowe przedsiębiorstwo na mocy ustawodawstwa krajowego lub układów zbiorowych. Potwierdzono, że wkład finansowy z EFG nie zastąpi tego typu działań.</w:t>
      </w:r>
      <w:bookmarkEnd w:id="3"/>
    </w:p>
    <w:p>
      <w:pPr>
        <w:pStyle w:val="ManualHeading3"/>
        <w:rPr>
          <w:noProof/>
        </w:rPr>
      </w:pPr>
      <w:r>
        <w:rPr>
          <w:noProof/>
        </w:rPr>
        <w:t>Szacowany budżet</w:t>
      </w:r>
    </w:p>
    <w:p>
      <w:pPr>
        <w:pStyle w:val="ManualNumPar1"/>
        <w:rPr>
          <w:noProof/>
        </w:rPr>
      </w:pPr>
      <w:r>
        <w:t>39.</w:t>
      </w:r>
      <w:r>
        <w:tab/>
      </w:r>
      <w:r>
        <w:rPr>
          <w:noProof/>
        </w:rPr>
        <w:t>Szacowane łączne koszty wynoszą 5 866 800 EUR i obejmują wydatki na zindywidualizowane usługi w wysokości 5 559 300 EUR oraz wydatki na działania przygotowawcze, działania w zakresie zarządzania, dostarczania i upowszechniania informacji i działania w zakresie kontroli i sprawozdawczości w wysokości 307 500 EUR.</w:t>
      </w:r>
    </w:p>
    <w:p>
      <w:pPr>
        <w:pStyle w:val="ManualNumPar1"/>
        <w:rPr>
          <w:noProof/>
        </w:rPr>
      </w:pPr>
      <w:bookmarkStart w:id="4" w:name="_Ref372550770"/>
      <w:r>
        <w:t>40.</w:t>
      </w:r>
      <w:r>
        <w:tab/>
      </w:r>
      <w:r>
        <w:rPr>
          <w:noProof/>
        </w:rPr>
        <w:t>Całkowity objęty wnioskiem finansowy wkład z EFG wynosi 3 520 080 EUR (60 % łącznych kosztów).</w:t>
      </w:r>
      <w:bookmarkEnd w:id="4"/>
    </w:p>
    <w:p>
      <w:pPr>
        <w:pStyle w:val="Text1"/>
        <w:rPr>
          <w:noProof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48"/>
        <w:gridCol w:w="1548"/>
        <w:gridCol w:w="1548"/>
      </w:tblGrid>
      <w:tr>
        <w:tc>
          <w:tcPr>
            <w:tcW w:w="464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Działania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Szacowana liczba uczestników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Szacowany koszt na uczestnika</w:t>
            </w:r>
            <w:r>
              <w:rPr>
                <w:rFonts w:eastAsia="Times New Roman"/>
                <w:noProof/>
                <w:sz w:val="22"/>
              </w:rPr>
              <w:br/>
            </w:r>
            <w:r>
              <w:rPr>
                <w:i/>
                <w:noProof/>
                <w:sz w:val="22"/>
              </w:rPr>
              <w:t>(w EUR)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Szacowane łączne koszty*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i/>
                <w:noProof/>
                <w:sz w:val="22"/>
              </w:rPr>
              <w:t xml:space="preserve">(w EUR) </w:t>
            </w:r>
          </w:p>
        </w:tc>
      </w:tr>
      <w:tr>
        <w:tc>
          <w:tcPr>
            <w:tcW w:w="9288" w:type="dxa"/>
            <w:gridSpan w:val="4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Zindywidualizowane usługi (działania na podstawie art. 7 ust. 1 lit. a) i c) rozporządzenia w sprawie EFG)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Działania o charakterze coachingu i inne działania przygotowawcze (</w:t>
            </w:r>
            <w:r>
              <w:rPr>
                <w:i/>
                <w:noProof/>
                <w:color w:val="000000" w:themeColor="text1"/>
              </w:rPr>
              <w:t>Valmennukset ja muut valmentavat toimenpiteet</w:t>
            </w:r>
            <w:r>
              <w:rPr>
                <w:noProof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195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1 200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234 000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Usługi związane z zatrudnieniem i usługi dla przedsiębiorców (</w:t>
            </w:r>
            <w:r>
              <w:rPr>
                <w:i/>
                <w:noProof/>
                <w:color w:val="000000" w:themeColor="text1"/>
              </w:rPr>
              <w:t>Työllisyys- ja yrityspalvelut</w:t>
            </w:r>
            <w:r>
              <w:rPr>
                <w:noProof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800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606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484 800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Szkolenie (</w:t>
            </w:r>
            <w:r>
              <w:rPr>
                <w:i/>
                <w:noProof/>
                <w:color w:val="000000" w:themeColor="text1"/>
              </w:rPr>
              <w:t>Koulutus</w:t>
            </w:r>
            <w:r>
              <w:rPr>
                <w:noProof/>
              </w:rPr>
              <w:t xml:space="preserve">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535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6 000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3 210 000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Dotacja na rozpoczęcie działalności (</w:t>
            </w:r>
            <w:r>
              <w:rPr>
                <w:i/>
                <w:noProof/>
                <w:color w:val="000000" w:themeColor="text1"/>
              </w:rPr>
              <w:t>Starttiraha</w:t>
            </w:r>
            <w:r>
              <w:rPr>
                <w:noProof/>
              </w:rPr>
              <w:t xml:space="preserve">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8 000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144 000</w:t>
            </w:r>
          </w:p>
        </w:tc>
      </w:tr>
      <w:tr>
        <w:trPr>
          <w:trHeight w:val="398"/>
        </w:trPr>
        <w:tc>
          <w:tcPr>
            <w:tcW w:w="464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Ogółem a):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udział procentowy pakietu zindywidualizowanych usług 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4 072 800</w:t>
            </w:r>
          </w:p>
        </w:tc>
      </w:tr>
      <w:tr>
        <w:trPr>
          <w:trHeight w:val="397"/>
        </w:trPr>
        <w:tc>
          <w:tcPr>
            <w:tcW w:w="4644" w:type="dxa"/>
            <w:vMerge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(73,26</w:t>
            </w:r>
            <w:r>
              <w:rPr>
                <w:noProof/>
              </w:rPr>
              <w:t> </w:t>
            </w:r>
            <w:r>
              <w:rPr>
                <w:noProof/>
                <w:sz w:val="22"/>
              </w:rPr>
              <w:t>%)</w:t>
            </w:r>
          </w:p>
        </w:tc>
      </w:tr>
      <w:tr>
        <w:tc>
          <w:tcPr>
            <w:tcW w:w="9288" w:type="dxa"/>
            <w:gridSpan w:val="4"/>
            <w:shd w:val="clear" w:color="auto" w:fill="auto"/>
            <w:vAlign w:val="center"/>
          </w:tcPr>
          <w:p>
            <w:pPr>
              <w:spacing w:before="60" w:after="6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Dodatki i zachęty (działania na podstawie art. 7 ust. 1 lit. b) rozporządzenia w sprawie EFG)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Dopłaty do wynagrodzenia (</w:t>
            </w:r>
            <w:r>
              <w:rPr>
                <w:i/>
                <w:noProof/>
                <w:color w:val="000000" w:themeColor="text1"/>
              </w:rPr>
              <w:t>Palkkatuki</w:t>
            </w:r>
            <w:r>
              <w:rPr>
                <w:noProof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163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9 000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1 467 000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Dodatki na podróż, zakwaterowanie i przeprowadzkę (</w:t>
            </w:r>
            <w:r>
              <w:rPr>
                <w:i/>
                <w:noProof/>
                <w:color w:val="000000" w:themeColor="text1"/>
              </w:rPr>
              <w:t>Liikkuvuusavustus</w:t>
            </w:r>
            <w:r>
              <w:rPr>
                <w:noProof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19 500</w:t>
            </w:r>
          </w:p>
        </w:tc>
      </w:tr>
      <w:tr>
        <w:trPr>
          <w:trHeight w:val="2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Ogółem b):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udział procentowy pakietu zindywidualizowanych usług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1 486 500</w:t>
            </w:r>
          </w:p>
        </w:tc>
      </w:tr>
      <w:tr>
        <w:trPr>
          <w:trHeight w:val="202"/>
        </w:trPr>
        <w:tc>
          <w:tcPr>
            <w:tcW w:w="4644" w:type="dxa"/>
            <w:vMerge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(26,74</w:t>
            </w:r>
            <w:r>
              <w:rPr>
                <w:noProof/>
              </w:rPr>
              <w:t> </w:t>
            </w:r>
            <w:r>
              <w:rPr>
                <w:noProof/>
                <w:sz w:val="22"/>
              </w:rPr>
              <w:t>%)</w:t>
            </w:r>
          </w:p>
        </w:tc>
      </w:tr>
      <w:tr>
        <w:tc>
          <w:tcPr>
            <w:tcW w:w="9288" w:type="dxa"/>
            <w:gridSpan w:val="4"/>
            <w:shd w:val="clear" w:color="auto" w:fill="auto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 Działania na podstawie art. 7 ust. 4 rozporządzenia w sprawie EFG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 Działania przygotowawcze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9 000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2. Zarządzanie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143 000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3. Dostarczanie i upowszechnianie informacji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115 500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4. Kontrola i sprawozdawczość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 40 000</w:t>
            </w:r>
          </w:p>
        </w:tc>
      </w:tr>
      <w:tr>
        <w:trPr>
          <w:trHeight w:val="2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Ogółem c):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udział procentowy w kosztach łącznych: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307 500</w:t>
            </w:r>
          </w:p>
        </w:tc>
      </w:tr>
      <w:tr>
        <w:trPr>
          <w:trHeight w:val="202"/>
        </w:trPr>
        <w:tc>
          <w:tcPr>
            <w:tcW w:w="4644" w:type="dxa"/>
            <w:vMerge/>
            <w:shd w:val="clear" w:color="auto" w:fill="auto"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(5,24 %)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Łączne koszty (a + b + c):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5 866 800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Wkład z EFG (60 % łącznych kosztów)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3 520 080</w:t>
            </w:r>
          </w:p>
        </w:tc>
      </w:tr>
    </w:tbl>
    <w:p>
      <w:pPr>
        <w:pStyle w:val="Text1"/>
        <w:rPr>
          <w:i/>
          <w:noProof/>
          <w:szCs w:val="24"/>
        </w:rPr>
      </w:pPr>
      <w:r>
        <w:rPr>
          <w:i/>
          <w:noProof/>
        </w:rPr>
        <w:t>*: % są zaokrąglone, inne wartości nie</w:t>
      </w:r>
    </w:p>
    <w:p>
      <w:pPr>
        <w:pStyle w:val="ManualNumPar1"/>
        <w:rPr>
          <w:noProof/>
          <w:szCs w:val="20"/>
        </w:rPr>
      </w:pPr>
      <w:r>
        <w:t>41.</w:t>
      </w:r>
      <w:r>
        <w:tab/>
      </w:r>
      <w:r>
        <w:rPr>
          <w:noProof/>
        </w:rPr>
        <w:t>Koszty działań przedstawione w powyższej tabeli jako działania na podstawie art. 7 ust. 1 lit. b) rozporządzenia w sprawie EFG nie przekraczają 35 % łącznych kosztów skoordynowanego pakietu zindywidualizowanych usług. Finlandia potwierdziła, że działania te są uzależnione od czynnego zaangażowania się objętych pomocą beneficjentów w poszukiwanie pracy lub szkolenia.</w:t>
      </w:r>
    </w:p>
    <w:p>
      <w:pPr>
        <w:pStyle w:val="ManualNumPar1"/>
        <w:rPr>
          <w:noProof/>
        </w:rPr>
      </w:pPr>
      <w:r>
        <w:t>42.</w:t>
      </w:r>
      <w:r>
        <w:tab/>
      </w:r>
      <w:r>
        <w:rPr>
          <w:noProof/>
        </w:rPr>
        <w:t xml:space="preserve">Finlandia potwierdziła, że koszty inwestycji tytułem prowadzenia działalności na własny rachunek, rozpoczęcia działalności gospodarczej i przejęć pracowniczych nie przekroczą 15 000 EUR na jednego beneficjenta. </w:t>
      </w:r>
    </w:p>
    <w:p>
      <w:pPr>
        <w:pStyle w:val="ManualHeading3"/>
        <w:rPr>
          <w:noProof/>
        </w:rPr>
      </w:pPr>
      <w:r>
        <w:rPr>
          <w:noProof/>
        </w:rPr>
        <w:t>Okres kwalifikowalności wydatków</w:t>
      </w:r>
    </w:p>
    <w:p>
      <w:pPr>
        <w:pStyle w:val="ManualNumPar1"/>
        <w:rPr>
          <w:noProof/>
        </w:rPr>
      </w:pPr>
      <w:r>
        <w:t>43.</w:t>
      </w:r>
      <w:r>
        <w:tab/>
      </w:r>
      <w:r>
        <w:rPr>
          <w:noProof/>
        </w:rPr>
        <w:t>Finlandia rozpoczęła świadczenie zindywidualizowanych usług na rzecz beneficjentów objętych pomocą w dniu 12 lipca 2016 r. Wydatki na te działania kwalifikują się zatem do objęcia finansowaniem z EFG od dnia 12 lipca 2016 r. do dnia 1 lutego 2019 r.</w:t>
      </w:r>
    </w:p>
    <w:p>
      <w:pPr>
        <w:pStyle w:val="ManualNumPar1"/>
        <w:rPr>
          <w:noProof/>
        </w:rPr>
      </w:pPr>
      <w:r>
        <w:t>44.</w:t>
      </w:r>
      <w:r>
        <w:tab/>
      </w:r>
      <w:r>
        <w:rPr>
          <w:noProof/>
        </w:rPr>
        <w:t xml:space="preserve">Finlandia zaczęła ponosić wydatki administracyjne w zakresie wdrażania EFG w dniu 12 lipca 2016 r. Wydatki na działania przygotowawcze, działania w zakresie zarządzania, dostarczania i upowszechniania informacji i działania w zakresie kontroli i sprawozdawczości kwalifikują się zatem do przyznania wkładu finansowego z EFG od dnia 12 lipca 2016 r. do dnia 1 sierpnia 2019 r. </w:t>
      </w:r>
    </w:p>
    <w:p>
      <w:pPr>
        <w:pStyle w:val="ManualHeading3"/>
        <w:rPr>
          <w:noProof/>
        </w:rPr>
      </w:pPr>
      <w:r>
        <w:rPr>
          <w:noProof/>
        </w:rPr>
        <w:t>Komplementarność wobec działań finansowanych z funduszy krajowych lub unijnych</w:t>
      </w:r>
    </w:p>
    <w:p>
      <w:pPr>
        <w:pStyle w:val="ManualNumPar1"/>
        <w:rPr>
          <w:noProof/>
        </w:rPr>
      </w:pPr>
      <w:r>
        <w:t>45.</w:t>
      </w:r>
      <w:r>
        <w:tab/>
      </w:r>
      <w:r>
        <w:rPr>
          <w:noProof/>
        </w:rPr>
        <w:t>Źródłem krajowego finansowania w formie płatności zaliczkowych lub współfinansowania jest budżet jednostki publicznych służb zatrudnienia w dziale administracyjnym Ministerstwa ds. Zatrudnienia i Gospodarki. Niektóre usługi będą również finansowane ze środków na cele operacyjne ośrodków rozwoju gospodarczego (ośrodków ELY), jak również urzędów zatrudnienia i rozwoju gospodarczego.</w:t>
      </w:r>
    </w:p>
    <w:p>
      <w:pPr>
        <w:pStyle w:val="ManualNumPar1"/>
        <w:rPr>
          <w:noProof/>
        </w:rPr>
      </w:pPr>
      <w:r>
        <w:t>46.</w:t>
      </w:r>
      <w:r>
        <w:tab/>
      </w:r>
      <w:r>
        <w:rPr>
          <w:noProof/>
        </w:rPr>
        <w:t>Finlandia potwierdziła, że opisane powyżej środki, na które przeznaczony jest wkład finansowy z EFG, nie będą jednocześnie wspierane finansowo z innych instrumentów finansowych Unii.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  <w:u w:val="single"/>
        </w:rPr>
      </w:pPr>
      <w:r>
        <w:rPr>
          <w:noProof/>
        </w:rPr>
        <w:t>Procedury konsultacji z beneficjentami objętymi pomocą lub ich przedstawicielami lub też z partnerami społecznymi, a także z władzami lokalnymi i regionalnymi</w:t>
      </w:r>
    </w:p>
    <w:p>
      <w:pPr>
        <w:pStyle w:val="ManualNumPar1"/>
        <w:rPr>
          <w:noProof/>
        </w:rPr>
      </w:pPr>
      <w:r>
        <w:t>47.</w:t>
      </w:r>
      <w:r>
        <w:tab/>
      </w:r>
      <w:r>
        <w:rPr>
          <w:noProof/>
        </w:rPr>
        <w:t xml:space="preserve">Finlandia poinformowała, że skoordynowany pakiet zindywidualizowanych usług opracowano w drodze konsultacji z grupą roboczą, w której skład wchodzili przedstawiciele ośrodków ELY urzędów zatrudnienia i rozwoju gospodarczego w dotkniętych zwolnieniami regionach, jak również przedstawiciele przedsiębiorstwa Microsoft, przemysłu technologicznego Finlandii, związku zawodowego Pro, związku zawodowego inżynierów w Finlandii oraz fińskiej agencji ds. finansowania innowacji. </w:t>
      </w:r>
    </w:p>
    <w:p>
      <w:pPr>
        <w:pStyle w:val="ManualHeading2"/>
        <w:rPr>
          <w:noProof/>
        </w:rPr>
      </w:pPr>
      <w:r>
        <w:rPr>
          <w:noProof/>
        </w:rPr>
        <w:t>Systemy zarządzania i kontroli</w:t>
      </w:r>
    </w:p>
    <w:p>
      <w:pPr>
        <w:pStyle w:val="ManualNumPar1"/>
        <w:rPr>
          <w:noProof/>
        </w:rPr>
      </w:pPr>
      <w:r>
        <w:t>48.</w:t>
      </w:r>
      <w:r>
        <w:tab/>
      </w:r>
      <w:r>
        <w:rPr>
          <w:noProof/>
        </w:rPr>
        <w:t xml:space="preserve">Wniosek zawiera opis systemu zarządzania i kontroli, w którym określono obowiązki zaangażowanych podmiotów. Finlandia poinformowała Komisję, że wkład finansowy będzie zarządzany przez Ministerstwo ds. Zatrudnienia i Gospodarki, które jest instytucją zarządzającą i certyfikującą dla EFG oraz instytucją pośredniczącą przekazującą fundusze EFG. Funkcje zarządzania dla EFG zostały powierzone departamentowi ds. zatrudnienia i przedsiębiorczości. </w:t>
      </w:r>
    </w:p>
    <w:p>
      <w:pPr>
        <w:pStyle w:val="ManualNumPar1"/>
        <w:rPr>
          <w:noProof/>
        </w:rPr>
      </w:pPr>
      <w:r>
        <w:t>49.</w:t>
      </w:r>
      <w:r>
        <w:tab/>
      </w:r>
      <w:r>
        <w:rPr>
          <w:noProof/>
        </w:rPr>
        <w:t xml:space="preserve">Funkcje certyfikacji znajdują się w rękach działu zasobów ludzkich i administracji. Wypłaty na rzecz beneficjentów wykonywane są przez regionalne ośrodki ELY i urzędy zatrudnienia i rozwoju gospodarczego. </w:t>
      </w:r>
    </w:p>
    <w:p>
      <w:pPr>
        <w:pStyle w:val="ManualNumPar1"/>
        <w:rPr>
          <w:noProof/>
        </w:rPr>
      </w:pPr>
      <w:r>
        <w:t>50.</w:t>
      </w:r>
      <w:r>
        <w:tab/>
      </w:r>
      <w:r>
        <w:rPr>
          <w:noProof/>
        </w:rPr>
        <w:t>Odnośnie do audytu organem odpowiedzialnym jest niezależny dział audytu wewnętrznego, działający pod kierownictwem stałego sekretarza Ministerstwa ds. Zatrudnienia i Gospodarki.</w:t>
      </w:r>
    </w:p>
    <w:p>
      <w:pPr>
        <w:pStyle w:val="ManualHeading2"/>
        <w:rPr>
          <w:noProof/>
        </w:rPr>
      </w:pPr>
      <w:r>
        <w:rPr>
          <w:noProof/>
        </w:rPr>
        <w:t>Zobowiązania podjęte przez przedmiotowe państwo członkowskie</w:t>
      </w:r>
    </w:p>
    <w:p>
      <w:pPr>
        <w:pStyle w:val="ManualNumPar1"/>
        <w:rPr>
          <w:noProof/>
        </w:rPr>
      </w:pPr>
      <w:r>
        <w:t>51.</w:t>
      </w:r>
      <w:r>
        <w:tab/>
      </w:r>
      <w:r>
        <w:rPr>
          <w:noProof/>
        </w:rPr>
        <w:t xml:space="preserve">Finlandia przedstawiła wszelkie niezbędne gwarancje, zgodnie z którymi: 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w zakresie dostępu do proponowanych działań i ich wdrażania przestrzegane będą zasady równego traktowania i niedyskryminacji;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spełniono określone w przepisach krajowych i UE wymogi dotyczące zwolnień grupowych;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  <w:color w:val="000000" w:themeColor="text1"/>
        </w:rPr>
        <w:t>w</w:t>
      </w:r>
      <w:r>
        <w:rPr>
          <w:noProof/>
        </w:rPr>
        <w:t xml:space="preserve"> przypadku gdy przedsiębiorstwa zwalniające kontynuują działalność po dokonaniu zwolnień, przedsiębiorstwa te wywiązały się ze zobowiązań prawnych dotyczących zwolnień i odpowiednio zadbały o swoich pracowników;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proponowane działania nie będą finansowane ze środków innych unijnych funduszy lub instrumentów finansowych oraz będzie się zapobiegać wszelkim przypadkom podwójnego finansowania;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proponowane działania będą komplementarne względem działań finansowanych z funduszy strukturalnych;</w:t>
      </w:r>
    </w:p>
    <w:p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wkład finansowy z EFG będzie zgodny z unijnymi przepisami proceduralnymi i materialnymi w zakresie pomocy państwa.</w:t>
      </w:r>
    </w:p>
    <w:p>
      <w:pPr>
        <w:pStyle w:val="ManualHeading1"/>
        <w:rPr>
          <w:noProof/>
        </w:rPr>
      </w:pPr>
      <w:r>
        <w:rPr>
          <w:noProof/>
        </w:rPr>
        <w:t>WPŁYW NA BUDŻET</w:t>
      </w:r>
    </w:p>
    <w:p>
      <w:pPr>
        <w:pStyle w:val="ManualHeading2"/>
        <w:rPr>
          <w:noProof/>
        </w:rPr>
      </w:pPr>
      <w:r>
        <w:rPr>
          <w:noProof/>
        </w:rPr>
        <w:t>Wniosek budżetowy</w:t>
      </w:r>
    </w:p>
    <w:p>
      <w:pPr>
        <w:pStyle w:val="ManualNumPar1"/>
        <w:rPr>
          <w:noProof/>
        </w:rPr>
      </w:pPr>
      <w:r>
        <w:t>52.</w:t>
      </w:r>
      <w:r>
        <w:tab/>
      </w:r>
      <w:r>
        <w:rPr>
          <w:noProof/>
        </w:rPr>
        <w:t>Środki EFG nie mogą przekroczyć maksymalnej rocznej kwoty 150 mln EUR (w cenach z 2011 r.), zgodnie z art. 12 rozporządzenia Rady (UE, Euratom) nr 1311/2013 z dnia 2 grudnia 2013 r. określającego wieloletnie ramy finansowe na lata 2014–2020</w:t>
      </w:r>
      <w:r>
        <w:rPr>
          <w:rStyle w:val="FootnoteReference"/>
          <w:noProof/>
        </w:rPr>
        <w:footnoteReference w:id="16"/>
      </w:r>
      <w:r>
        <w:rPr>
          <w:noProof/>
        </w:rPr>
        <w:t>.</w:t>
      </w:r>
    </w:p>
    <w:p>
      <w:pPr>
        <w:pStyle w:val="ManualNumPar1"/>
        <w:rPr>
          <w:rFonts w:eastAsia="Calibri"/>
          <w:noProof/>
        </w:rPr>
      </w:pPr>
      <w:r>
        <w:t>53.</w:t>
      </w:r>
      <w:r>
        <w:tab/>
      </w:r>
      <w:r>
        <w:rPr>
          <w:noProof/>
        </w:rPr>
        <w:t>Po przeanalizowaniu wniosku pod kątem warunków określonych w art. 13 ust. 1 rozporządzenia w sprawie EFG i po uwzględnieniu liczby beneficjentów objętych pomocą, proponowanych działań i szacowanych kosztów Komisja wnosi o uruchomienie środków z EFG w kwocie 3 520 080 EUR, która stanowi 60 % łącznych kosztów proponowanych działań, tak by zapewnić wkład finansowy w odpowiedzi na złożony wniosek.</w:t>
      </w:r>
    </w:p>
    <w:p>
      <w:pPr>
        <w:pStyle w:val="ManualNumPar1"/>
        <w:rPr>
          <w:rFonts w:eastAsia="Times New Roman"/>
          <w:noProof/>
        </w:rPr>
      </w:pPr>
      <w:r>
        <w:t>54.</w:t>
      </w:r>
      <w:r>
        <w:tab/>
      </w:r>
      <w:r>
        <w:rPr>
          <w:noProof/>
        </w:rPr>
        <w:t>Wnioskowana decyzja o uruchomieniu EFG zostanie podjęta wspólnie przez Parlament Europejski i Radę, jak określono w pkt 13 Porozumienia międzyinstytucjonalnego z dnia 2 grudnia 2013 r. pomiędzy Parlamentem Europejskim, Radą i Komisją w sprawie dyscypliny budżetowej, współpracy w kwestiach budżetowych i należytego zarządzania finansami</w:t>
      </w:r>
      <w:r>
        <w:rPr>
          <w:rStyle w:val="FootnoteReference"/>
          <w:noProof/>
        </w:rPr>
        <w:footnoteReference w:id="17"/>
      </w:r>
      <w:r>
        <w:rPr>
          <w:noProof/>
        </w:rPr>
        <w:t>.</w:t>
      </w:r>
    </w:p>
    <w:p>
      <w:pPr>
        <w:pStyle w:val="ManualHeading2"/>
        <w:rPr>
          <w:noProof/>
        </w:rPr>
      </w:pPr>
      <w:r>
        <w:rPr>
          <w:noProof/>
        </w:rPr>
        <w:t>Powiązane akty prawne</w:t>
      </w:r>
    </w:p>
    <w:p>
      <w:pPr>
        <w:pStyle w:val="ManualNumPar1"/>
        <w:rPr>
          <w:noProof/>
        </w:rPr>
      </w:pPr>
      <w:r>
        <w:t>55.</w:t>
      </w:r>
      <w:r>
        <w:tab/>
      </w:r>
      <w:r>
        <w:rPr>
          <w:noProof/>
        </w:rPr>
        <w:t>Równocześnie z przedstawieniem wniosku dotyczącego decyzji w sprawie uruchomienia środków z EFG Komisja przedstawi Parlamentowi Europejskiemu i Radzie wniosek dotyczący przesunięcia kwoty 3 520 080 EUR do odpowiedniej linii budżetowej.</w:t>
      </w:r>
    </w:p>
    <w:p>
      <w:pPr>
        <w:pStyle w:val="ManualNumPar1"/>
        <w:rPr>
          <w:noProof/>
        </w:rPr>
      </w:pPr>
      <w:r>
        <w:t>56.</w:t>
      </w:r>
      <w:r>
        <w:tab/>
      </w:r>
      <w:r>
        <w:rPr>
          <w:noProof/>
        </w:rPr>
        <w:t>Równocześnie z przyjęciem niniejszego wniosku dotyczącego decyzji w sprawie uruchomienia EFG Komisja przyjmie decyzję w sprawie wkładu finansowego w drodze aktu wykonawczego wchodzącego w życie w dniu, w którym Parlament Europejski i Rada przyjmą proponowaną decyzję w sprawie uruchomienia środków z EFG.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Wniosek</w:t>
      </w:r>
    </w:p>
    <w:p>
      <w:pPr>
        <w:pStyle w:val="Typedudocument"/>
        <w:rPr>
          <w:noProof/>
        </w:rPr>
      </w:pPr>
      <w:r>
        <w:rPr>
          <w:noProof/>
        </w:rPr>
        <w:t>DECYZJA PARLAMENTU EUROPEJSKIEGO I RADY</w:t>
      </w:r>
    </w:p>
    <w:p>
      <w:pPr>
        <w:pStyle w:val="Titreobjet"/>
        <w:rPr>
          <w:noProof/>
        </w:rPr>
      </w:pPr>
      <w:r>
        <w:rPr>
          <w:noProof/>
        </w:rPr>
        <w:t>w sprawie uruchomienia Europejskiego Funduszu Dostosowania do Globalizacji w następstwie</w:t>
      </w:r>
      <w:r>
        <w:rPr>
          <w:noProof/>
        </w:rPr>
        <w:br/>
        <w:t>wniosku złożonego przez Finlandię EGF/2017/002 FI/Microsoft 2</w:t>
      </w:r>
    </w:p>
    <w:p>
      <w:pPr>
        <w:pStyle w:val="Institutionquiagit"/>
        <w:rPr>
          <w:noProof/>
        </w:rPr>
      </w:pPr>
      <w:r>
        <w:rPr>
          <w:noProof/>
        </w:rPr>
        <w:t>PARLAMENT EUROPEJSKI I RADA UNII EUROPEJSKIEJ,</w:t>
      </w:r>
    </w:p>
    <w:p>
      <w:pPr>
        <w:rPr>
          <w:noProof/>
        </w:rPr>
      </w:pPr>
      <w:r>
        <w:rPr>
          <w:noProof/>
        </w:rPr>
        <w:t>uwzględniając Traktat o funkcjonowaniu Unii Europejskiej,</w:t>
      </w:r>
    </w:p>
    <w:p>
      <w:pPr>
        <w:rPr>
          <w:noProof/>
        </w:rPr>
      </w:pPr>
      <w:r>
        <w:rPr>
          <w:noProof/>
        </w:rPr>
        <w:t>uwzględniając rozporządzenie Parlamentu Europejskiego i Rady (UE) nr 1309/2013 z dnia 17 grudnia 2013 r. w sprawie Europejskiego Funduszu Dostosowania do Globalizacji (2014–2020) i uchylenia rozporządzenia (WE) nr 1927/2006</w:t>
      </w:r>
      <w:r>
        <w:rPr>
          <w:rStyle w:val="FootnoteReference"/>
          <w:noProof/>
        </w:rPr>
        <w:footnoteReference w:id="18"/>
      </w:r>
      <w:r>
        <w:rPr>
          <w:noProof/>
        </w:rPr>
        <w:t>, w szczególności jego art. 15 ust. 4,</w:t>
      </w:r>
    </w:p>
    <w:p>
      <w:pPr>
        <w:rPr>
          <w:noProof/>
        </w:rPr>
      </w:pPr>
      <w:r>
        <w:rPr>
          <w:noProof/>
        </w:rPr>
        <w:t>uwzględniając Porozumienie międzyinstytucjonalne z dnia 2 grudnia 2013 r. pomiędzy Parlamentem Europejskim, Radą i Komisją w sprawie dyscypliny budżetowej, współpracy w sprawach budżetowych i należytego zarządzania finansami</w:t>
      </w:r>
      <w:r>
        <w:rPr>
          <w:rStyle w:val="FootnoteReference"/>
          <w:noProof/>
        </w:rPr>
        <w:footnoteReference w:id="19"/>
      </w:r>
      <w:r>
        <w:rPr>
          <w:noProof/>
        </w:rPr>
        <w:t>, w szczególności jego pkt 13,</w:t>
      </w:r>
    </w:p>
    <w:p>
      <w:pPr>
        <w:rPr>
          <w:noProof/>
        </w:rPr>
      </w:pPr>
      <w:r>
        <w:rPr>
          <w:noProof/>
        </w:rPr>
        <w:t>uwzględniając wniosek Komisji Europejskiej,</w:t>
      </w:r>
    </w:p>
    <w:p>
      <w:pPr>
        <w:rPr>
          <w:noProof/>
        </w:rPr>
      </w:pPr>
      <w:r>
        <w:rPr>
          <w:noProof/>
        </w:rPr>
        <w:t>a także mając na uwadze, co następuje: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Celem Europejskiego Funduszu Dostosowania do Globalizacji (EFG) jest zapewnienie wsparcia zwolnionym pracownikom i osobom, które zaprzestały prowadzenia działalności na własny rachunek w wyniku istotnych zmian w strukturze światowego handlu spowodowanych globalizacją, w wyniku dalszego trwania światowego kryzysu finansowego i gospodarczego lub w wyniku nowego światowego kryzysu finansowego i gospodarczego, oraz w celu udzielenia im pomocy umożliwiającej reintegrację na rynku pracy.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Środki EFG nie mogą przekroczyć maksymalnej rocznej kwoty 150 mln EUR (w cenach z 2011 r.), zgodnie z art. 12 rozporządzenia Rady (UE, Euratom) nr 1311/2013</w:t>
      </w:r>
      <w:r>
        <w:rPr>
          <w:rStyle w:val="FootnoteReference"/>
          <w:noProof/>
        </w:rPr>
        <w:footnoteReference w:id="20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W dniu 1 lutego 2017 r. Finlandia złożyła wniosek o uruchomienie środków z EFG w związku ze zwolnieniami w Microsoft Oy (Microsoft Mobile Oy) oraz u 11 dostawców i producentów znajdujących się poniżej w łańcuchu dostaw oraz w związku z przypadkami zaprzestania działalności. Wniosek został uzupełniony o dodatkowe informacje złożone zgodnie z art. 8 ust. 3 rozporządzenia (UE) nr 1309/2013. Wniosek ten spełnia wymogi dotyczące określenia wkładu finansowego z EFG, ustanowione w art. 13 rozporządzenia (UE) nr 1309/2013.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Należy zatem uruchomić środki z EFG, aby zapewnić wkład finansowy na kwotę 3 520 080 EUR w odpowiedzi na wniosek złożony przez Finlandię.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W celu ograniczenia do minimum czasu potrzebnego do uruchomienia EFG niniejszą decyzję należy stosować od dnia jej przyjęcia,</w:t>
      </w:r>
    </w:p>
    <w:p>
      <w:pPr>
        <w:pStyle w:val="Formuledadoption"/>
        <w:rPr>
          <w:noProof/>
        </w:rPr>
      </w:pPr>
      <w:r>
        <w:rPr>
          <w:noProof/>
        </w:rPr>
        <w:t xml:space="preserve">PRZYJMUJĄ NINIEJSZĄ DECYZJĘ: </w:t>
      </w:r>
    </w:p>
    <w:p>
      <w:pPr>
        <w:pStyle w:val="Titrearticle"/>
        <w:rPr>
          <w:noProof/>
        </w:rPr>
      </w:pPr>
      <w:r>
        <w:rPr>
          <w:noProof/>
        </w:rPr>
        <w:t>Artykuł 1</w:t>
      </w:r>
    </w:p>
    <w:p>
      <w:pPr>
        <w:rPr>
          <w:noProof/>
        </w:rPr>
      </w:pPr>
      <w:r>
        <w:rPr>
          <w:noProof/>
        </w:rPr>
        <w:t>W ramach budżetu ogólnego Unii na rok budżetowy 2017 uruchamia się środki z Europejskiego Funduszu Dostosowania do Globalizacji, aby udostępnić kwotę 3 520 080 EUR w formie środków na zobowiązania i środków na płatności.</w:t>
      </w:r>
    </w:p>
    <w:p>
      <w:pPr>
        <w:pStyle w:val="Titrearticle"/>
        <w:rPr>
          <w:noProof/>
        </w:rPr>
      </w:pPr>
      <w:r>
        <w:rPr>
          <w:noProof/>
        </w:rPr>
        <w:t>Artykuł 2</w:t>
      </w:r>
    </w:p>
    <w:p>
      <w:pPr>
        <w:keepNext/>
        <w:keepLines/>
        <w:rPr>
          <w:noProof/>
        </w:rPr>
      </w:pPr>
      <w:r>
        <w:rPr>
          <w:noProof/>
        </w:rPr>
        <w:t xml:space="preserve">Niniejsza decyzja wchodzi w życie z dniem jej opublikowania w Dzienniku Urzędowym Unii Europejskiej. Stosuje się ją od dnia </w:t>
      </w:r>
      <w:r>
        <w:rPr>
          <w:noProof/>
          <w:color w:val="FF0000"/>
        </w:rPr>
        <w:t>[</w:t>
      </w:r>
      <w:r>
        <w:rPr>
          <w:i/>
          <w:noProof/>
          <w:color w:val="FF0000"/>
        </w:rPr>
        <w:t>data przyjęcia decyzji</w:t>
      </w:r>
      <w:r>
        <w:rPr>
          <w:noProof/>
          <w:color w:val="FF0000"/>
        </w:rPr>
        <w:t>]</w:t>
      </w:r>
      <w:r>
        <w:rPr>
          <w:rStyle w:val="FootnoteReference"/>
        </w:rPr>
        <w:sym w:font="Symbol" w:char="F02A"/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footnoteReference w:customMarkFollows="1" w:id="21"/>
        <w:t>Sporządzono w Brukseli dnia  r.</w:t>
      </w:r>
    </w:p>
    <w:p>
      <w:pPr>
        <w:pStyle w:val="Institutionquisigne"/>
        <w:rPr>
          <w:noProof/>
        </w:rPr>
      </w:pPr>
      <w:r>
        <w:rPr>
          <w:noProof/>
        </w:rPr>
        <w:t>W imieniu Parlamentu Europejskiego</w:t>
      </w:r>
      <w:r>
        <w:rPr>
          <w:noProof/>
        </w:rPr>
        <w:tab/>
        <w:t>W imieniu Rady</w:t>
      </w:r>
    </w:p>
    <w:p>
      <w:pPr>
        <w:pStyle w:val="Personnequisigne"/>
        <w:rPr>
          <w:noProof/>
        </w:rPr>
      </w:pPr>
      <w:r>
        <w:rPr>
          <w:noProof/>
        </w:rPr>
        <w:t>Przewodniczący</w:t>
      </w:r>
      <w:r>
        <w:rPr>
          <w:noProof/>
        </w:rPr>
        <w:tab/>
        <w:t>Przewodniczący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Dz.U. L 347 z 20.12.2013, s. 855.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W rozumieniu art. 3 rozporządzenia w sprawie EFG.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Rozporządzenie Komisji (UE) nr 1046/2012 z dnia 8 listopada 2012 r. wykonujące rozporządzenie (WE) nr 1059/2003 Parlamentu Europejskiego i Rady w sprawie ustalenia wspólnej klasyfikacji Jednostek Terytorialnych do Celów Statystycznych (NUTS) w zakresie przekazywania szeregów czasowych dla nowego podziału regionalnego (Dz.U. L 310 z 9.11.2012, s. 34).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Dz.U. L 393 z 30.12.2006, s. 1.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Zgodnie z art. 7 ust. 4 rozporządzenia (UE) nr 1309/2013.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t>www.statista.com/chart/4112/smartphone-market-share</w:t>
        </w:r>
      </w:hyperlink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2" w:anchor=".WTosOjclGUl">
        <w:r>
          <w:rPr>
            <w:rStyle w:val="Hyperlink"/>
          </w:rPr>
          <w:t>https://www.strategyanalytics.com/strategy-analytics/news/strategy-analytics-press-releases/strategy-analytics-press-release/2016/11/02/strategy-analytics-android-captures-record-88-percent-share-of-global-smartphone-shipments-in-q3-2016#.WTosOjclGUl</w:t>
        </w:r>
      </w:hyperlink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t>www.statista.com/chart/4112/smartphone-market-share</w:t>
        </w:r>
      </w:hyperlink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4">
        <w:r>
          <w:t>http://www.businessinsider.com/samsung-factory-working-conditions-2012-11?r=US&amp;IR=T&amp;IR=T</w:t>
        </w:r>
      </w:hyperlink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5">
        <w:r>
          <w:t>http://comptryx.com/product/global_salary_survey</w:t>
        </w:r>
      </w:hyperlink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6">
        <w:r>
          <w:t>https://www.kantarworldpanel.com/global/News/Android-Share-Tops-75-in-Europes-Largest-Markets</w:t>
        </w:r>
      </w:hyperlink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</w:r>
      <w:hyperlink w:history="1"/>
      <w:hyperlink r:id="rId7">
        <w:r>
          <w:t>http://www.thanhniennews.com/business/samsung-shifts-plants-from-china-to-vietnam-to-protect-margins-392.html</w:t>
        </w:r>
      </w:hyperlink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8">
        <w:r>
          <w:t>http://julkaisut.valtioneuvosto.fi/bitstream/handle/10024/78927/TKAT_Oct_2016_en.pdf?sequence=1</w:t>
        </w:r>
      </w:hyperlink>
    </w:p>
  </w:footnote>
  <w:footnote w:id="14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</w:r>
      <w:hyperlink r:id="rId9">
        <w:r>
          <w:t>http://julkaisut.valtioneuvosto.fi/bitstream/handle/10024/78927/TKAT_Oct_2016_en.pdf?sequence=1</w:t>
        </w:r>
      </w:hyperlink>
    </w:p>
  </w:footnote>
  <w:footnote w:id="15">
    <w:p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ab/>
      </w:r>
      <w:hyperlink r:id="rId10">
        <w:r>
          <w:rPr>
            <w:lang w:val="en-GB"/>
          </w:rPr>
          <w:t>http://www.itproportal.com/2015/07/20/nokias-woes-pushing-finnish-town-salo-further- into-recession/</w:t>
        </w:r>
      </w:hyperlink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Dz.U. L 347 z 20.12.2013, s. 884.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Dz.U. C 373 z 20.12.2013, s. 1.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Dz.U. L 347 z 20.12.2013, s. 855.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Dz.U. C 373 z 20.12.2013, s. 1.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  <w:t>Rozporządzenie Rady (UE, Euratom) nr 1311/2013 z dnia 2 grudnia 2013 r. określające wieloletnie ramy finansowe na lata 2014–2020 (Dz.U. L 347 z 20.12.2013, s. 884).</w:t>
      </w:r>
    </w:p>
  </w:footnote>
  <w:footnote w:id="21">
    <w:p>
      <w:pPr>
        <w:pStyle w:val="FootnoteText"/>
        <w:rPr>
          <w:color w:val="FF0000"/>
        </w:rPr>
      </w:pPr>
      <w:r>
        <w:rPr>
          <w:rStyle w:val="FootnoteReference"/>
        </w:rPr>
        <w:sym w:font="Symbol" w:char="F02A"/>
      </w:r>
      <w:r>
        <w:rPr>
          <w:color w:val="FF0000"/>
        </w:rPr>
        <w:t xml:space="preserve"> </w:t>
      </w:r>
      <w:r>
        <w:tab/>
      </w:r>
      <w:r>
        <w:rPr>
          <w:color w:val="FF0000"/>
        </w:rPr>
        <w:t>Datę wstawia Parlament przed publikacją w Dz. 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BB686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9E463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80C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498EC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32C75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F9047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C2823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5869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2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1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oNotDisplayPageBoundaries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19 09:45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BE4B58AC91074F78A9964EEB7BF43784"/>
    <w:docVar w:name="LW_CROSSREFERENCE" w:val="&lt;UNUSED&gt;"/>
    <w:docVar w:name="LW_DocType" w:val="COM"/>
    <w:docVar w:name="LW_EMISSION" w:val="21.6.2017"/>
    <w:docVar w:name="LW_EMISSION_ISODATE" w:val="2017-06-21"/>
    <w:docVar w:name="LW_EMISSION_LOCATION" w:val="BRX"/>
    <w:docVar w:name="LW_EMISSION_PREFIX" w:val="Bruksela, dnia "/>
    <w:docVar w:name="LW_EMISSION_SUFFIX" w:val=" r."/>
    <w:docVar w:name="LW_ID_DOCMODEL" w:val="SJ-026"/>
    <w:docVar w:name="LW_ID_DOCSIGNATURE" w:val="SJ-026"/>
    <w:docVar w:name="LW_ID_DOCSTRUCTURE" w:val="COM/PL/ORG"/>
    <w:docVar w:name="LW_ID_DOCTYPE" w:val="SJ-026"/>
    <w:docVar w:name="LW_ID_STATUT" w:val="SJ-026"/>
    <w:docVar w:name="LW_INTERETEEE.CP" w:val="&lt;UNUSED&gt;"/>
    <w:docVar w:name="LW_LANGUE" w:val="PL"/>
    <w:docVar w:name="LW_MARKING" w:val="&lt;UNUSED&gt;"/>
    <w:docVar w:name="LW_NOM.INST" w:val="KOMISJA EUROPEJSKA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322"/>
    <w:docVar w:name="LW_REF.INTERNE" w:val="&lt;UNUSED&gt;"/>
    <w:docVar w:name="LW_SOUS.TITRE.OBJ.CP" w:val="&lt;UNUSED&gt;"/>
    <w:docVar w:name="LW_STATUT.CP" w:val="Wniosek"/>
    <w:docVar w:name="LW_SUPERTITRE" w:val="&lt;UNUSED&gt;"/>
    <w:docVar w:name="LW_TITRE.OBJ.CP" w:val="w sprawie uruchomienia Europejskiego Funduszu Dostosowania do Globalizacji w nast\u281?pstwie_x000b_wniosku z\u322?o\u380?onego przez Finlandi\u281? EGF/2017/002 FI/Microsoft 2"/>
    <w:docVar w:name="LW_TYPE.DOC.CP" w:val="DECYZJA PARLAMENTU EUROPEJSKIEGO I RADY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Theme="minorHAnsi" w:hAnsiTheme="minorHAnsi" w:cstheme="minorBid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Theme="minorHAnsi" w:hAnsiTheme="minorHAnsi" w:cstheme="minorBid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julkaisut.valtioneuvosto.fi/bitstream/handle/10024/78927/TKAT_Oct_2016_en.pdf?sequence=1" TargetMode="External"/><Relationship Id="rId3" Type="http://schemas.openxmlformats.org/officeDocument/2006/relationships/hyperlink" Target="http://www.statista.com/chart/4112/smartphone-market-share" TargetMode="External"/><Relationship Id="rId7" Type="http://schemas.openxmlformats.org/officeDocument/2006/relationships/hyperlink" Target="http://www.thanhniennews.com/business/samsung-shifts-plants-from-china-to-vietnam-to-protect-margins-392.html" TargetMode="External"/><Relationship Id="rId2" Type="http://schemas.openxmlformats.org/officeDocument/2006/relationships/hyperlink" Target="https://www.strategyanalytics.com/strategy-analytics/news/strategy-analytics-press-releases/strategy-analytics-press-release/2016/11/02/strategy-analytics-android-captures-record-88-percent-share-of-global-smartphone-shipments-in-q3-2016" TargetMode="External"/><Relationship Id="rId1" Type="http://schemas.openxmlformats.org/officeDocument/2006/relationships/hyperlink" Target="http://www.statista.com/chart/4112/smartphone-market-share" TargetMode="External"/><Relationship Id="rId6" Type="http://schemas.openxmlformats.org/officeDocument/2006/relationships/hyperlink" Target="https://www.kantarworldpanel.com/global/News/Android-Share-Tops-75-in-Europes-Largest-Markets" TargetMode="External"/><Relationship Id="rId5" Type="http://schemas.openxmlformats.org/officeDocument/2006/relationships/hyperlink" Target="http://comptryx.com/product/global_salary_survey" TargetMode="External"/><Relationship Id="rId10" Type="http://schemas.openxmlformats.org/officeDocument/2006/relationships/hyperlink" Target="http://www.itproportal.com/2015/07/20/nokias-woes-pushing-finnish-town-salo-further-%20into-recession/" TargetMode="External"/><Relationship Id="rId4" Type="http://schemas.openxmlformats.org/officeDocument/2006/relationships/hyperlink" Target="http://www.businessinsider.com/samsung-factory-working-conditions-2012-11?r=US&amp;IR=T&amp;IR=T" TargetMode="External"/><Relationship Id="rId9" Type="http://schemas.openxmlformats.org/officeDocument/2006/relationships/hyperlink" Target="http://julkaisut.valtioneuvosto.fi/bitstream/handle/10024/78927/TKAT_Oct_2016_en.pdf?sequence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3201-0069-4376-A2ED-7330518D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14</Pages>
  <Words>3430</Words>
  <Characters>21581</Characters>
  <Application>Microsoft Office Word</Application>
  <DocSecurity>0</DocSecurity>
  <Lines>583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cp:lastPrinted>2017-04-26T14:23:00Z</cp:lastPrinted>
  <dcterms:created xsi:type="dcterms:W3CDTF">2017-06-13T13:45:00Z</dcterms:created>
  <dcterms:modified xsi:type="dcterms:W3CDTF">2017-06-19T07:45:00Z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SJ-026</vt:lpwstr>
  </property>
  <property fmtid="{D5CDD505-2E9C-101B-9397-08002B2CF9AE}" pid="10" name="DQCStatus">
    <vt:lpwstr>Green (DQC version 03)</vt:lpwstr>
  </property>
</Properties>
</file>