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AE5DFCC79566445AA3256470543C55BA"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rPr>
          <w:noProof/>
        </w:rPr>
      </w:pPr>
      <w:bookmarkStart w:id="1" w:name="_GoBack"/>
      <w:bookmarkEnd w:id="1"/>
    </w:p>
    <w:p>
      <w:pPr>
        <w:pStyle w:val="Typedudocument"/>
        <w:rPr>
          <w:noProof/>
        </w:rPr>
      </w:pPr>
      <w:r>
        <w:rPr>
          <w:noProof/>
        </w:rPr>
        <w:t>RAPPORT FRÅN KOMMISSIONEN TILL EUROPAPARLAMENTET OCH RÅDET</w:t>
      </w:r>
    </w:p>
    <w:p>
      <w:pPr>
        <w:pStyle w:val="Titreobjet"/>
        <w:rPr>
          <w:noProof/>
        </w:rPr>
      </w:pPr>
      <w:r>
        <w:rPr>
          <w:noProof/>
        </w:rPr>
        <w:t>om hinder för handel och investeringar</w:t>
      </w:r>
      <w:r>
        <w:rPr>
          <w:noProof/>
        </w:rPr>
        <w:br/>
      </w:r>
      <w:r>
        <w:rPr>
          <w:noProof/>
        </w:rPr>
        <w:br/>
        <w:t>1 januari 2016–31 december 2016</w:t>
      </w:r>
    </w:p>
    <w:p>
      <w:pPr>
        <w:pStyle w:val="Title"/>
        <w:jc w:val="left"/>
        <w:rPr>
          <w:noProof/>
          <w:sz w:val="24"/>
          <w:szCs w:val="24"/>
        </w:rPr>
      </w:pPr>
      <w:r>
        <w:rPr>
          <w:noProof/>
          <w:sz w:val="24"/>
        </w:rPr>
        <w:t xml:space="preserve">INLEDNING </w:t>
      </w:r>
    </w:p>
    <w:p>
      <w:pPr>
        <w:pStyle w:val="NormalLinespacingMultiple12li"/>
        <w:spacing w:line="288" w:lineRule="auto"/>
        <w:rPr>
          <w:noProof/>
        </w:rPr>
      </w:pPr>
      <w:r>
        <w:rPr>
          <w:noProof/>
        </w:rPr>
        <w:t>Som ett led i strategin för marknadstillträde analyseras i denna sjunde utgåva av rapporten om hinder för handel och investeringar de investeringshinder som företag och medlemsstater har rapporterat till kommissionen via partnerskapet för marknadstillträde</w:t>
      </w:r>
      <w:r>
        <w:rPr>
          <w:rStyle w:val="FootnoteReference"/>
          <w:noProof/>
        </w:rPr>
        <w:footnoteReference w:id="1"/>
      </w:r>
      <w:r>
        <w:rPr>
          <w:noProof/>
        </w:rPr>
        <w:t>.</w:t>
      </w:r>
    </w:p>
    <w:p>
      <w:pPr>
        <w:pStyle w:val="NormalLinespacingMultiple12li"/>
        <w:spacing w:line="288" w:lineRule="auto"/>
        <w:rPr>
          <w:noProof/>
        </w:rPr>
      </w:pPr>
      <w:r>
        <w:rPr>
          <w:noProof/>
        </w:rPr>
        <w:t>Detta partnerskap mellan kommissionen, medlemsstaterna och EU:s näringsliv har redan visat sig vara ovärderligt för att samla in information om handelshinder och gemensamt prioritera och utforma en gemensam strategi för att undanröja dem. Genom att bygga på denna erfarenhet och mot bakgrund av den ökande protektionismen tillkännagav kommissionen i sitt meddelande om handel för alla</w:t>
      </w:r>
      <w:r>
        <w:rPr>
          <w:rStyle w:val="FootnoteReference"/>
          <w:noProof/>
        </w:rPr>
        <w:footnoteReference w:id="2"/>
      </w:r>
      <w:r>
        <w:rPr>
          <w:noProof/>
        </w:rPr>
        <w:t xml:space="preserve"> ”utökade partnerskap”, i syfte att förstärka de befintliga gemensamma insatserna och utöka partnerskapet så att det utöver avlägsnande av hinder för handel och investeringar även omfattar genomförandet av frihandelsavtal</w:t>
      </w:r>
      <w:r>
        <w:rPr>
          <w:rStyle w:val="FootnoteReference"/>
          <w:noProof/>
        </w:rPr>
        <w:footnoteReference w:id="3"/>
      </w:r>
      <w:r>
        <w:rPr>
          <w:noProof/>
        </w:rPr>
        <w:t xml:space="preserve">. </w:t>
      </w:r>
    </w:p>
    <w:p>
      <w:pPr>
        <w:pStyle w:val="NormalLinespacingMultiple12li"/>
        <w:spacing w:line="288" w:lineRule="auto"/>
        <w:rPr>
          <w:noProof/>
        </w:rPr>
      </w:pPr>
      <w:r>
        <w:rPr>
          <w:noProof/>
        </w:rPr>
        <w:t>I detta sammanhang inriktas årets utgåva av rapporten om hinder för handel och investeringar på konkreta hinder som direkt påverkar EU:s ekonomiska aktörer i tredjeländer. Denna inriktning markerar ett skifte från analyserna av allmänna protektionistiska trender som granskas i den föregående rapporten</w:t>
      </w:r>
      <w:bookmarkStart w:id="2" w:name="_Ref443396245"/>
      <w:r>
        <w:rPr>
          <w:rStyle w:val="FootnoteReference"/>
          <w:noProof/>
        </w:rPr>
        <w:footnoteReference w:id="4"/>
      </w:r>
      <w:bookmarkEnd w:id="2"/>
      <w:r>
        <w:rPr>
          <w:noProof/>
        </w:rPr>
        <w:t>. Syftet är att fokusera på de mest relevanta hindren som påverkar EU:s export till 51 tredjeländer</w:t>
      </w:r>
      <w:r>
        <w:rPr>
          <w:rStyle w:val="FootnoteReference"/>
          <w:noProof/>
        </w:rPr>
        <w:footnoteReference w:id="5"/>
      </w:r>
      <w:r>
        <w:rPr>
          <w:noProof/>
        </w:rPr>
        <w:t xml:space="preserve"> och som </w:t>
      </w:r>
      <w:r>
        <w:rPr>
          <w:noProof/>
        </w:rPr>
        <w:lastRenderedPageBreak/>
        <w:t>rapporterats via partnerskapet för marknadstillträde och registrerats i avsnittet om handelshinder i databasen över marknadstillträde</w:t>
      </w:r>
      <w:r>
        <w:rPr>
          <w:rStyle w:val="FootnoteReference"/>
          <w:noProof/>
        </w:rPr>
        <w:footnoteReference w:id="6"/>
      </w:r>
      <w:r>
        <w:rPr>
          <w:noProof/>
        </w:rPr>
        <w:t xml:space="preserve">. Tack vare denna analys av åtgärder som påverkar EU:s företag är det också möjligt att dra vissa slutsatser, som generellt bekräftar de protektionistiska trender som observerats i tidigare rapporter om hinder för handel och investeringar och protektionistiska trender. </w:t>
      </w:r>
    </w:p>
    <w:p>
      <w:pPr>
        <w:pStyle w:val="NormalLinespacingMultiple12li"/>
        <w:spacing w:line="288" w:lineRule="auto"/>
        <w:rPr>
          <w:noProof/>
        </w:rPr>
      </w:pPr>
      <w:r>
        <w:rPr>
          <w:noProof/>
        </w:rPr>
        <w:t>I rapportens första avsnitt presenteras en sifferanalys, per land, typ av hinder och sektor, av den totala uppsättningen av 372 aktiva</w:t>
      </w:r>
      <w:r>
        <w:rPr>
          <w:rStyle w:val="FootnoteReference"/>
          <w:noProof/>
        </w:rPr>
        <w:footnoteReference w:id="7"/>
      </w:r>
      <w:r>
        <w:rPr>
          <w:noProof/>
        </w:rPr>
        <w:t xml:space="preserve"> handels- och investeringshinder som registrerats i databasen över marknadstillträde och de 36 nya hinder som registrerats under 2016.</w:t>
      </w:r>
    </w:p>
    <w:p>
      <w:pPr>
        <w:pStyle w:val="NormalLinespacingMultiple12li"/>
        <w:spacing w:line="288" w:lineRule="auto"/>
        <w:rPr>
          <w:noProof/>
        </w:rPr>
      </w:pPr>
      <w:r>
        <w:rPr>
          <w:noProof/>
        </w:rPr>
        <w:t xml:space="preserve">I rapportens andra del ges en mer detaljerad analys av de nya hinder som rapporterats under 2016 (1 januari–31 december 2016), med en beskrivning av specifika trender i olika länder och sektorer och en bedömning av de handelsflöden som eventuellt kan påverkas. </w:t>
      </w:r>
    </w:p>
    <w:p>
      <w:pPr>
        <w:pStyle w:val="NormalLinespacingMultiple12li"/>
        <w:spacing w:line="288" w:lineRule="auto"/>
        <w:rPr>
          <w:noProof/>
        </w:rPr>
      </w:pPr>
      <w:r>
        <w:rPr>
          <w:noProof/>
        </w:rPr>
        <w:t>Det tredje avsnittet innehåller en redogörelse för de verktyg som använts i strategin för marknadstillträde för att komma till rätta med dessa hinder och en översikt över de 20 hinder som löstes med lyckat resultat under 2016. Slutligen följer en allmän analys av eventuellt påverkade handelsflöden och de sektorer som främst gynnats av åtgärderna och en översikt över de största framgångarna.</w:t>
      </w:r>
    </w:p>
    <w:p>
      <w:pPr>
        <w:pStyle w:val="NormalLinespacingMultiple12li"/>
        <w:spacing w:line="288" w:lineRule="auto"/>
        <w:rPr>
          <w:noProof/>
        </w:rPr>
      </w:pPr>
    </w:p>
    <w:p>
      <w:pPr>
        <w:pStyle w:val="NormalLinespacingMultiple12li"/>
        <w:spacing w:line="288" w:lineRule="auto"/>
        <w:ind w:left="426" w:hanging="426"/>
        <w:rPr>
          <w:b/>
          <w:noProof/>
        </w:rPr>
      </w:pPr>
      <w:r>
        <w:rPr>
          <w:b/>
          <w:noProof/>
        </w:rPr>
        <w:t>I.</w:t>
      </w:r>
      <w:r>
        <w:rPr>
          <w:noProof/>
        </w:rPr>
        <w:tab/>
      </w:r>
      <w:r>
        <w:rPr>
          <w:noProof/>
        </w:rPr>
        <w:tab/>
      </w:r>
      <w:r>
        <w:rPr>
          <w:b/>
          <w:noProof/>
        </w:rPr>
        <w:t xml:space="preserve">ÖVERSIKT ÖVER HANDELS- OCH INVESTERINGSHINDER </w:t>
      </w:r>
    </w:p>
    <w:p>
      <w:pPr>
        <w:pStyle w:val="NormalLinespacingMultiple12li"/>
        <w:spacing w:line="288" w:lineRule="auto"/>
        <w:rPr>
          <w:noProof/>
        </w:rPr>
      </w:pPr>
      <w:r>
        <w:rPr>
          <w:noProof/>
        </w:rPr>
        <w:t xml:space="preserve">I detta avsnitt ges en fakta- och sifferanalys av handelshinder i tredjeländer och relaterade trender. Analysen grundas på avsnittet om handelshinder i databasen över marknadstillträde, där alla hinder för vilka åtgärder har vidtagits inom ramen för partnerskapet för marknadstillträde registreras. </w:t>
      </w:r>
    </w:p>
    <w:p>
      <w:pPr>
        <w:pStyle w:val="NormalLinespacingMultiple12li"/>
        <w:spacing w:line="288" w:lineRule="auto"/>
        <w:rPr>
          <w:noProof/>
        </w:rPr>
      </w:pPr>
      <w:r>
        <w:rPr>
          <w:noProof/>
        </w:rPr>
        <w:lastRenderedPageBreak/>
        <w:t>Det är viktigt att notera att databasen över marknadstillträde (och denna rapport) inte ger en omfattande översikt över alla handelshinder som EU:s ekonomiska aktörer möter</w:t>
      </w:r>
      <w:r>
        <w:rPr>
          <w:rStyle w:val="FootnoteReference"/>
          <w:noProof/>
        </w:rPr>
        <w:footnoteReference w:id="8"/>
      </w:r>
      <w:r>
        <w:rPr>
          <w:noProof/>
        </w:rPr>
        <w:t xml:space="preserve">. Företagen kan besluta att inte rapportera vissa hinder till databasen eftersom de hoppas kunna lösa dem eller kringgå deras effekter. Andra hinder kanske inte prioriteras i databasen. Vissa företag känner kanske inte till möjligheten att hantera hinder via partnerskapet för marknadstillträde.  </w:t>
      </w:r>
    </w:p>
    <w:p>
      <w:pPr>
        <w:pStyle w:val="NormalLinespacingMultiple12li"/>
        <w:spacing w:line="288" w:lineRule="auto"/>
        <w:rPr>
          <w:noProof/>
        </w:rPr>
      </w:pPr>
      <w:r>
        <w:rPr>
          <w:noProof/>
        </w:rPr>
        <w:t xml:space="preserve">I databasen över marknadstillträde och i denna rapport görs ingen bedömning av huruvida de berörda åtgärderna är rättsenliga. Samtliga hinder har dock identifierats som problematiska för EU:s företag och prioriterats för vidare åtgärder inom ramen för partnerskapet för marknadstillträde, eftersom de kan vara diskriminerande, oproportionerliga eller handelsbegränsande.   </w:t>
      </w:r>
    </w:p>
    <w:p>
      <w:pPr>
        <w:pStyle w:val="NormalLinespacingMultiple12li"/>
        <w:spacing w:line="288" w:lineRule="auto"/>
        <w:rPr>
          <w:noProof/>
        </w:rPr>
      </w:pPr>
    </w:p>
    <w:p>
      <w:pPr>
        <w:pStyle w:val="NormalLinespacingMultiple12li"/>
        <w:spacing w:line="288" w:lineRule="auto"/>
        <w:rPr>
          <w:noProof/>
        </w:rPr>
      </w:pPr>
      <w:r>
        <w:rPr>
          <w:noProof/>
        </w:rPr>
        <w:t>A.</w:t>
      </w:r>
      <w:r>
        <w:rPr>
          <w:noProof/>
        </w:rPr>
        <w:tab/>
        <w:t>TOTALT ANTAL HANDELS- OCH INVESTERINGSHINDER</w:t>
      </w:r>
    </w:p>
    <w:p>
      <w:pPr>
        <w:spacing w:line="288" w:lineRule="auto"/>
        <w:rPr>
          <w:noProof/>
          <w:szCs w:val="24"/>
        </w:rPr>
      </w:pPr>
      <w:r>
        <w:rPr>
          <w:noProof/>
        </w:rPr>
        <w:t>Vid tidpunkten för utarbetandet av denna rapport hade totalt 372 aktiva handels- och investeringshinder registrerats i databasen över marknadstillträde. Denna siffra visar att partnerskapet för marknadstillträde har varit ett effektivt forum för att identifiera handelshinder, men även att det fortfarande finna många åtgärder som begränsar möjligheterna för EU:s exportörer och importörer. Databasen över marknadstillträde ger möjlighet att göra åtskillnad mellan registrerade handelshinder per tredjeland, typ av åtgärd och sektor. Rapporten följer denna fördelning.</w:t>
      </w:r>
    </w:p>
    <w:p>
      <w:pPr>
        <w:spacing w:line="288" w:lineRule="auto"/>
        <w:rPr>
          <w:noProof/>
          <w:szCs w:val="24"/>
        </w:rPr>
      </w:pPr>
      <w:r>
        <w:rPr>
          <w:noProof/>
        </w:rPr>
        <w:t>1.</w:t>
      </w:r>
      <w:r>
        <w:rPr>
          <w:noProof/>
        </w:rPr>
        <w:tab/>
        <w:t>Fördelning av det totala antalet hinder per tredjeland</w:t>
      </w:r>
    </w:p>
    <w:p>
      <w:pPr>
        <w:spacing w:line="288" w:lineRule="auto"/>
        <w:rPr>
          <w:noProof/>
          <w:szCs w:val="24"/>
        </w:rPr>
      </w:pPr>
      <w:r>
        <w:rPr>
          <w:noProof/>
        </w:rPr>
        <w:t xml:space="preserve">Tabell 1 visar en grafisk återgivning av den geografiska fördelningen av åtgärderna. </w:t>
      </w:r>
    </w:p>
    <w:p>
      <w:pPr>
        <w:spacing w:line="288" w:lineRule="auto"/>
        <w:rPr>
          <w:noProof/>
        </w:rPr>
      </w:pPr>
      <w:r>
        <w:rPr>
          <w:noProof/>
        </w:rPr>
        <w:t xml:space="preserve">Trots att G20-ledarna återigen upprepade sina utfästelser om att avvisa protektionism vid G20-mötet den 4–5 september 2016 i Hangzhou, är de tio länder som har det högsta antalet handelshinder som fortfarande gäller alla G20-ekonomier. Det största antalet hinder har observerats i Ryssland, som har 33 registrerade åtgärder. Av dessa tillämpades 16 direkt vid gränsen, 14 innanför gränsen och 3 var handelssnedvridande subventioner. Brasilien, Kina och Indien var de länder som hade det näst högsta antalet aktiva hinder, med totalt 23 gällande åtgärder. Dessa åtgärder tillämpades främst innanför gränsen (14 för Brasilien och 12 både för Kina och Indien), men även direkt vid gränsen (9 för </w:t>
      </w:r>
      <w:r>
        <w:rPr>
          <w:noProof/>
        </w:rPr>
        <w:lastRenderedPageBreak/>
        <w:t xml:space="preserve">Brasilien, 10 för Kina och 11 för Indien). För Kina registrerade databasen även en subventionsrelaterad åtgärd. </w:t>
      </w:r>
    </w:p>
    <w:p>
      <w:pPr>
        <w:pStyle w:val="NormalLinespacingMultiple12li"/>
        <w:spacing w:line="288" w:lineRule="auto"/>
        <w:rPr>
          <w:noProof/>
          <w:szCs w:val="20"/>
        </w:rPr>
      </w:pPr>
      <w:r>
        <w:rPr>
          <w:noProof/>
        </w:rPr>
        <w:t xml:space="preserve">Andra tredjeländer med tio eller fler handels- och investeringshinder var Indonesien (17), Sydkorea (17), Argentina (16), Förenta staterna (16), Turkiet (15), Australien (13), Thailand (11), Vietnam (11), Chile (10) och Mexiko (10). </w:t>
      </w:r>
    </w:p>
    <w:p>
      <w:pPr>
        <w:pStyle w:val="NormalLinespacingMultiple12li"/>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sectPr>
      </w:pPr>
    </w:p>
    <w:p>
      <w:pPr>
        <w:pStyle w:val="NormalLinespacingMultiple12li"/>
        <w:rPr>
          <w:noProof/>
        </w:rPr>
      </w:pPr>
      <w:r>
        <w:rPr>
          <w:noProof/>
          <w:lang w:val="en-US" w:eastAsia="en-US" w:bidi="ar-SA"/>
        </w:rPr>
        <w:lastRenderedPageBreak/>
        <w:drawing>
          <wp:inline distT="0" distB="0" distL="0" distR="0">
            <wp:extent cx="9395460" cy="2383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5460" cy="2383495"/>
                    </a:xfrm>
                    <a:prstGeom prst="rect">
                      <a:avLst/>
                    </a:prstGeom>
                    <a:noFill/>
                    <a:ln>
                      <a:noFill/>
                    </a:ln>
                  </pic:spPr>
                </pic:pic>
              </a:graphicData>
            </a:graphic>
          </wp:inline>
        </w:drawing>
      </w:r>
    </w:p>
    <w:p>
      <w:pPr>
        <w:tabs>
          <w:tab w:val="left" w:pos="4921"/>
        </w:tabs>
        <w:jc w:val="left"/>
        <w:rPr>
          <w:b/>
          <w:noProof/>
        </w:rPr>
      </w:pPr>
      <w:r>
        <w:rPr>
          <w:b/>
          <w:noProof/>
        </w:rPr>
        <w:t xml:space="preserve">Tabell 1: Geografisk fördelning av handels- och investeringshinder i databasen över marknadstillträde </w:t>
      </w:r>
      <w:r>
        <w:rPr>
          <w:noProof/>
        </w:rPr>
        <w:t>(* – G20-länder)</w:t>
      </w:r>
      <w:r>
        <w:rPr>
          <w:b/>
          <w:noProof/>
        </w:rPr>
        <w:t xml:space="preserve"> </w:t>
      </w:r>
    </w:p>
    <w:p>
      <w:pPr>
        <w:tabs>
          <w:tab w:val="left" w:pos="4921"/>
        </w:tabs>
        <w:jc w:val="left"/>
        <w:rPr>
          <w:b/>
          <w:noProof/>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588" w:right="1021" w:bottom="1701" w:left="1021" w:header="601" w:footer="1077" w:gutter="0"/>
          <w:cols w:space="720"/>
          <w:titlePg/>
        </w:sectPr>
      </w:pPr>
    </w:p>
    <w:p>
      <w:pPr>
        <w:spacing w:line="288" w:lineRule="auto"/>
        <w:rPr>
          <w:noProof/>
          <w:szCs w:val="24"/>
        </w:rPr>
      </w:pPr>
      <w:r>
        <w:rPr>
          <w:noProof/>
        </w:rPr>
        <w:lastRenderedPageBreak/>
        <w:t>2. Fördelning av det totala antalet hinder per åtgärd</w:t>
      </w:r>
    </w:p>
    <w:p>
      <w:pPr>
        <w:spacing w:line="288" w:lineRule="auto"/>
        <w:rPr>
          <w:noProof/>
          <w:szCs w:val="24"/>
          <w:vertAlign w:val="superscript"/>
        </w:rPr>
      </w:pPr>
      <w:r>
        <w:rPr>
          <w:noProof/>
        </w:rPr>
        <w:t xml:space="preserve">Databasen över marknadstillträde gör det även möjligt att skilja mellan olika typer av hinder. Detta illustreras i tabell 2.  </w:t>
      </w:r>
      <w:r>
        <w:rPr>
          <w:noProof/>
          <w:vertAlign w:val="superscript"/>
        </w:rPr>
        <w:t xml:space="preserve"> </w:t>
      </w:r>
    </w:p>
    <w:p>
      <w:pPr>
        <w:spacing w:line="288" w:lineRule="auto"/>
        <w:rPr>
          <w:noProof/>
          <w:szCs w:val="24"/>
        </w:rPr>
      </w:pPr>
      <w:r>
        <w:rPr>
          <w:noProof/>
          <w:lang w:val="en-US" w:eastAsia="en-US" w:bidi="ar-SA"/>
        </w:rPr>
        <w:drawing>
          <wp:inline distT="0" distB="0" distL="0" distR="0">
            <wp:extent cx="5471795" cy="29028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795" cy="2902892"/>
                    </a:xfrm>
                    <a:prstGeom prst="rect">
                      <a:avLst/>
                    </a:prstGeom>
                    <a:noFill/>
                    <a:ln>
                      <a:noFill/>
                    </a:ln>
                  </pic:spPr>
                </pic:pic>
              </a:graphicData>
            </a:graphic>
          </wp:inline>
        </w:drawing>
      </w:r>
    </w:p>
    <w:p>
      <w:pPr>
        <w:tabs>
          <w:tab w:val="left" w:pos="4921"/>
        </w:tabs>
        <w:jc w:val="left"/>
        <w:rPr>
          <w:b/>
          <w:noProof/>
        </w:rPr>
      </w:pPr>
      <w:r>
        <w:rPr>
          <w:b/>
          <w:noProof/>
        </w:rPr>
        <w:t xml:space="preserve">Tabell 2: Fördelning av handels- och investeringshinder som registrerats i databasen över marknadstillträde per typ  </w:t>
      </w:r>
    </w:p>
    <w:p>
      <w:pPr>
        <w:spacing w:line="288" w:lineRule="auto"/>
        <w:rPr>
          <w:noProof/>
          <w:szCs w:val="24"/>
        </w:rPr>
      </w:pPr>
      <w:r>
        <w:rPr>
          <w:noProof/>
        </w:rPr>
        <w:t xml:space="preserve">Tabellen visar att antalet hinder när det gäller traditionella gränsåtgärder å ena sidan och åtgärder innanför gränsen å andra sidan är lika stort (183 vardera). Åtgärder vid gränsen är restriktioner som direkt påverkar import och export, vanligtvis genom höjning av tullar, volymrestriktioner, sanitära och fytosanitära åtgärder, importlicenser eller direkta handelsförbud. Ryssland (16), Indien (11), Argentina (11), Kina (10) och Turkiet (10) är de länder som oftast har använt sådana hinder. </w:t>
      </w:r>
    </w:p>
    <w:p>
      <w:pPr>
        <w:spacing w:line="288" w:lineRule="auto"/>
        <w:rPr>
          <w:noProof/>
          <w:szCs w:val="24"/>
        </w:rPr>
      </w:pPr>
      <w:r>
        <w:rPr>
          <w:noProof/>
        </w:rPr>
        <w:t xml:space="preserve">Databasen registrerade ett lika högt antal åtgärder innanför gränsen. Dessa åtgärder omfattar restriktioner i fråga om tjänster, investeringar, offentlig upphandling, immateriella rättigheter eller omotiverade tekniska handelshinder. Ryssland, Brasilien (14 vardera), Kina (12) och Indien (12) har det högsta antalet sådana registrerade åtgärder. </w:t>
      </w:r>
    </w:p>
    <w:p>
      <w:pPr>
        <w:spacing w:line="288" w:lineRule="auto"/>
        <w:rPr>
          <w:noProof/>
          <w:szCs w:val="24"/>
        </w:rPr>
      </w:pPr>
      <w:r>
        <w:rPr>
          <w:noProof/>
        </w:rPr>
        <w:t>Den tredje stora kategorin av registrerade handelshinder är handelssnedvridande subventioner. Även om subventioner snarare hanteras via antisubventionsundersökningar valde medlemsstaterna och företagen ändå att rapportera vissa stödordningar (sex) även inom partnerskapet för marknadstillträde, för att lyfta fram de ökande problemen med denna otillbörliga metod. Ryssland står för hälften av de registrerade subventioner som särskilt snedvrider handeln (tre), följt av Kina, Sydkorea och Förenta staterna (en vardera).</w:t>
      </w:r>
    </w:p>
    <w:p>
      <w:pPr>
        <w:spacing w:line="288" w:lineRule="auto"/>
        <w:rPr>
          <w:noProof/>
          <w:szCs w:val="24"/>
        </w:rPr>
      </w:pPr>
    </w:p>
    <w:p>
      <w:pPr>
        <w:spacing w:line="288" w:lineRule="auto"/>
        <w:rPr>
          <w:noProof/>
          <w:szCs w:val="24"/>
        </w:rPr>
      </w:pPr>
    </w:p>
    <w:p>
      <w:pPr>
        <w:pStyle w:val="NormalLinespacingMultiple12li"/>
        <w:spacing w:line="288" w:lineRule="auto"/>
        <w:rPr>
          <w:noProof/>
        </w:rPr>
      </w:pPr>
      <w:r>
        <w:rPr>
          <w:noProof/>
        </w:rPr>
        <w:t>B.</w:t>
      </w:r>
      <w:r>
        <w:rPr>
          <w:noProof/>
        </w:rPr>
        <w:tab/>
        <w:t>RAPPORTERADE HANDELS- OCH INVESTERINGSHINDER 2016</w:t>
      </w:r>
    </w:p>
    <w:p>
      <w:pPr>
        <w:spacing w:line="288" w:lineRule="auto"/>
        <w:rPr>
          <w:noProof/>
          <w:szCs w:val="24"/>
        </w:rPr>
      </w:pPr>
      <w:r>
        <w:rPr>
          <w:noProof/>
        </w:rPr>
        <w:t>Med tanke på att rapporten om hinder för handel och investeringar utarbetas en gång om året utgör den ett utmärkt tillfälle att årligen granska nya hinder och de åtgärder för att undanröja hinder som vidtas inom ramen för partnerskapet för marknadstillträde. Baserat på uppgifterna i databasen över marknadstillträde registrerades 36 nya hinder i 21 tredjeländer</w:t>
      </w:r>
      <w:r>
        <w:rPr>
          <w:rStyle w:val="FootnoteReference"/>
          <w:noProof/>
        </w:rPr>
        <w:footnoteReference w:id="9"/>
      </w:r>
      <w:r>
        <w:rPr>
          <w:noProof/>
        </w:rPr>
        <w:t xml:space="preserve"> under 2016. Antalet nya hinder under 2016 var därför ungefär lika stort som de 39 nya åtgärder som registrerades 2015.</w:t>
      </w:r>
    </w:p>
    <w:p>
      <w:pPr>
        <w:spacing w:line="288" w:lineRule="auto"/>
        <w:rPr>
          <w:noProof/>
          <w:szCs w:val="24"/>
        </w:rPr>
      </w:pPr>
      <w:r>
        <w:rPr>
          <w:noProof/>
        </w:rPr>
        <w:t>1.</w:t>
      </w:r>
      <w:r>
        <w:rPr>
          <w:noProof/>
        </w:rPr>
        <w:tab/>
        <w:t>Fördelning av hinder rapporterade under 2016 per tredjeland</w:t>
      </w:r>
    </w:p>
    <w:p>
      <w:pPr>
        <w:spacing w:line="288" w:lineRule="auto"/>
        <w:rPr>
          <w:noProof/>
          <w:szCs w:val="24"/>
        </w:rPr>
      </w:pPr>
      <w:r>
        <w:rPr>
          <w:noProof/>
        </w:rPr>
        <w:t xml:space="preserve">Den geografiska fördelningen av dessa nya hinder visas i tabell 3. </w:t>
      </w:r>
    </w:p>
    <w:p>
      <w:pPr>
        <w:spacing w:line="288" w:lineRule="auto"/>
        <w:rPr>
          <w:noProof/>
          <w:szCs w:val="24"/>
        </w:rPr>
      </w:pPr>
      <w:r>
        <w:rPr>
          <w:noProof/>
          <w:lang w:val="en-US" w:eastAsia="en-US" w:bidi="ar-SA"/>
        </w:rPr>
        <w:drawing>
          <wp:inline distT="0" distB="0" distL="0" distR="0">
            <wp:extent cx="5471795" cy="287139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1795" cy="2871390"/>
                    </a:xfrm>
                    <a:prstGeom prst="rect">
                      <a:avLst/>
                    </a:prstGeom>
                    <a:noFill/>
                    <a:ln>
                      <a:noFill/>
                    </a:ln>
                  </pic:spPr>
                </pic:pic>
              </a:graphicData>
            </a:graphic>
          </wp:inline>
        </w:drawing>
      </w:r>
      <w:r>
        <w:rPr>
          <w:noProof/>
        </w:rPr>
        <w:t xml:space="preserve"> </w:t>
      </w:r>
    </w:p>
    <w:p>
      <w:pPr>
        <w:tabs>
          <w:tab w:val="left" w:pos="4921"/>
        </w:tabs>
        <w:jc w:val="left"/>
        <w:rPr>
          <w:b/>
          <w:noProof/>
        </w:rPr>
      </w:pPr>
      <w:r>
        <w:rPr>
          <w:b/>
          <w:noProof/>
        </w:rPr>
        <w:t xml:space="preserve">Tabell 3: Geografisk fördelning av handels- och investeringshinder som rapporterats 2016 </w:t>
      </w:r>
      <w:r>
        <w:rPr>
          <w:noProof/>
        </w:rPr>
        <w:t>(* – G20-länder)</w:t>
      </w:r>
      <w:r>
        <w:rPr>
          <w:b/>
          <w:noProof/>
        </w:rPr>
        <w:t xml:space="preserve"> </w:t>
      </w:r>
    </w:p>
    <w:p>
      <w:pPr>
        <w:tabs>
          <w:tab w:val="left" w:pos="4921"/>
        </w:tabs>
        <w:spacing w:line="288" w:lineRule="auto"/>
        <w:rPr>
          <w:noProof/>
        </w:rPr>
      </w:pPr>
      <w:r>
        <w:rPr>
          <w:noProof/>
        </w:rPr>
        <w:t xml:space="preserve">Den högsta förekomsten av nya hinder 2016 rapporterades i handels- och investeringsförbindelserna med Ryssland (sex) och Indien (fem), vilket bekräftar de protektionistiska trender som redan konstaterades i förra årets rapport om hinder för handel och investeringar. Schweiz använde också tre nya hinder, medan två nya hinder rapporterades i Algeriet, Kina, Egypten och Turkiet. De återstående 14 hindren registrerades för andra enskilda tredjeländer.  </w:t>
      </w:r>
    </w:p>
    <w:p>
      <w:pPr>
        <w:pageBreakBefore/>
        <w:spacing w:line="288" w:lineRule="auto"/>
        <w:rPr>
          <w:noProof/>
          <w:szCs w:val="24"/>
        </w:rPr>
      </w:pPr>
      <w:r>
        <w:rPr>
          <w:noProof/>
        </w:rPr>
        <w:lastRenderedPageBreak/>
        <w:t>2.</w:t>
      </w:r>
      <w:r>
        <w:rPr>
          <w:noProof/>
        </w:rPr>
        <w:tab/>
        <w:t>Fördelning av hinder rapporterade under 2016 per typ av åtgärd</w:t>
      </w:r>
    </w:p>
    <w:p>
      <w:pPr>
        <w:tabs>
          <w:tab w:val="left" w:pos="4921"/>
        </w:tabs>
        <w:spacing w:line="288" w:lineRule="auto"/>
        <w:rPr>
          <w:noProof/>
        </w:rPr>
      </w:pPr>
      <w:r>
        <w:rPr>
          <w:noProof/>
        </w:rPr>
        <w:t xml:space="preserve">I tabell 4 ges en översikt över de tre huvudsakliga åtgärdstyper som registrerades under 2016.  </w:t>
      </w:r>
    </w:p>
    <w:p>
      <w:pPr>
        <w:spacing w:line="288" w:lineRule="auto"/>
        <w:rPr>
          <w:noProof/>
          <w:szCs w:val="24"/>
        </w:rPr>
      </w:pPr>
      <w:r>
        <w:rPr>
          <w:noProof/>
          <w:lang w:val="en-US" w:eastAsia="en-US" w:bidi="ar-SA"/>
        </w:rPr>
        <w:drawing>
          <wp:inline distT="0" distB="0" distL="0" distR="0">
            <wp:extent cx="5471795" cy="2596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1795" cy="2596989"/>
                    </a:xfrm>
                    <a:prstGeom prst="rect">
                      <a:avLst/>
                    </a:prstGeom>
                    <a:noFill/>
                    <a:ln>
                      <a:noFill/>
                    </a:ln>
                  </pic:spPr>
                </pic:pic>
              </a:graphicData>
            </a:graphic>
          </wp:inline>
        </w:drawing>
      </w:r>
    </w:p>
    <w:p>
      <w:pPr>
        <w:tabs>
          <w:tab w:val="left" w:pos="4921"/>
        </w:tabs>
        <w:jc w:val="left"/>
        <w:rPr>
          <w:b/>
          <w:noProof/>
        </w:rPr>
      </w:pPr>
      <w:r>
        <w:rPr>
          <w:b/>
          <w:noProof/>
        </w:rPr>
        <w:t xml:space="preserve">Tabell 4: Fördelning per typ av handels- och investeringshinder rapporterade 2016 </w:t>
      </w:r>
    </w:p>
    <w:p>
      <w:pPr>
        <w:spacing w:line="288" w:lineRule="auto"/>
        <w:rPr>
          <w:noProof/>
          <w:szCs w:val="24"/>
        </w:rPr>
      </w:pPr>
      <w:r>
        <w:rPr>
          <w:noProof/>
        </w:rPr>
        <w:t xml:space="preserve">De flesta åtgärder som registrerades 2016 är åtgärder innanför gränsen (20), vilket visar att man alltmer tar till interna åtgärder som påverkar EU:s export eller investeringar, åtgärder som ofta är svårare att uppfatta och hantera. De flesta av de registrerade restriktionerna infördes på området handel med varor, och utgjordes bland annat av omotiverade rättsliga hinder, interna skatteåtgärder och immateriella rättigheter (17). Dessutom registrerades några nya hinder för handel med tjänster (två) och investeringar (ett).   </w:t>
      </w:r>
    </w:p>
    <w:p>
      <w:pPr>
        <w:spacing w:line="288" w:lineRule="auto"/>
        <w:rPr>
          <w:noProof/>
          <w:szCs w:val="24"/>
        </w:rPr>
      </w:pPr>
      <w:r>
        <w:rPr>
          <w:noProof/>
        </w:rPr>
        <w:t xml:space="preserve">Antalet nya åtgärder innanför gränsen var således större än de traditionella handelshinder som EU-exportörer möter vid tullen, men antalet nya åtgärder vid gränsen var också betydande (13). De flesta av dessa restriktioner hindrade import till tredjeländer genom höjda tullar och kvoter eller genom förbud och betungande licenssystem (åtta). Dessutom uppkom ett betydande antal nya sanitära och fytosanitära åtgärder (fyra). Antalet nya exportrestriktioner som registrerats av EU:s handelspartner var mer begränsat under 2016 (en). </w:t>
      </w:r>
    </w:p>
    <w:p>
      <w:pPr>
        <w:spacing w:line="288" w:lineRule="auto"/>
        <w:rPr>
          <w:noProof/>
          <w:szCs w:val="24"/>
        </w:rPr>
      </w:pPr>
      <w:r>
        <w:rPr>
          <w:noProof/>
        </w:rPr>
        <w:t xml:space="preserve">Förteckningen över rapporterade hinder 2016 innehöll också nya subventionsåtgärder (tre), antingen i form av allmänna subventionssystem (två) eller särskilt kopplade till exportresultat (en).   </w:t>
      </w:r>
    </w:p>
    <w:p>
      <w:pPr>
        <w:spacing w:line="288" w:lineRule="auto"/>
        <w:rPr>
          <w:noProof/>
          <w:szCs w:val="24"/>
        </w:rPr>
      </w:pPr>
      <w:r>
        <w:rPr>
          <w:noProof/>
        </w:rPr>
        <w:t>3.</w:t>
      </w:r>
      <w:r>
        <w:rPr>
          <w:noProof/>
        </w:rPr>
        <w:tab/>
        <w:t>Fördelning av hinder rapporterade under 2016 per sektor</w:t>
      </w:r>
    </w:p>
    <w:p>
      <w:pPr>
        <w:spacing w:line="288" w:lineRule="auto"/>
        <w:rPr>
          <w:noProof/>
          <w:szCs w:val="24"/>
        </w:rPr>
      </w:pPr>
      <w:r>
        <w:rPr>
          <w:noProof/>
        </w:rPr>
        <w:t xml:space="preserve">Tabell 5 visar att antalet nya åtgärder som registrerades 2016 påverkade 13 olika ekonomiska verksamhetssektorer. </w:t>
      </w:r>
    </w:p>
    <w:p>
      <w:pPr>
        <w:spacing w:line="288" w:lineRule="auto"/>
        <w:rPr>
          <w:noProof/>
          <w:szCs w:val="24"/>
        </w:rPr>
      </w:pPr>
      <w:r>
        <w:rPr>
          <w:noProof/>
          <w:lang w:val="en-US" w:eastAsia="en-US" w:bidi="ar-SA"/>
        </w:rPr>
        <w:lastRenderedPageBreak/>
        <w:drawing>
          <wp:inline distT="0" distB="0" distL="0" distR="0">
            <wp:extent cx="5471795" cy="32086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1795" cy="3208673"/>
                    </a:xfrm>
                    <a:prstGeom prst="rect">
                      <a:avLst/>
                    </a:prstGeom>
                    <a:noFill/>
                    <a:ln>
                      <a:noFill/>
                    </a:ln>
                  </pic:spPr>
                </pic:pic>
              </a:graphicData>
            </a:graphic>
          </wp:inline>
        </w:drawing>
      </w:r>
    </w:p>
    <w:p>
      <w:pPr>
        <w:tabs>
          <w:tab w:val="left" w:pos="4921"/>
        </w:tabs>
        <w:jc w:val="left"/>
        <w:rPr>
          <w:b/>
          <w:noProof/>
        </w:rPr>
      </w:pPr>
      <w:r>
        <w:rPr>
          <w:b/>
          <w:noProof/>
        </w:rPr>
        <w:t xml:space="preserve">Tabell 5: Sektorsvis fördelning av handels- och investeringshinder som rapporterats 2016 </w:t>
      </w:r>
    </w:p>
    <w:p>
      <w:pPr>
        <w:spacing w:line="288" w:lineRule="auto"/>
        <w:rPr>
          <w:noProof/>
          <w:szCs w:val="24"/>
        </w:rPr>
      </w:pPr>
      <w:r>
        <w:rPr>
          <w:noProof/>
        </w:rPr>
        <w:t xml:space="preserve">Det största antalet nya rapporterade hinder registrerades för vin- och spritsektorn (sju), följt av jordbruks- och fiskesektorn (sex). Två nya hinder registrerades inom var och en av sektorerna fordon, läkemedel, tjänster, medicintekniska produkter, leksaker samt järn, stål och icke järnhaltiga metaller. Enskilda hinder rapporterades även inom bygg- och anläggningssektorn, möbelsektorn, IKT-sektorn, varvssektorn och textilsektorn (ett var). Slutligen rapporterades även sex övergripande hinder som påverkade flera sektorer. </w:t>
      </w:r>
    </w:p>
    <w:p>
      <w:pPr>
        <w:spacing w:line="288" w:lineRule="auto"/>
        <w:rPr>
          <w:noProof/>
          <w:szCs w:val="24"/>
        </w:rPr>
      </w:pPr>
    </w:p>
    <w:p>
      <w:pPr>
        <w:pStyle w:val="NormalLinespacingMultiple12li"/>
        <w:spacing w:line="288" w:lineRule="auto"/>
        <w:ind w:left="426" w:hanging="426"/>
        <w:rPr>
          <w:b/>
          <w:noProof/>
        </w:rPr>
      </w:pPr>
      <w:r>
        <w:rPr>
          <w:b/>
          <w:noProof/>
        </w:rPr>
        <w:t>II.</w:t>
      </w:r>
      <w:r>
        <w:rPr>
          <w:noProof/>
        </w:rPr>
        <w:tab/>
      </w:r>
      <w:r>
        <w:rPr>
          <w:noProof/>
        </w:rPr>
        <w:tab/>
      </w:r>
      <w:r>
        <w:rPr>
          <w:b/>
          <w:noProof/>
        </w:rPr>
        <w:t xml:space="preserve">STÖRRE HANDELS- OCH INVESTERINGSHINDER SOM RAPPORTERATS 2016 </w:t>
      </w:r>
    </w:p>
    <w:p>
      <w:pPr>
        <w:spacing w:line="288" w:lineRule="auto"/>
        <w:rPr>
          <w:noProof/>
          <w:szCs w:val="24"/>
        </w:rPr>
      </w:pPr>
      <w:r>
        <w:rPr>
          <w:noProof/>
        </w:rPr>
        <w:t xml:space="preserve">Detta kapitel innehåller en djupare analys av nya hinder hos de sju handelspartner för vilka flera nya hinder registrerades under 2016: Ryssland, Indien, Schweiz, Kina, Algeriet, Egypten och Turkiet. Analysen omfattar även en uppskattning av potentiellt påverkade handelsflöden. </w:t>
      </w:r>
    </w:p>
    <w:p>
      <w:pPr>
        <w:spacing w:line="288" w:lineRule="auto"/>
        <w:rPr>
          <w:noProof/>
        </w:rPr>
      </w:pPr>
      <w:r>
        <w:rPr>
          <w:noProof/>
        </w:rPr>
        <w:t>A.</w:t>
      </w:r>
      <w:r>
        <w:rPr>
          <w:noProof/>
        </w:rPr>
        <w:tab/>
        <w:t xml:space="preserve">KVALITATIV ANALYS AV NYA HINDER </w:t>
      </w:r>
    </w:p>
    <w:p>
      <w:pPr>
        <w:spacing w:line="288" w:lineRule="auto"/>
        <w:rPr>
          <w:noProof/>
        </w:rPr>
      </w:pPr>
      <w:r>
        <w:rPr>
          <w:noProof/>
        </w:rPr>
        <w:t>1.</w:t>
      </w:r>
      <w:r>
        <w:rPr>
          <w:noProof/>
        </w:rPr>
        <w:tab/>
        <w:t>Ryssland</w:t>
      </w:r>
    </w:p>
    <w:p>
      <w:pPr>
        <w:spacing w:line="288" w:lineRule="auto"/>
        <w:rPr>
          <w:noProof/>
        </w:rPr>
      </w:pPr>
      <w:r>
        <w:rPr>
          <w:noProof/>
        </w:rPr>
        <w:t xml:space="preserve">Mitt i en omfattande ekonomisk kris i landet fortsatte Ryssland att använda handelshinder under 2016 för att skydda sin lokala industri, vilket bekräftar de trender som observerats i tidigare rapporter. Ryssland registrerade det högsta antalet nya hinder 2016 (sex) , vilket ökade antalet befintliga åtgärder för landet till 33, och även var den högsta totalsiffran någonsin för landet. </w:t>
      </w:r>
    </w:p>
    <w:p>
      <w:pPr>
        <w:spacing w:line="288" w:lineRule="auto"/>
        <w:rPr>
          <w:noProof/>
        </w:rPr>
      </w:pPr>
      <w:r>
        <w:rPr>
          <w:i/>
          <w:noProof/>
        </w:rPr>
        <w:lastRenderedPageBreak/>
        <w:t>Handelssnedvridande subventioner</w:t>
      </w:r>
      <w:r>
        <w:rPr>
          <w:noProof/>
        </w:rPr>
        <w:t xml:space="preserve"> hörde till de största hindren som rapporterades för Ryssland, och två nya sådana åtgärder registrerades 2016. En av de nya subventionsåtgärderna inriktades på att främja ryska industrianläggningars produktion inom fordonssektorn och sektorn för jordbruksmaskiner efter en betydande nedgång i den lokala efterfrågan. I detta sammanhang utfärdade regeringen två dekret om beviljande av exportsubventioner från den federala budgeten till företag inom dessa sektorer som är verksamma i Ryssland.</w:t>
      </w:r>
    </w:p>
    <w:p>
      <w:pPr>
        <w:spacing w:line="288" w:lineRule="auto"/>
        <w:rPr>
          <w:noProof/>
        </w:rPr>
      </w:pPr>
      <w:r>
        <w:rPr>
          <w:noProof/>
        </w:rPr>
        <w:t>Regeringen införde även särskilda restriktioner för utländska företags deltagande i investeringsprojekt som genomförs av statsägda företag eller av privata företag som subventioneras av staten. Inom ramen för denna åtgärd införde Ryssland dessutom en prispreferens på 15 % för ryska företag som deltar i upphandlingar som anordnas av statsägda företag.</w:t>
      </w:r>
    </w:p>
    <w:p>
      <w:pPr>
        <w:spacing w:line="288" w:lineRule="auto"/>
        <w:rPr>
          <w:noProof/>
        </w:rPr>
      </w:pPr>
      <w:r>
        <w:rPr>
          <w:noProof/>
        </w:rPr>
        <w:t xml:space="preserve">Ryssland införde också två nya certifieringsrelaterade hinder inom cement- och läkemedelssektorerna, i syfte att skydda lokal tillverkning och främja ytterligare produktionslokalisering. För </w:t>
      </w:r>
      <w:r>
        <w:rPr>
          <w:i/>
          <w:noProof/>
        </w:rPr>
        <w:t>cement</w:t>
      </w:r>
      <w:r>
        <w:rPr>
          <w:noProof/>
        </w:rPr>
        <w:t xml:space="preserve"> införde landet obligatoriska certifieringskrav och utfärdar inte certifikat för importerande företag (utom för vit cement), vilket har stoppat EU:s cementsexport till Ryssland sedan mars 2016. Ryssland har även infört certifieringskrav i fråga om ”god tillverkningspraxis” för marknadsföring och förnyelse av marknadsföringstillstånd för </w:t>
      </w:r>
      <w:r>
        <w:rPr>
          <w:i/>
          <w:noProof/>
        </w:rPr>
        <w:t>läkemedel</w:t>
      </w:r>
      <w:r>
        <w:rPr>
          <w:noProof/>
        </w:rPr>
        <w:t>, utan att säkerställa att det finns tillräcklig kapacitet för att genomföra dessa förfaranden i Ryssland, vilket skapat onödiga förseningar för EU:s läkemedelsindustri.</w:t>
      </w:r>
    </w:p>
    <w:p>
      <w:pPr>
        <w:spacing w:line="288" w:lineRule="auto"/>
        <w:rPr>
          <w:noProof/>
        </w:rPr>
      </w:pPr>
      <w:r>
        <w:rPr>
          <w:noProof/>
        </w:rPr>
        <w:t xml:space="preserve">Ryssland har (tillsammans med Kazakstan) även anmält ett utkast till ändring av Eurasiska ekonomiska unionens säkerhetslagstiftning för </w:t>
      </w:r>
      <w:r>
        <w:rPr>
          <w:i/>
          <w:noProof/>
        </w:rPr>
        <w:t>leksaker</w:t>
      </w:r>
      <w:r>
        <w:rPr>
          <w:noProof/>
        </w:rPr>
        <w:t xml:space="preserve"> och planerar att införa krav på psykologisk och utbildningsrelaterad säkerhet, vilket aldrig har ingått i internationell praxis och inte förefaller ha något samband med de aktuella målen för leksakers säkerhet. </w:t>
      </w:r>
    </w:p>
    <w:p>
      <w:pPr>
        <w:spacing w:line="288" w:lineRule="auto"/>
        <w:rPr>
          <w:noProof/>
        </w:rPr>
      </w:pPr>
      <w:r>
        <w:rPr>
          <w:noProof/>
        </w:rPr>
        <w:t xml:space="preserve">Slutligen har Ryssland infört en omfattande gränsåtgärd i form av ett </w:t>
      </w:r>
      <w:r>
        <w:rPr>
          <w:i/>
          <w:noProof/>
        </w:rPr>
        <w:t>transitförbud</w:t>
      </w:r>
      <w:r>
        <w:rPr>
          <w:noProof/>
        </w:rPr>
        <w:t xml:space="preserve"> för transportörer via väg och järnväg från Ukrainas territorium till Kazakstans och Kirgizistans territorier via Ryssland, oavsett ursprung (dvs. inklusive EU). Denna restriktion har lett till betydligt ökade transportkostnader för vissa EU-exportörer. </w:t>
      </w:r>
    </w:p>
    <w:p>
      <w:pPr>
        <w:spacing w:line="288" w:lineRule="auto"/>
        <w:rPr>
          <w:noProof/>
        </w:rPr>
      </w:pPr>
      <w:r>
        <w:rPr>
          <w:noProof/>
        </w:rPr>
        <w:t>Det är viktigt att notera att Ryssland även utökade sina långvariga restriktioner för utländska företags deltagande i offentliga upphandlingar till två ytterligare sektorer (livsmedel och radioelektroniska produkter). I denna rapport anses dessa problem inte utgöra nya hinder, utan snarare nya aspekter på långvariga restriktioner för offentlig upphandling, som redan omfattar en lång lista med produkter (textilier, medicintekniska produkter, importerade fordon, import av lätta industriprodukter, maskiner och utrustning, läkemedel samt programvara).</w:t>
      </w:r>
    </w:p>
    <w:p>
      <w:pPr>
        <w:spacing w:line="288" w:lineRule="auto"/>
        <w:rPr>
          <w:noProof/>
        </w:rPr>
      </w:pPr>
      <w:r>
        <w:rPr>
          <w:noProof/>
        </w:rPr>
        <w:t xml:space="preserve">Kommissionen har tagit upp alla nya och befintliga hinder med Ryssland i alla tillgängliga forum, även vid WTO:s handelspolitiska granskning av Ryssland 2016, i </w:t>
      </w:r>
      <w:r>
        <w:rPr>
          <w:noProof/>
        </w:rPr>
        <w:lastRenderedPageBreak/>
        <w:t xml:space="preserve">relevanta WTO-kommittéer samt via bilaterala möten och skrivelser. I de fall Rysslands politiska åtgärder innebar att landet överträdde sina WTO-åtaganden använde EU sig även av WTO:s tvistlösningssystem. Under 2016 avgjorde WTO-paneler till EU:s fördel med avseende på EU:s export av svinköttprodukter (bekräftat av Permanenta överprövningsorganet den 23 februari 2017) och i fråga om Rysslands överdrivet höga tullar för vissa jordbruksprodukter och bearbetade produkter (tidsfristen för Rysslands anpassning till WTO-beslutet hade inte löpt ut vid tidpunkten för utarbetandet av denna rapport).  </w:t>
      </w:r>
    </w:p>
    <w:p>
      <w:pPr>
        <w:spacing w:line="288" w:lineRule="auto"/>
        <w:rPr>
          <w:noProof/>
          <w:szCs w:val="24"/>
        </w:rPr>
      </w:pPr>
      <w:r>
        <w:rPr>
          <w:noProof/>
        </w:rPr>
        <w:t xml:space="preserve">2. </w:t>
      </w:r>
      <w:r>
        <w:rPr>
          <w:noProof/>
        </w:rPr>
        <w:tab/>
        <w:t>Indien</w:t>
      </w:r>
    </w:p>
    <w:p>
      <w:pPr>
        <w:spacing w:line="288" w:lineRule="auto"/>
        <w:rPr>
          <w:noProof/>
          <w:szCs w:val="24"/>
        </w:rPr>
      </w:pPr>
      <w:r>
        <w:rPr>
          <w:noProof/>
        </w:rPr>
        <w:t>Indien införde fem nya hinder 2016, vilket innebär att det totala antalet hinder uppgår till 23 och bekräftar de protektionistiska trender som konstaterades i förra årets rapport om hinder för handel och investeringar. De flesta av de nya restriktioner som infördes bestod av åtgärder innanför gränsen (fyra), som inriktades på ett stort antal sektorer, t.ex. stål, medicintekniska produkter, textiler samt vin och spritdrycker.</w:t>
      </w:r>
    </w:p>
    <w:p>
      <w:pPr>
        <w:spacing w:line="288" w:lineRule="auto"/>
        <w:rPr>
          <w:noProof/>
          <w:szCs w:val="24"/>
        </w:rPr>
      </w:pPr>
      <w:r>
        <w:rPr>
          <w:noProof/>
        </w:rPr>
        <w:t xml:space="preserve">När det gäller </w:t>
      </w:r>
      <w:r>
        <w:rPr>
          <w:i/>
          <w:noProof/>
        </w:rPr>
        <w:t>stålsektorn</w:t>
      </w:r>
      <w:r>
        <w:rPr>
          <w:noProof/>
        </w:rPr>
        <w:t xml:space="preserve"> införde Indien lägsta importpriser, som inledningsvis infördes i februari 2016 för 173 stålprodukter. Åtgärden förlängdes senast med två månader i december 2016 för 19 stålprodukter</w:t>
      </w:r>
      <w:r>
        <w:rPr>
          <w:rStyle w:val="FootnoteReference"/>
          <w:noProof/>
        </w:rPr>
        <w:footnoteReference w:id="10"/>
      </w:r>
      <w:r>
        <w:rPr>
          <w:noProof/>
        </w:rPr>
        <w:t>. Förteckningen över produkter som omfattas av den indiska standardiseringsbyråns (BIS) obligatoriska certifieringssystem utökades i juni 2016 till att omfatta ytterligare tre produkter av rostfritt stål, förutom de 35 stålprodukter som anges i lagen om kvalitetskontroll från 2012.</w:t>
      </w:r>
    </w:p>
    <w:p>
      <w:pPr>
        <w:spacing w:line="288" w:lineRule="auto"/>
        <w:rPr>
          <w:noProof/>
          <w:szCs w:val="24"/>
        </w:rPr>
      </w:pPr>
      <w:r>
        <w:rPr>
          <w:i/>
          <w:noProof/>
        </w:rPr>
        <w:t>Medicintekniska produkter</w:t>
      </w:r>
      <w:r>
        <w:rPr>
          <w:noProof/>
        </w:rPr>
        <w:t xml:space="preserve"> regleras fortfarande som ”läkemedel” enligt Indiens lag och regler för läkemedel och kosmetika, vilket i onödan leder till strängare krav. I detta sammanhang är export av ”renoverade” medicintekniska produkter (dvs. produkter som har omarbetats fullständigt och därför inte kan anses utgöra andrahandsutrustning) förbjuden, vilket begränsar EU-tillverkarnas exportmöjligheter. </w:t>
      </w:r>
    </w:p>
    <w:p>
      <w:pPr>
        <w:spacing w:line="288" w:lineRule="auto"/>
        <w:rPr>
          <w:b/>
          <w:noProof/>
        </w:rPr>
      </w:pPr>
      <w:r>
        <w:rPr>
          <w:noProof/>
        </w:rPr>
        <w:t xml:space="preserve">I fråga om </w:t>
      </w:r>
      <w:r>
        <w:rPr>
          <w:i/>
          <w:noProof/>
        </w:rPr>
        <w:t>textilier</w:t>
      </w:r>
      <w:r>
        <w:rPr>
          <w:noProof/>
        </w:rPr>
        <w:t xml:space="preserve"> har tilläggstullarna på det högsta återförsäljningspriset för vissa artiklar fördubblats (från 30 % till 60 %). I kombination med relaterade landningsavgifter innebär denna ökning en tung börda för EU:s beklädnadsindustri. </w:t>
      </w:r>
    </w:p>
    <w:p>
      <w:pPr>
        <w:spacing w:line="288" w:lineRule="auto"/>
        <w:rPr>
          <w:noProof/>
          <w:szCs w:val="24"/>
        </w:rPr>
      </w:pPr>
      <w:r>
        <w:rPr>
          <w:noProof/>
        </w:rPr>
        <w:t xml:space="preserve">Affärsmöjligheterna i Indiens </w:t>
      </w:r>
      <w:r>
        <w:rPr>
          <w:i/>
          <w:noProof/>
        </w:rPr>
        <w:t>vin- och spritsektor</w:t>
      </w:r>
      <w:r>
        <w:rPr>
          <w:noProof/>
        </w:rPr>
        <w:t xml:space="preserve"> påverkas dessutom av omotiverade lagstiftningsmässiga skillnader jämfört med internationella standarder för märkningskrav och av interna beskattningsåtgärder. </w:t>
      </w:r>
    </w:p>
    <w:p>
      <w:pPr>
        <w:spacing w:line="288" w:lineRule="auto"/>
        <w:rPr>
          <w:noProof/>
          <w:szCs w:val="24"/>
        </w:rPr>
      </w:pPr>
      <w:r>
        <w:rPr>
          <w:noProof/>
        </w:rPr>
        <w:t xml:space="preserve">Utvecklingen i fråga om export av </w:t>
      </w:r>
      <w:r>
        <w:rPr>
          <w:i/>
          <w:noProof/>
        </w:rPr>
        <w:t>telekommunikationsutrustning</w:t>
      </w:r>
      <w:r>
        <w:rPr>
          <w:noProof/>
        </w:rPr>
        <w:t xml:space="preserve"> var delvis positiv 2016, men andra betungande krav finns fortfarande kvar, t.ex. kravet att återexportera använda elektriska och elektroniska enheter vid reparation, provning, forskning och utveckling </w:t>
      </w:r>
      <w:r>
        <w:rPr>
          <w:noProof/>
        </w:rPr>
        <w:lastRenderedPageBreak/>
        <w:t xml:space="preserve">eller projektarbete. Detta leder till förseningar av importen, som har en negativ inverkan både på reparation av telekomnät och potentiella forskningssamarbetsprojekt. </w:t>
      </w:r>
    </w:p>
    <w:p>
      <w:pPr>
        <w:spacing w:line="288" w:lineRule="auto"/>
        <w:rPr>
          <w:noProof/>
        </w:rPr>
      </w:pPr>
      <w:r>
        <w:rPr>
          <w:noProof/>
        </w:rPr>
        <w:t>Förhandlingarna om ett brett upplagt frihandelsavtal med Indien strandade definitivt under sommaren 2013 på grund av olika ambitionsnivåer och förväntningar, men kommissionen tar regelbundet upp dessa frågor med de indiska myndigheterna i alla tillgängliga multilaterala och bilaterala forum, t.ex. WTO:s kommitté för tekniska handelshinder (TBT) eller EU–Indiens arbetsgrupper och underkommittén om handel.</w:t>
      </w:r>
    </w:p>
    <w:p>
      <w:pPr>
        <w:spacing w:line="288" w:lineRule="auto"/>
        <w:rPr>
          <w:noProof/>
        </w:rPr>
      </w:pPr>
      <w:r>
        <w:rPr>
          <w:noProof/>
        </w:rPr>
        <w:t>3.</w:t>
      </w:r>
      <w:r>
        <w:rPr>
          <w:noProof/>
        </w:rPr>
        <w:tab/>
        <w:t>Schweiz</w:t>
      </w:r>
    </w:p>
    <w:p>
      <w:pPr>
        <w:spacing w:line="288" w:lineRule="auto"/>
        <w:rPr>
          <w:noProof/>
        </w:rPr>
      </w:pPr>
      <w:r>
        <w:rPr>
          <w:noProof/>
        </w:rPr>
        <w:t xml:space="preserve">Tre nya hinder för Schweiz togs upp inom partnerskapet för marknadstillträde under 2016, vilket innebär att det totala antalet registrerade hinder uppgår till sju. Två av de nya restriktionerna rör </w:t>
      </w:r>
      <w:r>
        <w:rPr>
          <w:i/>
          <w:noProof/>
        </w:rPr>
        <w:t>tjänstesektorn</w:t>
      </w:r>
      <w:r>
        <w:rPr>
          <w:noProof/>
        </w:rPr>
        <w:t>. Tidigare har EU-företag som tillhandahåller tjänster varit tvungna att registrera sig för mervärdesskatt i Schweiz om deras årsomsättning i landet nådde en viss gräns. Enligt ett nytt lagstiftningsförslag 2016 skulle referensen ändras från omsättning i Schweiz till omsättning i världen totalt. Till följd av detta skulle de flesta EU-företag som tillhandahåller gränsöverskridande tjänster i Schweiz vara skyldiga att registrera sig för och betala mervärdesskatt i landet. EU-baserade företag skulle dessutom behöva ha ett skatteombud i Schweiz, vilket skapar ytterligare kostnader. Reglerna för lågvärdessändningar, som är befriade från mervärdesskatt, kommer också att ändras, vilket innebär att lågvärdesimport (särskilt via e-handel) blir mindre attraktiv.</w:t>
      </w:r>
    </w:p>
    <w:p>
      <w:pPr>
        <w:spacing w:line="288" w:lineRule="auto"/>
        <w:rPr>
          <w:noProof/>
        </w:rPr>
      </w:pPr>
      <w:r>
        <w:rPr>
          <w:noProof/>
        </w:rPr>
        <w:t xml:space="preserve">Enligt ett nytt registreringskrav för hantverkare som införts i kantonen Ticino ska dessutom hantverkare inom ett antal yrken (t.ex. snickare, målare och trädgårdsmästare) registrera sig på grundval av yrkesmässiga krav (t.ex. examen och minimiantal år av praktisk erfarenhet) och personliga krav (t.ex. inga uppgifter i straffregistret). Sökande måste bevisa att de uppfyller dessa krav, för utlänningar genom styrkta intyg från de behöriga myndigheterna. Detta har en negativ inverkan på möjligheterna för hantverkare från EU att tillhandahålla sådana tjänster. </w:t>
      </w:r>
    </w:p>
    <w:p>
      <w:pPr>
        <w:spacing w:line="288" w:lineRule="auto"/>
        <w:rPr>
          <w:noProof/>
        </w:rPr>
      </w:pPr>
      <w:r>
        <w:rPr>
          <w:noProof/>
        </w:rPr>
        <w:t xml:space="preserve">Schweiz införde också en gränsåtgärd genom att omklassificera tullarna för </w:t>
      </w:r>
      <w:r>
        <w:rPr>
          <w:i/>
          <w:noProof/>
        </w:rPr>
        <w:t>kryddat kött</w:t>
      </w:r>
      <w:r>
        <w:rPr>
          <w:noProof/>
        </w:rPr>
        <w:t xml:space="preserve">, vilket ledde till betydande höjningar av dessa tullar. Visserligen har man sedan dess beslutat att sänka tullen för kryddat kött som ”importeras för framställning av torkat kött”, men importörerna måste ändå på begäran kunna visa att köttet har importerats för detta ändamål. Till följd av detta kommer en del av EU:s export fortfarande att vara föremål för de högre tullarna. </w:t>
      </w:r>
    </w:p>
    <w:p>
      <w:pPr>
        <w:spacing w:line="288" w:lineRule="auto"/>
        <w:rPr>
          <w:noProof/>
        </w:rPr>
      </w:pPr>
      <w:r>
        <w:rPr>
          <w:noProof/>
        </w:rPr>
        <w:t>EU har tagit upp dessa hinder med Schweiz både lokalt på expertnivå tillsammans med gruppen för marknadstillträde samt mer formellt inom ramen för de relevanta gemensamma kommittémötena om tullar, fri rörlighet för personer och jordbruk.</w:t>
      </w:r>
    </w:p>
    <w:p>
      <w:pPr>
        <w:pageBreakBefore/>
        <w:spacing w:line="288" w:lineRule="auto"/>
        <w:rPr>
          <w:noProof/>
        </w:rPr>
      </w:pPr>
      <w:r>
        <w:rPr>
          <w:noProof/>
        </w:rPr>
        <w:lastRenderedPageBreak/>
        <w:t>4.</w:t>
      </w:r>
      <w:r>
        <w:rPr>
          <w:noProof/>
        </w:rPr>
        <w:tab/>
        <w:t>Kina</w:t>
      </w:r>
    </w:p>
    <w:p>
      <w:pPr>
        <w:spacing w:line="288" w:lineRule="auto"/>
        <w:rPr>
          <w:noProof/>
        </w:rPr>
      </w:pPr>
      <w:r>
        <w:rPr>
          <w:noProof/>
        </w:rPr>
        <w:t xml:space="preserve">Såsom betonas i tidigare rapporter om hinder för handel och investeringar är Kina en av EU:s mest handelsbegränsande partner. EU-företag möter många långvariga hinder i Kina, bland annat krav på gemensamma företag, begränsningar av marknadstillträdet, krav på tekniköverföring och omotiverade tekniska föreskrifter. Kinas produktion förblir också den centrala faktorn för den befintliga och ökande globala överkapaciteten inom stålsektorn och ett antal andra sektorer, inte bara inom de traditionella energiintensiva sektorerna, utan även alltmer inom högteknologiska industrier. Kinas överkapacitet överskrider i vissa fall hela EU:s produktion eller den totala EU-marknaden. Detta utgör en risk för dumpning till illojala priser, vilket i sin tur skapar allvarliga marknadsstörningar i EU.  </w:t>
      </w:r>
    </w:p>
    <w:p>
      <w:pPr>
        <w:spacing w:line="288" w:lineRule="auto"/>
        <w:rPr>
          <w:noProof/>
        </w:rPr>
      </w:pPr>
      <w:r>
        <w:rPr>
          <w:noProof/>
        </w:rPr>
        <w:t>Under 2016 rapporterades två nya hinder (båda var lagstiftningsåtgärder innanför gränsen) till partnerskapet för marknadstillträde, inom möbelsektorn respektive sektorn för medicintekniska produkter.</w:t>
      </w:r>
    </w:p>
    <w:p>
      <w:pPr>
        <w:spacing w:line="288" w:lineRule="auto"/>
        <w:rPr>
          <w:noProof/>
        </w:rPr>
      </w:pPr>
      <w:r>
        <w:rPr>
          <w:noProof/>
        </w:rPr>
        <w:t xml:space="preserve">Vad gäller </w:t>
      </w:r>
      <w:r>
        <w:rPr>
          <w:i/>
          <w:noProof/>
        </w:rPr>
        <w:t>möbler</w:t>
      </w:r>
      <w:r>
        <w:rPr>
          <w:noProof/>
        </w:rPr>
        <w:t xml:space="preserve"> infördes begränsningar för halten av vissa flyktiga organiska föreningar som inte överensstämmer med internationella standarder, vilket medför en allvarlig risk för att EU-företag inte kan sälja sina produkter i Kina. Kommissionen tog upp dessa åtgärder i sitt svar på de relevanta TBT-anmälningarna och vid flera andra tillfällen i WTO:s kommitté för tekniska handelshinder samt vid bilaterala möten i EU–Kina-kommittén.</w:t>
      </w:r>
    </w:p>
    <w:p>
      <w:pPr>
        <w:spacing w:line="288" w:lineRule="auto"/>
        <w:rPr>
          <w:noProof/>
        </w:rPr>
      </w:pPr>
      <w:r>
        <w:rPr>
          <w:noProof/>
        </w:rPr>
        <w:t xml:space="preserve">För </w:t>
      </w:r>
      <w:r>
        <w:rPr>
          <w:i/>
          <w:noProof/>
        </w:rPr>
        <w:t>medicintekniska produkter</w:t>
      </w:r>
      <w:r>
        <w:rPr>
          <w:noProof/>
        </w:rPr>
        <w:t xml:space="preserve"> uppdaterade Kina sina rättsliga krav 2016 genom att offentliggöra en andra katalog med 350 produkter som är undantagna från kliniska försök. För att få registreras i landet måste de mest innovativa medicintekniska produkterna dock fortfarande genomgå en klinisk provning i Kina. Kommissionen begär regelbundet att Kina ska anpassa sitt regleringssystem för medicintekniska produkter till internationella standarder och metoder, bland annat i samband med rundabordssamtal med EU:s och Kinas expertpanel för medicintekniska produkter, EU:s och Kinas årliga lagstiftningsdialog och marknadstillträdesmöte samt högnivåmötet mellan EU:s och Kinas livsmedels- och läkemedelsmyndigheter.</w:t>
      </w:r>
    </w:p>
    <w:p>
      <w:pPr>
        <w:spacing w:line="288" w:lineRule="auto"/>
        <w:rPr>
          <w:noProof/>
        </w:rPr>
      </w:pPr>
      <w:r>
        <w:rPr>
          <w:noProof/>
        </w:rPr>
        <w:t xml:space="preserve">EU arbetar med att komma till rätta med de nya hinder som registrerats 2016, och vidtar naturligtvis även alla nödvändiga åtgärder som kan bidra till att undanröja de befintliga 23 hindren i databasen över marknadstillträde. Risken för att ytterligare hinder införs är dock fortfarande stor. Kina inför t.ex. övergripande säkerhetsrelaterade åtgärder med betydande ekonomisk inverkan på flera sektorer. Dessutom har Kina nyligen aviserat kommande lagstiftning inom områden som är viktiga för EU:s ekonomiska aktörer, t.ex. för fordon som drivs med ny energi. Kina har också uppgett att man har för avsikt att införa omotiverade krav på livsmedelscertifiering som påverkar ett stort antal produkter, bland annat drycker (alkoholhaltiga och alkoholfria), konfekt, choklad, kakor, sylt, kompotter och andra fruktberedningar, malda produkter och gryn, frukostflingor </w:t>
      </w:r>
      <w:r>
        <w:rPr>
          <w:noProof/>
        </w:rPr>
        <w:lastRenderedPageBreak/>
        <w:t xml:space="preserve">samt torkade produkter som nudlar och pasta. Om dessa åtgärder bekräftas kommer de att behandlas i nästa utgåva av rapporten om hinder och investeringar.  </w:t>
      </w:r>
    </w:p>
    <w:p>
      <w:pPr>
        <w:spacing w:line="288" w:lineRule="auto"/>
        <w:rPr>
          <w:noProof/>
        </w:rPr>
      </w:pPr>
      <w:r>
        <w:rPr>
          <w:noProof/>
        </w:rPr>
        <w:t>5.</w:t>
      </w:r>
      <w:r>
        <w:rPr>
          <w:noProof/>
        </w:rPr>
        <w:tab/>
        <w:t>Algeriet</w:t>
      </w:r>
    </w:p>
    <w:p>
      <w:pPr>
        <w:spacing w:line="288" w:lineRule="auto"/>
        <w:rPr>
          <w:noProof/>
        </w:rPr>
      </w:pPr>
      <w:r>
        <w:rPr>
          <w:noProof/>
        </w:rPr>
        <w:t xml:space="preserve">Algeriet har inte varit ett framträdande inslag i rapporterna från tidigare år, men i samband med den försämrade bytes- och handelsbalansen och ansträngningarna att öka den lokala industriproduktionen införde landet två stora hinder under 2016, med långtgående följder för EU-exportörer inom flera sektorer. </w:t>
      </w:r>
    </w:p>
    <w:p>
      <w:pPr>
        <w:spacing w:line="288" w:lineRule="auto"/>
        <w:rPr>
          <w:noProof/>
        </w:rPr>
      </w:pPr>
      <w:r>
        <w:rPr>
          <w:noProof/>
        </w:rPr>
        <w:t xml:space="preserve">Som en uppföljning av lagstiftning från 2015 som möjliggjorde potentiellt genomgripande </w:t>
      </w:r>
      <w:r>
        <w:rPr>
          <w:i/>
          <w:noProof/>
        </w:rPr>
        <w:t>volymrestriktioner</w:t>
      </w:r>
      <w:r>
        <w:rPr>
          <w:noProof/>
        </w:rPr>
        <w:t xml:space="preserve"> infördes ett importlicenssystem för fyra produktkategorier 2016 (fordon, cement, armeringsstål och valstråd). EU</w:t>
      </w:r>
      <w:r>
        <w:rPr>
          <w:noProof/>
        </w:rPr>
        <w:noBreakHyphen/>
        <w:t>exportörerna påverkades väsentligt av detta under 2016. Exempelvis utfärdades endast omkring 57 000 licenser för bilexport från EU under 2016, en betydande minskning jämfört med EU:s export till denna marknad under tidigare år (t.ex. omkring 245 000 fordon 2012). Armeringsstål, cement och valstrådprodukter drabbades också hårt av åtgärden.</w:t>
      </w:r>
    </w:p>
    <w:p>
      <w:pPr>
        <w:spacing w:line="288" w:lineRule="auto"/>
        <w:rPr>
          <w:noProof/>
        </w:rPr>
      </w:pPr>
      <w:r>
        <w:rPr>
          <w:noProof/>
        </w:rPr>
        <w:t xml:space="preserve">Algeriet fortsatte dessutom att tillämpa de </w:t>
      </w:r>
      <w:r>
        <w:rPr>
          <w:i/>
          <w:noProof/>
        </w:rPr>
        <w:t>politiska åtgärder för industriell lokalisering</w:t>
      </w:r>
      <w:r>
        <w:rPr>
          <w:noProof/>
        </w:rPr>
        <w:t xml:space="preserve"> som infördes genom 2015 års finanslag genom att anta ett dekret för inrättandet av en övergripande konsumentkredit för inköp av produkter som tillverkats eller monterats i Algeriet från och med 2016. </w:t>
      </w:r>
    </w:p>
    <w:p>
      <w:pPr>
        <w:spacing w:line="288" w:lineRule="auto"/>
        <w:rPr>
          <w:noProof/>
        </w:rPr>
      </w:pPr>
      <w:r>
        <w:rPr>
          <w:noProof/>
        </w:rPr>
        <w:t>EU har tagit upp dessa frågor med Algeriet inom ramen för associeringsavtalet mellan EU och Algeriet, men Algeriet har hittills varit ovilligt att ändra sin handelsbegränsande politik. Detta är också en av anledningarna till de bristande framstegen i landets WTO</w:t>
      </w:r>
      <w:r>
        <w:rPr>
          <w:noProof/>
        </w:rPr>
        <w:noBreakHyphen/>
        <w:t>anslutningsförhandlingar.</w:t>
      </w:r>
    </w:p>
    <w:p>
      <w:pPr>
        <w:spacing w:line="288" w:lineRule="auto"/>
        <w:rPr>
          <w:noProof/>
        </w:rPr>
      </w:pPr>
      <w:r>
        <w:rPr>
          <w:noProof/>
        </w:rPr>
        <w:t>6.</w:t>
      </w:r>
      <w:r>
        <w:rPr>
          <w:noProof/>
        </w:rPr>
        <w:tab/>
        <w:t>Egypten</w:t>
      </w:r>
    </w:p>
    <w:p>
      <w:pPr>
        <w:spacing w:line="288" w:lineRule="auto"/>
        <w:rPr>
          <w:noProof/>
        </w:rPr>
      </w:pPr>
      <w:r>
        <w:rPr>
          <w:noProof/>
        </w:rPr>
        <w:t xml:space="preserve">Egypten har inte behandlats i tidigare rapporter, men landet inför alltfler hinder som påverkar handeln. Genom en övergripande åtgärd som omfattar 25 varukategorier, från jordbruksprodukter, cyklar, kosmetika och kläder till keramiska plattor och möbler, införde den egyptiska regeringen nyligen </w:t>
      </w:r>
      <w:r>
        <w:rPr>
          <w:i/>
          <w:noProof/>
        </w:rPr>
        <w:t>obligatorisk registrering för företag som vill exportera sina produkter till Egypten</w:t>
      </w:r>
      <w:r>
        <w:rPr>
          <w:noProof/>
        </w:rPr>
        <w:t>. Bland de handlingar som krävs för registrering föreskriver dekretet ett intyg om att producenten och/eller varumärkesägaren upprätthåller ett kvalitetskontrollsystem. Alla handlingar som ska lämnas måste intygas av en handelskammare, godkännas av en egyptisk ambassad och översättas av ett ackrediterat översättningsföretag. Det är tveksamt om åtgärden är förenlig med WTO</w:t>
      </w:r>
      <w:r>
        <w:rPr>
          <w:noProof/>
        </w:rPr>
        <w:noBreakHyphen/>
        <w:t xml:space="preserve">reglerna och ramarna för associeringsavtalet mellan EU och Egypten och den ger dessutom upphov till ett antal praktiska svårigheter för företagen (t.ex. bristande insyn i registreringsprocessen, inget överklagandeförfarande, alltför stora förseningar). </w:t>
      </w:r>
    </w:p>
    <w:p>
      <w:pPr>
        <w:spacing w:line="288" w:lineRule="auto"/>
        <w:rPr>
          <w:noProof/>
        </w:rPr>
      </w:pPr>
      <w:r>
        <w:rPr>
          <w:noProof/>
        </w:rPr>
        <w:t xml:space="preserve">EU har gett uttryck för sina farhågor i alla tillgängliga forum, bland annat i WTO:s kommitté för tekniska handelshinder, inom den bilaterala ramen för associeringsavtalet </w:t>
      </w:r>
      <w:r>
        <w:rPr>
          <w:noProof/>
        </w:rPr>
        <w:lastRenderedPageBreak/>
        <w:t>mellan EU och Egypten, via EU:s delegation i Kairo samt genom en skrivelse på hög politisk nivå.</w:t>
      </w:r>
    </w:p>
    <w:p>
      <w:pPr>
        <w:spacing w:line="288" w:lineRule="auto"/>
        <w:rPr>
          <w:noProof/>
        </w:rPr>
      </w:pPr>
      <w:r>
        <w:rPr>
          <w:noProof/>
        </w:rPr>
        <w:t xml:space="preserve">Egypten arbetar dessutom med ett förslag till </w:t>
      </w:r>
      <w:r>
        <w:rPr>
          <w:i/>
          <w:noProof/>
        </w:rPr>
        <w:t>system för skatteincitament för fordon</w:t>
      </w:r>
      <w:r>
        <w:rPr>
          <w:noProof/>
        </w:rPr>
        <w:t>, som syftar till påtvingad lokalisering. Systemet skulle ge skatteavdrag för företag som uppnår en fastställd procentandel för en lokal komponent, lokal produktionsmängd och/eller exportgräns från Egypten.</w:t>
      </w:r>
    </w:p>
    <w:p>
      <w:pPr>
        <w:spacing w:line="288" w:lineRule="auto"/>
        <w:rPr>
          <w:noProof/>
        </w:rPr>
      </w:pPr>
      <w:r>
        <w:rPr>
          <w:noProof/>
        </w:rPr>
        <w:t>7.</w:t>
      </w:r>
      <w:r>
        <w:rPr>
          <w:noProof/>
        </w:rPr>
        <w:tab/>
        <w:t xml:space="preserve">Turkiet </w:t>
      </w:r>
    </w:p>
    <w:p>
      <w:pPr>
        <w:spacing w:line="288" w:lineRule="auto"/>
        <w:rPr>
          <w:noProof/>
        </w:rPr>
      </w:pPr>
      <w:r>
        <w:rPr>
          <w:noProof/>
        </w:rPr>
        <w:t>Under de senaste åren har Turkiet upprätthållit flera handelshinder som strider mot landets skyldigheter enligt tullunionen mellan Turkiet och EU, t.ex. betungande tullförfaranden eller tilläggstullar. Under 2016 införde Turkiet ytterligare två handelsbegränsande åtgärder, vilket innebar att det totala antalet rapporterade handelshinder ökade till 15.</w:t>
      </w:r>
    </w:p>
    <w:p>
      <w:pPr>
        <w:spacing w:line="288" w:lineRule="auto"/>
        <w:rPr>
          <w:noProof/>
        </w:rPr>
      </w:pPr>
      <w:r>
        <w:rPr>
          <w:noProof/>
        </w:rPr>
        <w:t xml:space="preserve">Ett av de nya hindren är Turkiets tillämpning av </w:t>
      </w:r>
      <w:r>
        <w:rPr>
          <w:i/>
          <w:noProof/>
        </w:rPr>
        <w:t>överdrivet stränga certifieringskrav</w:t>
      </w:r>
      <w:r>
        <w:rPr>
          <w:noProof/>
        </w:rPr>
        <w:t xml:space="preserve"> för ett stort antal produkter (bland annat maskiner samt elektriska motorer och pumpar) trots att det inte har förekommit några incidenter med funktionsstörningar eller fel hos dessa produkter. Till följd av detta har många EU-företag upplevt problem med tullförfaranden när de exporterar till Turkiet.</w:t>
      </w:r>
    </w:p>
    <w:p>
      <w:pPr>
        <w:spacing w:line="288" w:lineRule="auto"/>
        <w:rPr>
          <w:noProof/>
        </w:rPr>
      </w:pPr>
      <w:r>
        <w:rPr>
          <w:noProof/>
        </w:rPr>
        <w:t xml:space="preserve">Ett annat betydande nytt handelshinder är att de turkiska myndigheterna vidtar påtvingade lokaliseringsåtgärder inom </w:t>
      </w:r>
      <w:r>
        <w:rPr>
          <w:i/>
          <w:noProof/>
        </w:rPr>
        <w:t>läkemedelssektorn</w:t>
      </w:r>
      <w:r>
        <w:rPr>
          <w:noProof/>
        </w:rPr>
        <w:t xml:space="preserve"> för att främja Turkiets nationella produktion. Det turkiska hälsoministeriet har begärt att utländska tillverkare av flera läkemedelsprodukter ska tillverka lokalt. Om utländska tillverkare inte gör ett ”tillräckligt” åtagande om lokalisering stryks produkterna från den förteckning över produkter som kan återbetalas enligt det turkiska sjukförsäkringssystemet. Detta innebär att sådana produkter faktiskt utesluts från den turkiska marknaden. Åtgärden diskriminerar import och kommer att i hög grad inverka negativt på möjligheterna för EU:s läkemedelsindustri att exportera till och bedriva verksamhet i Turkiet, vilket i sin tur innebär att företagen riskerar att förlora stora marknadsandelar.</w:t>
      </w:r>
    </w:p>
    <w:p>
      <w:pPr>
        <w:spacing w:line="288" w:lineRule="auto"/>
        <w:rPr>
          <w:noProof/>
        </w:rPr>
      </w:pPr>
      <w:r>
        <w:rPr>
          <w:noProof/>
        </w:rPr>
        <w:t>EU har tagit upp sina farhågor kring båda dessa nya åtgärder vid flera bilaterala möten med det turkiska ekonomiministeriet och hälsoministeriet samt med byrån för läkemedel och medicintekniska produkter. Kommissionen kommer att fortsätta att behandla dessa åtgärder och andra åtgärder som stör handeln för att motverka en ytterligare upptrappning av protektionistiska åtgärder, öka marknadstillträdet för EU-företag och förbättra handelsförhållandena generellt. Turkiets genomförande av sina befintliga åtaganden enligt tullunionen mellan Turkiet och EU kommer också att övervägas inom ramen för de planerade förhandlingarna om modernisering och ytterligare utökning av tullunionen.</w:t>
      </w:r>
    </w:p>
    <w:p>
      <w:pPr>
        <w:pageBreakBefore/>
        <w:spacing w:line="288" w:lineRule="auto"/>
        <w:rPr>
          <w:noProof/>
        </w:rPr>
      </w:pPr>
      <w:r>
        <w:rPr>
          <w:noProof/>
        </w:rPr>
        <w:lastRenderedPageBreak/>
        <w:t>B.</w:t>
      </w:r>
      <w:r>
        <w:rPr>
          <w:noProof/>
        </w:rPr>
        <w:tab/>
        <w:t>HANDELSFLÖDEN SOM POTENTIELLT PÅVERKAS AV DE HINDER SOM REGISTRERATS 2016</w:t>
      </w:r>
    </w:p>
    <w:p>
      <w:pPr>
        <w:spacing w:line="288" w:lineRule="auto"/>
        <w:rPr>
          <w:noProof/>
        </w:rPr>
      </w:pPr>
      <w:r>
        <w:rPr>
          <w:noProof/>
        </w:rPr>
        <w:t xml:space="preserve">Det är fortfarande svårt att göra en uppskattning av effekten av specifika hinder för marknadstillträde, och det kräver ett nära samarbete mellan näringslivet, medlemsstaterna och kommissionen. En av faktorerna vid prioritering av handelshinder inom ramen för partnerskapet för marknadstillträde är den förväntade effekten av nya åtgärder som rapporteras.    </w:t>
      </w:r>
      <w:r>
        <w:rPr>
          <w:noProof/>
        </w:rPr>
        <w:tab/>
      </w:r>
    </w:p>
    <w:p>
      <w:pPr>
        <w:spacing w:line="288" w:lineRule="auto"/>
        <w:rPr>
          <w:noProof/>
        </w:rPr>
      </w:pPr>
      <w:r>
        <w:rPr>
          <w:noProof/>
        </w:rPr>
        <w:t xml:space="preserve">Kommissionen kommer att fokusera mer på att samla in sådan information via partnerskapet i framtiden, men de ekonomiska uppgifter som finns tillgängliga för de registrerade hindren är fortfarande ofullständiga, även om de förbättras. I detta avsnitt analyseras därför de </w:t>
      </w:r>
      <w:r>
        <w:rPr>
          <w:i/>
          <w:noProof/>
        </w:rPr>
        <w:t>handelsflöden som potentiellt påverkas</w:t>
      </w:r>
      <w:r>
        <w:rPr>
          <w:noProof/>
        </w:rPr>
        <w:t xml:space="preserve"> av nya hinder för handel med varor. Analysen grundas på bilaterala EU-exportsiffror (och importsiffror i fråga om tredjeländers exportrestriktioner) för de relevanta varunumren i Harmoniserade systemet (HS). Eftersom de hinder som infördes under 2016 redan kan ha begränsat EU:s export samma år grundas analysen på genomsnittliga handelsflöden under de tre närmast föregående åren 2013–2015. Handelshindrens exakta effekt på dessa handelsflöden kunde inte mätas</w:t>
      </w:r>
      <w:r>
        <w:rPr>
          <w:rStyle w:val="FootnoteReference"/>
          <w:noProof/>
        </w:rPr>
        <w:footnoteReference w:id="11"/>
      </w:r>
      <w:r>
        <w:rPr>
          <w:noProof/>
        </w:rPr>
        <w:t>, men detta ger åtminstone en indikation på vikten av den underliggande export som eventuellt påverkas av handelshindren.</w:t>
      </w:r>
    </w:p>
    <w:p>
      <w:pPr>
        <w:spacing w:line="288" w:lineRule="auto"/>
        <w:rPr>
          <w:noProof/>
        </w:rPr>
      </w:pPr>
      <w:r>
        <w:rPr>
          <w:noProof/>
        </w:rPr>
        <w:t xml:space="preserve">Denna metod tillämpades på 32 av de 36 nya hinder som registrerades 2016, utom två tjänster och en investeringsåtgärd (för vilken inga uppgifter om handelsflöde fanns tillgängliga) och en viktig övergripande åtgärd för vilken ingen särskild sektor kunde fastställas </w:t>
      </w:r>
    </w:p>
    <w:p>
      <w:pPr>
        <w:spacing w:line="288" w:lineRule="auto"/>
        <w:rPr>
          <w:noProof/>
        </w:rPr>
      </w:pPr>
      <w:r>
        <w:rPr>
          <w:noProof/>
        </w:rPr>
        <w:t>Resultatet av uppskattningen visar att de nya handelshinder som registrerades 2016 potentiellt påverkade EU-export upp till ett värde av 27,17 miljarder euro</w:t>
      </w:r>
      <w:r>
        <w:rPr>
          <w:rStyle w:val="FootnoteReference"/>
          <w:noProof/>
        </w:rPr>
        <w:footnoteReference w:id="12"/>
      </w:r>
      <w:r>
        <w:rPr>
          <w:noProof/>
        </w:rPr>
        <w:t>. Denna siffra är högre än EU:s totala export till handelspartner som Sydafrika</w:t>
      </w:r>
      <w:bookmarkStart w:id="3" w:name="_Ref475535977"/>
      <w:r>
        <w:rPr>
          <w:rStyle w:val="FootnoteReference"/>
          <w:noProof/>
        </w:rPr>
        <w:footnoteReference w:id="13"/>
      </w:r>
      <w:bookmarkEnd w:id="3"/>
      <w:r>
        <w:rPr>
          <w:noProof/>
        </w:rPr>
        <w:t>, Algeriet</w:t>
      </w:r>
      <w:bookmarkStart w:id="4" w:name="_Ref475535989"/>
      <w:r>
        <w:rPr>
          <w:rStyle w:val="FootnoteReference"/>
          <w:noProof/>
        </w:rPr>
        <w:footnoteReference w:id="14"/>
      </w:r>
      <w:bookmarkEnd w:id="4"/>
      <w:r>
        <w:rPr>
          <w:noProof/>
        </w:rPr>
        <w:t xml:space="preserve"> eller Ukraina</w:t>
      </w:r>
      <w:bookmarkStart w:id="5" w:name="_Ref475535996"/>
      <w:r>
        <w:rPr>
          <w:rStyle w:val="FootnoteReference"/>
          <w:noProof/>
        </w:rPr>
        <w:footnoteReference w:id="15"/>
      </w:r>
      <w:bookmarkEnd w:id="5"/>
      <w:r>
        <w:rPr>
          <w:noProof/>
        </w:rPr>
        <w:t xml:space="preserve">, och motsvarar 1,6 % av EU:s totala globala export under samma år. </w:t>
      </w:r>
    </w:p>
    <w:p>
      <w:pPr>
        <w:spacing w:line="288" w:lineRule="auto"/>
        <w:rPr>
          <w:noProof/>
        </w:rPr>
      </w:pPr>
      <w:r>
        <w:rPr>
          <w:noProof/>
        </w:rPr>
        <w:t>Det uppskattas att de åtgärder som införts av Ryssland, sammantaget, kan ha den största effekten på EU:s export, och att de potentiellt kan påverka handelsflöden upp till 12,26 miljarder euro. Därefter följer den potentiella effekten av de hinder som införts av Algeriet (3,75 miljarder euro), Kina (3,7 miljarder euro), Turkiet (2,69 miljarder euro), Indien (2,2 miljarder euro) och Egypten (1,72 miljarder euro).</w:t>
      </w:r>
    </w:p>
    <w:p>
      <w:pPr>
        <w:spacing w:line="288" w:lineRule="auto"/>
        <w:rPr>
          <w:noProof/>
        </w:rPr>
      </w:pPr>
      <w:r>
        <w:rPr>
          <w:noProof/>
        </w:rPr>
        <w:lastRenderedPageBreak/>
        <w:t>Analysen visade också att de nya åtgärder som införts av Ryssland delvis riktades mot sektorer där EU:s export till Ryssland traditionellt sett var stor. Före införandet av de omotiverade certifieringskraven för läkemedel uppgick t.ex. EU:s läkemedelsexport till Ryssland till 6,1 miljarder euro per år. Subventionerna för bilar och jordbruksmaskiner kan dessutom påverka handelsflöden inom dessa sektorer till ett värde motsvarande 5,85 miljarder euro av EU:s export till Ryssland per år.</w:t>
      </w:r>
    </w:p>
    <w:p>
      <w:pPr>
        <w:spacing w:line="288" w:lineRule="auto"/>
        <w:rPr>
          <w:noProof/>
        </w:rPr>
      </w:pPr>
      <w:r>
        <w:rPr>
          <w:noProof/>
        </w:rPr>
        <w:t xml:space="preserve">Algeriets beslut att införa nya volymrestriktioner och ett importlicenssystem för motorfordon, cement, stål och valstrådprodukter kan även inverka avsevärt på EU:s exportörer, vars tidigare export inom dessa sektorer uppgick till 3,75 miljarder euro.  </w:t>
      </w:r>
    </w:p>
    <w:p>
      <w:pPr>
        <w:spacing w:line="288" w:lineRule="auto"/>
        <w:rPr>
          <w:noProof/>
        </w:rPr>
      </w:pPr>
      <w:r>
        <w:rPr>
          <w:noProof/>
        </w:rPr>
        <w:t xml:space="preserve">Andra hinder som potentiellt kan påverka särskilt stora handelsflöden är de kliniska provningar som Kina kräver för europeiska medicintekniska produkter, som kan äventyra EU-export till ett värde av 2,95 miljarder euro, de betungande tullförfaranden som Turkiet tillämpar på flera produkter, bland annat maskiner samt elektriska motorer och pumpar, som kan ha en negativ inverkan på EU-export till ett värde av 2,6 miljarder euro, och Indiens hinder i form av ett lägsta importpris för stål, som kan ha en negativ inverkan på EU-export till ett värde av 1,36 miljarder euro. Fabriksregistreringskraven i Egypten, som omfattar 25 varukategorier, från jordbruksprodukter, cyklar, kosmetika och kläder till keramiska plattor och möbler, kan påverka handelsflöden till ett värde av 1,03 miljarder i EU-export.    </w:t>
      </w:r>
    </w:p>
    <w:p>
      <w:pPr>
        <w:spacing w:line="288" w:lineRule="auto"/>
        <w:rPr>
          <w:noProof/>
        </w:rPr>
      </w:pPr>
      <w:r>
        <w:rPr>
          <w:noProof/>
        </w:rPr>
        <w:t>Den betydande handel som eventuellt kan påverkas av införandet av nya hinder för marknadstillträde bekräftar återigen vikten av EU:s strategi för marknadstillträde och det utökade partnerskapet när det gäller att övervaka och åtgärda handelsbegränsande åtgärder globalt och för att prioritera och lösa dem med lämpligast möjliga verktyg.</w:t>
      </w:r>
    </w:p>
    <w:p>
      <w:pPr>
        <w:spacing w:line="288" w:lineRule="auto"/>
        <w:rPr>
          <w:noProof/>
        </w:rPr>
      </w:pPr>
    </w:p>
    <w:p>
      <w:pPr>
        <w:pStyle w:val="NormalLinespacingMultiple12li"/>
        <w:spacing w:line="288" w:lineRule="auto"/>
        <w:ind w:left="426" w:hanging="426"/>
        <w:rPr>
          <w:b/>
          <w:noProof/>
        </w:rPr>
      </w:pPr>
      <w:r>
        <w:rPr>
          <w:b/>
          <w:noProof/>
        </w:rPr>
        <w:t>III.</w:t>
      </w:r>
      <w:r>
        <w:rPr>
          <w:noProof/>
        </w:rPr>
        <w:tab/>
      </w:r>
      <w:r>
        <w:rPr>
          <w:noProof/>
        </w:rPr>
        <w:tab/>
      </w:r>
      <w:r>
        <w:rPr>
          <w:b/>
          <w:noProof/>
        </w:rPr>
        <w:t xml:space="preserve">STÖRRE HANDELS- OCH INVESTERINGSHINDER SOM LÖSTS 2016 </w:t>
      </w:r>
    </w:p>
    <w:p>
      <w:pPr>
        <w:spacing w:line="288" w:lineRule="auto"/>
        <w:rPr>
          <w:noProof/>
        </w:rPr>
      </w:pPr>
      <w:r>
        <w:rPr>
          <w:noProof/>
        </w:rPr>
        <w:t xml:space="preserve">I detta kapitel beskrivs den strategi kommissionen följde för att komma till rätta med handels- och investeringshinder 2016 och vilka resultat som nåddes, dvs. vilka hinder som löstes. Därefter beskrivs några av de mest framgångsrika resultaten 2016 mer i detalj. Avslutningsvis uppskattas värdet av den handel som påverkades av åtgärderna i fråga innan de löstes. </w:t>
      </w:r>
    </w:p>
    <w:p>
      <w:pPr>
        <w:spacing w:line="288" w:lineRule="auto"/>
        <w:rPr>
          <w:noProof/>
        </w:rPr>
      </w:pPr>
      <w:r>
        <w:rPr>
          <w:noProof/>
        </w:rPr>
        <w:t>A.</w:t>
      </w:r>
      <w:r>
        <w:rPr>
          <w:noProof/>
        </w:rPr>
        <w:tab/>
      </w:r>
      <w:r>
        <w:rPr>
          <w:noProof/>
        </w:rPr>
        <w:tab/>
        <w:t>EU:S STRATEGI FÖR ATT ÅTGÄRDA HINDER FÖR HANDEL OCH INVESTERINGAR</w:t>
      </w:r>
    </w:p>
    <w:p>
      <w:pPr>
        <w:spacing w:line="288" w:lineRule="auto"/>
        <w:rPr>
          <w:noProof/>
        </w:rPr>
      </w:pPr>
      <w:r>
        <w:rPr>
          <w:noProof/>
        </w:rPr>
        <w:t>I den föregående rapporten om hinder för handel och investeringar</w:t>
      </w:r>
      <w:r>
        <w:rPr>
          <w:rStyle w:val="FootnoteReference"/>
          <w:noProof/>
        </w:rPr>
        <w:footnoteReference w:id="16"/>
      </w:r>
      <w:r>
        <w:rPr>
          <w:noProof/>
        </w:rPr>
        <w:t xml:space="preserve"> beskrivs redan de viktigaste åtgärder som partnerskapet för marknadstillträde har använt för att hantera det </w:t>
      </w:r>
      <w:r>
        <w:rPr>
          <w:noProof/>
        </w:rPr>
        <w:lastRenderedPageBreak/>
        <w:t xml:space="preserve">ökande antalet hinder i tredjeländer. Under 2016 fortsatte partnerskapet att använda i stort sett samma verktyg för att lösa problem med marknadstillträde. </w:t>
      </w:r>
    </w:p>
    <w:p>
      <w:pPr>
        <w:spacing w:line="288" w:lineRule="auto"/>
        <w:rPr>
          <w:noProof/>
        </w:rPr>
      </w:pPr>
      <w:r>
        <w:rPr>
          <w:noProof/>
        </w:rPr>
        <w:t xml:space="preserve">Inom </w:t>
      </w:r>
      <w:r>
        <w:rPr>
          <w:i/>
          <w:noProof/>
        </w:rPr>
        <w:t>WTO-ramen</w:t>
      </w:r>
      <w:r>
        <w:rPr>
          <w:noProof/>
        </w:rPr>
        <w:t xml:space="preserve"> fortsätter EU att ge starkt stöd åt den multilaterala handelsagendan och tvistlösningssystemet för handelsfrågor. EU fortsatte också att spela en aktiv och konstruktiv roll i WTO-kommittéerna (t.ex. TBT</w:t>
      </w:r>
      <w:r>
        <w:rPr>
          <w:rStyle w:val="FootnoteReference"/>
          <w:noProof/>
        </w:rPr>
        <w:footnoteReference w:id="17"/>
      </w:r>
      <w:r>
        <w:rPr>
          <w:noProof/>
        </w:rPr>
        <w:t>, SPS</w:t>
      </w:r>
      <w:r>
        <w:rPr>
          <w:rStyle w:val="FootnoteReference"/>
          <w:noProof/>
        </w:rPr>
        <w:footnoteReference w:id="18"/>
      </w:r>
      <w:r>
        <w:rPr>
          <w:noProof/>
        </w:rPr>
        <w:t>, SCM</w:t>
      </w:r>
      <w:r>
        <w:rPr>
          <w:rStyle w:val="FootnoteReference"/>
          <w:noProof/>
        </w:rPr>
        <w:footnoteReference w:id="19"/>
      </w:r>
      <w:r>
        <w:rPr>
          <w:noProof/>
        </w:rPr>
        <w:t>, TRIMS</w:t>
      </w:r>
      <w:r>
        <w:rPr>
          <w:rStyle w:val="FootnoteReference"/>
          <w:noProof/>
        </w:rPr>
        <w:footnoteReference w:id="20"/>
      </w:r>
      <w:r>
        <w:rPr>
          <w:noProof/>
        </w:rPr>
        <w:t xml:space="preserve">, importlicensförfaranden och restriktioner i fråga om betalningsbalans), där EU under 2016 fick möjlighet att uttrycka sina farhågor kring många av de åtgärder som beskrivs i föregående kapitel. </w:t>
      </w:r>
    </w:p>
    <w:p>
      <w:pPr>
        <w:spacing w:line="288" w:lineRule="auto"/>
        <w:rPr>
          <w:noProof/>
        </w:rPr>
      </w:pPr>
      <w:r>
        <w:rPr>
          <w:noProof/>
        </w:rPr>
        <w:t xml:space="preserve">Om det inte var möjligt att effektivt lösa hinder med negativ inverkan på EU:s intressen via samrådsmekanismerna använde EU även WTO:s tvistlösningssystem. Under 2016 inledde EU två nya ärenden, ett om Kinas tullar och andra restriktioner för export av råvaror (DS 509) och ett annat om diskriminerande behandling av EU:s export av spritdrycker till Colombia (DS 502). Under 2016 beslutade även två WTO-paneler till EU:s fördel (i DS 475 angående Rysslands politiska åtgärder för import av svinköttsprodukter och i DS 485 angående Rysslands tullbehandling av vissa jordbruksprodukter och bearbetade produkter). </w:t>
      </w:r>
    </w:p>
    <w:p>
      <w:pPr>
        <w:pStyle w:val="NormalLinespacingMultiple12li"/>
        <w:spacing w:line="288" w:lineRule="auto"/>
        <w:rPr>
          <w:noProof/>
        </w:rPr>
      </w:pPr>
      <w:r>
        <w:rPr>
          <w:noProof/>
        </w:rPr>
        <w:t xml:space="preserve">EU fortsatte även att driva en </w:t>
      </w:r>
      <w:r>
        <w:rPr>
          <w:i/>
          <w:noProof/>
        </w:rPr>
        <w:t>ambitiös agenda för handelsförhandlingar</w:t>
      </w:r>
      <w:r>
        <w:rPr>
          <w:noProof/>
        </w:rPr>
        <w:t>, som är ytterligare ett instrument för att öppna marknader och lösa hinder för handeln. Under 2016 ingicks det övergripande avtalet om ekonomi och handel med Kanada (Ceta) och avtalet om Ecuadors anslutning till frihandelsavtalet med Colombia och Peru. Avsevärda framsteg gjordes i frihandelsavtalsförhandlingarna med Japan, diskussionerna om frihandelsavtalet med Mercosur återupptogs, moderniseringarna av frihandelsavtalet med Mexiko påbörjades och nya förhandlingar inleddes med flera länder, såsom Indonesien, Filippinerna och Tunisien. Många hinder för marknadstillträde behandlas direkt under förhandlingarna. Till följd av att det övergripande avtalet om ekonomi och handel ingicks med Kanada 2016 kommer avskaffandet av tullar att kompletteras med att många stora hinder innanför gränserna tas bort inom flera sektorer, t.ex. vin och spritdrycker.</w:t>
      </w:r>
    </w:p>
    <w:p>
      <w:pPr>
        <w:pStyle w:val="NormalLinespacingMultiple12li"/>
        <w:spacing w:line="288" w:lineRule="auto"/>
        <w:rPr>
          <w:noProof/>
          <w:szCs w:val="20"/>
        </w:rPr>
      </w:pPr>
      <w:r>
        <w:rPr>
          <w:noProof/>
        </w:rPr>
        <w:t xml:space="preserve">Inom ramen för det utökade partnerskapet för marknadstillträde och med tanke på den ökande protektionismen, beslutade kommissionen även att förstärka sitt partnerskap med medlemsstaterna och företag med målet att ytterligare förbättra samordningsinsatserna för att undanröja hinder från tredjeländer. Det är viktigt att notera att kommissionen även har intensifierat diskussionerna med partnerskapets intressenter om befintliga handelshinder i länder som övervägs för förhandlingar om frihandelsavtal eller länder </w:t>
      </w:r>
      <w:r>
        <w:rPr>
          <w:noProof/>
        </w:rPr>
        <w:lastRenderedPageBreak/>
        <w:t xml:space="preserve">med vilka sådana förhandlingar har inletts, för att enas om den bästa strategin för att åtgärda sådana hinder. </w:t>
      </w:r>
    </w:p>
    <w:p>
      <w:pPr>
        <w:spacing w:line="288" w:lineRule="auto"/>
        <w:rPr>
          <w:noProof/>
        </w:rPr>
      </w:pPr>
      <w:r>
        <w:rPr>
          <w:i/>
          <w:noProof/>
        </w:rPr>
        <w:t>Genomförandet och tillämpningen av handelsavtal</w:t>
      </w:r>
      <w:r>
        <w:rPr>
          <w:noProof/>
        </w:rPr>
        <w:t xml:space="preserve"> är en fortsatt viktig aspekt i EU:s handelspolitik. De genomförandestrukturer som införs genom frihandelsavtalen bidrar avsevärt till att undanröja specifika hinder för handeln. Under 2016 var detta t.ex. fallet med frihandelsavtalet mellan EU och Sydkorea och det djupgående och omfattande frihandelsavtalet mellan EU och Ukraina (DCFTA), vilket började tillämpas preliminärt den 1 januari 2016 (se avsnitt III.C i denna rapport). Kommissionen övervakar noggrant att de åtaganden som görs enligt Ceta införlivas i kanadensisk lagstiftning och att de faktiskt genomförs. Ceta skapar dessutom den nödvändiga ramen för att diskutera hinder som kan uppstå på områden som sanitära och fytosanitära åtgärder, tekniska handelshinder eller investeringar. Enligt det ”utökade partnerskap” som tillkännagavs i strategin om handel för alla, som antogs i oktober 2015, kommer kommissionen senare i år att offentliggöra en särskild rapport om genomförandet av frihandelsavtalen.</w:t>
      </w:r>
    </w:p>
    <w:p>
      <w:pPr>
        <w:spacing w:line="288" w:lineRule="auto"/>
        <w:rPr>
          <w:noProof/>
        </w:rPr>
      </w:pPr>
      <w:r>
        <w:rPr>
          <w:noProof/>
        </w:rPr>
        <w:t>B.</w:t>
      </w:r>
      <w:r>
        <w:rPr>
          <w:noProof/>
        </w:rPr>
        <w:tab/>
        <w:t>ÖVERSIKT ÖVER LÖSTA HINDER 2016</w:t>
      </w:r>
    </w:p>
    <w:p>
      <w:pPr>
        <w:spacing w:line="288" w:lineRule="auto"/>
        <w:rPr>
          <w:noProof/>
          <w:szCs w:val="24"/>
        </w:rPr>
      </w:pPr>
      <w:r>
        <w:rPr>
          <w:noProof/>
        </w:rPr>
        <w:t>1.</w:t>
      </w:r>
      <w:r>
        <w:rPr>
          <w:noProof/>
        </w:rPr>
        <w:tab/>
        <w:t>Fördelning av hinder som lösts under 2016 per tredjeland</w:t>
      </w:r>
    </w:p>
    <w:p>
      <w:pPr>
        <w:spacing w:line="288" w:lineRule="auto"/>
        <w:rPr>
          <w:noProof/>
        </w:rPr>
      </w:pPr>
      <w:r>
        <w:rPr>
          <w:noProof/>
        </w:rPr>
        <w:t>Tack vare samlade insatser från alla intressenter i partnerskapet för marknadstillträde kunde 20 av de registrerade handelshinder som gällde i tolv olika länder lösas helt eller delvis under 2016. De resultat som nåddes förra året motsvarar i stort de 23 åtgärder som behandlades 2015.</w:t>
      </w:r>
    </w:p>
    <w:p>
      <w:pPr>
        <w:spacing w:line="288" w:lineRule="auto"/>
        <w:rPr>
          <w:noProof/>
        </w:rPr>
      </w:pPr>
      <w:r>
        <w:rPr>
          <w:noProof/>
        </w:rPr>
        <w:t xml:space="preserve">I tabell 6 visas de tredjeländer där hinder har kunnat lösas mest effektivt. Sydkorea kom först med fem lösta handelshinder under 2016, följt av Kina (tre) samt Israel och Ukraina (två vardera). Också i Argentina, Botswana, Brasilien Egypten, Indien, Japan, Taiwan och Turkiet kunde ett av de registrerade hindren lösas i varje fall. </w:t>
      </w:r>
    </w:p>
    <w:p>
      <w:pPr>
        <w:spacing w:line="288" w:lineRule="auto"/>
        <w:rPr>
          <w:noProof/>
        </w:rPr>
      </w:pPr>
    </w:p>
    <w:p>
      <w:pPr>
        <w:spacing w:line="288" w:lineRule="auto"/>
        <w:rPr>
          <w:noProof/>
        </w:rPr>
      </w:pPr>
      <w:r>
        <w:rPr>
          <w:noProof/>
          <w:lang w:val="en-US" w:eastAsia="en-US" w:bidi="ar-SA"/>
        </w:rPr>
        <w:drawing>
          <wp:inline distT="0" distB="0" distL="0" distR="0">
            <wp:extent cx="5467350" cy="15768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1795" cy="1578171"/>
                    </a:xfrm>
                    <a:prstGeom prst="rect">
                      <a:avLst/>
                    </a:prstGeom>
                    <a:noFill/>
                    <a:ln>
                      <a:noFill/>
                    </a:ln>
                  </pic:spPr>
                </pic:pic>
              </a:graphicData>
            </a:graphic>
          </wp:inline>
        </w:drawing>
      </w:r>
    </w:p>
    <w:p>
      <w:pPr>
        <w:spacing w:line="288" w:lineRule="auto"/>
        <w:rPr>
          <w:noProof/>
        </w:rPr>
      </w:pPr>
      <w:r>
        <w:rPr>
          <w:b/>
          <w:noProof/>
        </w:rPr>
        <w:t xml:space="preserve">Tabell 6: Geografisk fördelning av handels- och investeringshinder som lösts 2016 </w:t>
      </w:r>
      <w:r>
        <w:rPr>
          <w:noProof/>
        </w:rPr>
        <w:t>(* – G20-länder)</w:t>
      </w:r>
    </w:p>
    <w:p>
      <w:pPr>
        <w:spacing w:line="288" w:lineRule="auto"/>
        <w:rPr>
          <w:noProof/>
        </w:rPr>
      </w:pPr>
      <w:r>
        <w:rPr>
          <w:noProof/>
        </w:rPr>
        <w:t xml:space="preserve">Databasen över marknadstillträde ger som sagt inte en heltäckande översikt över alla handelshinder som EU:s exportörer möter, och ger därför inte heller en fullständig bild </w:t>
      </w:r>
      <w:r>
        <w:rPr>
          <w:noProof/>
        </w:rPr>
        <w:lastRenderedPageBreak/>
        <w:t xml:space="preserve">av de hinder som lösts under 2016. Hinder och deras borttagande registrerades inte alltid inom ramen för pågående frihandelsavtalsförhandlingar. Detta kommer att följas upp närmare inom partnerskapet för marknadstillträde i framtiden, inom det utökade partnerskapet. </w:t>
      </w:r>
    </w:p>
    <w:p>
      <w:pPr>
        <w:spacing w:line="288" w:lineRule="auto"/>
        <w:rPr>
          <w:noProof/>
          <w:szCs w:val="24"/>
        </w:rPr>
      </w:pPr>
      <w:r>
        <w:rPr>
          <w:noProof/>
        </w:rPr>
        <w:t>2.</w:t>
      </w:r>
      <w:r>
        <w:rPr>
          <w:noProof/>
        </w:rPr>
        <w:tab/>
        <w:t>Fördelning av hinder lösta under 2016 per typ av åtgärd</w:t>
      </w:r>
    </w:p>
    <w:p>
      <w:pPr>
        <w:spacing w:line="288" w:lineRule="auto"/>
        <w:rPr>
          <w:noProof/>
          <w:szCs w:val="24"/>
        </w:rPr>
      </w:pPr>
      <w:r>
        <w:rPr>
          <w:noProof/>
        </w:rPr>
        <w:t>Med tanke på att åtgärder innanför gränsen under 2016 användes allt oftare (20) jämfört med åtgärder vid gränsen (13), är det användbart att analysera hur effektivt EU hanterade dessa olika typer av åtgärder förra året.</w:t>
      </w:r>
    </w:p>
    <w:p>
      <w:pPr>
        <w:spacing w:line="288" w:lineRule="auto"/>
        <w:rPr>
          <w:noProof/>
          <w:szCs w:val="24"/>
        </w:rPr>
      </w:pPr>
      <w:r>
        <w:rPr>
          <w:noProof/>
        </w:rPr>
        <w:t xml:space="preserve">Tabell 7 visar att strategin för marknadstillträde har bidragit till att lösa både åtgärder vid gränsen (tio) och innanför gränsen (tio), vilket visar att strategins verktyg är fortsatt effektiva för att hantera åtgärder som ofta är svårare att uppfatta.   </w:t>
      </w:r>
    </w:p>
    <w:p>
      <w:pPr>
        <w:tabs>
          <w:tab w:val="left" w:pos="4921"/>
        </w:tabs>
        <w:spacing w:line="288" w:lineRule="auto"/>
        <w:rPr>
          <w:noProof/>
        </w:rPr>
      </w:pPr>
      <w:r>
        <w:rPr>
          <w:noProof/>
        </w:rPr>
        <w:t>Vad gäller de tio åtgärder vid gränsen som lösts med framgångsrikt resultat rörde de flesta sanitära och fytosanitära åtgärder (sju). De övriga lösta hindren bestod av importförbud eller tullproblem (tre).</w:t>
      </w:r>
    </w:p>
    <w:p>
      <w:pPr>
        <w:tabs>
          <w:tab w:val="left" w:pos="4921"/>
        </w:tabs>
        <w:spacing w:line="288" w:lineRule="auto"/>
        <w:rPr>
          <w:noProof/>
        </w:rPr>
      </w:pPr>
      <w:r>
        <w:rPr>
          <w:noProof/>
        </w:rPr>
        <w:t>För de tio åtgärderna innanför gränsen nåddes de mest positiva resultaten för lagstiftnings- eller beskattningsåtgärder i samband med handel med varor (nio), och dessutom löstes en åtgärd som rörde tjänster med lyckat resultat.</w:t>
      </w:r>
    </w:p>
    <w:p>
      <w:pPr>
        <w:spacing w:line="288" w:lineRule="auto"/>
        <w:rPr>
          <w:noProof/>
          <w:szCs w:val="24"/>
        </w:rPr>
      </w:pPr>
      <w:r>
        <w:rPr>
          <w:noProof/>
        </w:rPr>
        <w:t>3.</w:t>
      </w:r>
      <w:r>
        <w:rPr>
          <w:noProof/>
        </w:rPr>
        <w:tab/>
        <w:t>Fördelning av hinder lösta under 2016 per sektor</w:t>
      </w:r>
    </w:p>
    <w:p>
      <w:pPr>
        <w:spacing w:line="288" w:lineRule="auto"/>
        <w:rPr>
          <w:noProof/>
          <w:szCs w:val="24"/>
        </w:rPr>
      </w:pPr>
      <w:r>
        <w:rPr>
          <w:noProof/>
        </w:rPr>
        <w:t xml:space="preserve">Tabell 7 ger en översikt över de viktigaste ekonomiska verksamhetssektorer där handelshinder löstes under 2016. </w:t>
      </w:r>
      <w:r>
        <w:rPr>
          <w:i/>
          <w:noProof/>
        </w:rPr>
        <w:t>Jordbruk och fiske</w:t>
      </w:r>
      <w:r>
        <w:rPr>
          <w:noProof/>
        </w:rPr>
        <w:t xml:space="preserve"> gjorde bäst i från sig med åtta lösta hinder (helt eller delvis), särskilt i fråga om sanitära och fytosanitära åtgärder (fem). Ett antal hinder löstes även inom </w:t>
      </w:r>
      <w:r>
        <w:rPr>
          <w:i/>
          <w:noProof/>
        </w:rPr>
        <w:t>vin- och spritindustrin</w:t>
      </w:r>
      <w:r>
        <w:rPr>
          <w:noProof/>
        </w:rPr>
        <w:t xml:space="preserve"> (tre), följd av </w:t>
      </w:r>
      <w:r>
        <w:rPr>
          <w:i/>
          <w:noProof/>
        </w:rPr>
        <w:t>bilsektorn</w:t>
      </w:r>
      <w:r>
        <w:rPr>
          <w:noProof/>
        </w:rPr>
        <w:t xml:space="preserve"> och </w:t>
      </w:r>
      <w:r>
        <w:rPr>
          <w:i/>
          <w:noProof/>
        </w:rPr>
        <w:t>kosmetikasektorn</w:t>
      </w:r>
      <w:r>
        <w:rPr>
          <w:noProof/>
        </w:rPr>
        <w:t xml:space="preserve"> (två vardera). Enskilda hinder löstes dessutom inom elektronik-, läkemedels- och IKT-sektorerna. Två övergripande hinder kunde också lösas, båda i Sydkorea: ett hinder avseende ursprungskontroll och ett annat (som lösts tillfälligt) i fråga om tullbehandling av (återimporterade) reparerade varor (se även avsnitt III.C.1).  </w:t>
      </w:r>
    </w:p>
    <w:p>
      <w:pPr>
        <w:spacing w:line="288" w:lineRule="auto"/>
        <w:rPr>
          <w:noProof/>
        </w:rPr>
      </w:pPr>
      <w:r>
        <w:rPr>
          <w:noProof/>
          <w:lang w:val="en-US" w:eastAsia="en-US" w:bidi="ar-SA"/>
        </w:rPr>
        <w:drawing>
          <wp:inline distT="0" distB="0" distL="0" distR="0">
            <wp:extent cx="5467350" cy="227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1795" cy="2277986"/>
                    </a:xfrm>
                    <a:prstGeom prst="rect">
                      <a:avLst/>
                    </a:prstGeom>
                    <a:noFill/>
                    <a:ln>
                      <a:noFill/>
                    </a:ln>
                  </pic:spPr>
                </pic:pic>
              </a:graphicData>
            </a:graphic>
          </wp:inline>
        </w:drawing>
      </w:r>
    </w:p>
    <w:p>
      <w:pPr>
        <w:tabs>
          <w:tab w:val="left" w:pos="4921"/>
        </w:tabs>
        <w:jc w:val="left"/>
        <w:rPr>
          <w:b/>
          <w:noProof/>
        </w:rPr>
      </w:pPr>
      <w:r>
        <w:rPr>
          <w:b/>
          <w:noProof/>
        </w:rPr>
        <w:lastRenderedPageBreak/>
        <w:t>Tabell 7: Sektorsvis fördelning av handels- och investeringshinder som lösts 2016</w:t>
      </w:r>
    </w:p>
    <w:p>
      <w:pPr>
        <w:spacing w:line="288" w:lineRule="auto"/>
        <w:rPr>
          <w:noProof/>
        </w:rPr>
      </w:pPr>
      <w:r>
        <w:rPr>
          <w:noProof/>
        </w:rPr>
        <w:t>B.</w:t>
      </w:r>
      <w:r>
        <w:rPr>
          <w:noProof/>
        </w:rPr>
        <w:tab/>
        <w:t>KVALITATIV ANALYS AV LÖSTA HINDER 2016</w:t>
      </w:r>
    </w:p>
    <w:p>
      <w:pPr>
        <w:spacing w:line="288" w:lineRule="auto"/>
        <w:rPr>
          <w:noProof/>
        </w:rPr>
      </w:pPr>
      <w:r>
        <w:rPr>
          <w:noProof/>
        </w:rPr>
        <w:t xml:space="preserve">Detta kapitel innehåller en djupare analys av de hinder som lösts hos de fyra handelspartner för vilka det högsta antalet lösta hinder registrerades under 2016: Sydkorea, Kina, Israel och Ukraina. </w:t>
      </w:r>
    </w:p>
    <w:p>
      <w:pPr>
        <w:spacing w:line="288" w:lineRule="auto"/>
        <w:rPr>
          <w:noProof/>
        </w:rPr>
      </w:pPr>
      <w:r>
        <w:rPr>
          <w:noProof/>
        </w:rPr>
        <w:t>1.</w:t>
      </w:r>
      <w:r>
        <w:rPr>
          <w:noProof/>
        </w:rPr>
        <w:tab/>
        <w:t xml:space="preserve">Sydkorea </w:t>
      </w:r>
    </w:p>
    <w:p>
      <w:pPr>
        <w:spacing w:line="288" w:lineRule="auto"/>
        <w:rPr>
          <w:noProof/>
        </w:rPr>
      </w:pPr>
      <w:r>
        <w:rPr>
          <w:noProof/>
        </w:rPr>
        <w:t xml:space="preserve">En särskilt positiv trend kan observeras i Sydkorea, där endast ett nytt hinder registrerades 2016, samtidigt som fem hinder undanröjdes. Detta bekräftar att frihandelsavtalens genomförandestrukturer utgör ett effektivt verktyg för att åtgärda hinder för handeln (se även avsnitt III.A).  </w:t>
      </w:r>
    </w:p>
    <w:p>
      <w:pPr>
        <w:spacing w:line="288" w:lineRule="auto"/>
        <w:rPr>
          <w:noProof/>
        </w:rPr>
      </w:pPr>
      <w:r>
        <w:rPr>
          <w:noProof/>
        </w:rPr>
        <w:t xml:space="preserve">Handelsflödena förbättrades betydligt inom </w:t>
      </w:r>
      <w:r>
        <w:rPr>
          <w:i/>
          <w:noProof/>
        </w:rPr>
        <w:t>bilsektorn</w:t>
      </w:r>
      <w:r>
        <w:rPr>
          <w:noProof/>
        </w:rPr>
        <w:t xml:space="preserve"> sedan frihandelsavtalet började tillämpas, men vissa problem i samband med marknadstillträdet har kvarstått inom denna sektor och kommissionen fortsatte att ta upp dessa problem i frihandelsavtalets arbetsgrupp för bilsektorn. I detta sammanhang samtyckte Sydkorea 2016 till att ändra sina krav på en enda sätesstorlek och klarering och gick även med på att harmonisera vissa föreskrifter till internationella standarder (t.ex. utfärdande av 48 V enligt Unece</w:t>
      </w:r>
      <w:r>
        <w:rPr>
          <w:noProof/>
        </w:rPr>
        <w:noBreakHyphen/>
        <w:t xml:space="preserve">föreskrift 100). Kommissionen kommer att fortsätta att ta upp de återstående hindren inom frihandelsavtalets relevanta genomförandeorgan och med anledning av eventuella ändringar av den befintliga uppgörelsen.  </w:t>
      </w:r>
    </w:p>
    <w:p>
      <w:pPr>
        <w:spacing w:line="288" w:lineRule="auto"/>
        <w:rPr>
          <w:noProof/>
        </w:rPr>
      </w:pPr>
      <w:r>
        <w:rPr>
          <w:noProof/>
        </w:rPr>
        <w:t xml:space="preserve">Ett hinder löstes även för </w:t>
      </w:r>
      <w:r>
        <w:rPr>
          <w:i/>
          <w:noProof/>
        </w:rPr>
        <w:t>kosmetikasektorn</w:t>
      </w:r>
      <w:r>
        <w:rPr>
          <w:noProof/>
        </w:rPr>
        <w:t xml:space="preserve"> 2016 efter det att EU kontaktat de sydkoreanska motparterna. Det rörde sig om en diskriminerande åtgärd enligt vilken skattefria butiker utanför flygplatser i Sydkorea måste reservera ett minsta golvutrymme för försäljning av inhemska produkter, som ändrades till ett mindre diskriminerande krav på att reservera ett minsta golvutrymme för att sälja produkter från små och medelstora företag.</w:t>
      </w:r>
    </w:p>
    <w:p>
      <w:pPr>
        <w:spacing w:line="288" w:lineRule="auto"/>
        <w:rPr>
          <w:noProof/>
        </w:rPr>
      </w:pPr>
      <w:r>
        <w:rPr>
          <w:noProof/>
        </w:rPr>
        <w:t xml:space="preserve">På området handel med </w:t>
      </w:r>
      <w:r>
        <w:rPr>
          <w:i/>
          <w:noProof/>
        </w:rPr>
        <w:t>jordbruksprodukter</w:t>
      </w:r>
      <w:r>
        <w:rPr>
          <w:noProof/>
        </w:rPr>
        <w:t xml:space="preserve"> mildrades de handelssnedvridande aspekterna av ett förslag till föreskrift som innehöll omotiverade tekniska krav för ost av obehandlad mjölk efter EU:s ingripande, vilka skulle ha haft en negativ inverkan på företag från EU. </w:t>
      </w:r>
    </w:p>
    <w:p>
      <w:pPr>
        <w:spacing w:line="288" w:lineRule="auto"/>
        <w:rPr>
          <w:noProof/>
        </w:rPr>
      </w:pPr>
      <w:r>
        <w:rPr>
          <w:noProof/>
        </w:rPr>
        <w:t xml:space="preserve">Mer generellt har Sydkorea också ändrat sina tullförfaranden för </w:t>
      </w:r>
      <w:r>
        <w:rPr>
          <w:i/>
          <w:noProof/>
        </w:rPr>
        <w:t>ursprungskontroller</w:t>
      </w:r>
      <w:r>
        <w:rPr>
          <w:noProof/>
        </w:rPr>
        <w:t xml:space="preserve">. Fram till 2016 utförde Koreas tullmyndighet sina ursprungskontroller av EU-varor på ett sätt som motsvarar metoden för direkta ursprungskontroller, dvs. genom att direkt ta kontakt med importörerna. EU-företag inom olika branscher klagade över denna metod, som strider mot de indirekta ursprungskontroller som föreskrivs i frihandelsavtalet. Efter EU:s ingripande har Korea godtagit indirekt ursprungskontroll enligt frihandelsavtalet, vilket avsevärt har förbättrat EU-exportörernas situation. </w:t>
      </w:r>
    </w:p>
    <w:p>
      <w:pPr>
        <w:spacing w:line="288" w:lineRule="auto"/>
        <w:rPr>
          <w:noProof/>
        </w:rPr>
      </w:pPr>
      <w:r>
        <w:rPr>
          <w:noProof/>
        </w:rPr>
        <w:lastRenderedPageBreak/>
        <w:t xml:space="preserve">Ett ytterligare långvarigt problem rör Sydkoreas tullbehandling av (återimporterade) </w:t>
      </w:r>
      <w:r>
        <w:rPr>
          <w:i/>
          <w:noProof/>
        </w:rPr>
        <w:t>reparerade varor</w:t>
      </w:r>
      <w:r>
        <w:rPr>
          <w:noProof/>
        </w:rPr>
        <w:t xml:space="preserve">. Frihandelsavtalet mellan EU och Sydkorea innehåller ingen bestämmelse om att reparerade varor befrias från tull när de förs in i Sydkorea igen efter att ha reparerats i EU. Efter många ingripanden från kommissionens sida förlängde Sydkorea i december 2016 den gällande tullbefrielsen till slutet av 2018. Förutom denna tillfälliga lösning kommer EU även att fortsätta att söka en långsiktig lösning på detta problem, även i samband med eventuella ändringar av frihandelsavtalet.  </w:t>
      </w:r>
    </w:p>
    <w:p>
      <w:pPr>
        <w:spacing w:line="288" w:lineRule="auto"/>
        <w:rPr>
          <w:noProof/>
        </w:rPr>
      </w:pPr>
      <w:r>
        <w:rPr>
          <w:noProof/>
        </w:rPr>
        <w:t>2.</w:t>
      </w:r>
      <w:r>
        <w:rPr>
          <w:noProof/>
        </w:rPr>
        <w:tab/>
        <w:t xml:space="preserve">Kina </w:t>
      </w:r>
    </w:p>
    <w:p>
      <w:pPr>
        <w:spacing w:line="288" w:lineRule="auto"/>
        <w:rPr>
          <w:noProof/>
        </w:rPr>
      </w:pPr>
      <w:r>
        <w:rPr>
          <w:noProof/>
        </w:rPr>
        <w:t xml:space="preserve">Kina hör fortfarande till de länder som oftast använder hinder för marknadstillträde, vilket framgår både av det totala antalet registrerade åtgärder (23) och de nya åtgärder som började tillämpas under 2016 (två). Tre registrerade hinder utvecklades dock positivt under 2016, vilket visar att EU:s strategi för undanröjande av hinder även kan fungera effektivt gentemot större ekonomier. </w:t>
      </w:r>
    </w:p>
    <w:p>
      <w:pPr>
        <w:spacing w:line="288" w:lineRule="auto"/>
        <w:rPr>
          <w:noProof/>
        </w:rPr>
      </w:pPr>
      <w:r>
        <w:rPr>
          <w:noProof/>
        </w:rPr>
        <w:t xml:space="preserve">Framsteg har gjorts när det gäller ett stort hinder inom </w:t>
      </w:r>
      <w:r>
        <w:rPr>
          <w:i/>
          <w:noProof/>
        </w:rPr>
        <w:t>IKT-sektorn</w:t>
      </w:r>
      <w:r>
        <w:rPr>
          <w:noProof/>
        </w:rPr>
        <w:t>. Kina planerade att införa regler som tvingar företag som handlar upp IKT-varor för kinesiska banker att använda kinesiska immateriella rättigheter och lämna ut viktiga programvarukoder, som anses utgöra affärshemligheter. Efter kommissionens ingripande på hög nivå har Kina beslutat att tillfälligt stoppa införandet av åtgärden i väntan på en översyn av föreskriften. Kommissionen kommer att fortsätta att övervaka denna fråga, med målet att lösa den fullständigt i praktiken.</w:t>
      </w:r>
    </w:p>
    <w:p>
      <w:pPr>
        <w:spacing w:line="288" w:lineRule="auto"/>
        <w:rPr>
          <w:noProof/>
        </w:rPr>
      </w:pPr>
      <w:r>
        <w:rPr>
          <w:noProof/>
        </w:rPr>
        <w:t xml:space="preserve">Ett annat positivt resultat nåddes inom </w:t>
      </w:r>
      <w:r>
        <w:rPr>
          <w:i/>
          <w:noProof/>
        </w:rPr>
        <w:t>kosmetikasektorn</w:t>
      </w:r>
      <w:r>
        <w:rPr>
          <w:noProof/>
        </w:rPr>
        <w:t>, där ny lagstiftning förväntades medföra betungande krav, t.ex. förbud mot att anbringa en ny etikett över originalmärkningen eller kravet att ange underleverantörers namn och adress på förpackningen. Efter det att EU ingripit i alla relevanta multilaterala och bilaterala forum gick Kina med på att stoppa åtgärden. Till följd av detta kunde kosmetikaföretag från EU från 2016 fortsätta sin export till Kina som förut.</w:t>
      </w:r>
    </w:p>
    <w:p>
      <w:pPr>
        <w:spacing w:line="288" w:lineRule="auto"/>
        <w:rPr>
          <w:noProof/>
        </w:rPr>
      </w:pPr>
      <w:r>
        <w:rPr>
          <w:noProof/>
        </w:rPr>
        <w:t xml:space="preserve">Ett framsteg gjordes även inom </w:t>
      </w:r>
      <w:r>
        <w:rPr>
          <w:i/>
          <w:noProof/>
        </w:rPr>
        <w:t>spritdryckssektorn</w:t>
      </w:r>
      <w:r>
        <w:rPr>
          <w:noProof/>
        </w:rPr>
        <w:t xml:space="preserve">: Kina hade fortsatt att tillämpa en omotiverad sanitär och fytosanitär åtgärd med krav på mycket låga halter av vissa ftalater, som var strängare än de föreskrivna säkerhetsnivåerna i deras egen riskbedömning. Problemet löstes 2016 när Kina bekräftade att man skulle återgå till tidigare praxis utifrån resultatet av den egna riskbedömningen, vilket säkerställer att EU:s spritdryckesexportörer kan fortsätta sin verksamhet.  </w:t>
      </w:r>
    </w:p>
    <w:p>
      <w:pPr>
        <w:spacing w:line="288" w:lineRule="auto"/>
        <w:rPr>
          <w:noProof/>
        </w:rPr>
      </w:pPr>
      <w:r>
        <w:rPr>
          <w:noProof/>
        </w:rPr>
        <w:t>3.</w:t>
      </w:r>
      <w:r>
        <w:rPr>
          <w:noProof/>
        </w:rPr>
        <w:tab/>
        <w:t>Israel</w:t>
      </w:r>
    </w:p>
    <w:p>
      <w:pPr>
        <w:spacing w:line="288" w:lineRule="auto"/>
        <w:rPr>
          <w:noProof/>
        </w:rPr>
      </w:pPr>
      <w:r>
        <w:rPr>
          <w:noProof/>
        </w:rPr>
        <w:t xml:space="preserve">Handelsförbindelserna mellan EU och Israel grunds på ett associeringsavtal som trädde i kraft 2000. Israel har generellt sett varit positivt inställt till att underlätta handeln och har inte använt hinder för marknadstillträde gentemot EU-företag särskilt ofta, vilket i sin tur har bidragit till starka handelsförbindelser. Två hinder löstes 2016, och nu återstår totalt endast tre aktiva hinder i databasen över marknadstillträde.  </w:t>
      </w:r>
    </w:p>
    <w:p>
      <w:pPr>
        <w:spacing w:line="288" w:lineRule="auto"/>
        <w:rPr>
          <w:noProof/>
        </w:rPr>
      </w:pPr>
      <w:r>
        <w:rPr>
          <w:noProof/>
        </w:rPr>
        <w:lastRenderedPageBreak/>
        <w:t xml:space="preserve">Ett av de hinder som löstes nyligen rör </w:t>
      </w:r>
      <w:r>
        <w:rPr>
          <w:i/>
          <w:noProof/>
        </w:rPr>
        <w:t>läkemedelsexport</w:t>
      </w:r>
      <w:r>
        <w:rPr>
          <w:noProof/>
        </w:rPr>
        <w:t>: Efter direkta kontakter med det israeliska hälsoministeriet har Israel nu samtyckt till att behandla ansökningar om godkännande för försäljning av läkemedel från samtliga EU-medlemsstater, även de medlemsstater som anslöt sig till EU från och med 2004. Nu har även företag från dessa medlemsstater möjlighet att exportera läkemedelsprodukter till Israel. EU har gott hopp om att ett liknande hinder för medicintekniska produkter också kommer att lösas snart.</w:t>
      </w:r>
    </w:p>
    <w:p>
      <w:pPr>
        <w:spacing w:line="288" w:lineRule="auto"/>
        <w:rPr>
          <w:noProof/>
        </w:rPr>
      </w:pPr>
      <w:r>
        <w:rPr>
          <w:noProof/>
        </w:rPr>
        <w:t xml:space="preserve">Sedan 2016 har Israel även åter börjat bevilja flera medlemsstater tillstånd att exportera levande nötkreatur, så det sanitära och fytosanitära problemet har också lösts. </w:t>
      </w:r>
    </w:p>
    <w:p>
      <w:pPr>
        <w:spacing w:line="288" w:lineRule="auto"/>
        <w:rPr>
          <w:noProof/>
        </w:rPr>
      </w:pPr>
      <w:r>
        <w:rPr>
          <w:noProof/>
        </w:rPr>
        <w:t>4.</w:t>
      </w:r>
      <w:r>
        <w:rPr>
          <w:noProof/>
        </w:rPr>
        <w:tab/>
        <w:t>Ukraina</w:t>
      </w:r>
    </w:p>
    <w:p>
      <w:pPr>
        <w:spacing w:line="288" w:lineRule="auto"/>
        <w:rPr>
          <w:noProof/>
        </w:rPr>
      </w:pPr>
      <w:r>
        <w:rPr>
          <w:noProof/>
        </w:rPr>
        <w:t>Det djupgående och omfattande frihandelsavtalet mellan EU och Ukraina har tillämpats provisoriskt sedan den 1 januari 2016, vilket har lett till fortsatta förbättringar av handelsförbindelserna. Det totala antalet aktiva hinder för handel i Ukraina har minskat från fem till fyra, efter det att två hinder undanröjdes och ett nytt hinder infördes 2016. Vad gäller den nyligen införda åtgärden, som består av en exporttull för metallskrot, är det viktigt att påpeka att åtgärden, efter kommissionens ingripande och ett veto från Ukrainas president mot det ursprungliga förslaget, till slut förkortades till ett år och förväntas löpa ut i september 2017. Detta kommer att leda till att det totala antalet hinder minskas ytterligare.</w:t>
      </w:r>
    </w:p>
    <w:p>
      <w:pPr>
        <w:spacing w:line="288" w:lineRule="auto"/>
        <w:rPr>
          <w:noProof/>
        </w:rPr>
      </w:pPr>
      <w:r>
        <w:rPr>
          <w:noProof/>
        </w:rPr>
        <w:t xml:space="preserve">Ukraina har gjort framsteg med att undanröja hinder som är problematiska för EU:s exportörer, exempelvis genom att avskaffa det långvariga sanitära och fytosanitära förbudet mot </w:t>
      </w:r>
      <w:r>
        <w:rPr>
          <w:i/>
          <w:noProof/>
        </w:rPr>
        <w:t xml:space="preserve">nöt- och kalvkött </w:t>
      </w:r>
      <w:r>
        <w:rPr>
          <w:noProof/>
        </w:rPr>
        <w:t xml:space="preserve">(även om vissa importvillkor fortfarande inte fullständigt överensstämmer med EU:s normer) och det lika långvariga karantänkravet för import eller transit av </w:t>
      </w:r>
      <w:r>
        <w:rPr>
          <w:i/>
          <w:noProof/>
        </w:rPr>
        <w:t>grönsaker</w:t>
      </w:r>
      <w:r>
        <w:rPr>
          <w:noProof/>
        </w:rPr>
        <w:t xml:space="preserve">. Det är dock beklagligt att det förbud mot virkesexport som Ukraina införde 2015 fortfarande gäller, trots Ukrainas många utfästelser om att avskaffa åtgärden. Tillsammans med sina partner i det utökade partnerskapet för handelstillträde kommer kommissionen att fortsätta att övervaka genomförandet av det djupgående och omfattande frihandelsavtalet för att lösa befintliga hinder och förhindra att nya hinder uppkommer. </w:t>
      </w:r>
    </w:p>
    <w:p>
      <w:pPr>
        <w:spacing w:line="288" w:lineRule="auto"/>
        <w:rPr>
          <w:noProof/>
        </w:rPr>
      </w:pPr>
      <w:r>
        <w:rPr>
          <w:noProof/>
        </w:rPr>
        <w:t>D.</w:t>
      </w:r>
      <w:r>
        <w:rPr>
          <w:noProof/>
        </w:rPr>
        <w:tab/>
        <w:t>HANDELSFLÖDEN SOM POTENTIELLT PÅVERKAS AV DE HINDER SOM LÖSTS 2016</w:t>
      </w:r>
    </w:p>
    <w:p>
      <w:pPr>
        <w:spacing w:line="288" w:lineRule="auto"/>
        <w:rPr>
          <w:noProof/>
        </w:rPr>
      </w:pPr>
      <w:r>
        <w:rPr>
          <w:noProof/>
        </w:rPr>
        <w:t>I avsaknad av tillräckligt tillförlitliga ekonomiska uppgifter i detta skede användes samma metod som förklaras i avsnitt II.B även för att beräkna de handelsflöden som potentiellt påverkas av de hinder som löstes 2016. Metoden är allt annat än perfekt – att bedöma handelsflöden för tidigare år i fråga om lösta hinder snedvrider siffrorna eftersom EU:s export har hämmats av de tidigare hindren – men den ger åtminstone (om än eventuellt underskattade) indikationer på betydelsen av de handelsflöden som kan gynnas av att hindren lösts.</w:t>
      </w:r>
    </w:p>
    <w:p>
      <w:pPr>
        <w:spacing w:line="288" w:lineRule="auto"/>
        <w:rPr>
          <w:noProof/>
        </w:rPr>
      </w:pPr>
      <w:r>
        <w:rPr>
          <w:noProof/>
        </w:rPr>
        <w:lastRenderedPageBreak/>
        <w:t xml:space="preserve">Metoden användes för 17 av de 20 hinder som löstes 2016 samt det IKT-relaterade problem i Kina som beskrivs i det föregående avsnittet. Undantagen rör även här övergripande hinder (reparerade varor och ursprungskontroll i Sydkorea). Även om det ekonomiska värde som skapas till följd av undanröjandet av dessa hinder förväntas vara avsevärt, är det ändå alltför svårt att identifiera och mäta relevanta handelsflöden. De ingår därför inte i analysen.  </w:t>
      </w:r>
    </w:p>
    <w:p>
      <w:pPr>
        <w:spacing w:line="288" w:lineRule="auto"/>
        <w:rPr>
          <w:noProof/>
        </w:rPr>
      </w:pPr>
      <w:r>
        <w:rPr>
          <w:noProof/>
        </w:rPr>
        <w:t>Baserat på denna metod kan de handelshinder som lösts 2016 dock ha en positiv inverkan på EU-export till ett belopp av 4,2 miljarder euro</w:t>
      </w:r>
      <w:r>
        <w:rPr>
          <w:rStyle w:val="FootnoteReference"/>
          <w:noProof/>
        </w:rPr>
        <w:footnoteReference w:id="21"/>
      </w:r>
      <w:r>
        <w:rPr>
          <w:noProof/>
        </w:rPr>
        <w:t>.</w:t>
      </w:r>
      <w:r>
        <w:rPr>
          <w:rStyle w:val="FootnoteReference"/>
          <w:noProof/>
        </w:rPr>
        <w:t xml:space="preserve"> </w:t>
      </w:r>
      <w:r>
        <w:rPr>
          <w:noProof/>
        </w:rPr>
        <w:t>Trots att metoden har sina begränsningar kommer det i alla händelser att vara nyttigt inför framtiden att följa utvecklingen av handeln inom dessa områden nu när hindren är lösta, för att dra mer exakta slutsatser om effekterna av att de har lösts</w:t>
      </w:r>
      <w:r>
        <w:rPr>
          <w:rStyle w:val="FootnoteReference"/>
          <w:noProof/>
        </w:rPr>
        <w:footnoteReference w:id="22"/>
      </w:r>
      <w:r>
        <w:rPr>
          <w:noProof/>
        </w:rPr>
        <w:t>.</w:t>
      </w:r>
    </w:p>
    <w:p>
      <w:pPr>
        <w:spacing w:line="288" w:lineRule="auto"/>
        <w:rPr>
          <w:noProof/>
        </w:rPr>
      </w:pPr>
      <w:r>
        <w:rPr>
          <w:noProof/>
        </w:rPr>
        <w:t xml:space="preserve">När det gäller de handelsflöden som potentiellt kan påverkas med avseende på specifika hinder, förbättrades EU-exportörernas handelsmöjligheter avsevärt efter det att sju sanitära och fytosanitära hinder undanröjts 2016, vilket berörde EU-export till ett värde av totalt 1,86 miljarder euro. EU-jordbrukare gynnades till exempel av avskaffandet av den sanitära och fytosanitära restriktion som tidigare tillämpades av Ukraina, som eventuellt påverkade export till ett värde av 602,62 miljoner euro. </w:t>
      </w:r>
    </w:p>
    <w:p>
      <w:pPr>
        <w:spacing w:line="288" w:lineRule="auto"/>
        <w:rPr>
          <w:noProof/>
        </w:rPr>
      </w:pPr>
      <w:r>
        <w:rPr>
          <w:noProof/>
        </w:rPr>
        <w:t>De hinder med avseende på kosmetika och spritdrycker som löstes i Kina kan också ha en stor inverkan, eftersom EU:s export inom dessa sektorer uppgick till 678,6 miljoner euro respektive 398,39 miljoner euro.</w:t>
      </w:r>
      <w:r>
        <w:rPr>
          <w:rStyle w:val="FootnoteReference"/>
          <w:noProof/>
        </w:rPr>
        <w:t xml:space="preserve"> </w:t>
      </w:r>
      <w:r>
        <w:rPr>
          <w:noProof/>
        </w:rPr>
        <w:t xml:space="preserve">Kosmetikasektorn kan också gynnas av avskaffandet av den diskriminerande behandlingen i Sydkorea, vilket kan ge ett uppsving åt den nuvarande EU-exporten som beräknas uppgå till 452,56 miljoner euro. </w:t>
      </w:r>
    </w:p>
    <w:p>
      <w:pPr>
        <w:keepNext/>
        <w:spacing w:line="288" w:lineRule="auto"/>
        <w:rPr>
          <w:b/>
          <w:noProof/>
        </w:rPr>
      </w:pPr>
      <w:r>
        <w:rPr>
          <w:b/>
          <w:noProof/>
        </w:rPr>
        <w:t>IV. SLUTSATS</w:t>
      </w:r>
    </w:p>
    <w:p>
      <w:pPr>
        <w:spacing w:line="288" w:lineRule="auto"/>
        <w:rPr>
          <w:noProof/>
        </w:rPr>
      </w:pPr>
      <w:r>
        <w:rPr>
          <w:noProof/>
        </w:rPr>
        <w:t>Syftet med årets rapport är att ge en bred översikt över de hinder för handel och investeringar som direkt påverkar EU:s ekonomiska aktörer och som rapporterats och lösts via partnerskapet för marknadstillträde mellan kommissionen, medlemsstaterna och näringslivsorganisationer. Databasen över marknadstillträde, som registrerar dessa hinder, innehåller för närvarande 372 aktiva hinder som rapporterats för 51 länder runtom i världen. Stora ekonomier, som Ryssland, Brasilien, Indien och Indonesien, hör fortfarande till dem som oftast tar till protektionistiska instrument.</w:t>
      </w:r>
    </w:p>
    <w:p>
      <w:pPr>
        <w:spacing w:line="288" w:lineRule="auto"/>
        <w:rPr>
          <w:noProof/>
        </w:rPr>
      </w:pPr>
      <w:r>
        <w:rPr>
          <w:noProof/>
        </w:rPr>
        <w:t xml:space="preserve">Liknande globala trender observerades under kalenderåret 2016, som är referensperioden för denna rapport. Med totalt 36 nya hinder rapporterade 2016 var Ryssland det land som </w:t>
      </w:r>
      <w:r>
        <w:rPr>
          <w:noProof/>
        </w:rPr>
        <w:lastRenderedPageBreak/>
        <w:t xml:space="preserve">använde flest nya handelsbegränsningar, tätt följt av Indien, medan även Kina behöll sin plats bland de fem länder som oftast använder handelshinder. Flera nya åtgärder rapporterades även för Schweiz, medan Algeriet, Egypten och Turkiet var särskilt aktiva när det gäller lokaliseringsåtgärder. Förutom vissa övergripande åtgärder registrerades nya hinder för 13 ekonomiska verksamhetssektorer, där främst sektorn för vin och spritdrycker samt jordbruks- och fiskesektorn ingick, men även bilsektorn, läkemedelssektorn, tjänstesektorn, sektorn för medicintekniska produkter, leksakssektorn och sektorn för järn, stål och icke järnhaltiga metaller. De handelsflöden som potentiellt kan påverkas av alla nya hinder som registrerades 2016 uppskattades till ett belopp av upp till 27,17 miljarder euro, vilket överskrider EU:s totala export till partner som Sydafrika, Algeriet eller Ukraina, och motsvarar 1,6 % av EU:s totala export. </w:t>
      </w:r>
    </w:p>
    <w:p>
      <w:pPr>
        <w:spacing w:line="288" w:lineRule="auto"/>
        <w:rPr>
          <w:noProof/>
        </w:rPr>
      </w:pPr>
      <w:r>
        <w:rPr>
          <w:noProof/>
        </w:rPr>
        <w:t>Mer positivt är dock att strategin för marknadstillträde under 2016 bidrog till att lösa totalt 20 befintliga handels- och investeringshinder inom sju olika sektorer samt övergripande hinder. De positiva tendenser som observerats särskilt i Sydkorea och Ukraina visar att det effektiva genomförandet av frihandelsavtalen har bidragit till att övervinna hinder för marknadstillträde. Kommissionen kommer därför att ytterligare stärka och samordna insatserna med sina partner inom ramen för det utökade partnerskapet för att säkerställa ett ännu effektivare genomförande av EU:s frihandelsavtal. Mycket återstår att göra, men några hinder kunde lösas också i Kina, vilket visar att EU:s strategi för undanröjande av hinder även kan fungera effektivt gentemot stora ekonomier som EU inte har ingått frihandelsavtal med. EU kommer att fortsätta att använda sig av WTO-ramen och vår egen ambitiösa handelsförhandlingsagenda, som även i framtiden kommer att vara avgörande instrument för att hantera hinder. Totalt sett uppgick de handelsflöden som potentiellt påverkades av de hinder som löstes 2016 till omkring 4,2 miljarder euro.</w:t>
      </w:r>
    </w:p>
    <w:p>
      <w:pPr>
        <w:spacing w:line="288" w:lineRule="auto"/>
        <w:rPr>
          <w:noProof/>
        </w:rPr>
      </w:pPr>
      <w:r>
        <w:rPr>
          <w:noProof/>
        </w:rPr>
        <w:t>Sammanfattningsvis har EU:s strategi för marknadstillträde visat sig vara mycket värdefull för att identifiera och undanröja hinder, och bidrar på så sätt till att förbättra export- och investeringsmöjligheterna för EU:s ekonomiska aktörer. Mot bakgrund av den globalt ökande protektionismen kommer kommissionen att ytterligare förstärka sina insatser för att se till att alla aktörer sluter sig samman i partnerskapet för marknadstillträde i syfte att öka den ekonomiska tillväxten och produktiviteten genom öppna marknader i hela världen.</w:t>
      </w:r>
    </w:p>
    <w:sectPr>
      <w:headerReference w:type="even" r:id="rId35"/>
      <w:headerReference w:type="default" r:id="rId36"/>
      <w:footerReference w:type="even" r:id="rId37"/>
      <w:footerReference w:type="default" r:id="rId38"/>
      <w:headerReference w:type="first" r:id="rId39"/>
      <w:footerReference w:type="first" r:id="rId40"/>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b/>
        <w:sz w:val="48"/>
      </w:rPr>
    </w:pPr>
    <w:r>
      <w:rPr>
        <w:rFonts w:ascii="Arial" w:hAnsi="Arial"/>
        <w:b/>
        <w:sz w:val="48"/>
      </w:rPr>
      <w:t>SV</w:t>
    </w:r>
    <w:r>
      <w:rPr>
        <w:rFonts w:ascii="Arial" w:hAnsi="Arial"/>
        <w:b/>
        <w:sz w:val="48"/>
      </w:rPr>
      <w:tab/>
    </w:r>
    <w:r>
      <w:rPr>
        <w:rFonts w:ascii="Arial" w:hAnsi="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563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7248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w:t>
      </w:r>
      <w:r>
        <w:tab/>
        <w:t>Partnerskapet för marknadstillträde inrättades 2007 för att fördjupa samarbetet mellan kommissionen, medlemsstaterna och EU:s företag, både i Bryssel och lokalt. Det grundas på månatliga möten i den rådgivande kommittén för marknadstillträde och sektorsinriktade arbetsgrupper för marknadstillträde i Bryssel samt möten i marknadstillträdesgrupper eller mellan handelsrådgivare i tredjeländer.</w:t>
      </w:r>
    </w:p>
  </w:footnote>
  <w:footnote w:id="2">
    <w:p>
      <w:pPr>
        <w:pStyle w:val="FootnoteText"/>
      </w:pPr>
      <w:r>
        <w:rPr>
          <w:rStyle w:val="FootnoteReference"/>
        </w:rPr>
        <w:footnoteRef/>
      </w:r>
      <w:r>
        <w:t xml:space="preserve"> </w:t>
      </w:r>
      <w:r>
        <w:tab/>
      </w:r>
      <w:hyperlink r:id="rId1">
        <w:r>
          <w:rPr>
            <w:rStyle w:val="Hyperlink"/>
          </w:rPr>
          <w:t>http://trade.ec.europa.eu/doclib/docs/2015/october/tradoc_153846.pdf</w:t>
        </w:r>
      </w:hyperlink>
      <w:r>
        <w:t xml:space="preserve"> </w:t>
      </w:r>
    </w:p>
  </w:footnote>
  <w:footnote w:id="3">
    <w:p>
      <w:pPr>
        <w:pStyle w:val="FootnoteText"/>
      </w:pPr>
      <w:r>
        <w:rPr>
          <w:rStyle w:val="FootnoteReference"/>
        </w:rPr>
        <w:footnoteRef/>
      </w:r>
      <w:r>
        <w:t xml:space="preserve"> </w:t>
      </w:r>
      <w:r>
        <w:tab/>
        <w:t>Kommissionen planerar att anta en ny rapport om genomförandet av handelsavtal i slutet av 2017.</w:t>
      </w:r>
    </w:p>
  </w:footnote>
  <w:footnote w:id="4">
    <w:p>
      <w:pPr>
        <w:pStyle w:val="FootnoteText"/>
      </w:pPr>
      <w:r>
        <w:rPr>
          <w:rStyle w:val="FootnoteReference"/>
        </w:rPr>
        <w:footnoteRef/>
      </w:r>
      <w:r>
        <w:t xml:space="preserve"> </w:t>
      </w:r>
      <w:r>
        <w:tab/>
        <w:t>En mer allmän analys av protektionistiska trender görs fortfarande i den rapport som WTO publicerar vartannat år om protektionistiska åtgärder som vidtagits av G20-länderna. WTO:s senaste rapport om handelsövervakning vid tidpunkten för utarbetandet av denna rapport (</w:t>
      </w:r>
      <w:hyperlink r:id="rId2">
        <w:r>
          <w:rPr>
            <w:rStyle w:val="Hyperlink"/>
          </w:rPr>
          <w:t>https://www.wto.org/english/news_e/news16_e/trdev_09dec16_e.htm</w:t>
        </w:r>
      </w:hyperlink>
      <w:hyperlink w:history="1"/>
      <w:r>
        <w:t xml:space="preserve">) av den 9 december 2016. </w:t>
      </w:r>
    </w:p>
  </w:footnote>
  <w:footnote w:id="5">
    <w:p>
      <w:pPr>
        <w:pStyle w:val="FootnoteText"/>
      </w:pPr>
      <w:r>
        <w:rPr>
          <w:rStyle w:val="FootnoteReference"/>
        </w:rPr>
        <w:footnoteRef/>
      </w:r>
      <w:r>
        <w:t xml:space="preserve"> </w:t>
      </w:r>
      <w:r>
        <w:tab/>
        <w:t>Algeriet, Angola, Argentina, Armenien, Australien, Bangladesh, Vitryssland, Bosnien och Hercegovina, Brasilien, Kanada, Chile, Kina, Colombia, Dominikanska republiken, Ecuador, Egypten, Indien, Indonesien, Israel, Japan, Kazakstan, Libanon, Malaysia, Mexiko, Moldavien, Marocko, Nya Zeeland, Nigeria, Norge, Oman, Pakistan, Paraguay, Peru, Filippinerna, Ryssland, Saudiarabien, Singapore, Sydafrika, Sydkorea, Schweiz, Taiwan, Thailand, Tunisien, Turkiet, Uganda, Ukraina, Uruguay, USA, Venezuela och Vietnam.</w:t>
      </w:r>
    </w:p>
  </w:footnote>
  <w:footnote w:id="6">
    <w:p>
      <w:pPr>
        <w:pStyle w:val="FootnoteText"/>
      </w:pPr>
      <w:r>
        <w:rPr>
          <w:rStyle w:val="FootnoteReference"/>
        </w:rPr>
        <w:footnoteRef/>
      </w:r>
      <w:r>
        <w:t xml:space="preserve"> </w:t>
      </w:r>
      <w:r>
        <w:tab/>
        <w:t>Databasen över marknadstillträde (</w:t>
      </w:r>
      <w:hyperlink r:id="rId3">
        <w:r>
          <w:rPr>
            <w:rStyle w:val="Hyperlink"/>
          </w:rPr>
          <w:t>http://madb.europa.eu/madb/indexPubli.htm</w:t>
        </w:r>
      </w:hyperlink>
      <w:r>
        <w:t>) ger information till företag som exporterar från EU om importvillkor på tredjeländers marknader. Här ingår information om handelshinder, men även om tullar och ursprungsregler, förfaranden och formaliteter för export till tredjeländer, sanitära och fytosanitära åtgärder, statistik samt information om särskilda exporttjänster som tillhandahålls till små och medelstora företag. Omvänt tillhandahåller EU:s tjänst Exporthjälpen (</w:t>
      </w:r>
      <w:hyperlink r:id="rId4">
        <w:r>
          <w:rPr>
            <w:rStyle w:val="Hyperlink"/>
          </w:rPr>
          <w:t>http://exporthelp.europa.eu/thdapp/index.htm</w:t>
        </w:r>
      </w:hyperlink>
      <w:r>
        <w:t>) även information om villkoren för import från handelspartner till EU (inklusive gällande tullar och krav, förmånsordningar samt kvoter och statistik).</w:t>
      </w:r>
    </w:p>
  </w:footnote>
  <w:footnote w:id="7">
    <w:p>
      <w:pPr>
        <w:pStyle w:val="FootnoteText"/>
      </w:pPr>
      <w:r>
        <w:rPr>
          <w:rStyle w:val="FootnoteReference"/>
        </w:rPr>
        <w:footnoteRef/>
      </w:r>
      <w:r>
        <w:t xml:space="preserve"> </w:t>
      </w:r>
      <w:r>
        <w:tab/>
        <w:t>”Aktiva” hinder innebär att de aktivt följs upp av partnerskapet för marknadstillträde (i motsats till reglerade handelshinderärenden).</w:t>
      </w:r>
    </w:p>
  </w:footnote>
  <w:footnote w:id="8">
    <w:p>
      <w:pPr>
        <w:pStyle w:val="FootnoteText"/>
      </w:pPr>
      <w:r>
        <w:rPr>
          <w:rStyle w:val="FootnoteReference"/>
        </w:rPr>
        <w:footnoteRef/>
      </w:r>
      <w:r>
        <w:t xml:space="preserve"> </w:t>
      </w:r>
      <w:r>
        <w:tab/>
        <w:t xml:space="preserve">Jämför t.ex. med den färska gemensamma rapporten från Internationella handelscentrumet (ITC) och kommissionen, </w:t>
      </w:r>
      <w:r>
        <w:rPr>
          <w:i/>
        </w:rPr>
        <w:t>Navigating Non-tariff Measures:</w:t>
      </w:r>
      <w:r>
        <w:t xml:space="preserve"> </w:t>
      </w:r>
      <w:r>
        <w:rPr>
          <w:i/>
        </w:rPr>
        <w:t>Insights</w:t>
      </w:r>
      <w:r>
        <w:t xml:space="preserve"> </w:t>
      </w:r>
      <w:r>
        <w:rPr>
          <w:i/>
        </w:rPr>
        <w:t>From A Business Survey in the European Union</w:t>
      </w:r>
      <w:r>
        <w:t>, december 2016 (</w:t>
      </w:r>
      <w:hyperlink r:id="rId5">
        <w:r>
          <w:rPr>
            <w:rStyle w:val="Hyperlink"/>
          </w:rPr>
          <w:t>http://trade.ec.europa.eu/doclib/docs/2016/december/tradoc_155181.pdf</w:t>
        </w:r>
      </w:hyperlink>
      <w:r>
        <w:t>), översikten av eventuellt handelsbegränsande åtgärder i den föregående rapporten om hinder för handel och investeringar (</w:t>
      </w:r>
      <w:hyperlink r:id="rId6">
        <w:r>
          <w:rPr>
            <w:rStyle w:val="Hyperlink"/>
          </w:rPr>
          <w:t>http://trade.ec.europa.eu/doclib/docs/2016/may/tradoc_154568.pdf</w:t>
        </w:r>
      </w:hyperlink>
      <w:r>
        <w:t xml:space="preserve">; </w:t>
      </w:r>
      <w:hyperlink r:id="rId7">
        <w:r>
          <w:rPr>
            <w:rStyle w:val="Hyperlink"/>
          </w:rPr>
          <w:t>http://trade.ec.europa.eu/doclib/docs/2016/june/tradoc_154665.pdf</w:t>
        </w:r>
      </w:hyperlink>
      <w:r>
        <w:t>) eller tidigare protektionismrapporter.</w:t>
      </w:r>
    </w:p>
  </w:footnote>
  <w:footnote w:id="9">
    <w:p>
      <w:pPr>
        <w:pStyle w:val="FootnoteText"/>
        <w:ind w:left="426" w:hanging="426"/>
      </w:pPr>
      <w:r>
        <w:rPr>
          <w:rStyle w:val="FootnoteReference"/>
        </w:rPr>
        <w:footnoteRef/>
      </w:r>
      <w:r>
        <w:tab/>
        <w:t xml:space="preserve">Algeriet, Armenien, Brasilien, Chile, Kina, Ecuador, Egypten, Indien, Kazakstan, Malaysia, Mexiko, Moldavien, Nya Zeeland, Oman, Ryssland, Sydafrika, Sydkorea, Schweiz,, Turkiet, Ukraina och Uruguay.  </w:t>
      </w:r>
    </w:p>
  </w:footnote>
  <w:footnote w:id="10">
    <w:p>
      <w:pPr>
        <w:pStyle w:val="FootnoteText"/>
        <w:ind w:left="426" w:hanging="426"/>
      </w:pPr>
      <w:r>
        <w:rPr>
          <w:rStyle w:val="FootnoteReference"/>
        </w:rPr>
        <w:footnoteRef/>
      </w:r>
      <w:r>
        <w:tab/>
        <w:t xml:space="preserve">Den 6 februari 2017 meddelade det indiska stålministeriet att systemet med lägsta importpriser inte skulle förlängas ytterligare. Detta hinder finns därför inte kvar och om det bekräftas kommer det att anses utgöra ett löst hinder i 2017 års rapport om hinder för handel och investeringar.  </w:t>
      </w:r>
    </w:p>
  </w:footnote>
  <w:footnote w:id="11">
    <w:p>
      <w:pPr>
        <w:pStyle w:val="FootnoteText"/>
      </w:pPr>
      <w:r>
        <w:rPr>
          <w:rStyle w:val="FootnoteReference"/>
        </w:rPr>
        <w:footnoteRef/>
      </w:r>
      <w:r>
        <w:tab/>
        <w:t>Alla handelshinder utgörs inte av totala handelsförbud, och vissa hinder har mer handelsbegränsande effekter än andra.</w:t>
      </w:r>
    </w:p>
  </w:footnote>
  <w:footnote w:id="12">
    <w:p>
      <w:pPr>
        <w:pStyle w:val="FootnoteText"/>
      </w:pPr>
      <w:r>
        <w:rPr>
          <w:rStyle w:val="FootnoteReference"/>
        </w:rPr>
        <w:footnoteRef/>
      </w:r>
      <w:r>
        <w:tab/>
        <w:t>EU:s genomsnittliga export 2013–2015 låg till grund för analysen.</w:t>
      </w:r>
    </w:p>
  </w:footnote>
  <w:footnote w:id="13">
    <w:p>
      <w:pPr>
        <w:pStyle w:val="FootnoteText"/>
      </w:pPr>
      <w:r>
        <w:rPr>
          <w:rStyle w:val="FootnoteReference"/>
        </w:rPr>
        <w:footnoteRef/>
      </w:r>
      <w:r>
        <w:tab/>
        <w:t>EU:s totala export till Sydafrika 2013–2015 var i genomsnitt 24,41 miljarder euro/år.</w:t>
      </w:r>
    </w:p>
  </w:footnote>
  <w:footnote w:id="14">
    <w:p>
      <w:pPr>
        <w:pStyle w:val="FootnoteText"/>
      </w:pPr>
      <w:r>
        <w:rPr>
          <w:rStyle w:val="FootnoteReference"/>
        </w:rPr>
        <w:footnoteRef/>
      </w:r>
      <w:r>
        <w:tab/>
        <w:t>EU:s totala export till Algeriet 2013–2015 var i genomsnitt 22,67 miljarder euro/år.</w:t>
      </w:r>
    </w:p>
  </w:footnote>
  <w:footnote w:id="15">
    <w:p>
      <w:pPr>
        <w:pStyle w:val="FootnoteText"/>
      </w:pPr>
      <w:r>
        <w:rPr>
          <w:rStyle w:val="FootnoteReference"/>
        </w:rPr>
        <w:footnoteRef/>
      </w:r>
      <w:r>
        <w:tab/>
        <w:t>EU:s totala export till Ukraina 2013–2015 var i genomsnitt 18,31 miljarder euro/år.</w:t>
      </w:r>
    </w:p>
  </w:footnote>
  <w:footnote w:id="16">
    <w:p>
      <w:pPr>
        <w:pStyle w:val="FootnoteText"/>
      </w:pPr>
      <w:r>
        <w:rPr>
          <w:rStyle w:val="FootnoteReference"/>
        </w:rPr>
        <w:footnoteRef/>
      </w:r>
      <w:r>
        <w:t xml:space="preserve"> </w:t>
      </w:r>
      <w:r>
        <w:tab/>
        <w:t xml:space="preserve">Rapporten om hinder för handel och investeringar, s. 17–23. </w:t>
      </w:r>
      <w:hyperlink r:id="rId8">
        <w:r>
          <w:rPr>
            <w:rStyle w:val="Hyperlink"/>
          </w:rPr>
          <w:t>http://trade.ec.europa.eu/doclib/docs/2016/june/tradoc_154665.pdf</w:t>
        </w:r>
      </w:hyperlink>
      <w:r>
        <w:t xml:space="preserve"> </w:t>
      </w:r>
    </w:p>
  </w:footnote>
  <w:footnote w:id="17">
    <w:p>
      <w:pPr>
        <w:pStyle w:val="FootnoteText"/>
      </w:pPr>
      <w:r>
        <w:rPr>
          <w:rStyle w:val="FootnoteReference"/>
        </w:rPr>
        <w:footnoteRef/>
      </w:r>
      <w:r>
        <w:t xml:space="preserve"> </w:t>
      </w:r>
      <w:r>
        <w:tab/>
        <w:t>WTO:s kommitté för tekniska handelshinder.</w:t>
      </w:r>
    </w:p>
  </w:footnote>
  <w:footnote w:id="18">
    <w:p>
      <w:pPr>
        <w:pStyle w:val="FootnoteText"/>
      </w:pPr>
      <w:r>
        <w:rPr>
          <w:rStyle w:val="FootnoteReference"/>
        </w:rPr>
        <w:footnoteRef/>
      </w:r>
      <w:r>
        <w:t xml:space="preserve"> </w:t>
      </w:r>
      <w:r>
        <w:tab/>
        <w:t>WTO:s kommitté för sanitära och fytosanitära åtgärder.</w:t>
      </w:r>
    </w:p>
  </w:footnote>
  <w:footnote w:id="19">
    <w:p>
      <w:pPr>
        <w:pStyle w:val="FootnoteText"/>
      </w:pPr>
      <w:r>
        <w:rPr>
          <w:rStyle w:val="FootnoteReference"/>
        </w:rPr>
        <w:footnoteRef/>
      </w:r>
      <w:r>
        <w:t xml:space="preserve"> </w:t>
      </w:r>
      <w:r>
        <w:tab/>
        <w:t>WTO:s kommitté för subventioner och utjämningsåtgärder.</w:t>
      </w:r>
    </w:p>
  </w:footnote>
  <w:footnote w:id="20">
    <w:p>
      <w:pPr>
        <w:pStyle w:val="FootnoteText"/>
      </w:pPr>
      <w:r>
        <w:rPr>
          <w:rStyle w:val="FootnoteReference"/>
        </w:rPr>
        <w:footnoteRef/>
      </w:r>
      <w:r>
        <w:t xml:space="preserve"> </w:t>
      </w:r>
      <w:r>
        <w:tab/>
        <w:t>WTO:s kommitté för handelsrelaterade investeringsåtgärder.</w:t>
      </w:r>
    </w:p>
  </w:footnote>
  <w:footnote w:id="21">
    <w:p>
      <w:pPr>
        <w:pStyle w:val="FootnoteText"/>
        <w:ind w:left="284" w:hanging="284"/>
      </w:pPr>
      <w:r>
        <w:rPr>
          <w:rStyle w:val="FootnoteReference"/>
        </w:rPr>
        <w:footnoteRef/>
      </w:r>
      <w:r>
        <w:tab/>
        <w:t>Grunden för analysen är även här EU:s genomsnittliga export 2013–2015 inom de berörda HS-numren.</w:t>
      </w:r>
    </w:p>
  </w:footnote>
  <w:footnote w:id="22">
    <w:p>
      <w:pPr>
        <w:pStyle w:val="FootnoteText"/>
        <w:ind w:left="284" w:hanging="284"/>
      </w:pPr>
      <w:r>
        <w:rPr>
          <w:rStyle w:val="FootnoteReference"/>
        </w:rPr>
        <w:footnoteRef/>
      </w:r>
      <w:r>
        <w:tab/>
        <w:t>Kommissionen har tagit fram en metod för att mer exakt bedöma inverkan av lösta hinder, men enligt den metoden måste handelsflödena observeras efter det att hindret i fråga har avskaffats. En sådan analys gjordes senast 2015 och visade att de hinder som undanröjts 2012 och 2013 inom strategin för marknadstillträde ledde till ytterligare handelsflöden till ett belopp av 2,4 miljarder euro under 2014. Detta motsvarar ett litet frihandelsavtal, såsom det som ingåtts med Colombia.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4"/>
  </w:num>
  <w:num w:numId="4">
    <w:abstractNumId w:val="12"/>
  </w:num>
  <w:num w:numId="5">
    <w:abstractNumId w:val="6"/>
  </w:num>
  <w:num w:numId="6">
    <w:abstractNumId w:val="11"/>
  </w:num>
  <w:num w:numId="7">
    <w:abstractNumId w:val="17"/>
  </w:num>
  <w:num w:numId="8">
    <w:abstractNumId w:val="18"/>
  </w:num>
  <w:num w:numId="9">
    <w:abstractNumId w:val="9"/>
  </w:num>
  <w:num w:numId="10">
    <w:abstractNumId w:val="16"/>
  </w:num>
  <w:num w:numId="11">
    <w:abstractNumId w:val="15"/>
  </w:num>
  <w:num w:numId="12">
    <w:abstractNumId w:val="13"/>
  </w:num>
  <w:num w:numId="13">
    <w:abstractNumId w:val="14"/>
  </w:num>
  <w:num w:numId="14">
    <w:abstractNumId w:val="5"/>
  </w:num>
  <w:num w:numId="15">
    <w:abstractNumId w:val="10"/>
  </w:num>
  <w:num w:numId="16">
    <w:abstractNumId w:val="3"/>
  </w:num>
  <w:num w:numId="17">
    <w:abstractNumId w:val="7"/>
  </w:num>
  <w:num w:numId="18">
    <w:abstractNumId w:val="19"/>
  </w:num>
  <w:num w:numId="19">
    <w:abstractNumId w:val="8"/>
  </w:num>
  <w:num w:numId="20">
    <w:abstractNumId w:val="20"/>
  </w:num>
  <w:num w:numId="21">
    <w:abstractNumId w:val="2"/>
  </w:num>
  <w:num w:numId="22">
    <w:abstractNumId w:val="8"/>
  </w:num>
  <w:num w:numId="23">
    <w:abstractNumId w:val="8"/>
  </w:num>
  <w:num w:numId="24">
    <w:abstractNumId w:val="8"/>
  </w:num>
  <w:num w:numId="25">
    <w:abstractNumId w:val="8"/>
  </w:num>
  <w:num w:numId="26">
    <w:abstractNumId w:val="8"/>
  </w:num>
  <w:num w:numId="2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AE5DFCC79566445AA3256470543C55BA"/>
    <w:docVar w:name="LW_CROSSREFERENCE" w:val="&lt;UNUSED&gt;"/>
    <w:docVar w:name="LW_DocType" w:val="REP"/>
    <w:docVar w:name="LW_EMISSION" w:val="23.6.2017"/>
    <w:docVar w:name="LW_EMISSION_ISODATE" w:val="2017-06-23"/>
    <w:docVar w:name="LW_EMISSION_LOCATION" w:val="BRX"/>
    <w:docVar w:name="LW_EMISSION_PREFIX" w:val="Bryssel den "/>
    <w:docVar w:name="LW_EMISSION_SUFFIX" w:val=" "/>
    <w:docVar w:name="LW_ID_DOCTYPE_NONLW" w:val="CP-006"/>
    <w:docVar w:name="LW_LANGUE" w:val="SV"/>
    <w:docVar w:name="LW_MARKING" w:val="&lt;UNUSED&g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7) 338"/>
    <w:docVar w:name="LW_REF.INTERNE" w:val="&lt;UNUSED&gt;"/>
    <w:docVar w:name="LW_SOUS.TITRE.OBJ.CP" w:val="&lt;UNUSED&gt;"/>
    <w:docVar w:name="LW_SUPERTITRE" w:val="&lt;UNUSED&gt;"/>
    <w:docVar w:name="LW_TITRE.OBJ.CP" w:val="om hinder för handel och investeringar_x000b__x000b_1 januari 2016\u8211?31 december 2016"/>
    <w:docVar w:name="LW_TYPE.DOC.CP" w:val="RAPPORT FRÅN KOMMISSIONEN TILL EUROPAPARLAMENTET OCH RÅDE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sv-SE"/>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sv-S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sv-SE"/>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sv-SE"/>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sv-S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sv-SE"/>
    </w:rPr>
  </w:style>
  <w:style w:type="character" w:customStyle="1" w:styleId="CommentSubjectChar">
    <w:name w:val="Comment Subject Char"/>
    <w:basedOn w:val="CommentTextChar"/>
    <w:link w:val="CommentSubject"/>
    <w:uiPriority w:val="99"/>
    <w:semiHidden/>
    <w:rPr>
      <w:b/>
      <w:bCs/>
      <w:lang w:eastAsia="sv-SE"/>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sv-SE"/>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sv-S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sv-SE"/>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sv-SE"/>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sv-S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sv-SE"/>
    </w:rPr>
  </w:style>
  <w:style w:type="character" w:customStyle="1" w:styleId="CommentSubjectChar">
    <w:name w:val="Comment Subject Char"/>
    <w:basedOn w:val="CommentTextChar"/>
    <w:link w:val="CommentSubject"/>
    <w:uiPriority w:val="99"/>
    <w:semiHidden/>
    <w:rPr>
      <w:b/>
      <w:bCs/>
      <w:lang w:eastAsia="sv-SE"/>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7.emf"/><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trade.ec.europa.eu/doclib/docs/2016/june/tradoc_154665.pdf" TargetMode="External"/><Relationship Id="rId3" Type="http://schemas.openxmlformats.org/officeDocument/2006/relationships/hyperlink" Target="http://madb.europa.eu/madb/indexPubli.htm" TargetMode="External"/><Relationship Id="rId7" Type="http://schemas.openxmlformats.org/officeDocument/2006/relationships/hyperlink" Target="http://trade.ec.europa.eu/doclib/docs/2016/june/tradoc_154665.pdf" TargetMode="External"/><Relationship Id="rId2" Type="http://schemas.openxmlformats.org/officeDocument/2006/relationships/hyperlink" Target="https://www.wto.org/english/news_e/news16_e/trdev_09dec16_e.htm" TargetMode="External"/><Relationship Id="rId1" Type="http://schemas.openxmlformats.org/officeDocument/2006/relationships/hyperlink" Target="http://trade.ec.europa.eu/doclib/docs/2015/october/tradoc_153846.pdf" TargetMode="External"/><Relationship Id="rId6" Type="http://schemas.openxmlformats.org/officeDocument/2006/relationships/hyperlink" Target="http://trade.ec.europa.eu/doclib/docs/2016/may/tradoc_154568.pdf" TargetMode="External"/><Relationship Id="rId5" Type="http://schemas.openxmlformats.org/officeDocument/2006/relationships/hyperlink" Target="http://trade.ec.europa.eu/doclib/docs/2016/december/tradoc_155181.pdf" TargetMode="External"/><Relationship Id="rId4" Type="http://schemas.openxmlformats.org/officeDocument/2006/relationships/hyperlink" Target="http://exporthelp.europa.eu/thdapp/index.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3E6C0-9333-4F7C-91A2-239E41E5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145</TotalTime>
  <Pages>26</Pages>
  <Words>7513</Words>
  <Characters>46511</Characters>
  <Application>Microsoft Office Word</Application>
  <DocSecurity>0</DocSecurity>
  <PresentationFormat>Microsoft Word 14.0</PresentationFormat>
  <Lines>738</Lines>
  <Paragraphs>176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23</cp:revision>
  <cp:lastPrinted>2017-05-10T14:39:00Z</cp:lastPrinted>
  <dcterms:created xsi:type="dcterms:W3CDTF">2017-06-13T09:29:00Z</dcterms:created>
  <dcterms:modified xsi:type="dcterms:W3CDTF">2017-06-16T13:45:00Z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ies>
</file>