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883" w:rsidRDefault="00F13BA0">
      <w:pPr>
        <w:pStyle w:val="Pagedecouverture"/>
        <w:rPr>
          <w:noProof/>
        </w:rPr>
      </w:pPr>
      <w:bookmarkStart w:id="0" w:name="LW_BM_COVERPAGE"/>
      <w:bookmarkStart w:id="1" w:name="_Toc440028495"/>
      <w:bookmarkStart w:id="2" w:name="_Toc44061417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55B9A60E61C48D2A25B0400DCB25449" style="width:450.75pt;height:307.5pt">
            <v:imagedata r:id="rId9" o:title=""/>
          </v:shape>
        </w:pict>
      </w:r>
    </w:p>
    <w:bookmarkEnd w:id="0"/>
    <w:p w:rsidR="00E43883" w:rsidRDefault="00E43883">
      <w:pPr>
        <w:pStyle w:val="Heading1"/>
        <w:rPr>
          <w:noProof/>
        </w:rPr>
        <w:sectPr w:rsidR="00E43883">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E43883" w:rsidRDefault="00F13BA0">
      <w:pPr>
        <w:pStyle w:val="Heading1"/>
        <w:rPr>
          <w:noProof/>
        </w:rPr>
      </w:pPr>
      <w:r>
        <w:rPr>
          <w:rStyle w:val="Heading1Char"/>
          <w:b/>
          <w:smallCaps/>
          <w:noProof/>
        </w:rPr>
        <w:lastRenderedPageBreak/>
        <w:t>Potreba po ukrepanju EU zoper odpornost proti antimikrobikom</w:t>
      </w:r>
    </w:p>
    <w:p w:rsidR="00E43883" w:rsidRDefault="00F13BA0">
      <w:pPr>
        <w:pStyle w:val="Heading2"/>
        <w:rPr>
          <w:noProof/>
        </w:rPr>
      </w:pPr>
      <w:r>
        <w:rPr>
          <w:noProof/>
        </w:rPr>
        <w:t>Stanje</w:t>
      </w:r>
    </w:p>
    <w:p w:rsidR="00E43883" w:rsidRDefault="00F13BA0">
      <w:pPr>
        <w:autoSpaceDE w:val="0"/>
        <w:autoSpaceDN w:val="0"/>
        <w:adjustRightInd w:val="0"/>
        <w:spacing w:after="0"/>
        <w:rPr>
          <w:rFonts w:ascii="Times New Roman" w:hAnsi="Times New Roman"/>
          <w:noProof/>
          <w:sz w:val="24"/>
          <w:szCs w:val="24"/>
        </w:rPr>
      </w:pPr>
      <w:r>
        <w:rPr>
          <w:rFonts w:ascii="Times New Roman" w:hAnsi="Times New Roman"/>
          <w:noProof/>
          <w:sz w:val="24"/>
        </w:rPr>
        <w:t xml:space="preserve">Antimikrobiki, ki rešujejo </w:t>
      </w:r>
      <w:r>
        <w:rPr>
          <w:rFonts w:ascii="Times New Roman" w:hAnsi="Times New Roman"/>
          <w:noProof/>
          <w:sz w:val="24"/>
        </w:rPr>
        <w:t>življenja, so po odkritju penicilina leta 1928 korenito spremenili našo družbo in gospodarstvo. Nekoč smrtonosne bolezni so postale povsem običajne lažje zdravstvene težave, ki zahtevajo zgolj kratko zdravljenje. Te dosežke pa danes ogroža predvsem prekome</w:t>
      </w:r>
      <w:r>
        <w:rPr>
          <w:rFonts w:ascii="Times New Roman" w:hAnsi="Times New Roman"/>
          <w:noProof/>
          <w:sz w:val="24"/>
        </w:rPr>
        <w:t>rna ali neustrezna raba antimikrobikov, kar je pripeljalo do naraščajočega pojavljanja in širjenja multirezistentnih bakterij. Brez učinkovitih ukrepov, ki bi zaustavili trenutne trende, bi nam lahko grozila vrnitev v čas pred obstojem antibiotikov: že man</w:t>
      </w:r>
      <w:r>
        <w:rPr>
          <w:rFonts w:ascii="Times New Roman" w:hAnsi="Times New Roman"/>
          <w:noProof/>
          <w:sz w:val="24"/>
        </w:rPr>
        <w:t>jše rane in okužbe bi povzročile veliko škodo in celo smrt, rutinski medicinski posegi pa bi pomenili zelo veliko tveganje.</w:t>
      </w:r>
    </w:p>
    <w:p w:rsidR="00E43883" w:rsidRDefault="00E43883">
      <w:pPr>
        <w:autoSpaceDE w:val="0"/>
        <w:autoSpaceDN w:val="0"/>
        <w:adjustRightInd w:val="0"/>
        <w:spacing w:after="0"/>
        <w:rPr>
          <w:rFonts w:ascii="Times New Roman" w:hAnsi="Times New Roman"/>
          <w:noProof/>
          <w:sz w:val="24"/>
          <w:szCs w:val="24"/>
        </w:rPr>
      </w:pPr>
    </w:p>
    <w:tbl>
      <w:tblPr>
        <w:tblStyle w:val="TableGrid"/>
        <w:tblW w:w="0" w:type="auto"/>
        <w:tblLook w:val="04A0" w:firstRow="1" w:lastRow="0" w:firstColumn="1" w:lastColumn="0" w:noHBand="0" w:noVBand="1"/>
      </w:tblPr>
      <w:tblGrid>
        <w:gridCol w:w="9288"/>
      </w:tblGrid>
      <w:tr w:rsidR="00E43883">
        <w:tc>
          <w:tcPr>
            <w:tcW w:w="9288" w:type="dxa"/>
            <w:tcBorders>
              <w:top w:val="single" w:sz="18" w:space="0" w:color="auto"/>
              <w:left w:val="single" w:sz="18" w:space="0" w:color="auto"/>
              <w:bottom w:val="single" w:sz="18" w:space="0" w:color="auto"/>
              <w:right w:val="single" w:sz="18" w:space="0" w:color="auto"/>
            </w:tcBorders>
          </w:tcPr>
          <w:p w:rsidR="00E43883" w:rsidRDefault="00F13BA0">
            <w:pPr>
              <w:rPr>
                <w:rFonts w:ascii="Times New Roman" w:hAnsi="Times New Roman"/>
                <w:noProof/>
              </w:rPr>
            </w:pPr>
            <w:r>
              <w:rPr>
                <w:rFonts w:ascii="Times New Roman" w:hAnsi="Times New Roman"/>
                <w:b/>
                <w:noProof/>
                <w:sz w:val="24"/>
              </w:rPr>
              <w:t>Antimikrobiki</w:t>
            </w:r>
            <w:r>
              <w:rPr>
                <w:rFonts w:ascii="Times New Roman" w:hAnsi="Times New Roman"/>
                <w:noProof/>
                <w:sz w:val="16"/>
              </w:rPr>
              <w:t>:</w:t>
            </w:r>
            <w:r>
              <w:rPr>
                <w:rFonts w:ascii="Times New Roman" w:hAnsi="Times New Roman"/>
                <w:noProof/>
              </w:rPr>
              <w:t xml:space="preserve"> vključujejo antibiotike, antivirusna zdravila, antimikotike in antiprotozoike. To so aktivne snovi sintetičnega ali </w:t>
            </w:r>
            <w:r>
              <w:rPr>
                <w:rFonts w:ascii="Times New Roman" w:hAnsi="Times New Roman"/>
                <w:noProof/>
              </w:rPr>
              <w:t>naravnega izvora, ki ubijajo mikroorganizme ali zavirajo njihovo rast. Uporabljajo se v vsakodnevnem zdravljenju (npr. pri okužbah urinarnega trakta, operacijah in oskrbi nedonošenčkov) in so ključnega pomena za preprečevanje in zdravljenje okužb pri ljude</w:t>
            </w:r>
            <w:r>
              <w:rPr>
                <w:rFonts w:ascii="Times New Roman" w:hAnsi="Times New Roman"/>
                <w:noProof/>
              </w:rPr>
              <w:t>h in živalih.</w:t>
            </w:r>
          </w:p>
          <w:p w:rsidR="00E43883" w:rsidRDefault="00F13BA0">
            <w:pPr>
              <w:rPr>
                <w:rFonts w:ascii="Times New Roman" w:hAnsi="Times New Roman"/>
                <w:noProof/>
                <w:sz w:val="24"/>
                <w:szCs w:val="24"/>
              </w:rPr>
            </w:pPr>
            <w:r>
              <w:rPr>
                <w:rFonts w:ascii="Times New Roman" w:hAnsi="Times New Roman"/>
                <w:b/>
                <w:noProof/>
                <w:sz w:val="24"/>
              </w:rPr>
              <w:t>Odpornost proti antimikrobikom</w:t>
            </w:r>
            <w:r>
              <w:rPr>
                <w:rFonts w:ascii="Times New Roman" w:hAnsi="Times New Roman"/>
                <w:noProof/>
                <w:sz w:val="16"/>
              </w:rPr>
              <w:t>:</w:t>
            </w:r>
            <w:r>
              <w:rPr>
                <w:rFonts w:ascii="Times New Roman" w:hAnsi="Times New Roman"/>
                <w:noProof/>
                <w:sz w:val="24"/>
              </w:rPr>
              <w:t xml:space="preserve"> </w:t>
            </w:r>
            <w:r>
              <w:rPr>
                <w:rFonts w:ascii="Times New Roman" w:hAnsi="Times New Roman"/>
                <w:noProof/>
              </w:rPr>
              <w:t>je sposobnost mikroorganizmov, kot so bakterije, da postanejo čedalje odpornejši proti nekemu antimikrobiku, na katerega so bili prej občutljivi. To je posledica naravnega izbora in genske mutacije. Takšna muta</w:t>
            </w:r>
            <w:r>
              <w:rPr>
                <w:rFonts w:ascii="Times New Roman" w:hAnsi="Times New Roman"/>
                <w:noProof/>
              </w:rPr>
              <w:t>cija se nato prenaša naprej in omogoča odpornost. Ta proces naravnega izbora stopnjujejo človeški dejavniki, kot so neustrezna raba antimikrobikov v humani in veterinarski medicini, slabi higienski pogoji in prakse v zdravstvenih ustanovah ali v prehranski</w:t>
            </w:r>
            <w:r>
              <w:rPr>
                <w:rFonts w:ascii="Times New Roman" w:hAnsi="Times New Roman"/>
                <w:noProof/>
              </w:rPr>
              <w:t xml:space="preserve"> verigi, ki olajšujejo prenos odpornih mikroorganizmov. Sčasoma postanejo antimikrobiki manj učinkoviti in na koncu tudi neuporabni.</w:t>
            </w:r>
          </w:p>
        </w:tc>
      </w:tr>
    </w:tbl>
    <w:p w:rsidR="00E43883" w:rsidRDefault="00E43883">
      <w:pPr>
        <w:autoSpaceDE w:val="0"/>
        <w:autoSpaceDN w:val="0"/>
        <w:adjustRightInd w:val="0"/>
        <w:spacing w:after="0"/>
        <w:rPr>
          <w:rFonts w:ascii="Times New Roman" w:hAnsi="Times New Roman"/>
          <w:noProof/>
          <w:sz w:val="24"/>
          <w:szCs w:val="24"/>
        </w:rPr>
      </w:pPr>
    </w:p>
    <w:p w:rsidR="00E43883" w:rsidRDefault="00F13BA0">
      <w:pPr>
        <w:spacing w:before="240"/>
        <w:rPr>
          <w:rFonts w:ascii="Times New Roman" w:hAnsi="Times New Roman"/>
          <w:noProof/>
          <w:sz w:val="24"/>
          <w:szCs w:val="24"/>
        </w:rPr>
      </w:pPr>
      <w:r>
        <w:rPr>
          <w:rFonts w:ascii="Times New Roman" w:hAnsi="Times New Roman"/>
          <w:noProof/>
          <w:sz w:val="24"/>
        </w:rPr>
        <w:t xml:space="preserve">Odpornost proti antimikrobikom predstavlja resen izziv tako v EU kot po vsem svetu. Po podatkih Svetovne zdravstvene </w:t>
      </w:r>
      <w:r>
        <w:rPr>
          <w:rFonts w:ascii="Times New Roman" w:hAnsi="Times New Roman"/>
          <w:noProof/>
          <w:sz w:val="24"/>
        </w:rPr>
        <w:t>organizacije (SZO)</w:t>
      </w:r>
      <w:r>
        <w:rPr>
          <w:rStyle w:val="FootnoteReference"/>
          <w:rFonts w:ascii="Times New Roman" w:hAnsi="Times New Roman"/>
          <w:noProof/>
          <w:sz w:val="24"/>
        </w:rPr>
        <w:footnoteReference w:id="2"/>
      </w:r>
      <w:r>
        <w:rPr>
          <w:rFonts w:ascii="Times New Roman" w:hAnsi="Times New Roman"/>
          <w:noProof/>
          <w:sz w:val="24"/>
        </w:rPr>
        <w:t xml:space="preserve"> je že dosegla zaskrbljujoče ravni v mnogih delih sveta. Visoke ravni odpornosti proti antimikrobikom pri bakterijah, povezanih s številnimi pogostimi okužbami (npr. okužbami urinarnega trakta, pljučnico, tuberkulozo in gonorejo), so zaz</w:t>
      </w:r>
      <w:r>
        <w:rPr>
          <w:rFonts w:ascii="Times New Roman" w:hAnsi="Times New Roman"/>
          <w:noProof/>
          <w:sz w:val="24"/>
        </w:rPr>
        <w:t>nane v vseh regijah SZO.</w:t>
      </w:r>
      <w:r>
        <w:rPr>
          <w:noProof/>
        </w:rPr>
        <w:t xml:space="preserve"> </w:t>
      </w:r>
      <w:r>
        <w:rPr>
          <w:rFonts w:ascii="Times New Roman" w:hAnsi="Times New Roman"/>
          <w:noProof/>
          <w:sz w:val="24"/>
        </w:rPr>
        <w:t>Povečuje se tudi odpornost proti antivirusnim zdravilom, kakršna se na primer uporabljajo za zdravljenje virusa HIV.</w:t>
      </w:r>
    </w:p>
    <w:p w:rsidR="00E43883" w:rsidRDefault="00F13BA0">
      <w:pPr>
        <w:spacing w:before="240"/>
        <w:rPr>
          <w:rFonts w:ascii="Times New Roman" w:hAnsi="Times New Roman"/>
          <w:noProof/>
          <w:sz w:val="24"/>
          <w:szCs w:val="24"/>
        </w:rPr>
      </w:pPr>
      <w:r>
        <w:rPr>
          <w:rFonts w:ascii="Times New Roman" w:hAnsi="Times New Roman"/>
          <w:noProof/>
          <w:sz w:val="24"/>
        </w:rPr>
        <w:t>Svetovna prizadevanja vključujejo politično deklaracijo Združenih narodov iz leta 2016 o odpornosti proti antimikr</w:t>
      </w:r>
      <w:r>
        <w:rPr>
          <w:rFonts w:ascii="Times New Roman" w:hAnsi="Times New Roman"/>
          <w:noProof/>
          <w:sz w:val="24"/>
        </w:rPr>
        <w:t>obikom</w:t>
      </w:r>
      <w:r>
        <w:rPr>
          <w:rStyle w:val="FootnoteReference"/>
          <w:rFonts w:ascii="Times New Roman" w:hAnsi="Times New Roman"/>
          <w:noProof/>
          <w:sz w:val="24"/>
        </w:rPr>
        <w:footnoteReference w:id="3"/>
      </w:r>
      <w:r>
        <w:rPr>
          <w:rFonts w:ascii="Times New Roman" w:hAnsi="Times New Roman"/>
          <w:noProof/>
          <w:sz w:val="24"/>
        </w:rPr>
        <w:t xml:space="preserve"> in globalni akcijski načrt SZO za leto 2015 o odpornosti proti antimikrobikom</w:t>
      </w:r>
      <w:r>
        <w:rPr>
          <w:rStyle w:val="FootnoteReference"/>
          <w:noProof/>
        </w:rPr>
        <w:footnoteReference w:id="4"/>
      </w:r>
      <w:r>
        <w:rPr>
          <w:rFonts w:ascii="Times New Roman" w:hAnsi="Times New Roman"/>
          <w:noProof/>
          <w:sz w:val="24"/>
        </w:rPr>
        <w:t xml:space="preserve">, ki sta ga naknadno sprejela Svetovna organizacija za zdravje živali (OIE) ter Organizacija za prehrano in kmetijstvo (FAO). Odpornost proti antimikrobikom je bila tudi </w:t>
      </w:r>
      <w:r>
        <w:rPr>
          <w:rFonts w:ascii="Times New Roman" w:hAnsi="Times New Roman"/>
          <w:noProof/>
          <w:sz w:val="24"/>
        </w:rPr>
        <w:t>predmet razprave na srečanjih skupin G7 in G20.</w:t>
      </w:r>
    </w:p>
    <w:p w:rsidR="00E43883" w:rsidRDefault="00F13BA0">
      <w:pPr>
        <w:autoSpaceDE w:val="0"/>
        <w:autoSpaceDN w:val="0"/>
        <w:adjustRightInd w:val="0"/>
        <w:spacing w:after="0"/>
        <w:rPr>
          <w:rFonts w:ascii="Times New Roman" w:hAnsi="Times New Roman"/>
          <w:noProof/>
          <w:sz w:val="24"/>
          <w:szCs w:val="24"/>
        </w:rPr>
      </w:pPr>
      <w:r>
        <w:rPr>
          <w:rFonts w:ascii="Times New Roman" w:hAnsi="Times New Roman"/>
          <w:noProof/>
          <w:sz w:val="24"/>
        </w:rPr>
        <w:lastRenderedPageBreak/>
        <w:t>Odpornost proti antimikrobikom že predstavlja resno družbeno in gospodarsko breme. Po ocenah naj bi zaradi nje vsako leto samo v EU umrlo 25 000</w:t>
      </w:r>
      <w:bookmarkStart w:id="3" w:name="_Ref484079547"/>
      <w:r>
        <w:rPr>
          <w:rStyle w:val="FootnoteReference"/>
          <w:rFonts w:ascii="Times New Roman" w:hAnsi="Times New Roman"/>
          <w:noProof/>
          <w:sz w:val="24"/>
        </w:rPr>
        <w:footnoteReference w:id="5"/>
      </w:r>
      <w:bookmarkEnd w:id="3"/>
      <w:r>
        <w:rPr>
          <w:rFonts w:ascii="Times New Roman" w:hAnsi="Times New Roman"/>
          <w:noProof/>
          <w:sz w:val="24"/>
        </w:rPr>
        <w:t xml:space="preserve">, po vsem svetu pa kar 700 000 ljudi. Neukrepanje bi lahko </w:t>
      </w:r>
      <w:r>
        <w:rPr>
          <w:rFonts w:ascii="Times New Roman" w:hAnsi="Times New Roman"/>
          <w:noProof/>
          <w:sz w:val="24"/>
        </w:rPr>
        <w:t>povzročilo na milijone smrtnih primerov po vsem svetu: ocenjuje se, da bi zaradi odpornosti proti antimikrobikom lahko do leta 2050 umrlo več ljudi kot zaradi raka</w:t>
      </w:r>
      <w:r>
        <w:rPr>
          <w:rStyle w:val="FootnoteReference"/>
          <w:rFonts w:ascii="Times New Roman" w:hAnsi="Times New Roman"/>
          <w:noProof/>
          <w:sz w:val="24"/>
        </w:rPr>
        <w:footnoteReference w:id="6"/>
      </w:r>
      <w:r>
        <w:rPr>
          <w:rFonts w:ascii="Times New Roman" w:hAnsi="Times New Roman"/>
          <w:noProof/>
          <w:sz w:val="24"/>
        </w:rPr>
        <w:t>.</w:t>
      </w:r>
    </w:p>
    <w:p w:rsidR="00E43883" w:rsidRDefault="00E43883">
      <w:pPr>
        <w:autoSpaceDE w:val="0"/>
        <w:autoSpaceDN w:val="0"/>
        <w:adjustRightInd w:val="0"/>
        <w:spacing w:after="0"/>
        <w:rPr>
          <w:rFonts w:ascii="Times New Roman" w:hAnsi="Times New Roman"/>
          <w:noProof/>
          <w:sz w:val="24"/>
          <w:szCs w:val="24"/>
        </w:rPr>
      </w:pPr>
    </w:p>
    <w:p w:rsidR="00E43883" w:rsidRDefault="00F13BA0">
      <w:pPr>
        <w:autoSpaceDE w:val="0"/>
        <w:autoSpaceDN w:val="0"/>
        <w:adjustRightInd w:val="0"/>
        <w:spacing w:after="0"/>
        <w:rPr>
          <w:rFonts w:ascii="Times New Roman" w:hAnsi="Times New Roman"/>
          <w:noProof/>
          <w:sz w:val="24"/>
          <w:szCs w:val="24"/>
        </w:rPr>
      </w:pPr>
      <w:r>
        <w:rPr>
          <w:rFonts w:ascii="Times New Roman" w:hAnsi="Times New Roman"/>
          <w:noProof/>
          <w:sz w:val="24"/>
        </w:rPr>
        <w:t>Razen tega, da te spremembe povzročajo trpljenje ljudi, pa odpornost proti antimikrobikom</w:t>
      </w:r>
      <w:r>
        <w:rPr>
          <w:rFonts w:ascii="Times New Roman" w:hAnsi="Times New Roman"/>
          <w:noProof/>
          <w:sz w:val="24"/>
        </w:rPr>
        <w:t xml:space="preserve"> zvišuje tudi stroške zdravljenja in zmanjšuje produktivnost zaradi bolezni. Ocenjeno je, da odpornost proti antimikrobikom samo v EU vsako leto povzroči 1,5 milijarde EUR stroškov zaradi potrebe po zdravstvenem varstvu in izgub produktivnosti</w:t>
      </w:r>
      <w:r>
        <w:rPr>
          <w:rFonts w:ascii="Times New Roman" w:hAnsi="Times New Roman"/>
          <w:noProof/>
          <w:sz w:val="24"/>
          <w:szCs w:val="24"/>
          <w:vertAlign w:val="superscript"/>
        </w:rPr>
        <w:fldChar w:fldCharType="begin"/>
      </w:r>
      <w:r>
        <w:rPr>
          <w:rFonts w:ascii="Times New Roman" w:hAnsi="Times New Roman"/>
          <w:noProof/>
          <w:sz w:val="24"/>
          <w:szCs w:val="24"/>
          <w:vertAlign w:val="superscript"/>
        </w:rPr>
        <w:instrText xml:space="preserve"> NOTEREF _Ref</w:instrText>
      </w:r>
      <w:r>
        <w:rPr>
          <w:rFonts w:ascii="Times New Roman" w:hAnsi="Times New Roman"/>
          <w:noProof/>
          <w:sz w:val="24"/>
          <w:szCs w:val="24"/>
          <w:vertAlign w:val="superscript"/>
        </w:rPr>
        <w:instrText xml:space="preserve">484079547 \h  \* MERGEFORMAT </w:instrText>
      </w:r>
      <w:r>
        <w:rPr>
          <w:rFonts w:ascii="Times New Roman" w:hAnsi="Times New Roman"/>
          <w:noProof/>
          <w:sz w:val="24"/>
          <w:szCs w:val="24"/>
          <w:vertAlign w:val="superscript"/>
        </w:rPr>
      </w:r>
      <w:r>
        <w:rPr>
          <w:rFonts w:ascii="Times New Roman" w:hAnsi="Times New Roman"/>
          <w:noProof/>
          <w:sz w:val="24"/>
          <w:szCs w:val="24"/>
          <w:vertAlign w:val="superscript"/>
        </w:rPr>
        <w:fldChar w:fldCharType="separate"/>
      </w:r>
      <w:r>
        <w:rPr>
          <w:rFonts w:ascii="Times New Roman" w:hAnsi="Times New Roman"/>
          <w:noProof/>
          <w:sz w:val="24"/>
          <w:szCs w:val="24"/>
          <w:vertAlign w:val="superscript"/>
        </w:rPr>
        <w:t>4</w:t>
      </w:r>
      <w:r>
        <w:rPr>
          <w:rFonts w:ascii="Times New Roman" w:hAnsi="Times New Roman"/>
          <w:noProof/>
          <w:sz w:val="24"/>
          <w:szCs w:val="24"/>
          <w:vertAlign w:val="superscript"/>
        </w:rPr>
        <w:fldChar w:fldCharType="end"/>
      </w:r>
      <w:r>
        <w:rPr>
          <w:rFonts w:ascii="Times New Roman" w:hAnsi="Times New Roman"/>
          <w:noProof/>
          <w:sz w:val="24"/>
        </w:rPr>
        <w:t>. Svetovna banka</w:t>
      </w:r>
      <w:r>
        <w:rPr>
          <w:rStyle w:val="FootnoteReference"/>
          <w:rFonts w:ascii="Times New Roman" w:hAnsi="Times New Roman"/>
          <w:noProof/>
          <w:sz w:val="24"/>
        </w:rPr>
        <w:footnoteReference w:id="7"/>
      </w:r>
      <w:r>
        <w:rPr>
          <w:rFonts w:ascii="Times New Roman" w:hAnsi="Times New Roman"/>
          <w:noProof/>
          <w:sz w:val="24"/>
        </w:rPr>
        <w:t xml:space="preserve"> je opozorila, da bi okužbe, odporne proti zdravilom, do leta 2050 lahko povzročile svetovno gospodarsko škodo, ki bi se lahko merila s finan</w:t>
      </w:r>
      <w:r>
        <w:rPr>
          <w:rFonts w:ascii="Times New Roman" w:hAnsi="Times New Roman"/>
          <w:noProof/>
          <w:sz w:val="24"/>
        </w:rPr>
        <w:t>čno krizo leta 2008. Odpornost proti antimikrobikom ogroža tudi doseganje ciljev Združenih narodov na področju trajnostnega razvoja, zlasti ciljev, povezanih z zdravjem in dobrim počutjem</w:t>
      </w:r>
      <w:r>
        <w:rPr>
          <w:rStyle w:val="FootnoteReference"/>
          <w:rFonts w:ascii="Times New Roman" w:hAnsi="Times New Roman"/>
          <w:noProof/>
          <w:sz w:val="24"/>
        </w:rPr>
        <w:footnoteReference w:id="8"/>
      </w:r>
      <w:r>
        <w:rPr>
          <w:rFonts w:ascii="Times New Roman" w:hAnsi="Times New Roman"/>
          <w:noProof/>
          <w:sz w:val="24"/>
        </w:rPr>
        <w:t xml:space="preserve"> (cilj 3).</w:t>
      </w:r>
    </w:p>
    <w:p w:rsidR="00E43883" w:rsidRDefault="00E43883">
      <w:pPr>
        <w:autoSpaceDE w:val="0"/>
        <w:autoSpaceDN w:val="0"/>
        <w:adjustRightInd w:val="0"/>
        <w:spacing w:after="0"/>
        <w:rPr>
          <w:rFonts w:ascii="Times New Roman" w:hAnsi="Times New Roman"/>
          <w:noProof/>
          <w:sz w:val="24"/>
          <w:szCs w:val="24"/>
        </w:rPr>
      </w:pPr>
    </w:p>
    <w:p w:rsidR="00E43883" w:rsidRDefault="00F13BA0">
      <w:pPr>
        <w:autoSpaceDE w:val="0"/>
        <w:autoSpaceDN w:val="0"/>
        <w:adjustRightInd w:val="0"/>
        <w:spacing w:after="0"/>
        <w:rPr>
          <w:rFonts w:ascii="Times New Roman" w:hAnsi="Times New Roman"/>
          <w:noProof/>
          <w:sz w:val="24"/>
          <w:szCs w:val="24"/>
        </w:rPr>
      </w:pPr>
      <w:r>
        <w:rPr>
          <w:rFonts w:ascii="Times New Roman" w:hAnsi="Times New Roman"/>
          <w:noProof/>
          <w:sz w:val="24"/>
        </w:rPr>
        <w:t>Učinkovito ukrepanje zoper naraščajočo odpornost proti a</w:t>
      </w:r>
      <w:r>
        <w:rPr>
          <w:rFonts w:ascii="Times New Roman" w:hAnsi="Times New Roman"/>
          <w:noProof/>
          <w:sz w:val="24"/>
        </w:rPr>
        <w:t xml:space="preserve">ntimikrobikom bo ublažilo negativen vpliv na gospodarstvo, zato lahko šteje za prispevek h gospodarski rasti, vzdržnim proračunom za zdravstveno varstvo z zmanjševanjem stroškov zanj ter produktivnemu in zdravemu prebivalstvu. </w:t>
      </w:r>
    </w:p>
    <w:p w:rsidR="00E43883" w:rsidRDefault="00E43883">
      <w:pPr>
        <w:autoSpaceDE w:val="0"/>
        <w:autoSpaceDN w:val="0"/>
        <w:adjustRightInd w:val="0"/>
        <w:spacing w:after="0"/>
        <w:rPr>
          <w:rFonts w:ascii="Times New Roman" w:hAnsi="Times New Roman"/>
          <w:noProof/>
          <w:sz w:val="24"/>
          <w:szCs w:val="24"/>
        </w:rPr>
      </w:pPr>
    </w:p>
    <w:p w:rsidR="00E43883" w:rsidRDefault="00F13BA0">
      <w:pPr>
        <w:autoSpaceDE w:val="0"/>
        <w:autoSpaceDN w:val="0"/>
        <w:adjustRightInd w:val="0"/>
        <w:spacing w:after="0"/>
        <w:rPr>
          <w:rFonts w:ascii="Times New Roman" w:hAnsi="Times New Roman"/>
          <w:noProof/>
          <w:sz w:val="24"/>
          <w:szCs w:val="24"/>
        </w:rPr>
      </w:pPr>
      <w:r>
        <w:rPr>
          <w:rFonts w:ascii="Times New Roman" w:hAnsi="Times New Roman"/>
          <w:noProof/>
          <w:sz w:val="24"/>
        </w:rPr>
        <w:t>EU je hitro prepoznala pome</w:t>
      </w:r>
      <w:r>
        <w:rPr>
          <w:rFonts w:ascii="Times New Roman" w:hAnsi="Times New Roman"/>
          <w:noProof/>
          <w:sz w:val="24"/>
        </w:rPr>
        <w:t>n obravnave odpornosti proti antimikrobikom, kar kaže strategija Skupnosti proti antimikrobni odpornosti iz leta 2001</w:t>
      </w:r>
      <w:r>
        <w:rPr>
          <w:rStyle w:val="FootnoteReference"/>
          <w:rFonts w:ascii="Times New Roman" w:hAnsi="Times New Roman"/>
          <w:noProof/>
          <w:sz w:val="24"/>
        </w:rPr>
        <w:footnoteReference w:id="9"/>
      </w:r>
      <w:r>
        <w:rPr>
          <w:rFonts w:ascii="Times New Roman" w:hAnsi="Times New Roman"/>
          <w:noProof/>
          <w:sz w:val="24"/>
        </w:rPr>
        <w:t>. To politiko je podprl akcijski načrt Komisije iz leta 2011</w:t>
      </w:r>
      <w:r>
        <w:rPr>
          <w:rStyle w:val="FootnoteReference"/>
          <w:rFonts w:ascii="Times New Roman" w:hAnsi="Times New Roman"/>
          <w:noProof/>
          <w:sz w:val="24"/>
        </w:rPr>
        <w:footnoteReference w:id="10"/>
      </w:r>
      <w:r>
        <w:rPr>
          <w:rFonts w:ascii="Times New Roman" w:hAnsi="Times New Roman"/>
          <w:noProof/>
          <w:sz w:val="24"/>
        </w:rPr>
        <w:t>, znan po svojem pristopu „eno zdravje“, ki obravnava odpornost proti antimik</w:t>
      </w:r>
      <w:r>
        <w:rPr>
          <w:rFonts w:ascii="Times New Roman" w:hAnsi="Times New Roman"/>
          <w:noProof/>
          <w:sz w:val="24"/>
        </w:rPr>
        <w:t>robikom pri ljudeh in živalih.</w:t>
      </w:r>
    </w:p>
    <w:p w:rsidR="00E43883" w:rsidRDefault="00E43883">
      <w:pPr>
        <w:autoSpaceDE w:val="0"/>
        <w:autoSpaceDN w:val="0"/>
        <w:adjustRightInd w:val="0"/>
        <w:spacing w:after="0"/>
        <w:rPr>
          <w:rFonts w:ascii="Times New Roman" w:hAnsi="Times New Roman"/>
          <w:noProof/>
          <w:sz w:val="24"/>
          <w:szCs w:val="24"/>
        </w:rPr>
      </w:pPr>
    </w:p>
    <w:tbl>
      <w:tblPr>
        <w:tblStyle w:val="TableGrid"/>
        <w:tblW w:w="0" w:type="auto"/>
        <w:tblLook w:val="04A0" w:firstRow="1" w:lastRow="0" w:firstColumn="1" w:lastColumn="0" w:noHBand="0" w:noVBand="1"/>
      </w:tblPr>
      <w:tblGrid>
        <w:gridCol w:w="9288"/>
      </w:tblGrid>
      <w:tr w:rsidR="00E43883">
        <w:tc>
          <w:tcPr>
            <w:tcW w:w="9288" w:type="dxa"/>
            <w:tcBorders>
              <w:top w:val="single" w:sz="18" w:space="0" w:color="auto"/>
              <w:left w:val="single" w:sz="18" w:space="0" w:color="auto"/>
              <w:bottom w:val="single" w:sz="18" w:space="0" w:color="auto"/>
              <w:right w:val="single" w:sz="18" w:space="0" w:color="auto"/>
            </w:tcBorders>
          </w:tcPr>
          <w:p w:rsidR="00E43883" w:rsidRDefault="00F13BA0">
            <w:pPr>
              <w:rPr>
                <w:rFonts w:ascii="Times New Roman" w:hAnsi="Times New Roman"/>
                <w:noProof/>
                <w:sz w:val="24"/>
                <w:szCs w:val="24"/>
              </w:rPr>
            </w:pPr>
            <w:r>
              <w:rPr>
                <w:rFonts w:ascii="Times New Roman" w:hAnsi="Times New Roman"/>
                <w:b/>
                <w:noProof/>
                <w:sz w:val="24"/>
              </w:rPr>
              <w:t>Eno zdravje</w:t>
            </w:r>
            <w:r>
              <w:rPr>
                <w:rFonts w:ascii="Times New Roman" w:hAnsi="Times New Roman"/>
                <w:noProof/>
                <w:sz w:val="24"/>
              </w:rPr>
              <w:t>:</w:t>
            </w:r>
            <w:r>
              <w:rPr>
                <w:rFonts w:ascii="Times New Roman" w:hAnsi="Times New Roman"/>
                <w:noProof/>
              </w:rPr>
              <w:t xml:space="preserve"> je pojem, s katerim je opisano načelo, ki priznava, da je zdravje ljudi in živali medsebojno povezano, da se bolezni prenašajo z ljudi na živali in obratno in da je zato treba obravnavati oba vidika. Pristop „en</w:t>
            </w:r>
            <w:r>
              <w:rPr>
                <w:rFonts w:ascii="Times New Roman" w:hAnsi="Times New Roman"/>
                <w:noProof/>
              </w:rPr>
              <w:t>o zdravje“ zajema tudi okolje, tj. še eno vez med ljudmi in živalmi, ki je prav tako tudi potencialni vir novih odpornih mikroorganizmov. Ta pojem je priznan po vsem svetu, potem ko se je uveljavil v EU in v politični deklaraciji Združenih narodov iz leta </w:t>
            </w:r>
            <w:r>
              <w:rPr>
                <w:rFonts w:ascii="Times New Roman" w:hAnsi="Times New Roman"/>
                <w:noProof/>
              </w:rPr>
              <w:t>2016 o odpornosti proti antimikrobikom.</w:t>
            </w:r>
          </w:p>
        </w:tc>
      </w:tr>
    </w:tbl>
    <w:p w:rsidR="00E43883" w:rsidRDefault="00E43883">
      <w:pPr>
        <w:autoSpaceDE w:val="0"/>
        <w:autoSpaceDN w:val="0"/>
        <w:adjustRightInd w:val="0"/>
        <w:spacing w:after="0"/>
        <w:rPr>
          <w:rFonts w:ascii="Times New Roman" w:hAnsi="Times New Roman"/>
          <w:noProof/>
          <w:sz w:val="24"/>
          <w:szCs w:val="24"/>
        </w:rPr>
      </w:pPr>
    </w:p>
    <w:p w:rsidR="00E43883" w:rsidRDefault="00F13BA0">
      <w:pPr>
        <w:rPr>
          <w:rFonts w:ascii="Times New Roman" w:hAnsi="Times New Roman"/>
          <w:noProof/>
          <w:sz w:val="24"/>
          <w:szCs w:val="24"/>
        </w:rPr>
      </w:pPr>
      <w:r>
        <w:rPr>
          <w:rFonts w:ascii="Times New Roman" w:hAnsi="Times New Roman"/>
          <w:noProof/>
          <w:sz w:val="24"/>
        </w:rPr>
        <w:t>Komisija je od leta 1999 vložila več kot 1,3 milijarde EUR v raziskave o odpornosti proti antimikrobikom, s čimer je Evropa prevzela vodilni položaj na tem področju. Dosežki EU vključujejo začetek izvajanja program</w:t>
      </w:r>
      <w:r>
        <w:rPr>
          <w:rFonts w:ascii="Times New Roman" w:hAnsi="Times New Roman"/>
          <w:noProof/>
          <w:sz w:val="24"/>
        </w:rPr>
        <w:t>a „New Drugs for Bad Bugs“ (nova zdravila za slabe bacile)</w:t>
      </w:r>
      <w:r>
        <w:rPr>
          <w:rStyle w:val="FootnoteReference"/>
          <w:rFonts w:ascii="Times New Roman" w:hAnsi="Times New Roman"/>
          <w:noProof/>
          <w:sz w:val="24"/>
        </w:rPr>
        <w:footnoteReference w:id="11"/>
      </w:r>
      <w:r>
        <w:rPr>
          <w:rFonts w:ascii="Times New Roman" w:hAnsi="Times New Roman"/>
          <w:noProof/>
          <w:sz w:val="24"/>
        </w:rPr>
        <w:t>, največje svetovno javno-zasebno raziskovalno partnerstvo na področju odpornosti proti antimikrobikom, ki je del pobude za inovativna zdravila (IMI)</w:t>
      </w:r>
      <w:r>
        <w:rPr>
          <w:rStyle w:val="FootnoteReference"/>
          <w:rFonts w:ascii="Times New Roman" w:hAnsi="Times New Roman"/>
          <w:noProof/>
          <w:sz w:val="24"/>
        </w:rPr>
        <w:footnoteReference w:id="12"/>
      </w:r>
      <w:r>
        <w:rPr>
          <w:rFonts w:ascii="Times New Roman" w:hAnsi="Times New Roman"/>
          <w:noProof/>
          <w:sz w:val="24"/>
        </w:rPr>
        <w:t>. EU je oblikovala tudi pobudo za skupno načrto</w:t>
      </w:r>
      <w:r>
        <w:rPr>
          <w:rFonts w:ascii="Times New Roman" w:hAnsi="Times New Roman"/>
          <w:noProof/>
          <w:sz w:val="24"/>
        </w:rPr>
        <w:t>vanje programa na področju odpornosti proti antimikrobikom (JPIAMR)</w:t>
      </w:r>
      <w:r>
        <w:rPr>
          <w:rStyle w:val="FootnoteReference"/>
          <w:rFonts w:ascii="Times New Roman" w:hAnsi="Times New Roman"/>
          <w:noProof/>
          <w:sz w:val="24"/>
        </w:rPr>
        <w:footnoteReference w:id="13"/>
      </w:r>
      <w:r>
        <w:rPr>
          <w:rFonts w:ascii="Times New Roman" w:hAnsi="Times New Roman"/>
          <w:noProof/>
          <w:sz w:val="24"/>
        </w:rPr>
        <w:t>, katere cilj je boljše usklajevanje svetovnih prizadevanj v raziskavah na področju odpornosti proti antimikrobikom.</w:t>
      </w:r>
    </w:p>
    <w:p w:rsidR="00E43883" w:rsidRDefault="00F13BA0">
      <w:pPr>
        <w:rPr>
          <w:rFonts w:ascii="Times New Roman" w:hAnsi="Times New Roman"/>
          <w:noProof/>
          <w:sz w:val="24"/>
          <w:szCs w:val="24"/>
        </w:rPr>
      </w:pPr>
      <w:r>
        <w:rPr>
          <w:rFonts w:ascii="Times New Roman" w:hAnsi="Times New Roman"/>
          <w:noProof/>
          <w:sz w:val="24"/>
        </w:rPr>
        <w:t xml:space="preserve">Kljub vsemu temu pa se je incidenca okužb, odpornih proti zdravljenjem </w:t>
      </w:r>
      <w:r>
        <w:rPr>
          <w:rFonts w:ascii="Times New Roman" w:hAnsi="Times New Roman"/>
          <w:noProof/>
          <w:sz w:val="24"/>
        </w:rPr>
        <w:t>z več zdravili in zadnjim možnim oblikam zdravljenja</w:t>
      </w:r>
      <w:r>
        <w:rPr>
          <w:rStyle w:val="FootnoteReference"/>
          <w:rFonts w:ascii="Times New Roman" w:hAnsi="Times New Roman"/>
          <w:noProof/>
          <w:sz w:val="24"/>
        </w:rPr>
        <w:footnoteReference w:id="14"/>
      </w:r>
      <w:r>
        <w:rPr>
          <w:rFonts w:ascii="Times New Roman" w:hAnsi="Times New Roman"/>
          <w:noProof/>
          <w:sz w:val="24"/>
        </w:rPr>
        <w:t>, v zadnjih letih v EU bistveno povečala</w:t>
      </w:r>
      <w:r>
        <w:rPr>
          <w:rStyle w:val="FootnoteReference"/>
          <w:rFonts w:ascii="Times New Roman" w:hAnsi="Times New Roman"/>
          <w:noProof/>
          <w:sz w:val="24"/>
        </w:rPr>
        <w:footnoteReference w:id="15"/>
      </w:r>
      <w:r>
        <w:rPr>
          <w:rFonts w:ascii="Times New Roman" w:hAnsi="Times New Roman"/>
          <w:noProof/>
          <w:sz w:val="24"/>
        </w:rPr>
        <w:t>.</w:t>
      </w:r>
    </w:p>
    <w:p w:rsidR="00E43883" w:rsidRDefault="00F13BA0">
      <w:pPr>
        <w:rPr>
          <w:rFonts w:ascii="Times New Roman" w:hAnsi="Times New Roman"/>
          <w:noProof/>
          <w:sz w:val="24"/>
          <w:szCs w:val="24"/>
        </w:rPr>
      </w:pPr>
      <w:r>
        <w:rPr>
          <w:rFonts w:ascii="Times New Roman" w:hAnsi="Times New Roman"/>
          <w:noProof/>
          <w:sz w:val="24"/>
        </w:rPr>
        <w:t>Čedalje večjo skrb povzroča tudi razvoj in širjenje odpornosti proti antimikrobikom v okolju, zato so potrebne dodatne raziskave. Številne znanstvene študije so</w:t>
      </w:r>
      <w:r>
        <w:rPr>
          <w:rFonts w:ascii="Times New Roman" w:hAnsi="Times New Roman"/>
          <w:noProof/>
          <w:sz w:val="24"/>
        </w:rPr>
        <w:t xml:space="preserve"> opredelile možen negativen učinek odpornih mikroorganizmov ali antimikrobikov na okolje.</w:t>
      </w:r>
    </w:p>
    <w:p w:rsidR="00E43883" w:rsidRDefault="00F13BA0">
      <w:pPr>
        <w:rPr>
          <w:rFonts w:ascii="Times New Roman" w:hAnsi="Times New Roman"/>
          <w:noProof/>
          <w:sz w:val="24"/>
          <w:szCs w:val="24"/>
        </w:rPr>
      </w:pPr>
      <w:r>
        <w:rPr>
          <w:rFonts w:ascii="Times New Roman" w:hAnsi="Times New Roman"/>
          <w:noProof/>
          <w:sz w:val="24"/>
        </w:rPr>
        <w:t>Hkrati pa so se odkrivanje, razvoj, proizvodnja in trženje novih antimikrobikov v zadnjih 20 letih bistveno upočasnili. Pretekli podatki kažejo nizko raven uspeha: sa</w:t>
      </w:r>
      <w:r>
        <w:rPr>
          <w:rFonts w:ascii="Times New Roman" w:hAnsi="Times New Roman"/>
          <w:noProof/>
          <w:sz w:val="24"/>
        </w:rPr>
        <w:t>mo eden od 16 antibiotikov iz zgodnje faze raziskave doseže klinično uporabo pri pacientih</w:t>
      </w:r>
      <w:r>
        <w:rPr>
          <w:rStyle w:val="FootnoteReference"/>
          <w:rFonts w:ascii="Times New Roman" w:hAnsi="Times New Roman"/>
          <w:noProof/>
          <w:sz w:val="24"/>
        </w:rPr>
        <w:footnoteReference w:id="16"/>
      </w:r>
      <w:r>
        <w:rPr>
          <w:rFonts w:ascii="Times New Roman" w:hAnsi="Times New Roman"/>
          <w:noProof/>
          <w:sz w:val="24"/>
        </w:rPr>
        <w:t>.</w:t>
      </w:r>
    </w:p>
    <w:p w:rsidR="00E43883" w:rsidRDefault="00F13BA0">
      <w:pPr>
        <w:pStyle w:val="Heading2"/>
        <w:rPr>
          <w:noProof/>
        </w:rPr>
      </w:pPr>
      <w:r>
        <w:rPr>
          <w:noProof/>
        </w:rPr>
        <w:t>Najnovejši dosežki in pot naprej</w:t>
      </w:r>
    </w:p>
    <w:p w:rsidR="00E43883" w:rsidRDefault="00F13BA0">
      <w:pPr>
        <w:rPr>
          <w:rFonts w:ascii="Times New Roman" w:hAnsi="Times New Roman"/>
          <w:noProof/>
          <w:sz w:val="24"/>
          <w:szCs w:val="24"/>
        </w:rPr>
      </w:pPr>
      <w:r>
        <w:rPr>
          <w:rFonts w:ascii="Times New Roman" w:hAnsi="Times New Roman"/>
          <w:noProof/>
          <w:sz w:val="24"/>
        </w:rPr>
        <w:t>Vpričo regionalnih in globalnih izzivov, ki jih predstavlja odpornost proti antimikrobikom, je EU pri reševanju tega izziva v ospr</w:t>
      </w:r>
      <w:r>
        <w:rPr>
          <w:rFonts w:ascii="Times New Roman" w:hAnsi="Times New Roman"/>
          <w:noProof/>
          <w:sz w:val="24"/>
        </w:rPr>
        <w:t>edju. Vendar en sam ukrep, ločen od drugih, ne bo zagotovil ustrezne rešitve. Odporne bakterije in nalezljive bolezni se ne menijo za meje. Nobena država članica ali EU se ne more spopasti s to težavo sama. Kljub temu pa je EU v dobrem položaju, da ukrepa,</w:t>
      </w:r>
      <w:r>
        <w:rPr>
          <w:rFonts w:ascii="Times New Roman" w:hAnsi="Times New Roman"/>
          <w:noProof/>
          <w:sz w:val="24"/>
        </w:rPr>
        <w:t xml:space="preserve"> glede na svojo visoko stopnjo gospodarskega razvoja in zavezo visoki ravni varovanja zdravja ljudi.</w:t>
      </w:r>
    </w:p>
    <w:p w:rsidR="00E43883" w:rsidRDefault="00F13BA0">
      <w:pPr>
        <w:rPr>
          <w:rFonts w:ascii="Times New Roman" w:hAnsi="Times New Roman"/>
          <w:noProof/>
          <w:vanish/>
          <w:sz w:val="24"/>
          <w:szCs w:val="24"/>
          <w:specVanish/>
        </w:rPr>
      </w:pPr>
      <w:r>
        <w:rPr>
          <w:rFonts w:ascii="Times New Roman" w:hAnsi="Times New Roman"/>
          <w:noProof/>
          <w:sz w:val="24"/>
        </w:rPr>
        <w:t>V skladu z zahtevami držav članic sklepi Sveta z dne 17. junija 2016</w:t>
      </w:r>
      <w:r>
        <w:rPr>
          <w:rStyle w:val="FootnoteReference"/>
          <w:rFonts w:ascii="Times New Roman" w:hAnsi="Times New Roman"/>
          <w:noProof/>
          <w:sz w:val="24"/>
        </w:rPr>
        <w:footnoteReference w:id="17"/>
      </w:r>
      <w:r>
        <w:rPr>
          <w:rFonts w:ascii="Times New Roman" w:hAnsi="Times New Roman"/>
          <w:noProof/>
          <w:sz w:val="24"/>
        </w:rPr>
        <w:t xml:space="preserve"> pozivajo k sprejetju novega in celovitega akcijskega načrta EU o odpornosti proti antimikrobikom, ki temelji na pristopu „eno zdravje“.</w:t>
      </w:r>
    </w:p>
    <w:p w:rsidR="00E43883" w:rsidRDefault="00F13BA0">
      <w:pPr>
        <w:rPr>
          <w:rFonts w:ascii="Times New Roman" w:hAnsi="Times New Roman"/>
          <w:noProof/>
          <w:sz w:val="24"/>
          <w:szCs w:val="24"/>
        </w:rPr>
      </w:pPr>
      <w:r>
        <w:rPr>
          <w:rFonts w:ascii="Times New Roman" w:hAnsi="Times New Roman"/>
          <w:noProof/>
          <w:sz w:val="24"/>
        </w:rPr>
        <w:t xml:space="preserve"> Ta novi akcijski načrt temelji na akcijskem načrtu iz leta 2011, njegovi oceni</w:t>
      </w:r>
      <w:r>
        <w:rPr>
          <w:rStyle w:val="FootnoteReference"/>
          <w:rFonts w:ascii="Times New Roman" w:hAnsi="Times New Roman"/>
          <w:noProof/>
          <w:sz w:val="24"/>
        </w:rPr>
        <w:footnoteReference w:id="18"/>
      </w:r>
      <w:r>
        <w:rPr>
          <w:rFonts w:ascii="Times New Roman" w:hAnsi="Times New Roman"/>
          <w:noProof/>
          <w:sz w:val="24"/>
        </w:rPr>
        <w:t>, povratnih informacijah o načrtu</w:t>
      </w:r>
      <w:r>
        <w:rPr>
          <w:rStyle w:val="FootnoteReference"/>
          <w:rFonts w:ascii="Times New Roman" w:hAnsi="Times New Roman"/>
          <w:noProof/>
          <w:sz w:val="24"/>
        </w:rPr>
        <w:footnoteReference w:id="19"/>
      </w:r>
      <w:r>
        <w:rPr>
          <w:rFonts w:ascii="Times New Roman" w:hAnsi="Times New Roman"/>
          <w:noProof/>
          <w:sz w:val="24"/>
        </w:rPr>
        <w:t xml:space="preserve"> in odprtem javnem posvetovanju</w:t>
      </w:r>
      <w:r>
        <w:rPr>
          <w:rStyle w:val="FootnoteReference"/>
          <w:rFonts w:ascii="Times New Roman" w:hAnsi="Times New Roman"/>
          <w:noProof/>
          <w:sz w:val="24"/>
        </w:rPr>
        <w:footnoteReference w:id="20"/>
      </w:r>
      <w:r>
        <w:rPr>
          <w:rFonts w:ascii="Times New Roman" w:hAnsi="Times New Roman"/>
          <w:noProof/>
          <w:sz w:val="24"/>
        </w:rPr>
        <w:t>.</w:t>
      </w:r>
    </w:p>
    <w:p w:rsidR="00E43883" w:rsidRDefault="00F13BA0">
      <w:pPr>
        <w:rPr>
          <w:rFonts w:ascii="Times New Roman" w:hAnsi="Times New Roman"/>
          <w:noProof/>
          <w:sz w:val="24"/>
          <w:szCs w:val="24"/>
        </w:rPr>
      </w:pPr>
      <w:r>
        <w:rPr>
          <w:rFonts w:ascii="Times New Roman" w:hAnsi="Times New Roman"/>
          <w:noProof/>
          <w:sz w:val="24"/>
        </w:rPr>
        <w:t>V oceni je bilo ugotovljeno, da je imel akcijski načrt iz leta 2011 jasno dodano vrednost EU, da je bil simbol politične zaveze, da je spodbujal ukrepanje znotraj držav članic in okrepil mednarodno sodelovanje. Ocena je tu</w:t>
      </w:r>
      <w:r>
        <w:rPr>
          <w:rFonts w:ascii="Times New Roman" w:hAnsi="Times New Roman"/>
          <w:noProof/>
          <w:sz w:val="24"/>
        </w:rPr>
        <w:t>di potrdila, da so vprašanja, obravnavana v načrtu iz leta 2011, še vedno relevantna. Vendar je treba pobude razširiti: na primer, pristop „eno zdravje“ bi moral vključevati okolje in celoviteje obravnavati odpornost proti antimikrobikom z izboljšanim zbir</w:t>
      </w:r>
      <w:r>
        <w:rPr>
          <w:rFonts w:ascii="Times New Roman" w:hAnsi="Times New Roman"/>
          <w:noProof/>
          <w:sz w:val="24"/>
        </w:rPr>
        <w:t>anjem, spremljanjem in nadzorom podatkov. Priporočena je bila tudi dodatna podpora in pomoč državam članicam EU za spopadanje z razlikami in spodbujanje sodelovanja, učinkovitejših in bolj usklajenih raziskav za izboljšanje znanja in razvoj rešitev ter nad</w:t>
      </w:r>
      <w:r>
        <w:rPr>
          <w:rFonts w:ascii="Times New Roman" w:hAnsi="Times New Roman"/>
          <w:noProof/>
          <w:sz w:val="24"/>
        </w:rPr>
        <w:t>aljnje odločno nastopanje EU na svetovni ravni.</w:t>
      </w:r>
    </w:p>
    <w:p w:rsidR="00E43883" w:rsidRDefault="00F13BA0">
      <w:pPr>
        <w:rPr>
          <w:rFonts w:ascii="Times New Roman" w:hAnsi="Times New Roman"/>
          <w:noProof/>
          <w:sz w:val="24"/>
          <w:szCs w:val="24"/>
        </w:rPr>
      </w:pPr>
      <w:r>
        <w:rPr>
          <w:rFonts w:ascii="Times New Roman" w:hAnsi="Times New Roman"/>
          <w:noProof/>
          <w:sz w:val="24"/>
        </w:rPr>
        <w:t>K načrtovanju novega akcijskega načrta EU o odpornosti proti antimikrobikom je od 24. oktobra 2016 do 28. marca 2017 prispevalo 22 zainteresiranih strani. Odprto javno posvetovanje je potekalo od 27. januarja</w:t>
      </w:r>
      <w:r>
        <w:rPr>
          <w:rFonts w:ascii="Times New Roman" w:hAnsi="Times New Roman"/>
          <w:noProof/>
          <w:sz w:val="24"/>
        </w:rPr>
        <w:t xml:space="preserve"> do 28. aprila 2017. Vključevalo je dva ločena spletna vprašalnika: enega za državljane in drugega za uprave, združenja in druge organizacije. Skupaj je bilo prejetih 421 odgovorov državljanov in 163 odgovorov uprav, združenj in drugih organizacij. Zbirno </w:t>
      </w:r>
      <w:r>
        <w:rPr>
          <w:rFonts w:ascii="Times New Roman" w:hAnsi="Times New Roman"/>
          <w:noProof/>
          <w:sz w:val="24"/>
        </w:rPr>
        <w:t>poročilo, priloženo temu sporočilu, vsebuje pregled prejetih prispevkov in opisuje, kako so se upoštevali pri opredelitvi določenih ukrepov. Na splošno poslani odgovori potrjujejo močno podporo novemu akcijskemu načrtu „eno zdravje“ in pomen celovitega pri</w:t>
      </w:r>
      <w:r>
        <w:rPr>
          <w:rFonts w:ascii="Times New Roman" w:hAnsi="Times New Roman"/>
          <w:noProof/>
          <w:sz w:val="24"/>
        </w:rPr>
        <w:t>stopa.</w:t>
      </w:r>
    </w:p>
    <w:p w:rsidR="00E43883" w:rsidRDefault="00F13BA0">
      <w:pPr>
        <w:rPr>
          <w:rFonts w:ascii="Times New Roman" w:hAnsi="Times New Roman"/>
          <w:noProof/>
          <w:sz w:val="24"/>
          <w:szCs w:val="24"/>
        </w:rPr>
      </w:pPr>
      <w:r>
        <w:rPr>
          <w:rFonts w:ascii="Times New Roman" w:hAnsi="Times New Roman"/>
          <w:noProof/>
          <w:sz w:val="24"/>
        </w:rPr>
        <w:t>Ta nov akcijski načrt „eno zdravje“ zoper odpornost proti antimikrobikom temelji na potrebi po tem, da EU prevzame vodilno vlogo v boju zoper odpornost proti antimikrobikom in ustvari dodano vrednost ukrepom držav članic. Njegov krovni cilj je ohran</w:t>
      </w:r>
      <w:r>
        <w:rPr>
          <w:rFonts w:ascii="Times New Roman" w:hAnsi="Times New Roman"/>
          <w:noProof/>
          <w:sz w:val="24"/>
        </w:rPr>
        <w:t>iti možnost učinkovitega zdravljenja okužb pri ljudeh in živalih. Vzpostavlja okvir za nadaljnje in obsežnejše ukrepe za zmanjšanje pojavljanja in širjenja odpornosti proti antimikrobikom ter povečanje razvoja in razpoložljivosti novih učinkovitih antimikr</w:t>
      </w:r>
      <w:r>
        <w:rPr>
          <w:rFonts w:ascii="Times New Roman" w:hAnsi="Times New Roman"/>
          <w:noProof/>
          <w:sz w:val="24"/>
        </w:rPr>
        <w:t>obikov v EU in zunaj nje.</w:t>
      </w:r>
    </w:p>
    <w:p w:rsidR="00E43883" w:rsidRDefault="00F13BA0">
      <w:pPr>
        <w:rPr>
          <w:rFonts w:ascii="Times New Roman" w:hAnsi="Times New Roman"/>
          <w:noProof/>
          <w:sz w:val="24"/>
          <w:szCs w:val="24"/>
        </w:rPr>
      </w:pPr>
      <w:r>
        <w:rPr>
          <w:rFonts w:ascii="Times New Roman" w:hAnsi="Times New Roman"/>
          <w:noProof/>
          <w:sz w:val="24"/>
        </w:rPr>
        <w:t>Ključni cilji tega novega načrta temeljijo na treh glavnih stebrih:</w:t>
      </w:r>
    </w:p>
    <w:p w:rsidR="00E43883" w:rsidRDefault="00F13BA0">
      <w:pPr>
        <w:pStyle w:val="ListParagraph"/>
        <w:numPr>
          <w:ilvl w:val="0"/>
          <w:numId w:val="14"/>
        </w:numPr>
        <w:spacing w:after="0"/>
        <w:rPr>
          <w:rFonts w:ascii="Times New Roman" w:hAnsi="Times New Roman"/>
          <w:noProof/>
          <w:sz w:val="24"/>
          <w:szCs w:val="24"/>
        </w:rPr>
      </w:pPr>
      <w:r>
        <w:rPr>
          <w:rFonts w:ascii="Times New Roman" w:hAnsi="Times New Roman"/>
          <w:noProof/>
          <w:sz w:val="24"/>
        </w:rPr>
        <w:t>prizadevanje za to, da EU postane regija najboljše prakse: kot je poudarjeno v akcijskem načrtu iz leta 2011, bodo za to potrebni boljši dokazi, boljše usklajevan</w:t>
      </w:r>
      <w:r>
        <w:rPr>
          <w:rFonts w:ascii="Times New Roman" w:hAnsi="Times New Roman"/>
          <w:noProof/>
          <w:sz w:val="24"/>
        </w:rPr>
        <w:t>je in nadzor ter boljši kontrolni ukrepi. Ukrepi EU bodo osredotočeni na ključna področja in pomagali bodo državam članicam pri vzpostavljanju, izvajanju in spremljanju nacionalnih akcijskih načrtov o odpornosti proti antimikrobikom v okviru pobude „eno zd</w:t>
      </w:r>
      <w:r>
        <w:rPr>
          <w:rFonts w:ascii="Times New Roman" w:hAnsi="Times New Roman"/>
          <w:noProof/>
          <w:sz w:val="24"/>
        </w:rPr>
        <w:t>ravje“, o razvoju katerih so se dogovorili na generalni skupščini Svetovne zdravstvene organizacije leta 2015</w:t>
      </w:r>
      <w:r>
        <w:rPr>
          <w:rStyle w:val="FootnoteReference"/>
          <w:rFonts w:ascii="Times New Roman" w:hAnsi="Times New Roman"/>
          <w:noProof/>
          <w:sz w:val="24"/>
        </w:rPr>
        <w:footnoteReference w:id="21"/>
      </w:r>
      <w:r>
        <w:rPr>
          <w:rFonts w:ascii="Times New Roman" w:hAnsi="Times New Roman"/>
          <w:noProof/>
          <w:sz w:val="24"/>
        </w:rPr>
        <w:t>;</w:t>
      </w:r>
    </w:p>
    <w:p w:rsidR="00E43883" w:rsidRDefault="00E43883">
      <w:pPr>
        <w:pStyle w:val="ListParagraph"/>
        <w:spacing w:after="0"/>
        <w:ind w:left="1080"/>
        <w:rPr>
          <w:rFonts w:ascii="Times New Roman" w:hAnsi="Times New Roman"/>
          <w:noProof/>
          <w:sz w:val="24"/>
          <w:szCs w:val="24"/>
        </w:rPr>
      </w:pPr>
    </w:p>
    <w:p w:rsidR="00E43883" w:rsidRDefault="00F13BA0">
      <w:pPr>
        <w:pStyle w:val="ListParagraph"/>
        <w:numPr>
          <w:ilvl w:val="0"/>
          <w:numId w:val="14"/>
        </w:numPr>
        <w:autoSpaceDE w:val="0"/>
        <w:autoSpaceDN w:val="0"/>
        <w:adjustRightInd w:val="0"/>
        <w:spacing w:after="0"/>
        <w:rPr>
          <w:rFonts w:ascii="Times New Roman" w:hAnsi="Times New Roman"/>
          <w:noProof/>
          <w:sz w:val="24"/>
          <w:szCs w:val="24"/>
        </w:rPr>
      </w:pPr>
      <w:r>
        <w:rPr>
          <w:rFonts w:ascii="Times New Roman" w:hAnsi="Times New Roman"/>
          <w:noProof/>
          <w:sz w:val="24"/>
        </w:rPr>
        <w:t>spodbujanje raziskav, razvoja in inovacij z zapolnitvijo sedanjih vrzeli v znanju, zagotavljanjem novih rešitev in orodij za preprečevanje in z</w:t>
      </w:r>
      <w:r>
        <w:rPr>
          <w:rFonts w:ascii="Times New Roman" w:hAnsi="Times New Roman"/>
          <w:noProof/>
          <w:sz w:val="24"/>
        </w:rPr>
        <w:t>dravljenje infekcijskih bolezni ter izboljšanjem diagnostike za obvladovanje širjenja odpornosti proti antimikrobikom;</w:t>
      </w:r>
    </w:p>
    <w:p w:rsidR="00E43883" w:rsidRDefault="00E43883">
      <w:pPr>
        <w:pStyle w:val="ListParagraph"/>
        <w:spacing w:after="0"/>
        <w:ind w:left="1080"/>
        <w:rPr>
          <w:rFonts w:ascii="Times New Roman" w:hAnsi="Times New Roman"/>
          <w:noProof/>
          <w:sz w:val="24"/>
          <w:szCs w:val="24"/>
        </w:rPr>
      </w:pPr>
    </w:p>
    <w:p w:rsidR="00E43883" w:rsidRDefault="00F13BA0">
      <w:pPr>
        <w:pStyle w:val="ListParagraph"/>
        <w:numPr>
          <w:ilvl w:val="0"/>
          <w:numId w:val="14"/>
        </w:numPr>
        <w:spacing w:after="0"/>
        <w:rPr>
          <w:rFonts w:ascii="Times New Roman" w:hAnsi="Times New Roman"/>
          <w:noProof/>
          <w:sz w:val="24"/>
          <w:szCs w:val="24"/>
        </w:rPr>
      </w:pPr>
      <w:r>
        <w:rPr>
          <w:rFonts w:ascii="Times New Roman" w:hAnsi="Times New Roman"/>
          <w:noProof/>
          <w:sz w:val="24"/>
        </w:rPr>
        <w:t>okrepitev prizadevanj EU po vsem svetu za oblikovanje globalne agende o odpornosti proti antimikrobikom in povezanih tveganjih v medsebo</w:t>
      </w:r>
      <w:r>
        <w:rPr>
          <w:rFonts w:ascii="Times New Roman" w:hAnsi="Times New Roman"/>
          <w:noProof/>
          <w:sz w:val="24"/>
        </w:rPr>
        <w:t>jno vedno bolj povezanemu svetu.</w:t>
      </w:r>
    </w:p>
    <w:p w:rsidR="00E43883" w:rsidRDefault="00F13BA0">
      <w:pPr>
        <w:spacing w:before="240"/>
        <w:rPr>
          <w:rFonts w:ascii="Times New Roman" w:hAnsi="Times New Roman"/>
          <w:noProof/>
          <w:sz w:val="24"/>
          <w:szCs w:val="24"/>
        </w:rPr>
      </w:pPr>
      <w:r>
        <w:rPr>
          <w:rFonts w:ascii="Times New Roman" w:hAnsi="Times New Roman"/>
          <w:noProof/>
          <w:sz w:val="24"/>
        </w:rPr>
        <w:t>Nov načrt vsebuje konkretne ukrepe z dodano vrednostjo EU, ki jih bo Komisija po potrebi razvila in okrepila v prihodnjih letih. Vsi ti ukrepi so pomembni sami po sebi, so pa tudi medsebojno odvisni in jih je treba izvajati</w:t>
      </w:r>
      <w:r>
        <w:rPr>
          <w:rFonts w:ascii="Times New Roman" w:hAnsi="Times New Roman"/>
          <w:noProof/>
          <w:sz w:val="24"/>
        </w:rPr>
        <w:t xml:space="preserve"> vzporedno, da se doseže najboljši rezultat.</w:t>
      </w:r>
    </w:p>
    <w:p w:rsidR="00F13BA0" w:rsidRDefault="00F13BA0">
      <w:pPr>
        <w:spacing w:after="200" w:line="276" w:lineRule="auto"/>
        <w:jc w:val="left"/>
        <w:rPr>
          <w:rFonts w:ascii="Times New Roman" w:eastAsiaTheme="majorEastAsia" w:hAnsi="Times New Roman"/>
          <w:b/>
          <w:bCs/>
          <w:smallCaps/>
          <w:noProof/>
          <w:color w:val="000000" w:themeColor="text1"/>
          <w:sz w:val="24"/>
          <w:szCs w:val="24"/>
        </w:rPr>
      </w:pPr>
      <w:r>
        <w:rPr>
          <w:noProof/>
        </w:rPr>
        <w:br w:type="page"/>
      </w:r>
    </w:p>
    <w:p w:rsidR="00E43883" w:rsidRDefault="00F13BA0">
      <w:pPr>
        <w:pStyle w:val="Heading1"/>
        <w:rPr>
          <w:noProof/>
        </w:rPr>
      </w:pPr>
      <w:r>
        <w:rPr>
          <w:noProof/>
        </w:rPr>
        <w:t>Prizadevanje za to, da EU postane regija najboljše prakse</w:t>
      </w:r>
    </w:p>
    <w:p w:rsidR="00E43883" w:rsidRDefault="00F13BA0">
      <w:pPr>
        <w:autoSpaceDE w:val="0"/>
        <w:autoSpaceDN w:val="0"/>
        <w:adjustRightInd w:val="0"/>
        <w:spacing w:after="0"/>
        <w:rPr>
          <w:rFonts w:ascii="Times New Roman" w:hAnsi="Times New Roman"/>
          <w:noProof/>
          <w:sz w:val="24"/>
          <w:szCs w:val="24"/>
        </w:rPr>
      </w:pPr>
      <w:r>
        <w:rPr>
          <w:rFonts w:ascii="Times New Roman" w:hAnsi="Times New Roman"/>
          <w:noProof/>
          <w:sz w:val="24"/>
        </w:rPr>
        <w:t>Stanje po državah članicah EU v zvezi z odpornostjo proti antimikrobikom se močno razlikuje. To vključuje vzorce rabe antimikrobikov, pojavnost odpornost</w:t>
      </w:r>
      <w:r>
        <w:rPr>
          <w:rFonts w:ascii="Times New Roman" w:hAnsi="Times New Roman"/>
          <w:noProof/>
          <w:sz w:val="24"/>
        </w:rPr>
        <w:t>i in obsežnost izvajanja učinkovitih nacionalnih politik, ki obravnavajo odpornost proti antimikrobikom. Da bi se Komisija spoprijela s tem stanjem, se bo osredotočila na ključna področja z najvišjo dodano vrednostjo za države članice, obenem pa spoštovala</w:t>
      </w:r>
      <w:r>
        <w:rPr>
          <w:rFonts w:ascii="Times New Roman" w:hAnsi="Times New Roman"/>
          <w:noProof/>
          <w:sz w:val="24"/>
        </w:rPr>
        <w:t xml:space="preserve"> omejitve pristojnosti EU in upoštevala, da države članice ostajajo v prvi vrsti odgovorne za opredelitev svoje zdravstvene politike.</w:t>
      </w:r>
    </w:p>
    <w:p w:rsidR="00E43883" w:rsidRDefault="00E43883">
      <w:pPr>
        <w:autoSpaceDE w:val="0"/>
        <w:autoSpaceDN w:val="0"/>
        <w:adjustRightInd w:val="0"/>
        <w:spacing w:after="0"/>
        <w:rPr>
          <w:rFonts w:ascii="Times New Roman" w:hAnsi="Times New Roman"/>
          <w:noProof/>
          <w:sz w:val="24"/>
          <w:szCs w:val="24"/>
        </w:rPr>
      </w:pPr>
    </w:p>
    <w:p w:rsidR="00E43883" w:rsidRDefault="00F13BA0">
      <w:pPr>
        <w:autoSpaceDE w:val="0"/>
        <w:autoSpaceDN w:val="0"/>
        <w:adjustRightInd w:val="0"/>
        <w:spacing w:after="0"/>
        <w:rPr>
          <w:rFonts w:ascii="Times New Roman" w:hAnsi="Times New Roman"/>
          <w:noProof/>
          <w:sz w:val="24"/>
          <w:szCs w:val="24"/>
        </w:rPr>
      </w:pPr>
      <w:r>
        <w:rPr>
          <w:rFonts w:ascii="Times New Roman" w:hAnsi="Times New Roman"/>
          <w:noProof/>
          <w:sz w:val="24"/>
        </w:rPr>
        <w:t>Komisija bo še naprej povezovala vse ustrezne znanstvene agencije EU, zlasti Evropsko agencijo za varnost hrane (EFSA), E</w:t>
      </w:r>
      <w:r>
        <w:rPr>
          <w:rFonts w:ascii="Times New Roman" w:hAnsi="Times New Roman"/>
          <w:noProof/>
          <w:sz w:val="24"/>
        </w:rPr>
        <w:t>vropsko agencijo za zdravila (EMA) in Evropski center za preprečevanje in obvladovanje bolezni (ECDC), da bi skupaj sprejeli ustrezne ukrepe. To bo omogočilo državam članicam, da izkoristijo najučinkovitejšo podporo in vire za zmanjšanje odpornosti proti a</w:t>
      </w:r>
      <w:r>
        <w:rPr>
          <w:rFonts w:ascii="Times New Roman" w:hAnsi="Times New Roman"/>
          <w:noProof/>
          <w:sz w:val="24"/>
        </w:rPr>
        <w:t>ntimikrobikom in ohranjanje učinkovitosti antimikrobikov. Da bi se zmanjšale okužbe in s tem potreba po antimikrobikih, bodo podporni ukrepi agencij vključevali preprečevanje okužb, ukrepe za biološko zaščito in prakse obvladovanja na področju zdravstveneg</w:t>
      </w:r>
      <w:r>
        <w:rPr>
          <w:rFonts w:ascii="Times New Roman" w:hAnsi="Times New Roman"/>
          <w:noProof/>
          <w:sz w:val="24"/>
        </w:rPr>
        <w:t>a varstva ljudi in živinoreje, vključno z akvakulturo.</w:t>
      </w:r>
    </w:p>
    <w:p w:rsidR="00E43883" w:rsidRDefault="00E43883">
      <w:pPr>
        <w:autoSpaceDE w:val="0"/>
        <w:autoSpaceDN w:val="0"/>
        <w:adjustRightInd w:val="0"/>
        <w:spacing w:after="0"/>
        <w:rPr>
          <w:rFonts w:ascii="Times New Roman" w:hAnsi="Times New Roman"/>
          <w:noProof/>
          <w:sz w:val="24"/>
          <w:szCs w:val="24"/>
        </w:rPr>
      </w:pPr>
    </w:p>
    <w:p w:rsidR="00E43883" w:rsidRDefault="00F13BA0">
      <w:pPr>
        <w:rPr>
          <w:rFonts w:ascii="Times New Roman" w:hAnsi="Times New Roman"/>
          <w:noProof/>
          <w:sz w:val="24"/>
          <w:szCs w:val="24"/>
        </w:rPr>
      </w:pPr>
      <w:r>
        <w:rPr>
          <w:rFonts w:ascii="Times New Roman" w:hAnsi="Times New Roman"/>
          <w:noProof/>
          <w:sz w:val="24"/>
        </w:rPr>
        <w:t>Ukrepi EU bodo osredotočeni na področja z najvišjo dodano vrednostjo za države članice, npr. na spodbujanje preudarne rabe antimikrobikov, okrepitev medsektorskega dela, izboljšanje preprečevanja okuž</w:t>
      </w:r>
      <w:r>
        <w:rPr>
          <w:rFonts w:ascii="Times New Roman" w:hAnsi="Times New Roman"/>
          <w:noProof/>
          <w:sz w:val="24"/>
        </w:rPr>
        <w:t>b in združevanje obvladovanja odpornosti proti antimikrobikom ter njihove porabe.</w:t>
      </w:r>
    </w:p>
    <w:p w:rsidR="00E43883" w:rsidRDefault="00E43883">
      <w:pPr>
        <w:autoSpaceDE w:val="0"/>
        <w:autoSpaceDN w:val="0"/>
        <w:adjustRightInd w:val="0"/>
        <w:spacing w:before="240" w:after="0"/>
        <w:rPr>
          <w:rFonts w:ascii="Times New Roman" w:hAnsi="Times New Roman"/>
          <w:noProof/>
          <w:sz w:val="24"/>
          <w:szCs w:val="24"/>
        </w:rPr>
      </w:pPr>
    </w:p>
    <w:p w:rsidR="00E43883" w:rsidRDefault="00F13BA0">
      <w:pPr>
        <w:pStyle w:val="Heading2"/>
        <w:rPr>
          <w:noProof/>
        </w:rPr>
      </w:pPr>
      <w:r>
        <w:rPr>
          <w:noProof/>
        </w:rPr>
        <w:t>Boljši dokazi in poznavanje izzivov odpornosti proti antimikrobikom</w:t>
      </w:r>
    </w:p>
    <w:p w:rsidR="00E43883" w:rsidRDefault="00F13BA0">
      <w:pPr>
        <w:keepLines/>
        <w:outlineLvl w:val="1"/>
        <w:rPr>
          <w:rFonts w:ascii="Times New Roman" w:eastAsiaTheme="majorEastAsia" w:hAnsi="Times New Roman"/>
          <w:bCs/>
          <w:i/>
          <w:noProof/>
          <w:color w:val="000000" w:themeColor="text1"/>
          <w:sz w:val="24"/>
          <w:szCs w:val="24"/>
        </w:rPr>
      </w:pPr>
      <w:r>
        <w:rPr>
          <w:rFonts w:ascii="Times New Roman" w:eastAsiaTheme="majorEastAsia" w:hAnsi="Times New Roman"/>
          <w:i/>
          <w:noProof/>
          <w:color w:val="000000" w:themeColor="text1"/>
          <w:sz w:val="24"/>
        </w:rPr>
        <w:t>Okrepitev nadzora in poročanja o odpornosti proti antimikrobikom in njihovi rabi v okviru pobude „eno zdr</w:t>
      </w:r>
      <w:r>
        <w:rPr>
          <w:rFonts w:ascii="Times New Roman" w:eastAsiaTheme="majorEastAsia" w:hAnsi="Times New Roman"/>
          <w:i/>
          <w:noProof/>
          <w:color w:val="000000" w:themeColor="text1"/>
          <w:sz w:val="24"/>
        </w:rPr>
        <w:t>avje“</w:t>
      </w:r>
    </w:p>
    <w:p w:rsidR="00F13BA0" w:rsidRDefault="00F13BA0">
      <w:pPr>
        <w:keepLines/>
        <w:outlineLvl w:val="1"/>
        <w:rPr>
          <w:rFonts w:ascii="Times New Roman" w:eastAsiaTheme="majorEastAsia" w:hAnsi="Times New Roman"/>
          <w:noProof/>
          <w:color w:val="000000" w:themeColor="text1"/>
          <w:sz w:val="24"/>
        </w:rPr>
      </w:pPr>
      <w:r>
        <w:rPr>
          <w:rFonts w:ascii="Times New Roman" w:eastAsiaTheme="majorEastAsia" w:hAnsi="Times New Roman"/>
          <w:noProof/>
          <w:color w:val="000000" w:themeColor="text1"/>
          <w:sz w:val="24"/>
        </w:rPr>
        <w:t>V ljudeh, živalih, hrani in okolju obstajajo odporni mikroorganizmi</w:t>
      </w:r>
      <w:r>
        <w:rPr>
          <w:rFonts w:ascii="Times New Roman" w:hAnsi="Times New Roman"/>
          <w:noProof/>
          <w:sz w:val="24"/>
        </w:rPr>
        <w:t xml:space="preserve">. Zato je odpornost proti antimikrobikom kompleksno epidemiološko vprašanje. Glavni vzrok odpornosti proti antimikrobikom je njihova raba. </w:t>
      </w:r>
      <w:r>
        <w:rPr>
          <w:rFonts w:ascii="Times New Roman" w:eastAsiaTheme="majorEastAsia" w:hAnsi="Times New Roman"/>
          <w:noProof/>
          <w:color w:val="000000" w:themeColor="text1"/>
          <w:sz w:val="24"/>
        </w:rPr>
        <w:t xml:space="preserve">Celostno, sodelovalno in usklajeno zbiranje </w:t>
      </w:r>
      <w:r>
        <w:rPr>
          <w:rFonts w:ascii="Times New Roman" w:eastAsiaTheme="majorEastAsia" w:hAnsi="Times New Roman"/>
          <w:noProof/>
          <w:color w:val="000000" w:themeColor="text1"/>
          <w:sz w:val="24"/>
        </w:rPr>
        <w:t>in analiza podatkov z več področij, tj. sistema nadzora nad odpornostjo proti antimikrobikom v okviru pobude „eno zdravje“, je torej bistveno za razumevanje obsežnosti problema, prepoznavanje trendov, ugotavljanje, kako sta raba antimikrobikov in odpornost</w:t>
      </w:r>
      <w:r>
        <w:rPr>
          <w:rFonts w:ascii="Times New Roman" w:eastAsiaTheme="majorEastAsia" w:hAnsi="Times New Roman"/>
          <w:noProof/>
          <w:color w:val="000000" w:themeColor="text1"/>
          <w:sz w:val="24"/>
        </w:rPr>
        <w:t xml:space="preserve"> proti njim povezani, oceno politik in določitev prednostnih nalog. Čeprav v EU obstaja cela vrsta programov nadzora in dejavnosti v različnih sektorjih, so še vedno prisotne vrzeli v nadzoru. Da bi dobili popoln vpogled v epidemiološko stanje v zvezi z od</w:t>
      </w:r>
      <w:r>
        <w:rPr>
          <w:rFonts w:ascii="Times New Roman" w:eastAsiaTheme="majorEastAsia" w:hAnsi="Times New Roman"/>
          <w:noProof/>
          <w:color w:val="000000" w:themeColor="text1"/>
          <w:sz w:val="24"/>
        </w:rPr>
        <w:t>pornostjo proti antimikrobikom v EU in hitreje prepoznali kritične kontrolne točke, je potreben bolj povezan sistem nadzora. Boljšo podlago za razvoj podrobnih pravil za obvladovanje odpornih bakterij na področju zdravja živali pa nudi nov regulativni okvi</w:t>
      </w:r>
      <w:r>
        <w:rPr>
          <w:rFonts w:ascii="Times New Roman" w:eastAsiaTheme="majorEastAsia" w:hAnsi="Times New Roman"/>
          <w:noProof/>
          <w:color w:val="000000" w:themeColor="text1"/>
          <w:sz w:val="24"/>
        </w:rPr>
        <w:t>r (pravila o zdravju živali</w:t>
      </w:r>
      <w:r>
        <w:rPr>
          <w:rStyle w:val="FootnoteReference"/>
          <w:rFonts w:ascii="Times New Roman" w:hAnsi="Times New Roman"/>
          <w:noProof/>
          <w:color w:val="000000"/>
          <w:sz w:val="24"/>
        </w:rPr>
        <w:footnoteReference w:id="22"/>
      </w:r>
      <w:r>
        <w:rPr>
          <w:rFonts w:ascii="Times New Roman" w:eastAsiaTheme="majorEastAsia" w:hAnsi="Times New Roman"/>
          <w:noProof/>
          <w:color w:val="000000" w:themeColor="text1"/>
          <w:sz w:val="24"/>
        </w:rPr>
        <w:t>).</w:t>
      </w:r>
    </w:p>
    <w:p w:rsidR="00F13BA0" w:rsidRDefault="00F13BA0" w:rsidP="00F13BA0">
      <w:pPr>
        <w:rPr>
          <w:noProof/>
        </w:rPr>
      </w:pPr>
      <w:r>
        <w:rPr>
          <w:noProof/>
        </w:rPr>
        <w:br w:type="page"/>
      </w:r>
    </w:p>
    <w:p w:rsidR="00E43883" w:rsidRDefault="00E43883">
      <w:pPr>
        <w:keepLines/>
        <w:outlineLvl w:val="1"/>
        <w:rPr>
          <w:rFonts w:ascii="Times New Roman" w:eastAsiaTheme="majorEastAsia" w:hAnsi="Times New Roman"/>
          <w:bCs/>
          <w:noProof/>
          <w:color w:val="000000" w:themeColor="text1"/>
          <w:sz w:val="24"/>
          <w:szCs w:val="24"/>
        </w:rPr>
      </w:pPr>
    </w:p>
    <w:p w:rsidR="00E43883" w:rsidRDefault="00F13BA0">
      <w:pPr>
        <w:pBdr>
          <w:top w:val="single" w:sz="4" w:space="1" w:color="auto"/>
          <w:left w:val="single" w:sz="4" w:space="4" w:color="auto"/>
          <w:bottom w:val="single" w:sz="4" w:space="1" w:color="auto"/>
          <w:right w:val="single" w:sz="4" w:space="4" w:color="auto"/>
        </w:pBdr>
        <w:ind w:left="420"/>
        <w:rPr>
          <w:rFonts w:ascii="Times New Roman" w:hAnsi="Times New Roman"/>
          <w:noProof/>
          <w:sz w:val="24"/>
          <w:szCs w:val="24"/>
        </w:rPr>
      </w:pPr>
      <w:r>
        <w:rPr>
          <w:rFonts w:ascii="Times New Roman" w:hAnsi="Times New Roman"/>
          <w:noProof/>
          <w:sz w:val="24"/>
        </w:rPr>
        <w:t>Komisija bo:</w:t>
      </w:r>
    </w:p>
    <w:p w:rsidR="00E43883" w:rsidRDefault="00F13BA0">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pregledala izvedbeno zakonodajo EU o spremljanju odpornosti zoonotskih in komenzalnih bakterij proti antimikrobikom pri rejnih živalih in hrani</w:t>
      </w:r>
      <w:r>
        <w:rPr>
          <w:rStyle w:val="FootnoteReference"/>
          <w:rFonts w:ascii="Times New Roman" w:hAnsi="Times New Roman"/>
          <w:noProof/>
          <w:sz w:val="24"/>
        </w:rPr>
        <w:footnoteReference w:id="23"/>
      </w:r>
      <w:r>
        <w:rPr>
          <w:rFonts w:ascii="Times New Roman" w:hAnsi="Times New Roman"/>
          <w:noProof/>
          <w:sz w:val="24"/>
        </w:rPr>
        <w:t xml:space="preserve">, da bi upoštevala nov znanstveni razvoj in potrebe po zbiranju </w:t>
      </w:r>
      <w:r>
        <w:rPr>
          <w:rFonts w:ascii="Times New Roman" w:hAnsi="Times New Roman"/>
          <w:noProof/>
          <w:sz w:val="24"/>
        </w:rPr>
        <w:t>podatkov;</w:t>
      </w:r>
    </w:p>
    <w:p w:rsidR="00E43883" w:rsidRDefault="00F13BA0">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pregledala izvedbeno zakonodajo EU o poročanju o nalezljivih boleznih pri ljudeh</w:t>
      </w:r>
      <w:r>
        <w:rPr>
          <w:rStyle w:val="FootnoteReference"/>
          <w:rFonts w:ascii="Times New Roman" w:hAnsi="Times New Roman"/>
          <w:noProof/>
          <w:sz w:val="24"/>
        </w:rPr>
        <w:footnoteReference w:id="24"/>
      </w:r>
      <w:r>
        <w:rPr>
          <w:rFonts w:ascii="Times New Roman" w:hAnsi="Times New Roman"/>
          <w:noProof/>
          <w:sz w:val="24"/>
        </w:rPr>
        <w:t>, da bi upoštevala nov znanstveni razvoj in potrebe po zbiranju podatkov;</w:t>
      </w:r>
    </w:p>
    <w:p w:rsidR="00E43883" w:rsidRDefault="00F13BA0">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 xml:space="preserve">v okviru pravil o zdravju živali in ob podpori agencije EFSA opredelila in ocenila odporne </w:t>
      </w:r>
      <w:r>
        <w:rPr>
          <w:rFonts w:ascii="Times New Roman" w:hAnsi="Times New Roman"/>
          <w:noProof/>
          <w:sz w:val="24"/>
        </w:rPr>
        <w:t>bakterije, ki povzročajo prenosljive bolezni živali, in po potrebi razvila usklajena pravila za njihovo spremljanje;</w:t>
      </w:r>
    </w:p>
    <w:p w:rsidR="00E43883" w:rsidRDefault="00F13BA0">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izboljšala odkrivanje odpornosti proti antimikrobikom v sektorju zdravja ljudi z zagotavljanjem podpore EU za sodelovanje pri povezovanju v</w:t>
      </w:r>
      <w:r>
        <w:rPr>
          <w:rFonts w:ascii="Times New Roman" w:hAnsi="Times New Roman"/>
          <w:noProof/>
          <w:sz w:val="24"/>
        </w:rPr>
        <w:t xml:space="preserve"> mreže in dejavnosti referenčnih laboratorijev;</w:t>
      </w:r>
    </w:p>
    <w:p w:rsidR="00E43883" w:rsidRDefault="00F13BA0">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preučila možnosti za usklajeno spremljanje odpornosti proti antimikrobikom v okolju, vključno prek mreže nacionalnih referenčnih laboratorijev v veterinarskem sektorju.</w:t>
      </w:r>
    </w:p>
    <w:p w:rsidR="00E43883" w:rsidRDefault="00F13BA0">
      <w:pPr>
        <w:keepNext/>
        <w:keepLines/>
        <w:outlineLvl w:val="1"/>
        <w:rPr>
          <w:rFonts w:ascii="Times New Roman" w:eastAsia="MS Mincho" w:hAnsi="Times New Roman"/>
          <w:i/>
          <w:noProof/>
          <w:color w:val="000000"/>
          <w:sz w:val="24"/>
          <w:szCs w:val="24"/>
        </w:rPr>
      </w:pPr>
      <w:r>
        <w:rPr>
          <w:rFonts w:ascii="Times New Roman" w:hAnsi="Times New Roman"/>
          <w:i/>
          <w:noProof/>
          <w:color w:val="000000"/>
          <w:sz w:val="24"/>
        </w:rPr>
        <w:t>Koristi najboljše analize in podatkov n</w:t>
      </w:r>
      <w:r>
        <w:rPr>
          <w:rFonts w:ascii="Times New Roman" w:hAnsi="Times New Roman"/>
          <w:i/>
          <w:noProof/>
          <w:color w:val="000000"/>
          <w:sz w:val="24"/>
        </w:rPr>
        <w:t>a podlagi dokazov</w:t>
      </w:r>
    </w:p>
    <w:p w:rsidR="00E43883" w:rsidRDefault="00F13BA0">
      <w:pPr>
        <w:keepNext/>
        <w:keepLines/>
        <w:outlineLvl w:val="1"/>
        <w:rPr>
          <w:rFonts w:ascii="Times New Roman" w:eastAsia="MS Mincho" w:hAnsi="Times New Roman"/>
          <w:noProof/>
          <w:color w:val="000000"/>
          <w:sz w:val="24"/>
          <w:szCs w:val="24"/>
        </w:rPr>
      </w:pPr>
      <w:r>
        <w:rPr>
          <w:rFonts w:ascii="Times New Roman" w:hAnsi="Times New Roman"/>
          <w:noProof/>
          <w:color w:val="000000"/>
          <w:sz w:val="24"/>
        </w:rPr>
        <w:t>Visokokakovostne raziskave, podatki in analize so ključna podlaga za nove ukrepe zoper odpornost proti antimikrobikom in pomoč oblikovalcem politike pri izboljšanju sedanjih ukrepov. Nekaj informacij je že na voljo državam članicam, dodat</w:t>
      </w:r>
      <w:r>
        <w:rPr>
          <w:rFonts w:ascii="Times New Roman" w:hAnsi="Times New Roman"/>
          <w:noProof/>
          <w:color w:val="000000"/>
          <w:sz w:val="24"/>
        </w:rPr>
        <w:t>ne zanesljive informacije pa je treba še pridobiti.</w:t>
      </w:r>
    </w:p>
    <w:p w:rsidR="00E43883" w:rsidRDefault="00F13BA0">
      <w:pPr>
        <w:keepNext/>
        <w:keepLines/>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Komisija bo:</w:t>
      </w:r>
    </w:p>
    <w:p w:rsidR="00E43883" w:rsidRDefault="00F13BA0">
      <w:pPr>
        <w:pStyle w:val="ListParagraph"/>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sz w:val="24"/>
        </w:rPr>
        <w:t xml:space="preserve">ob podpori centra ECDC ter agencij EMA in EFSA in na podlagi dokazov zagotovila podatke o možnih povezavah med porabo antimikrobikov in pojavnostjo odpornosti proti njim pri ljudeh in </w:t>
      </w:r>
      <w:r>
        <w:rPr>
          <w:rFonts w:ascii="Times New Roman" w:hAnsi="Times New Roman"/>
          <w:noProof/>
          <w:sz w:val="24"/>
        </w:rPr>
        <w:t>živalih, namenjenih za proizvodnjo hrane</w:t>
      </w:r>
      <w:r>
        <w:rPr>
          <w:rFonts w:ascii="Times New Roman" w:hAnsi="Times New Roman"/>
          <w:noProof/>
          <w:color w:val="000000"/>
          <w:sz w:val="24"/>
        </w:rPr>
        <w:t>;</w:t>
      </w:r>
    </w:p>
    <w:p w:rsidR="00E43883" w:rsidRDefault="00F13BA0">
      <w:pPr>
        <w:pStyle w:val="ListParagraph"/>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sz w:val="24"/>
        </w:rPr>
        <w:t>ob podpori centra ECDC ter agencij EMA in EFSA opredelila omejeno število ključnih kazalnikov rezultatov za odpornost proti antimikrobikom in njihovo porabo, da bi izmerila napredek v boju zoper odpornost proti ant</w:t>
      </w:r>
      <w:r>
        <w:rPr>
          <w:rFonts w:ascii="Times New Roman" w:hAnsi="Times New Roman"/>
          <w:noProof/>
          <w:sz w:val="24"/>
        </w:rPr>
        <w:t>imikrobikom znotraj EU in po posameznih državah članicah</w:t>
      </w:r>
      <w:r>
        <w:rPr>
          <w:rFonts w:ascii="Times New Roman" w:hAnsi="Times New Roman"/>
          <w:noProof/>
          <w:color w:val="000000"/>
          <w:sz w:val="24"/>
        </w:rPr>
        <w:t>;</w:t>
      </w:r>
    </w:p>
    <w:p w:rsidR="00E43883" w:rsidRDefault="00F13BA0">
      <w:pPr>
        <w:pStyle w:val="ListParagraph"/>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sz w:val="24"/>
        </w:rPr>
        <w:t>ob podpori OECD razvila model, katerega namen je pomagati državam članicam pri ocenjevanju gospodarskega bremena odpornosti proti antimikrobikom za ljudi ter ocenjevanju stroškovne učinkovitosti nji</w:t>
      </w:r>
      <w:r>
        <w:rPr>
          <w:rFonts w:ascii="Times New Roman" w:hAnsi="Times New Roman"/>
          <w:noProof/>
          <w:sz w:val="24"/>
        </w:rPr>
        <w:t>hovih nacionalnih politik, usmerjenih v njeno zmanjšanje</w:t>
      </w:r>
      <w:r>
        <w:rPr>
          <w:rFonts w:ascii="Times New Roman" w:hAnsi="Times New Roman"/>
          <w:noProof/>
          <w:color w:val="000000"/>
          <w:sz w:val="24"/>
        </w:rPr>
        <w:t>.</w:t>
      </w:r>
    </w:p>
    <w:p w:rsidR="00E43883" w:rsidRDefault="00F13BA0">
      <w:pPr>
        <w:keepLines/>
        <w:outlineLvl w:val="1"/>
        <w:rPr>
          <w:rFonts w:ascii="Times New Roman" w:eastAsia="MS Mincho" w:hAnsi="Times New Roman"/>
          <w:i/>
          <w:noProof/>
          <w:color w:val="000000"/>
          <w:sz w:val="24"/>
          <w:szCs w:val="24"/>
        </w:rPr>
      </w:pPr>
      <w:r>
        <w:rPr>
          <w:rFonts w:ascii="Times New Roman" w:hAnsi="Times New Roman"/>
          <w:i/>
          <w:noProof/>
          <w:color w:val="000000"/>
          <w:sz w:val="24"/>
        </w:rPr>
        <w:t>Povečanje ozaveščenosti in razumevanja</w:t>
      </w:r>
    </w:p>
    <w:p w:rsidR="00E43883" w:rsidRDefault="00F13BA0">
      <w:pPr>
        <w:keepLines/>
        <w:outlineLvl w:val="1"/>
        <w:rPr>
          <w:rFonts w:ascii="Times New Roman" w:eastAsia="MS Mincho" w:hAnsi="Times New Roman"/>
          <w:i/>
          <w:noProof/>
          <w:color w:val="000000"/>
          <w:sz w:val="24"/>
          <w:szCs w:val="24"/>
        </w:rPr>
      </w:pPr>
      <w:r>
        <w:rPr>
          <w:rFonts w:ascii="Times New Roman" w:hAnsi="Times New Roman"/>
          <w:noProof/>
          <w:color w:val="000000"/>
          <w:sz w:val="24"/>
        </w:rPr>
        <w:t>Več raziskav Eurobarometra o odpornosti proti antimikrobikom, ki se bile opravljene od leta 2010</w:t>
      </w:r>
      <w:r>
        <w:rPr>
          <w:rStyle w:val="FootnoteReference"/>
          <w:rFonts w:ascii="Times New Roman" w:hAnsi="Times New Roman"/>
          <w:noProof/>
          <w:color w:val="000000"/>
          <w:sz w:val="24"/>
        </w:rPr>
        <w:footnoteReference w:id="25"/>
      </w:r>
      <w:r>
        <w:rPr>
          <w:rFonts w:ascii="Times New Roman" w:hAnsi="Times New Roman"/>
          <w:noProof/>
          <w:color w:val="000000"/>
          <w:sz w:val="24"/>
        </w:rPr>
        <w:t>, kaže, da je ozaveščenost glede povezave med rabo antimikrobi</w:t>
      </w:r>
      <w:r>
        <w:rPr>
          <w:rFonts w:ascii="Times New Roman" w:hAnsi="Times New Roman"/>
          <w:noProof/>
          <w:color w:val="000000"/>
          <w:sz w:val="24"/>
        </w:rPr>
        <w:t>kov ter razvojem in širjenjem odpornosti proti njim še vedno na nizki ravni. To je glavni vzrok za neustrezno rabo antimikrobikov pri ljudeh in živalih. Za povečanje ozaveščenosti in izobraževanje o odpornosti proti antimikrobikom je treba torej storiti ve</w:t>
      </w:r>
      <w:r>
        <w:rPr>
          <w:rFonts w:ascii="Times New Roman" w:hAnsi="Times New Roman"/>
          <w:noProof/>
          <w:color w:val="000000"/>
          <w:sz w:val="24"/>
        </w:rPr>
        <w:t>č. Komunikacijske pobude na ravni EU naj podprejo države članice pri izboljšanju razumevanja odpornosti proti antimikrobikom v javnosti in strokovnih krogih, spodbujanju preudarne rabe in podpori bolj premišljenega kliničnega odločanja ter smotrnega predpi</w:t>
      </w:r>
      <w:r>
        <w:rPr>
          <w:rFonts w:ascii="Times New Roman" w:hAnsi="Times New Roman"/>
          <w:noProof/>
          <w:color w:val="000000"/>
          <w:sz w:val="24"/>
        </w:rPr>
        <w:t>sovanja.</w:t>
      </w:r>
    </w:p>
    <w:p w:rsidR="00E43883" w:rsidRDefault="00F13BA0">
      <w:pPr>
        <w:keepLines/>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Komisija bo:</w:t>
      </w:r>
    </w:p>
    <w:p w:rsidR="00E43883" w:rsidRDefault="00F13BA0">
      <w:pPr>
        <w:pStyle w:val="ListParagraph"/>
        <w:keepLines/>
        <w:numPr>
          <w:ilvl w:val="0"/>
          <w:numId w:val="22"/>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color w:val="000000"/>
          <w:sz w:val="24"/>
        </w:rPr>
        <w:t>zagotovila vpogled v poročila o javni rabi antimikrobikov in njihovem poznavanju na podlagi raziskav Eurobarometra;</w:t>
      </w:r>
    </w:p>
    <w:p w:rsidR="00E43883" w:rsidRDefault="00F13BA0">
      <w:pPr>
        <w:pStyle w:val="ListParagraph"/>
        <w:keepLines/>
        <w:numPr>
          <w:ilvl w:val="0"/>
          <w:numId w:val="22"/>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sz w:val="24"/>
        </w:rPr>
        <w:t xml:space="preserve">podpirala nacionalna prizadevanja držav članic na področju ozaveščanja s posebnimi komunikacijskimi orodji, namenjenimi ključnim ciljnim občinstvom, ter prispevala k </w:t>
      </w:r>
      <w:r>
        <w:rPr>
          <w:rFonts w:ascii="Times New Roman" w:hAnsi="Times New Roman"/>
          <w:noProof/>
          <w:color w:val="000000"/>
          <w:sz w:val="24"/>
        </w:rPr>
        <w:t>vsakoletnemu evropskemu dnevu ozaveščanja o antibiotikih (EAAD).</w:t>
      </w:r>
    </w:p>
    <w:p w:rsidR="00E43883" w:rsidRDefault="00F13BA0">
      <w:pPr>
        <w:pStyle w:val="Heading2"/>
        <w:rPr>
          <w:noProof/>
        </w:rPr>
      </w:pPr>
      <w:r>
        <w:rPr>
          <w:noProof/>
        </w:rPr>
        <w:t>Boljše usklajevanje in iz</w:t>
      </w:r>
      <w:r>
        <w:rPr>
          <w:noProof/>
        </w:rPr>
        <w:t>vajanje pravil EU za boj zoper odpornost proti antimikrobikom</w:t>
      </w:r>
    </w:p>
    <w:p w:rsidR="00E43883" w:rsidRDefault="00F13BA0">
      <w:pPr>
        <w:keepNext/>
        <w:keepLines/>
        <w:outlineLvl w:val="1"/>
        <w:rPr>
          <w:rFonts w:ascii="Times New Roman" w:eastAsiaTheme="majorEastAsia" w:hAnsi="Times New Roman"/>
          <w:bCs/>
          <w:i/>
          <w:noProof/>
          <w:color w:val="000000" w:themeColor="text1"/>
          <w:sz w:val="24"/>
          <w:szCs w:val="24"/>
        </w:rPr>
      </w:pPr>
      <w:r>
        <w:rPr>
          <w:rFonts w:ascii="Times New Roman" w:eastAsiaTheme="majorEastAsia" w:hAnsi="Times New Roman"/>
          <w:i/>
          <w:noProof/>
          <w:color w:val="000000" w:themeColor="text1"/>
          <w:sz w:val="24"/>
        </w:rPr>
        <w:t>Izboljšanje usklajevanja odzivov držav članic na odpornost proti antimikrobikom v okviru pobude „eno zdravje“</w:t>
      </w:r>
    </w:p>
    <w:p w:rsidR="00E43883" w:rsidRDefault="00F13BA0">
      <w:pPr>
        <w:keepNext/>
        <w:keepLines/>
        <w:rPr>
          <w:rFonts w:ascii="Times New Roman" w:hAnsi="Times New Roman"/>
          <w:noProof/>
          <w:sz w:val="24"/>
          <w:szCs w:val="24"/>
        </w:rPr>
      </w:pPr>
      <w:r>
        <w:rPr>
          <w:rFonts w:ascii="Times New Roman" w:hAnsi="Times New Roman"/>
          <w:noProof/>
          <w:sz w:val="24"/>
        </w:rPr>
        <w:t>Ker se odpornost proti antimikrobikom v EU povečuje, je pomembno, da se vsem državam</w:t>
      </w:r>
      <w:r>
        <w:rPr>
          <w:rFonts w:ascii="Times New Roman" w:hAnsi="Times New Roman"/>
          <w:noProof/>
          <w:sz w:val="24"/>
        </w:rPr>
        <w:t xml:space="preserve"> članicam omogoči dostop do znanj, pridobljenih na podlagi uspešnih strategij. Pri obravnavanju čezmejnih nevarnosti za zdravje zaradi odpornosti proti antimikrobikom</w:t>
      </w:r>
      <w:r>
        <w:rPr>
          <w:rStyle w:val="FootnoteReference"/>
          <w:rFonts w:ascii="Times New Roman" w:hAnsi="Times New Roman"/>
          <w:noProof/>
          <w:sz w:val="24"/>
        </w:rPr>
        <w:footnoteReference w:id="26"/>
      </w:r>
      <w:r>
        <w:rPr>
          <w:rFonts w:ascii="Times New Roman" w:hAnsi="Times New Roman"/>
          <w:noProof/>
          <w:sz w:val="24"/>
        </w:rPr>
        <w:t xml:space="preserve"> je ključno, da se opredelijo in delijo najboljše prakse in politike, da pomanjkanje ukre</w:t>
      </w:r>
      <w:r>
        <w:rPr>
          <w:rFonts w:ascii="Times New Roman" w:hAnsi="Times New Roman"/>
          <w:noProof/>
          <w:sz w:val="24"/>
        </w:rPr>
        <w:t>panja v eni regiji ali sektorju ne bi oviralo napredka v drugih. Da bi pomagala pri tem sodelovanju in ga tudi spodbudila, je Komisija v začetku leta 2017 vzpostavila mrežo „eno zdravje“ zoper odpornost proti antimikrobikom, ki jo sestavljajo vladni stroko</w:t>
      </w:r>
      <w:r>
        <w:rPr>
          <w:rFonts w:ascii="Times New Roman" w:hAnsi="Times New Roman"/>
          <w:noProof/>
          <w:sz w:val="24"/>
        </w:rPr>
        <w:t>vnjaki iz sektorjev zdravja ljudi, zdravja živali in okolja ter znanstvenih agencij EU iz sektorjev zdravja ljudi in zdravja živali (ECDC, EMA in EFSA). V okviru te mreže si njeni člani prizadevajo za olajšanje vzajemnega učenja, izmenjavo inovativnih zami</w:t>
      </w:r>
      <w:r>
        <w:rPr>
          <w:rFonts w:ascii="Times New Roman" w:hAnsi="Times New Roman"/>
          <w:noProof/>
          <w:sz w:val="24"/>
        </w:rPr>
        <w:t>sli, oblikovanje soglasja, primerjanje doseženega napredka na ključnih področjih in po potrebi pospeševanje nacionalnih prizadevanj v boju zoper odpornost proti antimikrobikom.</w:t>
      </w:r>
    </w:p>
    <w:p w:rsidR="00E43883" w:rsidRDefault="00F13BA0">
      <w:pPr>
        <w:pBdr>
          <w:top w:val="single" w:sz="4" w:space="1" w:color="auto"/>
          <w:left w:val="single" w:sz="4" w:space="4" w:color="auto"/>
          <w:bottom w:val="single" w:sz="4" w:space="1" w:color="auto"/>
          <w:right w:val="single" w:sz="4" w:space="4" w:color="auto"/>
        </w:pBdr>
        <w:ind w:left="420"/>
        <w:rPr>
          <w:rFonts w:ascii="Times New Roman" w:hAnsi="Times New Roman"/>
          <w:noProof/>
          <w:sz w:val="24"/>
          <w:szCs w:val="24"/>
        </w:rPr>
      </w:pPr>
      <w:r>
        <w:rPr>
          <w:rFonts w:ascii="Times New Roman" w:hAnsi="Times New Roman"/>
          <w:noProof/>
          <w:sz w:val="24"/>
        </w:rPr>
        <w:t>Komisija bo:</w:t>
      </w:r>
    </w:p>
    <w:p w:rsidR="00E43883" w:rsidRDefault="00F13BA0">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dajala na voljo redne informacije o odpornosti proti antimikrobikom v okviru mreže „eno zdravje“ zoper odpornost proti antimikrobikom, kar vsebuje pregled nad epidemiološkim stanjem v zvezi z odpornostjo proti antimikrobikom na ravni držav članic in na rav</w:t>
      </w:r>
      <w:r>
        <w:rPr>
          <w:rFonts w:ascii="Times New Roman" w:hAnsi="Times New Roman"/>
          <w:noProof/>
          <w:sz w:val="24"/>
        </w:rPr>
        <w:t xml:space="preserve">ni EU; </w:t>
      </w:r>
    </w:p>
    <w:p w:rsidR="00E43883" w:rsidRDefault="00F13BA0">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v okviru skupnih obiskov Komisije in centra ECDC v državah članicah na zahtevo podpirala izvajanje nacionalnih akcijskih načrtov pobude „eno zdravje“ zoper odpornost proti antimikrobikom;</w:t>
      </w:r>
    </w:p>
    <w:p w:rsidR="00E43883" w:rsidRDefault="00F13BA0">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začela izvajati skupen ukrep</w:t>
      </w:r>
      <w:r>
        <w:rPr>
          <w:rStyle w:val="FootnoteReference"/>
          <w:rFonts w:ascii="Times New Roman" w:hAnsi="Times New Roman"/>
          <w:noProof/>
          <w:sz w:val="24"/>
        </w:rPr>
        <w:footnoteReference w:id="27"/>
      </w:r>
      <w:r>
        <w:rPr>
          <w:rFonts w:ascii="Times New Roman" w:hAnsi="Times New Roman"/>
          <w:noProof/>
          <w:sz w:val="24"/>
        </w:rPr>
        <w:t>, da bi podprla sodelovalne dej</w:t>
      </w:r>
      <w:r>
        <w:rPr>
          <w:rFonts w:ascii="Times New Roman" w:hAnsi="Times New Roman"/>
          <w:noProof/>
          <w:sz w:val="24"/>
        </w:rPr>
        <w:t>avnosti in oblikovanje politike držav članic za boj zoper odpornost proti antimikrobikom ter okužbam, povezanim z zdravstveno oskrbo</w:t>
      </w:r>
      <w:r>
        <w:rPr>
          <w:rFonts w:ascii="Times New Roman" w:hAnsi="Times New Roman"/>
          <w:i/>
          <w:noProof/>
          <w:sz w:val="24"/>
        </w:rPr>
        <w:t>;</w:t>
      </w:r>
    </w:p>
    <w:p w:rsidR="00E43883" w:rsidRDefault="00F13BA0">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bolj uporabljala Odbor EU za zdravstveno varnost in delovno skupino Komisije o odpornosti proti antimikrobikom na veterina</w:t>
      </w:r>
      <w:r>
        <w:rPr>
          <w:rFonts w:ascii="Times New Roman" w:hAnsi="Times New Roman"/>
          <w:noProof/>
          <w:sz w:val="24"/>
        </w:rPr>
        <w:t>rskem in živilskem področju, da bi okrepila sodelovanje in zagotovila izmenjavo informacij;</w:t>
      </w:r>
    </w:p>
    <w:p w:rsidR="00E43883" w:rsidRDefault="00F13BA0">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 xml:space="preserve">iskala načine za sofinanciranje in sodelovanje s SZO pri dejavnostih, ki pomagajo državam članicam EU razvijati in izvajati nacionalne akcijske načrte za boj zoper </w:t>
      </w:r>
      <w:r>
        <w:rPr>
          <w:rFonts w:ascii="Times New Roman" w:hAnsi="Times New Roman"/>
          <w:noProof/>
          <w:sz w:val="24"/>
        </w:rPr>
        <w:t>odpornost proti antimikrobikom v okviru pobude „eno zdravje“.</w:t>
      </w:r>
    </w:p>
    <w:p w:rsidR="00F13BA0" w:rsidRDefault="00F13BA0">
      <w:pPr>
        <w:spacing w:after="200" w:line="276" w:lineRule="auto"/>
        <w:jc w:val="left"/>
        <w:rPr>
          <w:rFonts w:ascii="Times New Roman" w:eastAsiaTheme="majorEastAsia" w:hAnsi="Times New Roman"/>
          <w:i/>
          <w:noProof/>
          <w:color w:val="000000" w:themeColor="text1"/>
          <w:sz w:val="24"/>
        </w:rPr>
      </w:pPr>
      <w:r>
        <w:rPr>
          <w:rFonts w:ascii="Times New Roman" w:eastAsiaTheme="majorEastAsia" w:hAnsi="Times New Roman"/>
          <w:i/>
          <w:noProof/>
          <w:color w:val="000000" w:themeColor="text1"/>
          <w:sz w:val="24"/>
        </w:rPr>
        <w:br w:type="page"/>
      </w:r>
    </w:p>
    <w:p w:rsidR="00E43883" w:rsidRDefault="00F13BA0">
      <w:pPr>
        <w:keepLines/>
        <w:outlineLvl w:val="1"/>
        <w:rPr>
          <w:noProof/>
        </w:rPr>
      </w:pPr>
      <w:r>
        <w:rPr>
          <w:rFonts w:ascii="Times New Roman" w:eastAsiaTheme="majorEastAsia" w:hAnsi="Times New Roman"/>
          <w:i/>
          <w:noProof/>
          <w:color w:val="000000" w:themeColor="text1"/>
          <w:sz w:val="24"/>
        </w:rPr>
        <w:t>Boljše izvajanje predpisov EU</w:t>
      </w:r>
    </w:p>
    <w:p w:rsidR="00E43883" w:rsidRDefault="00F13BA0">
      <w:pPr>
        <w:keepLines/>
        <w:outlineLvl w:val="1"/>
        <w:rPr>
          <w:rFonts w:ascii="Times New Roman" w:eastAsia="MS Mincho" w:hAnsi="Times New Roman"/>
          <w:noProof/>
          <w:color w:val="000000"/>
          <w:sz w:val="24"/>
          <w:szCs w:val="24"/>
        </w:rPr>
      </w:pPr>
      <w:r>
        <w:rPr>
          <w:rFonts w:ascii="Times New Roman" w:hAnsi="Times New Roman"/>
          <w:noProof/>
          <w:color w:val="000000"/>
          <w:sz w:val="24"/>
        </w:rPr>
        <w:t>Za doseganje dolgotrajnih rezultatov in ustvarjanje potrebne spodbude je pomembno, da se zakonodaja EU o odpornosti proti antimikrobikom (npr. predpisi o spremljanj</w:t>
      </w:r>
      <w:r>
        <w:rPr>
          <w:rFonts w:ascii="Times New Roman" w:hAnsi="Times New Roman"/>
          <w:noProof/>
          <w:color w:val="000000"/>
          <w:sz w:val="24"/>
        </w:rPr>
        <w:t>u odpornosti proti antimikrobikom pri živalih, namenjenih za proizvodnjo hrane, o zdravilih za uporabo v veterinarski medicini in o medicirani krmi) ustrezno izvaja. To pomeni ustrezno usposabljanje osebja držav članic, ki so vključeni v dejavnosti uradneg</w:t>
      </w:r>
      <w:r>
        <w:rPr>
          <w:rFonts w:ascii="Times New Roman" w:hAnsi="Times New Roman"/>
          <w:noProof/>
          <w:color w:val="000000"/>
          <w:sz w:val="24"/>
        </w:rPr>
        <w:t>a nadzora, in redno seznanjanje tega osebja z vsemi vidiki zakonodaje EU o odpornosti proti antimikrobikom za zagotovitev enotnega in nepristranskega izvajanja nadzora v vseh državah članicah.</w:t>
      </w:r>
    </w:p>
    <w:p w:rsidR="00E43883" w:rsidRDefault="00F13BA0">
      <w:pPr>
        <w:keepNext/>
        <w:pBdr>
          <w:top w:val="single" w:sz="4" w:space="1" w:color="auto"/>
          <w:left w:val="single" w:sz="4" w:space="4" w:color="auto"/>
          <w:bottom w:val="single" w:sz="4" w:space="0"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Komisija bo:</w:t>
      </w:r>
    </w:p>
    <w:p w:rsidR="00E43883" w:rsidRDefault="00F13BA0">
      <w:pPr>
        <w:pStyle w:val="ListParagraph"/>
        <w:keepNext/>
        <w:numPr>
          <w:ilvl w:val="0"/>
          <w:numId w:val="23"/>
        </w:numPr>
        <w:pBdr>
          <w:top w:val="single" w:sz="4" w:space="1" w:color="auto"/>
          <w:left w:val="single" w:sz="4" w:space="4" w:color="auto"/>
          <w:bottom w:val="single" w:sz="4" w:space="0"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color w:val="000000"/>
          <w:sz w:val="24"/>
        </w:rPr>
        <w:t>ocenila učinkovitost izvajanja zakonodaje EU</w:t>
      </w:r>
      <w:r>
        <w:rPr>
          <w:rStyle w:val="FootnoteReference"/>
          <w:rFonts w:ascii="Times New Roman" w:hAnsi="Times New Roman"/>
          <w:noProof/>
          <w:color w:val="000000"/>
          <w:sz w:val="24"/>
        </w:rPr>
        <w:footnoteReference w:id="28"/>
      </w:r>
      <w:r>
        <w:rPr>
          <w:rFonts w:ascii="Times New Roman" w:hAnsi="Times New Roman"/>
          <w:noProof/>
          <w:color w:val="000000"/>
          <w:sz w:val="24"/>
        </w:rPr>
        <w:t xml:space="preserve">, ki </w:t>
      </w:r>
      <w:r>
        <w:rPr>
          <w:rFonts w:ascii="Times New Roman" w:hAnsi="Times New Roman"/>
          <w:noProof/>
          <w:color w:val="000000"/>
          <w:sz w:val="24"/>
        </w:rPr>
        <w:t>se med drugim nanaša na spremljanje odpornosti proti antimikrobikom pri živalih, namenjenih za proizvodnjo hrane, in živilih z nadaljnjim izvajanjem rednih revizij v državah članicah;</w:t>
      </w:r>
    </w:p>
    <w:p w:rsidR="00E43883" w:rsidRDefault="00F13BA0">
      <w:pPr>
        <w:pStyle w:val="ListParagraph"/>
        <w:keepNext/>
        <w:numPr>
          <w:ilvl w:val="0"/>
          <w:numId w:val="23"/>
        </w:numPr>
        <w:pBdr>
          <w:top w:val="single" w:sz="4" w:space="1" w:color="auto"/>
          <w:left w:val="single" w:sz="4" w:space="4" w:color="auto"/>
          <w:bottom w:val="single" w:sz="4" w:space="0"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color w:val="000000"/>
          <w:sz w:val="24"/>
        </w:rPr>
        <w:t>razvila programe usposabljanja o odpornosti proti antimikrobikom za pris</w:t>
      </w:r>
      <w:r>
        <w:rPr>
          <w:rFonts w:ascii="Times New Roman" w:hAnsi="Times New Roman"/>
          <w:noProof/>
          <w:color w:val="000000"/>
          <w:sz w:val="24"/>
        </w:rPr>
        <w:t>tojne organe držav članic v okviru pobude „boljše usposabljanje za varnejšo hrano“ (BTSF) in za zdravstvene delavce prek centra ECDC in programa EU za zdravje;</w:t>
      </w:r>
    </w:p>
    <w:p w:rsidR="00E43883" w:rsidRDefault="00F13BA0">
      <w:pPr>
        <w:pStyle w:val="ListParagraph"/>
        <w:keepNext/>
        <w:numPr>
          <w:ilvl w:val="0"/>
          <w:numId w:val="23"/>
        </w:numPr>
        <w:pBdr>
          <w:top w:val="single" w:sz="4" w:space="1" w:color="auto"/>
          <w:left w:val="single" w:sz="4" w:space="4" w:color="auto"/>
          <w:bottom w:val="single" w:sz="4" w:space="0"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color w:val="000000"/>
          <w:sz w:val="24"/>
        </w:rPr>
        <w:t xml:space="preserve">svetovala državam članicam o možnosti uporabe sredstev podporne službe za strukturne reforme </w:t>
      </w:r>
      <w:r>
        <w:rPr>
          <w:rFonts w:ascii="Times New Roman" w:hAnsi="Times New Roman"/>
          <w:noProof/>
          <w:color w:val="000000"/>
          <w:sz w:val="24"/>
        </w:rPr>
        <w:t>(SRSS) v državah članicah za oblikovanje in izvajanje politik boja zoper odpornost proti antimikrobikom.</w:t>
      </w:r>
    </w:p>
    <w:p w:rsidR="00E43883" w:rsidRDefault="00F13BA0">
      <w:pPr>
        <w:pStyle w:val="Heading2"/>
        <w:rPr>
          <w:noProof/>
        </w:rPr>
      </w:pPr>
      <w:r>
        <w:rPr>
          <w:noProof/>
        </w:rPr>
        <w:t>Boljše preprečevanje in obvladovanje odpornosti proti antimikrobikom</w:t>
      </w:r>
    </w:p>
    <w:p w:rsidR="00E43883" w:rsidRDefault="00F13BA0">
      <w:pPr>
        <w:keepLines/>
        <w:outlineLvl w:val="1"/>
        <w:rPr>
          <w:rFonts w:ascii="Times New Roman" w:eastAsiaTheme="majorEastAsia" w:hAnsi="Times New Roman"/>
          <w:bCs/>
          <w:i/>
          <w:noProof/>
          <w:color w:val="000000" w:themeColor="text1"/>
          <w:sz w:val="24"/>
          <w:szCs w:val="24"/>
        </w:rPr>
      </w:pPr>
      <w:r>
        <w:rPr>
          <w:rFonts w:ascii="Times New Roman" w:eastAsiaTheme="majorEastAsia" w:hAnsi="Times New Roman"/>
          <w:i/>
          <w:noProof/>
          <w:color w:val="000000" w:themeColor="text1"/>
          <w:sz w:val="24"/>
        </w:rPr>
        <w:t>Okrepitev ukrepov za preprečevanje in obvladovanje okužb</w:t>
      </w:r>
    </w:p>
    <w:p w:rsidR="00E43883" w:rsidRDefault="00F13BA0">
      <w:pPr>
        <w:rPr>
          <w:rFonts w:ascii="Times New Roman" w:hAnsi="Times New Roman"/>
          <w:noProof/>
          <w:sz w:val="24"/>
          <w:szCs w:val="24"/>
        </w:rPr>
      </w:pPr>
      <w:r>
        <w:rPr>
          <w:rFonts w:ascii="Times New Roman" w:hAnsi="Times New Roman"/>
          <w:noProof/>
          <w:sz w:val="24"/>
        </w:rPr>
        <w:t>Preprečevanje okužb, ukre</w:t>
      </w:r>
      <w:r>
        <w:rPr>
          <w:rFonts w:ascii="Times New Roman" w:hAnsi="Times New Roman"/>
          <w:noProof/>
          <w:sz w:val="24"/>
        </w:rPr>
        <w:t xml:space="preserve">pi za biološko zaščito in prakse obvladovanja so ključnega pomena pri obvladovanju vseh mikroorganizmov, ki povzročajo okužbe, saj zmanjšujejo potrebo po antimikrobikih in posledično tudi možnost za razvoj in širjenje odpornosti mikroorganizmov. </w:t>
      </w:r>
    </w:p>
    <w:p w:rsidR="00E43883" w:rsidRDefault="00F13BA0">
      <w:pPr>
        <w:rPr>
          <w:rFonts w:ascii="Times New Roman" w:hAnsi="Times New Roman"/>
          <w:noProof/>
          <w:sz w:val="24"/>
          <w:szCs w:val="24"/>
        </w:rPr>
      </w:pPr>
      <w:r>
        <w:rPr>
          <w:rFonts w:ascii="Times New Roman" w:hAnsi="Times New Roman"/>
          <w:noProof/>
          <w:sz w:val="24"/>
        </w:rPr>
        <w:t>Razpoložl</w:t>
      </w:r>
      <w:r>
        <w:rPr>
          <w:rFonts w:ascii="Times New Roman" w:hAnsi="Times New Roman"/>
          <w:noProof/>
          <w:sz w:val="24"/>
        </w:rPr>
        <w:t xml:space="preserve">jivost novih in doslednejših nadzornih podatkov, raziskav in tehnologij bo oblikovala inovativne pristope in izboljšave pri ukrepih za preprečevanje in obvladovanje okužb. Drugi ukrepi za obvladovanje, kot je cepljenje, bi tudi lahko zmanjšali pojavljanje </w:t>
      </w:r>
      <w:r>
        <w:rPr>
          <w:rFonts w:ascii="Times New Roman" w:hAnsi="Times New Roman"/>
          <w:noProof/>
          <w:sz w:val="24"/>
        </w:rPr>
        <w:t>in širjenje določenih bolezni, s tem pa omejili potrebo po antimikrobikih. Poleg tega je imunizacija s cepljenjem stroškovno učinkovit javnozdravstveni ukrep z dokazanimi gospodarskimi koristmi</w:t>
      </w:r>
      <w:r>
        <w:rPr>
          <w:rStyle w:val="FootnoteReference"/>
          <w:rFonts w:ascii="Times New Roman" w:hAnsi="Times New Roman"/>
          <w:noProof/>
          <w:sz w:val="24"/>
        </w:rPr>
        <w:footnoteReference w:id="29"/>
      </w:r>
      <w:r>
        <w:rPr>
          <w:rFonts w:ascii="Times New Roman" w:hAnsi="Times New Roman"/>
          <w:noProof/>
          <w:sz w:val="24"/>
        </w:rPr>
        <w:t>.</w:t>
      </w:r>
    </w:p>
    <w:p w:rsidR="00E43883" w:rsidRDefault="00F13BA0">
      <w:pPr>
        <w:keepNext/>
        <w:keepLines/>
        <w:pBdr>
          <w:top w:val="single" w:sz="4" w:space="1" w:color="auto"/>
          <w:left w:val="single" w:sz="4" w:space="4" w:color="auto"/>
          <w:bottom w:val="single" w:sz="4" w:space="1" w:color="auto"/>
          <w:right w:val="single" w:sz="4" w:space="4" w:color="auto"/>
        </w:pBdr>
        <w:ind w:left="420"/>
        <w:rPr>
          <w:rFonts w:ascii="Times New Roman" w:hAnsi="Times New Roman"/>
          <w:noProof/>
          <w:sz w:val="24"/>
          <w:szCs w:val="24"/>
        </w:rPr>
      </w:pPr>
      <w:r>
        <w:rPr>
          <w:rFonts w:ascii="Times New Roman" w:hAnsi="Times New Roman"/>
          <w:noProof/>
          <w:sz w:val="24"/>
        </w:rPr>
        <w:t>Komisija bo:</w:t>
      </w:r>
    </w:p>
    <w:p w:rsidR="00E43883" w:rsidRDefault="00F13BA0">
      <w:pPr>
        <w:pStyle w:val="ListParagraph"/>
        <w:keepNext/>
        <w:keepLines/>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pomagala pri obravnavi varnosti pacientov v bol</w:t>
      </w:r>
      <w:r>
        <w:rPr>
          <w:rFonts w:ascii="Times New Roman" w:hAnsi="Times New Roman"/>
          <w:noProof/>
          <w:sz w:val="24"/>
        </w:rPr>
        <w:t>nišničnem okolju s podpiranjem dobrih praks pri preprečevanju in obvladovanju okužb;</w:t>
      </w:r>
    </w:p>
    <w:p w:rsidR="00E43883" w:rsidRDefault="00F13BA0">
      <w:pPr>
        <w:pStyle w:val="ListParagraph"/>
        <w:keepNext/>
        <w:keepLines/>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podpirala dejavnosti, ki jih financirajo skupaj EU in države članice in ki so usmerjene v preprečevanje in obvladovanje okužb pri ranljivih skupinah, zlasti zaradi spopada</w:t>
      </w:r>
      <w:r>
        <w:rPr>
          <w:rFonts w:ascii="Times New Roman" w:hAnsi="Times New Roman"/>
          <w:noProof/>
          <w:sz w:val="24"/>
        </w:rPr>
        <w:t>nja z odpornimi sevi tuberkuloze</w:t>
      </w:r>
      <w:r>
        <w:rPr>
          <w:rFonts w:ascii="Times New Roman" w:hAnsi="Times New Roman"/>
          <w:noProof/>
        </w:rPr>
        <w:t>;</w:t>
      </w:r>
    </w:p>
    <w:p w:rsidR="00E43883" w:rsidRDefault="00F13BA0">
      <w:pPr>
        <w:pStyle w:val="ListParagraph"/>
        <w:keepNext/>
        <w:keepLines/>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spodbujala uvajanje cepljenja pri ljudeh kot ukrepa v javnem zdravju, da bi se preprečile okužbe in nadaljnja raba antimikrobikov;</w:t>
      </w:r>
    </w:p>
    <w:p w:rsidR="00E43883" w:rsidRDefault="00F13BA0">
      <w:pPr>
        <w:pStyle w:val="ListParagraph"/>
        <w:keepNext/>
        <w:keepLines/>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še naprej spodbujala živinorejo, vključno z akvakulturo in sistemi reje, ter režime krmljen</w:t>
      </w:r>
      <w:r>
        <w:rPr>
          <w:rFonts w:ascii="Times New Roman" w:hAnsi="Times New Roman"/>
          <w:noProof/>
          <w:sz w:val="24"/>
        </w:rPr>
        <w:t>ja, ki podpirajo dobro zdravje in dobrobit živali, da bi se zmanjšala poraba antimikrobikov.</w:t>
      </w:r>
    </w:p>
    <w:p w:rsidR="00E43883" w:rsidRDefault="00E43883">
      <w:pPr>
        <w:keepLines/>
        <w:outlineLvl w:val="1"/>
        <w:rPr>
          <w:rFonts w:ascii="Times New Roman" w:eastAsiaTheme="majorEastAsia" w:hAnsi="Times New Roman"/>
          <w:bCs/>
          <w:i/>
          <w:noProof/>
          <w:color w:val="000000" w:themeColor="text1"/>
          <w:sz w:val="24"/>
          <w:szCs w:val="24"/>
        </w:rPr>
      </w:pPr>
    </w:p>
    <w:p w:rsidR="00E43883" w:rsidRDefault="00F13BA0">
      <w:pPr>
        <w:keepLines/>
        <w:outlineLvl w:val="1"/>
        <w:rPr>
          <w:rFonts w:ascii="Times New Roman" w:eastAsiaTheme="majorEastAsia" w:hAnsi="Times New Roman"/>
          <w:bCs/>
          <w:i/>
          <w:noProof/>
          <w:color w:val="000000" w:themeColor="text1"/>
          <w:sz w:val="24"/>
          <w:szCs w:val="24"/>
        </w:rPr>
      </w:pPr>
      <w:r>
        <w:rPr>
          <w:rFonts w:ascii="Times New Roman" w:eastAsiaTheme="majorEastAsia" w:hAnsi="Times New Roman"/>
          <w:i/>
          <w:noProof/>
          <w:color w:val="000000" w:themeColor="text1"/>
          <w:sz w:val="24"/>
        </w:rPr>
        <w:t>Spodbujanje preudarne rabe antimikrobikov</w:t>
      </w:r>
    </w:p>
    <w:p w:rsidR="00E43883" w:rsidRDefault="00F13BA0">
      <w:pPr>
        <w:rPr>
          <w:rFonts w:ascii="Times New Roman" w:hAnsi="Times New Roman"/>
          <w:noProof/>
          <w:sz w:val="24"/>
          <w:szCs w:val="24"/>
        </w:rPr>
      </w:pPr>
      <w:r>
        <w:rPr>
          <w:rFonts w:ascii="Times New Roman" w:hAnsi="Times New Roman"/>
          <w:noProof/>
          <w:sz w:val="24"/>
        </w:rPr>
        <w:t xml:space="preserve">Ustrezna in preudarna raba antimikrobikov je bistvena za omejitev pojava odpornosti proti antimikrobikom v zdravstvenem </w:t>
      </w:r>
      <w:r>
        <w:rPr>
          <w:rFonts w:ascii="Times New Roman" w:hAnsi="Times New Roman"/>
          <w:noProof/>
          <w:sz w:val="24"/>
        </w:rPr>
        <w:t>varstvu ljudi in živinoreji.</w:t>
      </w:r>
    </w:p>
    <w:p w:rsidR="00E43883" w:rsidRDefault="00F13BA0">
      <w:pPr>
        <w:rPr>
          <w:noProof/>
        </w:rPr>
      </w:pPr>
      <w:r>
        <w:rPr>
          <w:rFonts w:ascii="Times New Roman" w:hAnsi="Times New Roman"/>
          <w:noProof/>
          <w:sz w:val="24"/>
        </w:rPr>
        <w:t>Da se upočasni razvoj odpornosti proti antimikrobikom in ohrani njihova učinkovitost, so potrebni medsektorski in usklajeni ukrepi spodbujanja preudarne rabe antimikrobikov pri ljudeh in živalih. Taki ukrepi, ki se pogosto imen</w:t>
      </w:r>
      <w:r>
        <w:rPr>
          <w:rFonts w:ascii="Times New Roman" w:hAnsi="Times New Roman"/>
          <w:noProof/>
          <w:sz w:val="24"/>
        </w:rPr>
        <w:t>ujejo ukrepi za „usmerjanje rabe antimikrobikov“, se v nekaterih sektorjih že izvajajo (npr. smernice EU za preudarno rabo antimikrobikov v veterinarski medicini</w:t>
      </w:r>
      <w:r>
        <w:rPr>
          <w:rStyle w:val="FootnoteReference"/>
          <w:rFonts w:ascii="Times New Roman" w:hAnsi="Times New Roman"/>
          <w:noProof/>
          <w:sz w:val="24"/>
        </w:rPr>
        <w:footnoteReference w:id="30"/>
      </w:r>
      <w:r>
        <w:rPr>
          <w:rFonts w:ascii="Times New Roman" w:hAnsi="Times New Roman"/>
          <w:noProof/>
          <w:sz w:val="24"/>
        </w:rPr>
        <w:t>), vendar niso zadosti razviti, da bi ustrezali v vseh primerih, v katerih se antimikrobiki up</w:t>
      </w:r>
      <w:r>
        <w:rPr>
          <w:rFonts w:ascii="Times New Roman" w:hAnsi="Times New Roman"/>
          <w:noProof/>
          <w:sz w:val="24"/>
        </w:rPr>
        <w:t>orabljajo.</w:t>
      </w:r>
    </w:p>
    <w:p w:rsidR="00E43883" w:rsidRDefault="00F13BA0">
      <w:pPr>
        <w:keepNext/>
        <w:keepLines/>
        <w:pBdr>
          <w:top w:val="single" w:sz="4" w:space="1" w:color="auto"/>
          <w:left w:val="single" w:sz="4" w:space="4" w:color="auto"/>
          <w:bottom w:val="single" w:sz="4" w:space="1" w:color="auto"/>
          <w:right w:val="single" w:sz="4" w:space="4" w:color="auto"/>
        </w:pBdr>
        <w:ind w:left="420"/>
        <w:rPr>
          <w:rFonts w:ascii="Times New Roman" w:hAnsi="Times New Roman"/>
          <w:noProof/>
          <w:sz w:val="24"/>
          <w:szCs w:val="24"/>
        </w:rPr>
      </w:pPr>
      <w:r>
        <w:rPr>
          <w:rFonts w:ascii="Times New Roman" w:hAnsi="Times New Roman"/>
          <w:noProof/>
          <w:sz w:val="24"/>
        </w:rPr>
        <w:t>Komisija bo:</w:t>
      </w:r>
    </w:p>
    <w:p w:rsidR="00E43883" w:rsidRDefault="00F13BA0">
      <w:pPr>
        <w:pStyle w:val="ListParagraph"/>
        <w:keepNext/>
        <w:keepLines/>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delala na izvedbenih in delegiranih aktih EU na podlagi prihodnjih uredb o zdravilih za uporabo v veterinarski medicini in medicirani krmi (ko ju sprejmeta Evropski parlament in Svet)</w:t>
      </w:r>
      <w:r>
        <w:rPr>
          <w:rStyle w:val="FootnoteReference"/>
          <w:rFonts w:ascii="Times New Roman" w:hAnsi="Times New Roman"/>
          <w:noProof/>
          <w:sz w:val="24"/>
        </w:rPr>
        <w:footnoteReference w:id="31"/>
      </w:r>
      <w:r>
        <w:rPr>
          <w:rFonts w:ascii="Times New Roman" w:hAnsi="Times New Roman"/>
          <w:noProof/>
          <w:sz w:val="24"/>
        </w:rPr>
        <w:t>, vključno s pravili o omejitvi uporabe antimikr</w:t>
      </w:r>
      <w:r>
        <w:rPr>
          <w:rFonts w:ascii="Times New Roman" w:hAnsi="Times New Roman"/>
          <w:noProof/>
          <w:sz w:val="24"/>
        </w:rPr>
        <w:t>obikov na ljudi, sestavi seznama antimikrobikov, ki se ne smejo nenamensko uporabljati, in metodah zbiranja podatkov in poročanja o prodaji in rabi antimikrobikov;</w:t>
      </w:r>
    </w:p>
    <w:p w:rsidR="00E43883" w:rsidRDefault="00F13BA0">
      <w:pPr>
        <w:pStyle w:val="ListParagraph"/>
        <w:keepNext/>
        <w:keepLines/>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 xml:space="preserve">razvijala smernice EU za preudarno rabo antimikrobikov v humani medicini; </w:t>
      </w:r>
    </w:p>
    <w:p w:rsidR="00E43883" w:rsidRDefault="00F13BA0">
      <w:pPr>
        <w:pStyle w:val="ListParagraph"/>
        <w:keepNext/>
        <w:keepLines/>
        <w:numPr>
          <w:ilvl w:val="0"/>
          <w:numId w:val="16"/>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color w:val="000000"/>
          <w:sz w:val="24"/>
        </w:rPr>
        <w:t xml:space="preserve">pomagala državam </w:t>
      </w:r>
      <w:r>
        <w:rPr>
          <w:rFonts w:ascii="Times New Roman" w:hAnsi="Times New Roman"/>
          <w:noProof/>
          <w:color w:val="000000"/>
          <w:sz w:val="24"/>
        </w:rPr>
        <w:t>članicam pri izvajanju smernic EU za preudarno rabo antimikrobikov v veterinarski medicini, vključno s prepoznavanjem in širjenjem najboljše prakse;</w:t>
      </w:r>
    </w:p>
    <w:p w:rsidR="00E43883" w:rsidRDefault="00F13BA0">
      <w:pPr>
        <w:pStyle w:val="ListParagraph"/>
        <w:keepNext/>
        <w:keepLines/>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spodbujala agencijo EMA, naj pregleda vse razpoložljive informacije o koristih in tveganjih starejših antim</w:t>
      </w:r>
      <w:r>
        <w:rPr>
          <w:rFonts w:ascii="Times New Roman" w:hAnsi="Times New Roman"/>
          <w:noProof/>
          <w:sz w:val="24"/>
        </w:rPr>
        <w:t>ikrobikov ter preuči, ali je treba njihovo odobreno rabo v državah članicah kakor koli spremeniti.</w:t>
      </w:r>
    </w:p>
    <w:p w:rsidR="00E43883" w:rsidRDefault="00F13BA0">
      <w:pPr>
        <w:pStyle w:val="Heading2"/>
        <w:rPr>
          <w:noProof/>
        </w:rPr>
      </w:pPr>
      <w:r>
        <w:rPr>
          <w:noProof/>
        </w:rPr>
        <w:t>Boljše obravnavanje vloge okolja</w:t>
      </w:r>
    </w:p>
    <w:p w:rsidR="00E43883" w:rsidRDefault="00F13BA0">
      <w:pPr>
        <w:rPr>
          <w:rFonts w:ascii="Times New Roman" w:hAnsi="Times New Roman"/>
          <w:noProof/>
          <w:sz w:val="24"/>
          <w:szCs w:val="24"/>
        </w:rPr>
      </w:pPr>
      <w:r>
        <w:rPr>
          <w:rFonts w:ascii="Times New Roman" w:hAnsi="Times New Roman"/>
          <w:noProof/>
          <w:sz w:val="24"/>
        </w:rPr>
        <w:t>Čedalje bolj je potrjeno prispevanje okolja k razvoju in širjenju odpornosti proti antimikrobikom pri ljudeh in živalih, zla</w:t>
      </w:r>
      <w:r>
        <w:rPr>
          <w:rFonts w:ascii="Times New Roman" w:hAnsi="Times New Roman"/>
          <w:noProof/>
          <w:sz w:val="24"/>
        </w:rPr>
        <w:t xml:space="preserve">sti na območjih z visokim tveganjem, kar je posledica tokov človeških, živalskih in proizvodnih odpadkov, vendar so še vedno potrebni trdni dokazi za bolj utemeljeno odločanje na tem področju. Oddelek 3 obravnava posebne ukrepe za izboljšanje baze znanja. </w:t>
      </w:r>
      <w:r>
        <w:rPr>
          <w:rFonts w:ascii="Times New Roman" w:hAnsi="Times New Roman"/>
          <w:noProof/>
          <w:sz w:val="24"/>
        </w:rPr>
        <w:t>Ko bodo na voljo ustrezni podatki o spremljanju in raziskovalni podatki, bi bilo treba razviti metodologije, da se ocenijo tveganja za zdravje ljudi in živali.</w:t>
      </w:r>
    </w:p>
    <w:p w:rsidR="00E43883" w:rsidRDefault="00F13BA0">
      <w:pPr>
        <w:keepNext/>
        <w:keepLines/>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Komisija bo:</w:t>
      </w:r>
    </w:p>
    <w:p w:rsidR="00E43883" w:rsidRDefault="00F13BA0">
      <w:pPr>
        <w:pStyle w:val="ListParagraph"/>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sz w:val="24"/>
        </w:rPr>
        <w:t>sprejela strateški pristop EU k farmacevtskim snovem v okolju</w:t>
      </w:r>
      <w:r>
        <w:rPr>
          <w:rStyle w:val="FootnoteReference"/>
          <w:rFonts w:ascii="Times New Roman" w:hAnsi="Times New Roman"/>
          <w:noProof/>
          <w:sz w:val="24"/>
        </w:rPr>
        <w:footnoteReference w:id="32"/>
      </w:r>
      <w:r>
        <w:rPr>
          <w:rFonts w:ascii="Times New Roman" w:hAnsi="Times New Roman"/>
          <w:noProof/>
          <w:sz w:val="24"/>
        </w:rPr>
        <w:t>;</w:t>
      </w:r>
    </w:p>
    <w:p w:rsidR="00E43883" w:rsidRDefault="00F13BA0">
      <w:pPr>
        <w:pStyle w:val="ListParagraph"/>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sz w:val="24"/>
        </w:rPr>
        <w:t xml:space="preserve">čim bolj povečala </w:t>
      </w:r>
      <w:r>
        <w:rPr>
          <w:rFonts w:ascii="Times New Roman" w:hAnsi="Times New Roman"/>
          <w:noProof/>
          <w:sz w:val="24"/>
        </w:rPr>
        <w:t>uporabo podatkov iz obstoječih spremljanj, npr. spremljanja v okviru nadzornega seznama na podlagi okvirne direktive o vodah</w:t>
      </w:r>
      <w:r>
        <w:rPr>
          <w:rStyle w:val="FootnoteReference"/>
          <w:rFonts w:ascii="Times New Roman" w:hAnsi="Times New Roman"/>
          <w:noProof/>
          <w:sz w:val="24"/>
        </w:rPr>
        <w:footnoteReference w:id="33"/>
      </w:r>
      <w:r>
        <w:rPr>
          <w:rFonts w:ascii="Times New Roman" w:hAnsi="Times New Roman"/>
          <w:noProof/>
          <w:sz w:val="24"/>
        </w:rPr>
        <w:t>, da se izboljša znanje o pojavu in širjenju antimikrobikov v okolju, vključno z uporabo informacijske platforme za spremljanje kem</w:t>
      </w:r>
      <w:r>
        <w:rPr>
          <w:rFonts w:ascii="Times New Roman" w:hAnsi="Times New Roman"/>
          <w:noProof/>
          <w:sz w:val="24"/>
        </w:rPr>
        <w:t>ikalij (IPCheM) za dostop do ustreznih podatkov o spremljanju</w:t>
      </w:r>
      <w:r>
        <w:rPr>
          <w:rStyle w:val="FootnoteReference"/>
          <w:rFonts w:ascii="Times New Roman" w:hAnsi="Times New Roman"/>
          <w:noProof/>
          <w:sz w:val="24"/>
        </w:rPr>
        <w:footnoteReference w:id="34"/>
      </w:r>
      <w:r>
        <w:rPr>
          <w:rFonts w:ascii="Times New Roman" w:hAnsi="Times New Roman"/>
          <w:noProof/>
          <w:sz w:val="24"/>
        </w:rPr>
        <w:t>;</w:t>
      </w:r>
    </w:p>
    <w:p w:rsidR="00E43883" w:rsidRDefault="00F13BA0">
      <w:pPr>
        <w:pStyle w:val="ListParagraph"/>
        <w:numPr>
          <w:ilvl w:val="0"/>
          <w:numId w:val="23"/>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rPr>
        <w:t>okrepila vlogo Znanstvenega odbora za zdravstvena in okoljska tveganja (SCHER) pri zagotavljanju strokovnega znanja o vprašanjih v zvezi z odpornostjo proti antimikrobikom, ki so povezana z ok</w:t>
      </w:r>
      <w:r>
        <w:rPr>
          <w:rFonts w:ascii="Times New Roman" w:hAnsi="Times New Roman"/>
          <w:noProof/>
          <w:sz w:val="24"/>
        </w:rPr>
        <w:t xml:space="preserve">oljem. </w:t>
      </w:r>
    </w:p>
    <w:p w:rsidR="00E43883" w:rsidRDefault="00F13BA0">
      <w:pPr>
        <w:pStyle w:val="Heading2"/>
        <w:rPr>
          <w:noProof/>
        </w:rPr>
      </w:pPr>
      <w:r>
        <w:rPr>
          <w:noProof/>
        </w:rPr>
        <w:t>Močnejše partnerstvo zoper odpornost proti antimikrobikom in večja razpoložljivost antimikrobikov</w:t>
      </w:r>
    </w:p>
    <w:p w:rsidR="00E43883" w:rsidRDefault="00F13BA0">
      <w:pPr>
        <w:rPr>
          <w:rFonts w:ascii="Times New Roman" w:hAnsi="Times New Roman"/>
          <w:noProof/>
          <w:sz w:val="24"/>
          <w:szCs w:val="24"/>
        </w:rPr>
      </w:pPr>
      <w:r>
        <w:rPr>
          <w:rFonts w:ascii="Times New Roman" w:hAnsi="Times New Roman"/>
          <w:noProof/>
          <w:sz w:val="24"/>
        </w:rPr>
        <w:t>Ukrepi zoper odpornost proti antimikrobikom ne morejo biti uspešni brez stalne vključenosti zainteresiranih strani, med drugim industrije, civilne dru</w:t>
      </w:r>
      <w:r>
        <w:rPr>
          <w:rFonts w:ascii="Times New Roman" w:hAnsi="Times New Roman"/>
          <w:noProof/>
          <w:sz w:val="24"/>
        </w:rPr>
        <w:t>žbe, univerz in nevladnih strokovnjakov, in Evropskega ekonomsko-socialnega odbora (EESO) v celoten proces oblikovanja in izvajanja politike. Komisija upošteva obstoječe zaveze in skupna prizadevanja, kot so izjava farmacevtskega, biotehnološkega in diagno</w:t>
      </w:r>
      <w:r>
        <w:rPr>
          <w:rFonts w:ascii="Times New Roman" w:hAnsi="Times New Roman"/>
          <w:noProof/>
          <w:sz w:val="24"/>
        </w:rPr>
        <w:t>stičnega sektorja o boju zoper odpornost proti antimikrobikom</w:t>
      </w:r>
      <w:r>
        <w:rPr>
          <w:rFonts w:ascii="Times New Roman" w:hAnsi="Times New Roman"/>
          <w:noProof/>
          <w:sz w:val="24"/>
          <w:vertAlign w:val="superscript"/>
        </w:rPr>
        <w:footnoteReference w:id="35"/>
      </w:r>
      <w:r>
        <w:rPr>
          <w:rFonts w:ascii="Times New Roman" w:hAnsi="Times New Roman"/>
          <w:noProof/>
          <w:sz w:val="24"/>
        </w:rPr>
        <w:t xml:space="preserve">. V izjavi je opredeljen načrt za nadaljnja skupna prizadevanja industrije, organov in nevladnih organizacij v svetovnem boju zoper odpornost proti antimikrobikom. V skladu s to pobudo jih bodo </w:t>
      </w:r>
      <w:r>
        <w:rPr>
          <w:rFonts w:ascii="Times New Roman" w:hAnsi="Times New Roman"/>
          <w:noProof/>
          <w:sz w:val="24"/>
        </w:rPr>
        <w:t>redne razprave med zainteresiranimi stranmi spodbudile, da razvijejo in izmenjujejo svoje strategije za boj zoper odpornost proti antimikrobikom. Sodelovanje z industrijo je prav tako ključnega pomena za spodbujanje razvoja drugih obetavnih alternativ anti</w:t>
      </w:r>
      <w:r>
        <w:rPr>
          <w:rFonts w:ascii="Times New Roman" w:hAnsi="Times New Roman"/>
          <w:noProof/>
          <w:sz w:val="24"/>
        </w:rPr>
        <w:t>mikrobikom in obravnavo vprašanj, povezanih z manjšo dostopnostjo, vključno z umiki antimikrobikov s trga, ki lahko pripeljejo do njihovega pomanjkanja in neustreznih nadomestnih zdravljenj.</w:t>
      </w:r>
    </w:p>
    <w:p w:rsidR="00E43883" w:rsidRDefault="00F13BA0">
      <w:pPr>
        <w:rPr>
          <w:rFonts w:ascii="Times New Roman" w:hAnsi="Times New Roman"/>
          <w:noProof/>
          <w:sz w:val="24"/>
          <w:szCs w:val="24"/>
        </w:rPr>
      </w:pPr>
      <w:r>
        <w:rPr>
          <w:rFonts w:ascii="Times New Roman" w:hAnsi="Times New Roman"/>
          <w:noProof/>
          <w:sz w:val="24"/>
        </w:rPr>
        <w:t>Ključno je tudi, da se prepreči vstop lažnih ali ponarejenih anti</w:t>
      </w:r>
      <w:r>
        <w:rPr>
          <w:rFonts w:ascii="Times New Roman" w:hAnsi="Times New Roman"/>
          <w:noProof/>
          <w:sz w:val="24"/>
        </w:rPr>
        <w:t>mikrobikov v dobavno verigo in škoda, ki jo lahko povzročijo ljudem ali živalim.</w:t>
      </w:r>
    </w:p>
    <w:p w:rsidR="00E43883" w:rsidRDefault="00F13BA0">
      <w:pPr>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Komisija bo:</w:t>
      </w:r>
    </w:p>
    <w:p w:rsidR="00E43883" w:rsidRDefault="00F13BA0">
      <w:pPr>
        <w:pStyle w:val="ListParagraph"/>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 xml:space="preserve">spodbujala in podpirala sodelovanje med ključnimi zainteresiranimi stranmi iz sektorjev zdravja ljudi, zdravja živali, živil, vode in okolja, da bi se spodbudila </w:t>
      </w:r>
      <w:r>
        <w:rPr>
          <w:rFonts w:ascii="Times New Roman" w:hAnsi="Times New Roman"/>
          <w:noProof/>
          <w:sz w:val="24"/>
        </w:rPr>
        <w:t>odgovorna raba antimikrobikov v sektorju zdravstvenega varstva in prehranski verigi ter ustrezno ravnanje z odpadki;</w:t>
      </w:r>
    </w:p>
    <w:p w:rsidR="00E43883" w:rsidRDefault="00F13BA0">
      <w:pPr>
        <w:pStyle w:val="ListParagraph"/>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sodelovala z zainteresiranimi stranmi, da se zagotovi razpoložljivost antimikrobikov v humani in veterinarski medicini ter trajen dostop do</w:t>
      </w:r>
      <w:r>
        <w:rPr>
          <w:rFonts w:ascii="Times New Roman" w:hAnsi="Times New Roman"/>
          <w:noProof/>
          <w:sz w:val="24"/>
        </w:rPr>
        <w:t xml:space="preserve"> določenih proizvodov; zagotovila spodbude za povečanje uporabe diagnostike, alternativ antimikrobikom in cepiv;</w:t>
      </w:r>
    </w:p>
    <w:p w:rsidR="00E43883" w:rsidRDefault="00F13BA0">
      <w:pPr>
        <w:numPr>
          <w:ilvl w:val="0"/>
          <w:numId w:val="23"/>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color w:val="000000"/>
          <w:sz w:val="24"/>
        </w:rPr>
        <w:t>zmanjšala možnosti za lažna zdravila z zagotavljanjem pomoči državam članicam in zainteresiranim stranem pri uspešnem izvajanju varnostnih elem</w:t>
      </w:r>
      <w:r>
        <w:rPr>
          <w:rFonts w:ascii="Times New Roman" w:hAnsi="Times New Roman"/>
          <w:noProof/>
          <w:color w:val="000000"/>
          <w:sz w:val="24"/>
        </w:rPr>
        <w:t>entov (edinstvene oznake), ki se bodo do leta 2019 pojavili na ovojnini zdravil za uporabo v humani medicini</w:t>
      </w:r>
      <w:r>
        <w:rPr>
          <w:rStyle w:val="FootnoteReference"/>
          <w:rFonts w:ascii="Times New Roman" w:hAnsi="Times New Roman"/>
          <w:noProof/>
          <w:color w:val="000000"/>
          <w:sz w:val="24"/>
        </w:rPr>
        <w:footnoteReference w:id="36"/>
      </w:r>
      <w:r>
        <w:rPr>
          <w:rFonts w:ascii="Times New Roman" w:hAnsi="Times New Roman"/>
          <w:noProof/>
          <w:color w:val="000000"/>
          <w:sz w:val="24"/>
        </w:rPr>
        <w:t>;</w:t>
      </w:r>
    </w:p>
    <w:p w:rsidR="00E43883" w:rsidRDefault="00F13BA0">
      <w:pPr>
        <w:numPr>
          <w:ilvl w:val="0"/>
          <w:numId w:val="23"/>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sz w:val="24"/>
        </w:rPr>
        <w:t xml:space="preserve">v Odboru za zdravila za uporabo v veterinarski medicini razpravljala o razpoložljivosti antimikrobikov za uporabo v veterinarski medicini, da bi </w:t>
      </w:r>
      <w:r>
        <w:rPr>
          <w:rFonts w:ascii="Times New Roman" w:hAnsi="Times New Roman"/>
          <w:noProof/>
          <w:sz w:val="24"/>
        </w:rPr>
        <w:t>obravnavala problem odpornosti proti antimikrobikom.</w:t>
      </w:r>
    </w:p>
    <w:bookmarkEnd w:id="1"/>
    <w:bookmarkEnd w:id="2"/>
    <w:p w:rsidR="00F13BA0" w:rsidRDefault="00F13BA0">
      <w:pPr>
        <w:spacing w:after="200" w:line="276" w:lineRule="auto"/>
        <w:jc w:val="left"/>
        <w:rPr>
          <w:rFonts w:ascii="Times New Roman" w:eastAsiaTheme="majorEastAsia" w:hAnsi="Times New Roman"/>
          <w:b/>
          <w:bCs/>
          <w:smallCaps/>
          <w:noProof/>
          <w:color w:val="000000" w:themeColor="text1"/>
          <w:sz w:val="24"/>
          <w:szCs w:val="24"/>
        </w:rPr>
      </w:pPr>
      <w:r>
        <w:rPr>
          <w:noProof/>
        </w:rPr>
        <w:br w:type="page"/>
      </w:r>
    </w:p>
    <w:p w:rsidR="00E43883" w:rsidRDefault="00F13BA0">
      <w:pPr>
        <w:pStyle w:val="Heading1"/>
        <w:rPr>
          <w:noProof/>
        </w:rPr>
      </w:pPr>
      <w:bookmarkStart w:id="4" w:name="_GoBack"/>
      <w:bookmarkEnd w:id="4"/>
      <w:r>
        <w:rPr>
          <w:noProof/>
        </w:rPr>
        <w:t>Spodbujanje raziskav, razvoja in inovacij na področju odpornosti proti antimikrobikom</w:t>
      </w:r>
    </w:p>
    <w:p w:rsidR="00E43883" w:rsidRDefault="00F13BA0">
      <w:pPr>
        <w:autoSpaceDE w:val="0"/>
        <w:autoSpaceDN w:val="0"/>
        <w:adjustRightInd w:val="0"/>
        <w:spacing w:after="0"/>
        <w:rPr>
          <w:rFonts w:ascii="Times New Roman" w:hAnsi="Times New Roman"/>
          <w:noProof/>
          <w:sz w:val="24"/>
          <w:szCs w:val="24"/>
        </w:rPr>
      </w:pPr>
      <w:r>
        <w:rPr>
          <w:rFonts w:ascii="Times New Roman" w:hAnsi="Times New Roman"/>
          <w:noProof/>
          <w:sz w:val="24"/>
        </w:rPr>
        <w:t>Raziskave in razvoj (RR) ter inovacije lahko zagotovijo nove rešitve in orodja za preprečevanje in zdravljenje infekc</w:t>
      </w:r>
      <w:r>
        <w:rPr>
          <w:rFonts w:ascii="Times New Roman" w:hAnsi="Times New Roman"/>
          <w:noProof/>
          <w:sz w:val="24"/>
        </w:rPr>
        <w:t>ijskih bolezni, izboljšanje diagnostike in obvladovanje širjenja odpornosti proti antimikrobikom. Cilj tega akcijskega načrta „eno zdravje“ ni samo spodbujanje raziskav, temveč tudi dodatno spodbujanje inovacij, zagotavljanje dragocenega prispevka k znanst</w:t>
      </w:r>
      <w:r>
        <w:rPr>
          <w:rFonts w:ascii="Times New Roman" w:hAnsi="Times New Roman"/>
          <w:noProof/>
          <w:sz w:val="24"/>
        </w:rPr>
        <w:t>veno podprtim politikam in pravnim ukrepom za boj zoper odpornost proti antimikrobikom in obravnavanje vrzeli v znanju, kot je vloga odpornosti proti antimikrobikom v okolju.</w:t>
      </w:r>
    </w:p>
    <w:p w:rsidR="00E43883" w:rsidRDefault="00E43883">
      <w:pPr>
        <w:autoSpaceDE w:val="0"/>
        <w:autoSpaceDN w:val="0"/>
        <w:adjustRightInd w:val="0"/>
        <w:spacing w:after="0"/>
        <w:rPr>
          <w:rFonts w:ascii="Times New Roman" w:hAnsi="Times New Roman"/>
          <w:noProof/>
          <w:sz w:val="24"/>
          <w:szCs w:val="24"/>
        </w:rPr>
      </w:pPr>
    </w:p>
    <w:p w:rsidR="00E43883" w:rsidRDefault="00F13BA0">
      <w:pPr>
        <w:autoSpaceDE w:val="0"/>
        <w:autoSpaceDN w:val="0"/>
        <w:adjustRightInd w:val="0"/>
        <w:spacing w:after="0"/>
        <w:rPr>
          <w:rFonts w:ascii="Times New Roman" w:hAnsi="Times New Roman"/>
          <w:noProof/>
          <w:sz w:val="24"/>
          <w:szCs w:val="24"/>
        </w:rPr>
      </w:pPr>
      <w:r>
        <w:rPr>
          <w:rFonts w:ascii="Times New Roman" w:hAnsi="Times New Roman"/>
          <w:noProof/>
          <w:sz w:val="24"/>
        </w:rPr>
        <w:t>Predlagana strategija za raziskave na področju odpornosti proti antimikrobikom z</w:t>
      </w:r>
      <w:r>
        <w:rPr>
          <w:rFonts w:ascii="Times New Roman" w:hAnsi="Times New Roman"/>
          <w:noProof/>
          <w:sz w:val="24"/>
        </w:rPr>
        <w:t>ajema celoten spekter pobude „eno zdravje“ in obravnava zdravje ljudi in živali ter vlogo okolja. Upošteva prednostne naloge, ki so določene v globalnem akcijskem načrtu SZO o odpornosti proti antimikrobikom, programu JPIAMR in nacionalnih akcijskih načrti</w:t>
      </w:r>
      <w:r>
        <w:rPr>
          <w:rFonts w:ascii="Times New Roman" w:hAnsi="Times New Roman"/>
          <w:noProof/>
          <w:sz w:val="24"/>
        </w:rPr>
        <w:t>h. Komisija si bo v partnerstvu z državami članicami in industrijo, vključno z malimi in srednjimi podjetji (MSP), ter IMI prizadevala za reševanje problema odpornosti bakterij, virusov, gliv in zajedavcev proti antimikrobikom. Posebna pozornost bo namenje</w:t>
      </w:r>
      <w:r>
        <w:rPr>
          <w:rFonts w:ascii="Times New Roman" w:hAnsi="Times New Roman"/>
          <w:noProof/>
          <w:sz w:val="24"/>
        </w:rPr>
        <w:t>na prednostnemu seznamu patogenov SZO ter tuberkulozi, HIV/AIDS, malariji in zapostavljenim infekcijskim boleznim. Komisija se bo z uporabo različnih instrumentov financiranja in partnerstev v okviru svojih sedanjih in prihodnjih okvirnih programov za razi</w:t>
      </w:r>
      <w:r>
        <w:rPr>
          <w:rFonts w:ascii="Times New Roman" w:hAnsi="Times New Roman"/>
          <w:noProof/>
          <w:sz w:val="24"/>
        </w:rPr>
        <w:t>skave in inovacije osredotočila na naslednje ukrepe.</w:t>
      </w:r>
    </w:p>
    <w:p w:rsidR="00E43883" w:rsidRDefault="00E43883">
      <w:pPr>
        <w:autoSpaceDE w:val="0"/>
        <w:autoSpaceDN w:val="0"/>
        <w:adjustRightInd w:val="0"/>
        <w:spacing w:after="0"/>
        <w:rPr>
          <w:rFonts w:ascii="Times New Roman" w:hAnsi="Times New Roman"/>
          <w:noProof/>
          <w:sz w:val="24"/>
          <w:szCs w:val="24"/>
        </w:rPr>
      </w:pPr>
    </w:p>
    <w:p w:rsidR="00E43883" w:rsidRDefault="00F13BA0">
      <w:pPr>
        <w:pStyle w:val="Heading2"/>
        <w:rPr>
          <w:noProof/>
        </w:rPr>
      </w:pPr>
      <w:r>
        <w:rPr>
          <w:noProof/>
        </w:rPr>
        <w:t>Izboljšanje znanja o odkrivanju ter učinkovitem obvladovanju in nadzoru okužb</w:t>
      </w:r>
    </w:p>
    <w:p w:rsidR="00E43883" w:rsidRDefault="00F13BA0">
      <w:pPr>
        <w:spacing w:after="0"/>
        <w:rPr>
          <w:rFonts w:ascii="Times New Roman" w:hAnsi="Times New Roman"/>
          <w:noProof/>
          <w:sz w:val="24"/>
          <w:szCs w:val="24"/>
        </w:rPr>
      </w:pPr>
      <w:r>
        <w:rPr>
          <w:rFonts w:ascii="Times New Roman" w:hAnsi="Times New Roman"/>
          <w:noProof/>
          <w:sz w:val="24"/>
        </w:rPr>
        <w:t xml:space="preserve">Potrebna so večja prizadevanja, da bi bolje razumeli epidemiologijo, pojavljanje, prevalenco in breme infekcijskih bolezni, </w:t>
      </w:r>
      <w:r>
        <w:rPr>
          <w:rFonts w:ascii="Times New Roman" w:hAnsi="Times New Roman"/>
          <w:noProof/>
          <w:sz w:val="24"/>
        </w:rPr>
        <w:t>nadalje raziskali, kako se odpornost razvija in širi, izboljšali zgodnje odkrivanje in bolje razumeli izzive, povezane z odpornostjo proti antimikrobikom, s katerimi se spopadajo evropski sektorji zdravstvenega varstva, živinoreje in proizvodnje živil.</w:t>
      </w:r>
    </w:p>
    <w:p w:rsidR="00E43883" w:rsidRDefault="00E43883">
      <w:pPr>
        <w:spacing w:after="0"/>
        <w:rPr>
          <w:rFonts w:ascii="Times New Roman" w:hAnsi="Times New Roman"/>
          <w:noProof/>
          <w:sz w:val="24"/>
          <w:szCs w:val="24"/>
        </w:rPr>
      </w:pPr>
    </w:p>
    <w:p w:rsidR="00E43883" w:rsidRDefault="00F13BA0">
      <w:pPr>
        <w:spacing w:after="0"/>
        <w:rPr>
          <w:rFonts w:ascii="Times New Roman" w:hAnsi="Times New Roman"/>
          <w:noProof/>
          <w:sz w:val="24"/>
          <w:szCs w:val="24"/>
        </w:rPr>
      </w:pPr>
      <w:r>
        <w:rPr>
          <w:rFonts w:ascii="Times New Roman" w:hAnsi="Times New Roman"/>
          <w:noProof/>
          <w:sz w:val="24"/>
        </w:rPr>
        <w:t>Te</w:t>
      </w:r>
      <w:r>
        <w:rPr>
          <w:rFonts w:ascii="Times New Roman" w:hAnsi="Times New Roman"/>
          <w:noProof/>
          <w:sz w:val="24"/>
        </w:rPr>
        <w:t>hnologija danes omogoča zbiranje in uporabo podatkov iz zdravstvenega varstva (bolnišnic, zdravstvenih domov, laboratorijev itd.) in agroživilskega sektorja, pa tudi družbe na splošno (internet stvari, socialna omrežja itd.). Združevanje teh podatkov omogo</w:t>
      </w:r>
      <w:r>
        <w:rPr>
          <w:rFonts w:ascii="Times New Roman" w:hAnsi="Times New Roman"/>
          <w:noProof/>
          <w:sz w:val="24"/>
        </w:rPr>
        <w:t xml:space="preserve">ča veliko zgodnejše odkrivanje izbruhov bolezni in pomaga razumeti, kako se infekcijske bolezni prenašajo. Razvoj rešitev IT za takšne operacije nudi veliko možnosti za izboljšanje nadzora, praks predpisovanja, samostojne skrbi za zdravje, rešitev v zvezi </w:t>
      </w:r>
      <w:r>
        <w:rPr>
          <w:rFonts w:ascii="Times New Roman" w:hAnsi="Times New Roman"/>
          <w:noProof/>
          <w:sz w:val="24"/>
        </w:rPr>
        <w:t>z oskrbo in ozaveščenosti o odpornosti proti antimikrobikom.</w:t>
      </w:r>
    </w:p>
    <w:p w:rsidR="00E43883" w:rsidRDefault="00E43883">
      <w:pPr>
        <w:spacing w:after="0"/>
        <w:rPr>
          <w:rFonts w:ascii="Times New Roman" w:hAnsi="Times New Roman"/>
          <w:noProof/>
          <w:sz w:val="24"/>
          <w:szCs w:val="24"/>
        </w:rPr>
      </w:pPr>
    </w:p>
    <w:p w:rsidR="00E43883" w:rsidRDefault="00F13BA0">
      <w:pPr>
        <w:keepNext/>
        <w:keepLines/>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Komisija bo:</w:t>
      </w:r>
    </w:p>
    <w:p w:rsidR="00E43883" w:rsidRDefault="00F13BA0">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 xml:space="preserve">podpirala raziskave, usmerjene v razvoj in ocenjevanje ukrepov, ki preprečujejo razvoj in širjenje odpornosti proti antimikrobikom v različnih okoljih, kot so bolnišnice, skupnosti </w:t>
      </w:r>
      <w:r>
        <w:rPr>
          <w:rFonts w:ascii="Times New Roman" w:hAnsi="Times New Roman"/>
          <w:noProof/>
          <w:sz w:val="24"/>
        </w:rPr>
        <w:t>in živinoreja;</w:t>
      </w:r>
    </w:p>
    <w:p w:rsidR="00E43883" w:rsidRDefault="00F13BA0">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podpirala raziskave, usmerjene v razumevanje epidemiologije odpornosti proti antimikrobikom, zlasti poti prenosa med živalmi in ljudmi, ter njihov učinek;</w:t>
      </w:r>
    </w:p>
    <w:p w:rsidR="00E43883" w:rsidRDefault="00F13BA0">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 xml:space="preserve">podpirala raziskave, usmerjene v razvoj novih orodij za zgodnje odkrivanje (v realnem </w:t>
      </w:r>
      <w:r>
        <w:rPr>
          <w:rFonts w:ascii="Times New Roman" w:hAnsi="Times New Roman"/>
          <w:noProof/>
          <w:sz w:val="24"/>
        </w:rPr>
        <w:t>času) odpornih patogenov pri ljudeh in živalih ob upoštevanju napredka na področju rešitev IT;</w:t>
      </w:r>
    </w:p>
    <w:p w:rsidR="00E43883" w:rsidRDefault="00F13BA0">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podpirala raziskave, usmerjene v rešitve na področju e-zdravja, da bi se izboljšale prakse predpisovanja, samostojna skrb za zdravje, rešitve v zvezi z oskrbo in</w:t>
      </w:r>
      <w:r>
        <w:rPr>
          <w:rFonts w:ascii="Times New Roman" w:hAnsi="Times New Roman"/>
          <w:noProof/>
          <w:sz w:val="24"/>
        </w:rPr>
        <w:t xml:space="preserve"> ozaveščenost o odpornosti proti antimikrobikom.</w:t>
      </w:r>
    </w:p>
    <w:p w:rsidR="00E43883" w:rsidRDefault="00F13BA0">
      <w:pPr>
        <w:pStyle w:val="Heading2"/>
        <w:rPr>
          <w:noProof/>
        </w:rPr>
      </w:pPr>
      <w:r>
        <w:rPr>
          <w:noProof/>
        </w:rPr>
        <w:t xml:space="preserve">Razvoj novih metod zdravljenja in alternativ </w:t>
      </w:r>
    </w:p>
    <w:p w:rsidR="00E43883" w:rsidRDefault="00F13BA0">
      <w:pPr>
        <w:spacing w:after="0"/>
        <w:rPr>
          <w:rFonts w:ascii="Times New Roman" w:hAnsi="Times New Roman"/>
          <w:noProof/>
          <w:sz w:val="24"/>
          <w:szCs w:val="24"/>
        </w:rPr>
      </w:pPr>
      <w:r>
        <w:rPr>
          <w:rFonts w:ascii="Times New Roman" w:hAnsi="Times New Roman"/>
          <w:noProof/>
          <w:sz w:val="24"/>
        </w:rPr>
        <w:t xml:space="preserve">Kljub velikim prizadevanjem v preteklih letih, med drugim tudi prek javno-zasebnih partnerstev, v pripravi ni dovolj antimikrobikov za pričakovane potrebe. </w:t>
      </w:r>
      <w:r>
        <w:rPr>
          <w:rFonts w:ascii="Times New Roman" w:hAnsi="Times New Roman"/>
          <w:noProof/>
          <w:sz w:val="24"/>
        </w:rPr>
        <w:t>Širjenje odpornosti proti antimikrobikom prispeva tudi k zmanjševanju učinkovitosti obstoječih antimikrobikov. Potrebnih je več raziskav za razvoj novih zdravil, metod zdravljenja in alternativnih zdravljenj ter inovativnih pristopov in proizvodov za ljudi</w:t>
      </w:r>
      <w:r>
        <w:rPr>
          <w:rFonts w:ascii="Times New Roman" w:hAnsi="Times New Roman"/>
          <w:noProof/>
          <w:sz w:val="24"/>
        </w:rPr>
        <w:t xml:space="preserve"> in živali, namenjenih zdravljenju okužb. Več raziskav je tudi potrebnih, da bi se pospešila sprememba namena starih antimikrobikov, izboljšalo njihovo delovanje in razvile nove kombinirane terapije, vključno s terapijami za zdravljenje multirezistentne tu</w:t>
      </w:r>
      <w:r>
        <w:rPr>
          <w:rFonts w:ascii="Times New Roman" w:hAnsi="Times New Roman"/>
          <w:noProof/>
          <w:sz w:val="24"/>
        </w:rPr>
        <w:t>berkuloze (MDR-TB). Nadgraditi bi bilo treba tudi digitalne tehnologije za testiranje biomedicinskih proizvodov in inovacij na področju e-zdravja, npr. s podpiranjem javnih naročil na področju inovacij</w:t>
      </w:r>
      <w:r>
        <w:rPr>
          <w:rStyle w:val="FootnoteReference"/>
          <w:rFonts w:ascii="Times New Roman" w:hAnsi="Times New Roman"/>
          <w:noProof/>
          <w:sz w:val="24"/>
        </w:rPr>
        <w:footnoteReference w:id="37"/>
      </w:r>
      <w:r>
        <w:rPr>
          <w:rFonts w:ascii="Times New Roman" w:hAnsi="Times New Roman"/>
          <w:noProof/>
          <w:sz w:val="24"/>
        </w:rPr>
        <w:t xml:space="preserve"> in MSP.</w:t>
      </w:r>
    </w:p>
    <w:p w:rsidR="00E43883" w:rsidRDefault="00E43883">
      <w:pPr>
        <w:spacing w:after="0"/>
        <w:rPr>
          <w:rFonts w:ascii="Times New Roman" w:hAnsi="Times New Roman"/>
          <w:noProof/>
          <w:sz w:val="24"/>
          <w:szCs w:val="24"/>
        </w:rPr>
      </w:pPr>
    </w:p>
    <w:p w:rsidR="00E43883" w:rsidRDefault="00F13BA0">
      <w:pPr>
        <w:pBdr>
          <w:top w:val="single" w:sz="4" w:space="1" w:color="auto"/>
          <w:left w:val="single" w:sz="4" w:space="1" w:color="auto"/>
          <w:bottom w:val="single" w:sz="4" w:space="1" w:color="auto"/>
          <w:right w:val="single" w:sz="4" w:space="1"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Komisija bo:</w:t>
      </w:r>
    </w:p>
    <w:p w:rsidR="00E43883" w:rsidRDefault="00F13BA0">
      <w:pPr>
        <w:numPr>
          <w:ilvl w:val="0"/>
          <w:numId w:val="23"/>
        </w:numPr>
        <w:pBdr>
          <w:top w:val="single" w:sz="4" w:space="1" w:color="auto"/>
          <w:left w:val="single" w:sz="4" w:space="1" w:color="auto"/>
          <w:bottom w:val="single" w:sz="4" w:space="1" w:color="auto"/>
          <w:right w:val="single" w:sz="4" w:space="1" w:color="auto"/>
        </w:pBdr>
        <w:outlineLvl w:val="1"/>
        <w:rPr>
          <w:rFonts w:ascii="Times New Roman" w:hAnsi="Times New Roman"/>
          <w:noProof/>
          <w:sz w:val="24"/>
          <w:szCs w:val="24"/>
        </w:rPr>
      </w:pPr>
      <w:r>
        <w:rPr>
          <w:rFonts w:ascii="Times New Roman" w:hAnsi="Times New Roman"/>
          <w:noProof/>
          <w:sz w:val="24"/>
        </w:rPr>
        <w:t xml:space="preserve">podpirala raziskave, usmerjene </w:t>
      </w:r>
      <w:r>
        <w:rPr>
          <w:rFonts w:ascii="Times New Roman" w:hAnsi="Times New Roman"/>
          <w:noProof/>
          <w:sz w:val="24"/>
        </w:rPr>
        <w:t>v razvoj novih antimikrobikov in alternativnih proizvodov za ljudi in živali ter spremembo namena starih antimikrobikov ali razvoj novih kombiniranih terapij;</w:t>
      </w:r>
    </w:p>
    <w:p w:rsidR="00E43883" w:rsidRDefault="00F13BA0">
      <w:pPr>
        <w:numPr>
          <w:ilvl w:val="0"/>
          <w:numId w:val="23"/>
        </w:numPr>
        <w:pBdr>
          <w:top w:val="single" w:sz="4" w:space="1" w:color="auto"/>
          <w:left w:val="single" w:sz="4" w:space="1" w:color="auto"/>
          <w:bottom w:val="single" w:sz="4" w:space="1" w:color="auto"/>
          <w:right w:val="single" w:sz="4" w:space="1" w:color="auto"/>
        </w:pBdr>
        <w:outlineLvl w:val="1"/>
        <w:rPr>
          <w:rFonts w:ascii="Times New Roman" w:hAnsi="Times New Roman"/>
          <w:noProof/>
          <w:sz w:val="24"/>
          <w:szCs w:val="24"/>
        </w:rPr>
      </w:pPr>
      <w:r>
        <w:rPr>
          <w:rFonts w:ascii="Times New Roman" w:hAnsi="Times New Roman"/>
          <w:noProof/>
          <w:sz w:val="24"/>
        </w:rPr>
        <w:t>podpirala MSP v njihovih prizadevanjih na področju RR, usmerjenih v inovativne in/ali alternativn</w:t>
      </w:r>
      <w:r>
        <w:rPr>
          <w:rFonts w:ascii="Times New Roman" w:hAnsi="Times New Roman"/>
          <w:noProof/>
          <w:sz w:val="24"/>
        </w:rPr>
        <w:t>e terapevtske pristope za zdravljenje ali preprečevanje bakterijskih okužb, skupaj z agencijo EMA;</w:t>
      </w:r>
    </w:p>
    <w:p w:rsidR="00E43883" w:rsidRDefault="00F13BA0">
      <w:pPr>
        <w:numPr>
          <w:ilvl w:val="0"/>
          <w:numId w:val="23"/>
        </w:numPr>
        <w:pBdr>
          <w:top w:val="single" w:sz="4" w:space="1" w:color="auto"/>
          <w:left w:val="single" w:sz="4" w:space="1" w:color="auto"/>
          <w:bottom w:val="single" w:sz="4" w:space="1" w:color="auto"/>
          <w:right w:val="single" w:sz="4" w:space="1" w:color="auto"/>
        </w:pBdr>
        <w:outlineLvl w:val="1"/>
        <w:rPr>
          <w:rFonts w:ascii="Times New Roman" w:hAnsi="Times New Roman"/>
          <w:noProof/>
          <w:sz w:val="24"/>
          <w:szCs w:val="24"/>
        </w:rPr>
      </w:pPr>
      <w:r>
        <w:rPr>
          <w:rFonts w:ascii="Times New Roman" w:hAnsi="Times New Roman"/>
          <w:noProof/>
          <w:sz w:val="24"/>
        </w:rPr>
        <w:t>olajšala izmenjavo raziskovalnih podatkov o antimikrobikih med ustreznimi zainteresiranimi stranmi</w:t>
      </w:r>
      <w:r>
        <w:rPr>
          <w:rStyle w:val="FootnoteReference"/>
          <w:rFonts w:ascii="Times New Roman" w:hAnsi="Times New Roman"/>
          <w:noProof/>
          <w:sz w:val="24"/>
        </w:rPr>
        <w:footnoteReference w:id="38"/>
      </w:r>
      <w:r>
        <w:rPr>
          <w:rFonts w:ascii="Times New Roman" w:hAnsi="Times New Roman"/>
          <w:noProof/>
          <w:sz w:val="24"/>
        </w:rPr>
        <w:t>, da bi usmerjala prihodnje odkrivanje in razvoj antimikro</w:t>
      </w:r>
      <w:r>
        <w:rPr>
          <w:rFonts w:ascii="Times New Roman" w:hAnsi="Times New Roman"/>
          <w:noProof/>
          <w:sz w:val="24"/>
        </w:rPr>
        <w:t>bnih zdravil;</w:t>
      </w:r>
    </w:p>
    <w:p w:rsidR="00E43883" w:rsidRDefault="00F13BA0">
      <w:pPr>
        <w:numPr>
          <w:ilvl w:val="0"/>
          <w:numId w:val="23"/>
        </w:numPr>
        <w:pBdr>
          <w:top w:val="single" w:sz="4" w:space="1" w:color="auto"/>
          <w:left w:val="single" w:sz="4" w:space="1" w:color="auto"/>
          <w:bottom w:val="single" w:sz="4" w:space="1" w:color="auto"/>
          <w:right w:val="single" w:sz="4" w:space="1" w:color="auto"/>
        </w:pBdr>
        <w:outlineLvl w:val="1"/>
        <w:rPr>
          <w:rFonts w:ascii="Times New Roman" w:hAnsi="Times New Roman"/>
          <w:noProof/>
          <w:sz w:val="24"/>
          <w:szCs w:val="24"/>
        </w:rPr>
      </w:pPr>
      <w:r>
        <w:rPr>
          <w:rFonts w:ascii="Times New Roman" w:hAnsi="Times New Roman"/>
          <w:noProof/>
          <w:sz w:val="24"/>
        </w:rPr>
        <w:t>podprla vzpostavitev evropske trajnostne klinično-raziskovalne mreže, ki naj bi pospešila klinične študije o zdravilih, zmanjšala njihove stroške in izboljšala usklajevanje kliničnih raziskav;</w:t>
      </w:r>
    </w:p>
    <w:p w:rsidR="00E43883" w:rsidRDefault="00F13BA0">
      <w:pPr>
        <w:numPr>
          <w:ilvl w:val="0"/>
          <w:numId w:val="23"/>
        </w:numPr>
        <w:pBdr>
          <w:top w:val="single" w:sz="4" w:space="1" w:color="auto"/>
          <w:left w:val="single" w:sz="4" w:space="1" w:color="auto"/>
          <w:bottom w:val="single" w:sz="4" w:space="1" w:color="auto"/>
          <w:right w:val="single" w:sz="4" w:space="1" w:color="auto"/>
        </w:pBdr>
        <w:outlineLvl w:val="1"/>
        <w:rPr>
          <w:rFonts w:ascii="Times New Roman" w:hAnsi="Times New Roman"/>
          <w:noProof/>
          <w:sz w:val="24"/>
          <w:szCs w:val="24"/>
        </w:rPr>
      </w:pPr>
      <w:r>
        <w:rPr>
          <w:rFonts w:ascii="Times New Roman" w:hAnsi="Times New Roman"/>
          <w:noProof/>
          <w:sz w:val="24"/>
        </w:rPr>
        <w:t>podpirala raziskave in inovacije, da bi spodbudil</w:t>
      </w:r>
      <w:r>
        <w:rPr>
          <w:rFonts w:ascii="Times New Roman" w:hAnsi="Times New Roman"/>
          <w:noProof/>
          <w:sz w:val="24"/>
        </w:rPr>
        <w:t>a uporabo digitalnih tehnologij, ki podpirajo razvoj novih metod zdravljenja in alternativ.</w:t>
      </w:r>
    </w:p>
    <w:p w:rsidR="00E43883" w:rsidRDefault="00F13BA0">
      <w:pPr>
        <w:pStyle w:val="Heading2"/>
        <w:rPr>
          <w:noProof/>
        </w:rPr>
      </w:pPr>
      <w:r>
        <w:rPr>
          <w:noProof/>
        </w:rPr>
        <w:t>Razvoj novih preventivnih cepiv</w:t>
      </w:r>
    </w:p>
    <w:p w:rsidR="00E43883" w:rsidRDefault="00F13BA0">
      <w:pPr>
        <w:spacing w:after="0"/>
        <w:rPr>
          <w:rFonts w:ascii="Times New Roman" w:hAnsi="Times New Roman"/>
          <w:noProof/>
          <w:sz w:val="24"/>
          <w:szCs w:val="24"/>
        </w:rPr>
      </w:pPr>
      <w:r>
        <w:rPr>
          <w:rFonts w:ascii="Times New Roman" w:hAnsi="Times New Roman"/>
          <w:noProof/>
          <w:sz w:val="24"/>
        </w:rPr>
        <w:t>Cepiva so se dokazala kot ključna in zelo stroškovno učinkovita pri preprečevanju izbruha in širjenja infekcijskih bolezni. Imajo tu</w:t>
      </w:r>
      <w:r>
        <w:rPr>
          <w:rFonts w:ascii="Times New Roman" w:hAnsi="Times New Roman"/>
          <w:noProof/>
          <w:sz w:val="24"/>
        </w:rPr>
        <w:t xml:space="preserve">di velik potencial za zmanjšanje incidence odpornosti proti antimikrobikom. Na primer, splošna pokritost s pnevmokoknim cepivom bi lahko ne samo rešila številne od približno 800 000 otrok, ki vsako leto umrejo zaradi pljučnice, temveč bi za približno 47 % </w:t>
      </w:r>
      <w:r>
        <w:rPr>
          <w:rFonts w:ascii="Times New Roman" w:hAnsi="Times New Roman"/>
          <w:noProof/>
          <w:sz w:val="24"/>
        </w:rPr>
        <w:t>zmanjšala tudi rabo antimikrobikov, s čimer bi se zoperstavila razvoju odpornosti proti antimikrobikom. Cepiva že imajo pomembno vlogo pri preprečevanju bolezni pri rejnih živalih in v akvakulturi. To bi bilo treba spodbujati še bolj, da bi se raba antimik</w:t>
      </w:r>
      <w:r>
        <w:rPr>
          <w:rFonts w:ascii="Times New Roman" w:hAnsi="Times New Roman"/>
          <w:noProof/>
          <w:sz w:val="24"/>
        </w:rPr>
        <w:t>robikov v teh sektorjih še zmanjšala.</w:t>
      </w:r>
    </w:p>
    <w:p w:rsidR="00E43883" w:rsidRDefault="00E43883">
      <w:pPr>
        <w:spacing w:after="0"/>
        <w:rPr>
          <w:rFonts w:ascii="Times New Roman" w:hAnsi="Times New Roman"/>
          <w:noProof/>
          <w:sz w:val="24"/>
          <w:szCs w:val="24"/>
        </w:rPr>
      </w:pPr>
    </w:p>
    <w:p w:rsidR="00E43883" w:rsidRDefault="00F13BA0">
      <w:pPr>
        <w:keepNext/>
        <w:keepLines/>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Komisija bo:</w:t>
      </w:r>
    </w:p>
    <w:p w:rsidR="00E43883" w:rsidRDefault="00F13BA0">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še naprej podpirala raziskave, usmerjene v razvoj novih učinkovitih preventivnih cepiv za ljudi in živali;</w:t>
      </w:r>
    </w:p>
    <w:p w:rsidR="00E43883" w:rsidRDefault="00F13BA0">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 xml:space="preserve">podpirala povečanje baze znanja o ovirah, ki vplivajo na širšo uporabo cepljenja v medicinski in </w:t>
      </w:r>
      <w:r>
        <w:rPr>
          <w:rFonts w:ascii="Times New Roman" w:hAnsi="Times New Roman"/>
          <w:noProof/>
          <w:sz w:val="24"/>
        </w:rPr>
        <w:t>veterinarski praksi.</w:t>
      </w:r>
    </w:p>
    <w:p w:rsidR="00E43883" w:rsidRDefault="00F13BA0">
      <w:pPr>
        <w:pStyle w:val="Heading2"/>
        <w:rPr>
          <w:noProof/>
        </w:rPr>
      </w:pPr>
      <w:r>
        <w:rPr>
          <w:noProof/>
        </w:rPr>
        <w:t>Razvoj nove diagnostike</w:t>
      </w:r>
    </w:p>
    <w:p w:rsidR="00E43883" w:rsidRDefault="00F13BA0">
      <w:pPr>
        <w:rPr>
          <w:rFonts w:ascii="Times New Roman" w:hAnsi="Times New Roman"/>
          <w:noProof/>
          <w:sz w:val="24"/>
          <w:szCs w:val="24"/>
        </w:rPr>
      </w:pPr>
      <w:r>
        <w:rPr>
          <w:rFonts w:ascii="Times New Roman" w:hAnsi="Times New Roman"/>
          <w:noProof/>
          <w:sz w:val="24"/>
        </w:rPr>
        <w:t>Nova, hitra in zanesljiva diagnostika je ključnega pomena za razlikovanje med bakterijskimi in virusnimi okužbami ter prepoznavanje odpornosti proti antimikrobikom, da bi se najustreznejše zdravljenje lahko prav</w:t>
      </w:r>
      <w:r>
        <w:rPr>
          <w:rFonts w:ascii="Times New Roman" w:hAnsi="Times New Roman"/>
          <w:noProof/>
          <w:sz w:val="24"/>
        </w:rPr>
        <w:t>očasno zagotovilo. Diagnostika s prilagoditvijo zdravljenja naravi patogena infekcijske bolezni in njegovemu vzorcu odpornosti pomaga zmanjšati nepotrebno rabo antimikrobikov pri ljudeh in živalih.</w:t>
      </w:r>
    </w:p>
    <w:p w:rsidR="00E43883" w:rsidRDefault="00F13BA0">
      <w:pPr>
        <w:rPr>
          <w:rFonts w:ascii="Times New Roman" w:hAnsi="Times New Roman"/>
          <w:noProof/>
          <w:sz w:val="24"/>
          <w:szCs w:val="24"/>
        </w:rPr>
      </w:pPr>
      <w:r>
        <w:rPr>
          <w:rFonts w:ascii="Times New Roman" w:hAnsi="Times New Roman"/>
          <w:noProof/>
          <w:sz w:val="24"/>
        </w:rPr>
        <w:t>Takšna nova diagnostika je v fazi vstopa na trg, vendar so</w:t>
      </w:r>
      <w:r>
        <w:rPr>
          <w:rFonts w:ascii="Times New Roman" w:hAnsi="Times New Roman"/>
          <w:noProof/>
          <w:sz w:val="24"/>
        </w:rPr>
        <w:t xml:space="preserve"> potrebni dodatni testi za usmerjanje učinkovitejše rabe obstoječih antimikrobikov v sektorjih zdravja ljudi in zdravja živali. Nova diagnostika bo omogočila tudi iskanje ustreznih pacientov za klinična preskušanja novih zdravljenj, zaradi česar bodo ta pr</w:t>
      </w:r>
      <w:r>
        <w:rPr>
          <w:rFonts w:ascii="Times New Roman" w:hAnsi="Times New Roman"/>
          <w:noProof/>
          <w:sz w:val="24"/>
        </w:rPr>
        <w:t>eskušanja učinkovitejša.</w:t>
      </w:r>
    </w:p>
    <w:p w:rsidR="00E43883" w:rsidRDefault="00F13BA0">
      <w:pPr>
        <w:keepNext/>
        <w:keepLines/>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Komisija bo:</w:t>
      </w:r>
    </w:p>
    <w:p w:rsidR="00E43883" w:rsidRDefault="00F13BA0">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 xml:space="preserve">podpirala raziskave, usmerjene v razvoj novih orodij za diagnosticiranje, zlasti testov ob ljudeh in živalih, da bi se zagotovile smernice za zdravnike glede rabe antimikrobikov; </w:t>
      </w:r>
    </w:p>
    <w:p w:rsidR="00E43883" w:rsidRDefault="00F13BA0">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podpirala uporabo rešitev IT pri razvo</w:t>
      </w:r>
      <w:r>
        <w:rPr>
          <w:rFonts w:ascii="Times New Roman" w:hAnsi="Times New Roman"/>
          <w:noProof/>
          <w:sz w:val="24"/>
        </w:rPr>
        <w:t>ju orodij za diagnosticiranje okužb ljudi in živali;</w:t>
      </w:r>
    </w:p>
    <w:p w:rsidR="00E43883" w:rsidRDefault="00F13BA0">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spodbujala uporabo diagnostike v medicinski in veterinarski praksi, npr. prek javnih naročil na področju inovacij.</w:t>
      </w:r>
    </w:p>
    <w:p w:rsidR="00E43883" w:rsidRDefault="00F13BA0">
      <w:pPr>
        <w:pStyle w:val="Heading2"/>
        <w:rPr>
          <w:noProof/>
        </w:rPr>
      </w:pPr>
      <w:r>
        <w:rPr>
          <w:noProof/>
        </w:rPr>
        <w:t xml:space="preserve">Razvoj novih gospodarskih modelov in spodbud </w:t>
      </w:r>
    </w:p>
    <w:p w:rsidR="00E43883" w:rsidRDefault="00F13BA0">
      <w:pPr>
        <w:rPr>
          <w:rFonts w:ascii="Times New Roman" w:hAnsi="Times New Roman"/>
          <w:noProof/>
          <w:sz w:val="24"/>
          <w:szCs w:val="24"/>
        </w:rPr>
      </w:pPr>
      <w:r>
        <w:rPr>
          <w:rFonts w:ascii="Times New Roman" w:hAnsi="Times New Roman"/>
          <w:noProof/>
          <w:sz w:val="24"/>
        </w:rPr>
        <w:t>Razvoj novih antimikrobikov ali alternativ</w:t>
      </w:r>
      <w:r>
        <w:rPr>
          <w:rFonts w:ascii="Times New Roman" w:hAnsi="Times New Roman"/>
          <w:noProof/>
          <w:sz w:val="24"/>
        </w:rPr>
        <w:t>nih zdravljenj zahteva znatne in dolgoročne naložbe. V klasičnem poslovnem modelu farmacevtska podjetja povrnejo naložbe v raziskave in razvoj s prodajo velikih količin svojih zdravil. A kadar na trg vstopi antimikrobik, ki se prodaja in uporablja v veliki</w:t>
      </w:r>
      <w:r>
        <w:rPr>
          <w:rFonts w:ascii="Times New Roman" w:hAnsi="Times New Roman"/>
          <w:noProof/>
          <w:sz w:val="24"/>
        </w:rPr>
        <w:t>h količinah, je mogoče pričakovati hiter razvoj odpornosti. Ker je treba rabo novih antimikrobikov omejiti, da bi se čim bolj zmanjšalo tveganje razvoja odpornosti, sedanji poslovni model povzroča tržno nepopolnost za antimikrobike in ovira prizadevanja za</w:t>
      </w:r>
      <w:r>
        <w:rPr>
          <w:rFonts w:ascii="Times New Roman" w:hAnsi="Times New Roman"/>
          <w:noProof/>
          <w:sz w:val="24"/>
        </w:rPr>
        <w:t xml:space="preserve"> ohranitev učinkovitih antimikrobikov.</w:t>
      </w:r>
    </w:p>
    <w:p w:rsidR="00E43883" w:rsidRDefault="00F13BA0">
      <w:pPr>
        <w:rPr>
          <w:rFonts w:ascii="Times New Roman" w:hAnsi="Times New Roman"/>
          <w:noProof/>
          <w:sz w:val="24"/>
          <w:szCs w:val="24"/>
        </w:rPr>
      </w:pPr>
      <w:r>
        <w:rPr>
          <w:rFonts w:ascii="Times New Roman" w:hAnsi="Times New Roman"/>
          <w:noProof/>
          <w:sz w:val="24"/>
        </w:rPr>
        <w:t>Razviti je treba nove gospodarske modele, da bi se spodbudila odkrivanje in razvoj antimikrobikov ob sočasnem usklajevanju teh spodbud z odgovorno rabo. Podobno v sektorju diagnostike razvoj in uporaba nove diagnostik</w:t>
      </w:r>
      <w:r>
        <w:rPr>
          <w:rFonts w:ascii="Times New Roman" w:hAnsi="Times New Roman"/>
          <w:noProof/>
          <w:sz w:val="24"/>
        </w:rPr>
        <w:t>e zahteva nove modele, ki upoštevajo sorazmerno visoke cene diagnostike v primerjavi z antimikrobiki, ki so trenutno na voljo po nizki ceni. Taki modeli bi ob spodbujanju rabe nove diagnostike morali upoštevati dolgoročne koristi teh zdravil in družbeno vr</w:t>
      </w:r>
      <w:r>
        <w:rPr>
          <w:rFonts w:ascii="Times New Roman" w:hAnsi="Times New Roman"/>
          <w:noProof/>
          <w:sz w:val="24"/>
        </w:rPr>
        <w:t>ednost omejevanja rabe antimikrobikov. To bi bilo v skladu z naraščajočim trendom razvoja novih oblik zdravljenja, kombiniranih z diagnostiko.</w:t>
      </w:r>
    </w:p>
    <w:p w:rsidR="00E43883" w:rsidRDefault="00F13BA0">
      <w:pPr>
        <w:rPr>
          <w:rFonts w:ascii="Times New Roman" w:hAnsi="Times New Roman"/>
          <w:noProof/>
          <w:sz w:val="24"/>
          <w:szCs w:val="24"/>
        </w:rPr>
      </w:pPr>
      <w:r>
        <w:rPr>
          <w:rFonts w:ascii="Times New Roman" w:hAnsi="Times New Roman"/>
          <w:noProof/>
          <w:sz w:val="24"/>
        </w:rPr>
        <w:t>Za zagotovitev baze dokazov za uporabo ukrepov v sistemu zdravstvenega varstva in pri storitvah zdravstvenega var</w:t>
      </w:r>
      <w:r>
        <w:rPr>
          <w:rFonts w:ascii="Times New Roman" w:hAnsi="Times New Roman"/>
          <w:noProof/>
          <w:sz w:val="24"/>
        </w:rPr>
        <w:t>stva so potrebne metode vrednotenja zdravstvenih tehnologij, da bi se ocenila dodana vrednost teh novih tehnologij in ekonomskih analiz za razumevanje stroškov in koristi različnih naložb v boj zoper odpornost proti antimikrobikom. Vključenost organov ocen</w:t>
      </w:r>
      <w:r>
        <w:rPr>
          <w:rFonts w:ascii="Times New Roman" w:hAnsi="Times New Roman"/>
          <w:noProof/>
          <w:sz w:val="24"/>
        </w:rPr>
        <w:t>jevanja zdravstvene tehnologije v razprave o odpornosti proti antimikrobikom bi lahko povečala njihovo ozaveščenost o odpornosti proti antimikrobikom med ocenjevanjem dodane vrednosti novih antimikrobikov in alternativ, diagnostike ali kombinacije obojega.</w:t>
      </w:r>
    </w:p>
    <w:p w:rsidR="00E43883" w:rsidRDefault="00E43883">
      <w:pPr>
        <w:spacing w:after="0"/>
        <w:rPr>
          <w:rFonts w:ascii="Times New Roman" w:hAnsi="Times New Roman"/>
          <w:noProof/>
          <w:sz w:val="24"/>
          <w:szCs w:val="24"/>
        </w:rPr>
      </w:pPr>
    </w:p>
    <w:p w:rsidR="00E43883" w:rsidRDefault="00F13BA0">
      <w:pPr>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Komisija bo:</w:t>
      </w:r>
    </w:p>
    <w:p w:rsidR="00E43883" w:rsidRDefault="00F13BA0">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 xml:space="preserve">povečala bazo dokazov za razumevanje družbenih stroškov in koristi različnih strategij za boj zoper odpornost proti antimikrobikom, vključno z razumevanjem dejavnikov, ki vplivajo na uporabo ukrepov, kot so nova diagnostika ali preventivni </w:t>
      </w:r>
      <w:r>
        <w:rPr>
          <w:rFonts w:ascii="Times New Roman" w:hAnsi="Times New Roman"/>
          <w:noProof/>
          <w:sz w:val="24"/>
        </w:rPr>
        <w:t>ukrepi;</w:t>
      </w:r>
    </w:p>
    <w:p w:rsidR="00E43883" w:rsidRDefault="00F13BA0">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podpirala raziskave, usmerjene v razvoj novih gospodarskih modelov, raziskovanje in analizo spodbud za pospešitev razvoja novih metod zdravljenja, alternativ, cepiv in diagnostike;</w:t>
      </w:r>
    </w:p>
    <w:p w:rsidR="00E43883" w:rsidRDefault="00F13BA0">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analizirala regulativna orodja in spodbude EU, zlasti zakonodajo za</w:t>
      </w:r>
      <w:r>
        <w:rPr>
          <w:rFonts w:ascii="Times New Roman" w:hAnsi="Times New Roman"/>
          <w:noProof/>
          <w:sz w:val="24"/>
        </w:rPr>
        <w:t xml:space="preserve"> zdravila sirote in pediatrijo, da bi jih uporabila v primeru novih antimikrobikov in inovativnih alternativnih zdravil (npr. cepiv ter antibakterijskih, antiglivičnih in antivirusnih sredstev), ki zaenkrat ne ustvarjajo zadostne donosnosti naložb;</w:t>
      </w:r>
    </w:p>
    <w:p w:rsidR="00E43883" w:rsidRDefault="00F13BA0">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spodbuj</w:t>
      </w:r>
      <w:r>
        <w:rPr>
          <w:rFonts w:ascii="Times New Roman" w:hAnsi="Times New Roman"/>
          <w:noProof/>
          <w:sz w:val="24"/>
        </w:rPr>
        <w:t>ala države članice, naj raziščejo rezultate in priporočila raziskovalnih projektov EU o novih ekonomskih poslovnih modelih;</w:t>
      </w:r>
    </w:p>
    <w:p w:rsidR="00E43883" w:rsidRDefault="00F13BA0">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razvijejo nove ali izboljšane metodološke pristope k vrednotenju zdravstvene tehnologije in spodbudijo metodološko oblikovanje sogla</w:t>
      </w:r>
      <w:r>
        <w:rPr>
          <w:rFonts w:ascii="Times New Roman" w:hAnsi="Times New Roman"/>
          <w:noProof/>
          <w:sz w:val="24"/>
        </w:rPr>
        <w:t>sja. To bi lahko koristilo razvoju kombinacij tehnologij in soodvisnih tehnologij, med drugim tudi na področju odpornosti proti antimikrobikom.</w:t>
      </w:r>
    </w:p>
    <w:p w:rsidR="00E43883" w:rsidRDefault="00F13BA0">
      <w:pPr>
        <w:pStyle w:val="Heading2"/>
        <w:rPr>
          <w:noProof/>
        </w:rPr>
      </w:pPr>
      <w:r>
        <w:rPr>
          <w:noProof/>
        </w:rPr>
        <w:t>Zapiranje vrzeli v znanju o odpornosti proti antimikrobikom v okolju ter načinih preprečevanja prenosov</w:t>
      </w:r>
    </w:p>
    <w:p w:rsidR="00E43883" w:rsidRDefault="00F13BA0">
      <w:pPr>
        <w:keepNext/>
        <w:keepLines/>
        <w:outlineLvl w:val="0"/>
        <w:rPr>
          <w:rFonts w:ascii="Times New Roman" w:hAnsi="Times New Roman"/>
          <w:noProof/>
          <w:sz w:val="24"/>
          <w:szCs w:val="24"/>
        </w:rPr>
      </w:pPr>
      <w:r>
        <w:rPr>
          <w:rFonts w:ascii="Times New Roman" w:hAnsi="Times New Roman"/>
          <w:noProof/>
          <w:sz w:val="24"/>
        </w:rPr>
        <w:t>Odpornost proti antimikrobikom je dober primer vprašanja pobude „eno zdravje“, pri katerem je zdravje ljudi povezano z zdravjem živali in okoljem. Ustrezen odziv lahko zagotovijo samo multidisciplinarna prizadevanja. Obstaja veliko pomanjkanje znanja o spr</w:t>
      </w:r>
      <w:r>
        <w:rPr>
          <w:rFonts w:ascii="Times New Roman" w:hAnsi="Times New Roman"/>
          <w:noProof/>
          <w:sz w:val="24"/>
        </w:rPr>
        <w:t xml:space="preserve">oščanju in širjenju odpornih organizmov v okolju ter njunih nevarnostih in tveganjih za zdravje ljudi in živali. Na primer, oceniti bi bilo treba sproščanje antimikrobikov v okolje prek tokov človeških, živalskih in proizvodnih odpadkov in razviti bi bilo </w:t>
      </w:r>
      <w:r>
        <w:rPr>
          <w:rFonts w:ascii="Times New Roman" w:hAnsi="Times New Roman"/>
          <w:noProof/>
          <w:sz w:val="24"/>
        </w:rPr>
        <w:t>treba nove tehnologije, da se omogoči učinkovita in hitra razgradljivost antimikrobikov v čistilnih napravah za odpadne vode, tokovih organskih odpadkov ali okolju.</w:t>
      </w:r>
    </w:p>
    <w:p w:rsidR="00E43883" w:rsidRDefault="00F13BA0">
      <w:pPr>
        <w:keepNext/>
        <w:keepLines/>
        <w:outlineLvl w:val="0"/>
        <w:rPr>
          <w:rFonts w:ascii="Times New Roman" w:hAnsi="Times New Roman"/>
          <w:noProof/>
          <w:sz w:val="24"/>
          <w:szCs w:val="24"/>
        </w:rPr>
      </w:pPr>
      <w:r>
        <w:rPr>
          <w:rFonts w:ascii="Times New Roman" w:hAnsi="Times New Roman"/>
          <w:noProof/>
          <w:sz w:val="24"/>
        </w:rPr>
        <w:t>Nadalje je treba preučiti izvedljivost in izvajanje programov spremljanja, vključno z razvo</w:t>
      </w:r>
      <w:r>
        <w:rPr>
          <w:rFonts w:ascii="Times New Roman" w:hAnsi="Times New Roman"/>
          <w:noProof/>
          <w:sz w:val="24"/>
        </w:rPr>
        <w:t>jem usklajenega spremljanja antimikrobikov in mikroorganizmov, odpornih proti antimikrobikom, v okolju. Z uporabo usklajenih podatkov o spremljanju in raziskovalnih podatkov bi bilo treba razviti metodologije za ocenjevanje tveganja, da se ocenijo tveganja</w:t>
      </w:r>
      <w:r>
        <w:rPr>
          <w:rFonts w:ascii="Times New Roman" w:hAnsi="Times New Roman"/>
          <w:noProof/>
          <w:sz w:val="24"/>
        </w:rPr>
        <w:t xml:space="preserve"> za zdravje ljudi in živali. V agroživilskem sektorju je treba nadalje raziskati povezave med sistemi kmetovanja, zdravjem živali ter razvojem in širjenjem odpornosti proti antimikrobikom.</w:t>
      </w:r>
    </w:p>
    <w:p w:rsidR="00E43883" w:rsidRDefault="00F13BA0">
      <w:pPr>
        <w:keepNext/>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Komisija bo:</w:t>
      </w:r>
    </w:p>
    <w:p w:rsidR="00E43883" w:rsidRDefault="00F13BA0">
      <w:pPr>
        <w:pStyle w:val="ListParagraph"/>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 xml:space="preserve">podpirala raziskave, usmerjene v vrzeli v znanju o </w:t>
      </w:r>
      <w:r>
        <w:rPr>
          <w:rFonts w:ascii="Times New Roman" w:hAnsi="Times New Roman"/>
          <w:noProof/>
          <w:sz w:val="24"/>
        </w:rPr>
        <w:t>sproščanju odpornih mikroorganizmov in antimikrobikov v okolje ter njihovem širjenju;</w:t>
      </w:r>
    </w:p>
    <w:p w:rsidR="00E43883" w:rsidRDefault="00F13BA0">
      <w:pPr>
        <w:pStyle w:val="ListParagraph"/>
        <w:numPr>
          <w:ilvl w:val="0"/>
          <w:numId w:val="23"/>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rPr>
      </w:pPr>
      <w:r>
        <w:rPr>
          <w:rFonts w:ascii="Times New Roman" w:hAnsi="Times New Roman"/>
          <w:noProof/>
          <w:sz w:val="24"/>
        </w:rPr>
        <w:t>raziskala metodologije za ocenjevanje tveganja ob podpori znanstvenih agencij in organov in jih uporabila za oceno tveganj za zdravje ljudi in živali zaradi prisotnosti a</w:t>
      </w:r>
      <w:r>
        <w:rPr>
          <w:rFonts w:ascii="Times New Roman" w:hAnsi="Times New Roman"/>
          <w:noProof/>
          <w:sz w:val="24"/>
        </w:rPr>
        <w:t>ntimikrobikov v okolju;</w:t>
      </w:r>
    </w:p>
    <w:p w:rsidR="00E43883" w:rsidRDefault="00F13BA0">
      <w:pPr>
        <w:pStyle w:val="ListParagraph"/>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podpirala raziskave o novih orodjih za spremljanje antimikrobikov in mikroorganizmov, odpornih proti antimikrobikom, v okolju ter razvoj teh orodij;</w:t>
      </w:r>
    </w:p>
    <w:p w:rsidR="00E43883" w:rsidRDefault="00F13BA0">
      <w:pPr>
        <w:pStyle w:val="ListParagraph"/>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podpirala razvoj tehnologij, ki omogočajo učinkovito in hitro razgradljivost antimi</w:t>
      </w:r>
      <w:r>
        <w:rPr>
          <w:rFonts w:ascii="Times New Roman" w:hAnsi="Times New Roman"/>
          <w:noProof/>
          <w:sz w:val="24"/>
        </w:rPr>
        <w:t xml:space="preserve">krobikov v odpadni vodi in okolju ter zmanjšanje širjenja odpornosti proti antimikrobikom. </w:t>
      </w:r>
    </w:p>
    <w:p w:rsidR="00E43883" w:rsidRDefault="00F13BA0">
      <w:pPr>
        <w:pStyle w:val="Heading1"/>
        <w:keepNext/>
        <w:ind w:left="431" w:hanging="431"/>
        <w:rPr>
          <w:noProof/>
        </w:rPr>
      </w:pPr>
      <w:r>
        <w:rPr>
          <w:noProof/>
        </w:rPr>
        <w:t>Oblikovanje globalne agende</w:t>
      </w:r>
    </w:p>
    <w:p w:rsidR="00E43883" w:rsidRDefault="00F13BA0">
      <w:pPr>
        <w:keepNext/>
        <w:keepLines/>
        <w:rPr>
          <w:rFonts w:ascii="Times New Roman Bold" w:eastAsia="Times New Roman" w:hAnsi="Times New Roman Bold"/>
          <w:noProof/>
          <w:sz w:val="24"/>
          <w:szCs w:val="24"/>
        </w:rPr>
      </w:pPr>
      <w:r>
        <w:rPr>
          <w:rFonts w:ascii="Times New Roman Bold" w:hAnsi="Times New Roman Bold"/>
          <w:noProof/>
          <w:sz w:val="24"/>
        </w:rPr>
        <w:t>EU in njene države članice so del medsebojno čedalje bolj povezanega sveta, za katerega sta značilna intenzivna izmenjava ljudi in blaga</w:t>
      </w:r>
      <w:r>
        <w:rPr>
          <w:rFonts w:ascii="Times New Roman Bold" w:hAnsi="Times New Roman Bold"/>
          <w:noProof/>
          <w:sz w:val="24"/>
        </w:rPr>
        <w:t xml:space="preserve"> in kjer imajo lahko politike, ki se izvajajo v eni regiji, bistven vpliv drugod.</w:t>
      </w:r>
    </w:p>
    <w:p w:rsidR="00E43883" w:rsidRDefault="00F13BA0">
      <w:pPr>
        <w:rPr>
          <w:rFonts w:ascii="Times New Roman Bold" w:eastAsia="Times New Roman" w:hAnsi="Times New Roman Bold"/>
          <w:noProof/>
          <w:sz w:val="24"/>
          <w:szCs w:val="24"/>
        </w:rPr>
      </w:pPr>
      <w:r>
        <w:rPr>
          <w:rFonts w:ascii="Times New Roman Bold" w:hAnsi="Times New Roman Bold"/>
          <w:noProof/>
          <w:sz w:val="24"/>
        </w:rPr>
        <w:t>Čezmejno širjenje odpornosti proti antimikrobikom je potrjeno na svetovni ravni, na mednarodni ravni pa so dogovorjena področja ukrepanja, ki so opisana v globalnem akcijskem</w:t>
      </w:r>
      <w:r>
        <w:rPr>
          <w:rFonts w:ascii="Times New Roman Bold" w:hAnsi="Times New Roman Bold"/>
          <w:noProof/>
          <w:sz w:val="24"/>
        </w:rPr>
        <w:t xml:space="preserve"> načrtu SZO o odpornosti proti antimikrobikom, ki je svetovni načrt za dejavnosti na področju odpornosti proti antimikrobikom in ki sta ga potrdili organizaciji OIE in FAO. Politična deklaracija Generalne skupščine Združenih narodov z dne 21. septembra 201</w:t>
      </w:r>
      <w:r>
        <w:rPr>
          <w:rFonts w:ascii="Times New Roman Bold" w:hAnsi="Times New Roman Bold"/>
          <w:noProof/>
          <w:sz w:val="24"/>
        </w:rPr>
        <w:t>6 je mednarodnemu izvajanju globalnega akcijskega načrta SZO o odpornosti proti antimikrobikom namenila podporo na visoki ravni.</w:t>
      </w:r>
    </w:p>
    <w:p w:rsidR="00E43883" w:rsidRDefault="00F13BA0">
      <w:pPr>
        <w:rPr>
          <w:rFonts w:ascii="Times New Roman Bold" w:eastAsia="Times New Roman" w:hAnsi="Times New Roman Bold"/>
          <w:noProof/>
          <w:sz w:val="24"/>
          <w:szCs w:val="24"/>
        </w:rPr>
      </w:pPr>
      <w:r>
        <w:rPr>
          <w:rFonts w:ascii="Times New Roman Bold" w:hAnsi="Times New Roman Bold"/>
          <w:noProof/>
          <w:sz w:val="24"/>
        </w:rPr>
        <w:t>Ocena akcijskega načrta EU iz leta 2011 potrjuje pozitivne učinke ukrepov EU na svetovni ravni. Potrebna so nadaljnja prizadeva</w:t>
      </w:r>
      <w:r>
        <w:rPr>
          <w:rFonts w:ascii="Times New Roman Bold" w:hAnsi="Times New Roman Bold"/>
          <w:noProof/>
          <w:sz w:val="24"/>
        </w:rPr>
        <w:t>nja, kot je opisano v nadaljevanju.</w:t>
      </w:r>
    </w:p>
    <w:p w:rsidR="00E43883" w:rsidRDefault="00F13BA0">
      <w:pPr>
        <w:pStyle w:val="Heading2"/>
        <w:rPr>
          <w:rFonts w:eastAsia="Times New Roman"/>
          <w:noProof/>
        </w:rPr>
      </w:pPr>
      <w:r>
        <w:rPr>
          <w:noProof/>
        </w:rPr>
        <w:t>Močnejša prisotnost EU v svetu</w:t>
      </w:r>
    </w:p>
    <w:p w:rsidR="00E43883" w:rsidRDefault="00F13BA0">
      <w:pPr>
        <w:autoSpaceDE w:val="0"/>
        <w:autoSpaceDN w:val="0"/>
        <w:adjustRightInd w:val="0"/>
        <w:spacing w:after="0"/>
        <w:rPr>
          <w:rFonts w:ascii="Times New Roman Bold" w:eastAsia="Times New Roman" w:hAnsi="Times New Roman Bold"/>
          <w:noProof/>
          <w:sz w:val="24"/>
          <w:szCs w:val="24"/>
        </w:rPr>
      </w:pPr>
      <w:r>
        <w:rPr>
          <w:rFonts w:ascii="Times New Roman Bold" w:hAnsi="Times New Roman Bold"/>
          <w:noProof/>
          <w:sz w:val="24"/>
        </w:rPr>
        <w:t>Številne nacionalne politike EU o odpornosti proti antimikrobikom (npr. prepoved uporabe antimikrobikov kot spodbujevalcev rasti v krmi živali za proizvodnjo hrane) že prispevajo k doseganj</w:t>
      </w:r>
      <w:r>
        <w:rPr>
          <w:rFonts w:ascii="Times New Roman Bold" w:hAnsi="Times New Roman Bold"/>
          <w:noProof/>
          <w:sz w:val="24"/>
        </w:rPr>
        <w:t>u mednarodnih ciljev v boju zoper odpornost proti antimikrobikom. Kljub temu se odpornost proti antimikrobikom še naprej razvija in širi po vsem svetu.</w:t>
      </w:r>
      <w:r>
        <w:rPr>
          <w:noProof/>
        </w:rPr>
        <w:t xml:space="preserve"> </w:t>
      </w:r>
      <w:r>
        <w:rPr>
          <w:rFonts w:ascii="Times New Roman Bold" w:hAnsi="Times New Roman Bold"/>
          <w:noProof/>
          <w:sz w:val="24"/>
        </w:rPr>
        <w:t xml:space="preserve">Zaradi tega bi bilo treba okrepiti vključenost in sodelovanje EU z večstranskimi organizacijami, kot so </w:t>
      </w:r>
      <w:r>
        <w:rPr>
          <w:rFonts w:ascii="Times New Roman Bold" w:hAnsi="Times New Roman Bold"/>
          <w:noProof/>
          <w:sz w:val="24"/>
        </w:rPr>
        <w:t>SZO, OIE, FAO in mednarodni forumi, da bi se zagotovil prispevek regionalnemu in globalnemu ukrepanju zoper odpornost proti antimikrobikom v skladu s pristopom „eno zdravje“.</w:t>
      </w:r>
    </w:p>
    <w:p w:rsidR="00E43883" w:rsidRDefault="00E43883">
      <w:pPr>
        <w:autoSpaceDE w:val="0"/>
        <w:autoSpaceDN w:val="0"/>
        <w:adjustRightInd w:val="0"/>
        <w:spacing w:after="0"/>
        <w:rPr>
          <w:rFonts w:ascii="Times New Roman Bold" w:eastAsia="Times New Roman" w:hAnsi="Times New Roman Bold"/>
          <w:noProof/>
          <w:sz w:val="24"/>
          <w:szCs w:val="24"/>
        </w:rPr>
      </w:pPr>
    </w:p>
    <w:p w:rsidR="00E43883" w:rsidRDefault="00F13BA0">
      <w:pPr>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Komisija bo:</w:t>
      </w:r>
    </w:p>
    <w:p w:rsidR="00E43883" w:rsidRDefault="00F13BA0">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 xml:space="preserve">še naprej dejavno prispevala k normativnemu delu SZO, OIE, FAO in </w:t>
      </w:r>
      <w:r>
        <w:rPr>
          <w:rFonts w:ascii="Times New Roman" w:hAnsi="Times New Roman"/>
          <w:noProof/>
          <w:sz w:val="24"/>
        </w:rPr>
        <w:t>Codexa Alimentariusa o razvoju ambicioznih mednarodnih okvirov in standardov/norm/smernic/metodologij v zvezi z odpornostjo proti antimikrobikom;</w:t>
      </w:r>
    </w:p>
    <w:p w:rsidR="00E43883" w:rsidRDefault="00F13BA0">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 xml:space="preserve">okrepila tehnično sodelovanje s SZO in njenimi člani na ključnih področjih globalnega akcijskega načrta SZO o </w:t>
      </w:r>
      <w:r>
        <w:rPr>
          <w:rFonts w:ascii="Times New Roman" w:hAnsi="Times New Roman"/>
          <w:noProof/>
          <w:sz w:val="24"/>
        </w:rPr>
        <w:t>odpornosti proti antimikrobikom (npr. pri razvoju svetovnega sistema SZO za spremljanje antimikrobične odpornosti (GLASS), ozaveščanju, preprečevanju in obvladovanju okužb);</w:t>
      </w:r>
    </w:p>
    <w:p w:rsidR="00E43883" w:rsidRDefault="00F13BA0">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povečala podporo Mednarodni konferenci o harmonizaciji tehničnih zahtev za registr</w:t>
      </w:r>
      <w:r>
        <w:rPr>
          <w:rFonts w:ascii="Times New Roman" w:hAnsi="Times New Roman"/>
          <w:noProof/>
          <w:sz w:val="24"/>
        </w:rPr>
        <w:t>acijo zdravil za uporabo v humani medicini (ICH) in Mednarodni konferenci o harmonizaciji tehničnih zahtev za registracijo zdravil za uporabo v veterinarski medicini (VICH) o ustreznih mednarodnih smernicah/standardih/normah v zvezi z odpornostjo proti ant</w:t>
      </w:r>
      <w:r>
        <w:rPr>
          <w:rFonts w:ascii="Times New Roman" w:hAnsi="Times New Roman"/>
          <w:noProof/>
          <w:sz w:val="24"/>
        </w:rPr>
        <w:t>imikrobikom;</w:t>
      </w:r>
    </w:p>
    <w:p w:rsidR="00E43883" w:rsidRDefault="00F13BA0">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prizadevala si bo za trajno politično pozornost na visoki ravni in zavezo ukrepanju zoper odpornost proti antimikrobikom, med drugim tudi na forumih Združenih narodov ter skupin G7 in G20;</w:t>
      </w:r>
    </w:p>
    <w:p w:rsidR="00E43883" w:rsidRDefault="00F13BA0">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iskala sinergije s strateškim pristopom ZN k delu na p</w:t>
      </w:r>
      <w:r>
        <w:rPr>
          <w:rFonts w:ascii="Times New Roman" w:hAnsi="Times New Roman"/>
          <w:noProof/>
          <w:sz w:val="24"/>
        </w:rPr>
        <w:t>odročju mednarodnega upravljanja kemikalij v zvezi s porajajočim se političnim vprašanjem glede farmacevtskih proizvodov v okolju</w:t>
      </w:r>
      <w:r>
        <w:rPr>
          <w:rStyle w:val="FootnoteReference"/>
          <w:rFonts w:ascii="Times New Roman" w:hAnsi="Times New Roman"/>
          <w:noProof/>
          <w:sz w:val="24"/>
        </w:rPr>
        <w:footnoteReference w:id="39"/>
      </w:r>
      <w:r>
        <w:rPr>
          <w:noProof/>
        </w:rPr>
        <w:t>;</w:t>
      </w:r>
    </w:p>
    <w:p w:rsidR="00E43883" w:rsidRDefault="00F13BA0">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analizirala izvedljivost vzpostavitve svetovne mreže kliničnih študij o odpornosti proti antimikrobikom v sodelovanju s član</w:t>
      </w:r>
      <w:r>
        <w:rPr>
          <w:rFonts w:ascii="Times New Roman" w:hAnsi="Times New Roman"/>
          <w:noProof/>
          <w:sz w:val="24"/>
        </w:rPr>
        <w:t>icami skupine G7</w:t>
      </w:r>
      <w:bookmarkStart w:id="5" w:name="_Ref484099599"/>
      <w:r>
        <w:rPr>
          <w:rStyle w:val="FootnoteReference"/>
          <w:rFonts w:ascii="Times New Roman" w:hAnsi="Times New Roman"/>
          <w:noProof/>
          <w:sz w:val="24"/>
        </w:rPr>
        <w:footnoteReference w:id="40"/>
      </w:r>
      <w:bookmarkEnd w:id="5"/>
      <w:r>
        <w:rPr>
          <w:rFonts w:ascii="Times New Roman" w:hAnsi="Times New Roman"/>
          <w:noProof/>
          <w:sz w:val="24"/>
        </w:rPr>
        <w:t>;</w:t>
      </w:r>
    </w:p>
    <w:p w:rsidR="00E43883" w:rsidRDefault="00F13BA0">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nadaljevala in krepila obstoječe sodelovanje znotraj Čezatlantske delovne skupine za odpornost proti antimikrobikom (TATFAR), ki vključuje EU, ZDA, Kanado in Norveško;</w:t>
      </w:r>
    </w:p>
    <w:p w:rsidR="00E43883" w:rsidRDefault="00F13BA0">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 xml:space="preserve">spodbujala mednarodno približevanje zakonodaj med agencijo EMA in </w:t>
      </w:r>
      <w:r>
        <w:rPr>
          <w:rFonts w:ascii="Times New Roman" w:hAnsi="Times New Roman"/>
          <w:noProof/>
          <w:sz w:val="24"/>
        </w:rPr>
        <w:t>drugimi regulativnimi agencijami, kot sta Uprava za živila in zdravila Združenih držav (FDA) in japonska agencija za farmacevtske izdelke in medicinske pripomočke, v zvezi z načrti za razvoj novih obetavnih antimikrobikov.</w:t>
      </w:r>
    </w:p>
    <w:p w:rsidR="00E43883" w:rsidRDefault="00F13BA0">
      <w:pPr>
        <w:pStyle w:val="Heading2"/>
        <w:rPr>
          <w:rFonts w:eastAsia="Times New Roman"/>
          <w:noProof/>
        </w:rPr>
      </w:pPr>
      <w:r>
        <w:rPr>
          <w:noProof/>
        </w:rPr>
        <w:t xml:space="preserve">Močnejše dvostransko partnerstvo </w:t>
      </w:r>
      <w:r>
        <w:rPr>
          <w:noProof/>
        </w:rPr>
        <w:t>za močnejše sodelovanje</w:t>
      </w:r>
    </w:p>
    <w:p w:rsidR="00E43883" w:rsidRDefault="00F13BA0">
      <w:pPr>
        <w:autoSpaceDE w:val="0"/>
        <w:autoSpaceDN w:val="0"/>
        <w:adjustRightInd w:val="0"/>
        <w:spacing w:after="0"/>
        <w:rPr>
          <w:rFonts w:ascii="Times New Roman Bold" w:eastAsia="Times New Roman" w:hAnsi="Times New Roman Bold"/>
          <w:noProof/>
          <w:sz w:val="24"/>
          <w:szCs w:val="24"/>
        </w:rPr>
      </w:pPr>
      <w:r>
        <w:rPr>
          <w:rFonts w:ascii="Times New Roman Bold" w:hAnsi="Times New Roman Bold"/>
          <w:noProof/>
          <w:sz w:val="24"/>
        </w:rPr>
        <w:t>EU je pridobila dragoceno strokovno znanje in izkušnje v zvezi z odpornostjo proti antimikrobikom, medtem ko so nekateri njeni trgovinski partnerji sprejeli drugačne pristope in izbrali druge prednostne naloge v zvezi s tem. Obstaja</w:t>
      </w:r>
      <w:r>
        <w:rPr>
          <w:rFonts w:ascii="Times New Roman Bold" w:hAnsi="Times New Roman Bold"/>
          <w:noProof/>
          <w:sz w:val="24"/>
        </w:rPr>
        <w:t xml:space="preserve">jo možnosti za tesnejše sodelovanje in tesnejše vezi s temi partnerji, da bi se vzpostavila sporazumna dejanja, izmenjevale izkušnje in usklajevali pristopi v korist vseh udeleženih strani. Države kandidatke in potencialne kandidatke, ki jim predpristopna </w:t>
      </w:r>
      <w:r>
        <w:rPr>
          <w:rFonts w:ascii="Times New Roman Bold" w:hAnsi="Times New Roman Bold"/>
          <w:noProof/>
          <w:sz w:val="24"/>
        </w:rPr>
        <w:t>strategija prinaša koristi, so prav tako dale zavezo uskladitvi in izvajanju zakonodaje EU v zvezi z odpornostjo proti antimikrobikom, kot so storile tudi sosednje države, za katere se uporablja evropska sosedska politika (ESP) ali ki so z EU sklenile prid</w:t>
      </w:r>
      <w:r>
        <w:rPr>
          <w:rFonts w:ascii="Times New Roman Bold" w:hAnsi="Times New Roman Bold"/>
          <w:noProof/>
          <w:sz w:val="24"/>
        </w:rPr>
        <w:t>ružitveni sporazum. Komisija bo ob pomoči agencij EU še naprej podpirala te države z obiski, izmenjavo najboljše prakse in gradnjo zmogljivosti.</w:t>
      </w:r>
    </w:p>
    <w:p w:rsidR="00E43883" w:rsidRDefault="00E43883">
      <w:pPr>
        <w:autoSpaceDE w:val="0"/>
        <w:autoSpaceDN w:val="0"/>
        <w:adjustRightInd w:val="0"/>
        <w:spacing w:after="0"/>
        <w:rPr>
          <w:rFonts w:ascii="Times New Roman Bold" w:eastAsia="Times New Roman" w:hAnsi="Times New Roman Bold"/>
          <w:noProof/>
          <w:sz w:val="24"/>
          <w:szCs w:val="24"/>
        </w:rPr>
      </w:pPr>
    </w:p>
    <w:p w:rsidR="00E43883" w:rsidRDefault="00F13BA0">
      <w:pPr>
        <w:autoSpaceDE w:val="0"/>
        <w:autoSpaceDN w:val="0"/>
        <w:adjustRightInd w:val="0"/>
        <w:spacing w:after="0"/>
        <w:rPr>
          <w:rFonts w:ascii="Times New Roman Bold" w:eastAsia="Times New Roman" w:hAnsi="Times New Roman Bold"/>
          <w:noProof/>
          <w:sz w:val="24"/>
          <w:szCs w:val="24"/>
        </w:rPr>
      </w:pPr>
      <w:r>
        <w:rPr>
          <w:rFonts w:ascii="Times New Roman Bold" w:hAnsi="Times New Roman Bold"/>
          <w:noProof/>
          <w:sz w:val="24"/>
        </w:rPr>
        <w:t>EU ima lahko kot eden največjih trgov kmetijskih proizvodov pomembno vlogo pri spodbujanju standardov, povezan</w:t>
      </w:r>
      <w:r>
        <w:rPr>
          <w:rFonts w:ascii="Times New Roman Bold" w:hAnsi="Times New Roman Bold"/>
          <w:noProof/>
          <w:sz w:val="24"/>
        </w:rPr>
        <w:t>ih z odpornostjo proti antimikrobikom, ukrepov na področju proizvodnje živil in standardov glede dobrobiti živali, npr. prek dvostranskih sporazumov o prosti trgovini (SPT). Sistematično vključevanje določb o odpornosti proti antimikrobikom je postalo seda</w:t>
      </w:r>
      <w:r>
        <w:rPr>
          <w:rFonts w:ascii="Times New Roman Bold" w:hAnsi="Times New Roman Bold"/>
          <w:noProof/>
          <w:sz w:val="24"/>
        </w:rPr>
        <w:t>nja praksa Komisije v vseh novih SPT. Lahko bi se preučila možnost za nadaljnje ukrepanje, da se zagotovijo enaki konkurenčni pogoji za proizvajalce EU in trgovinske partnerje EU, npr. tako, da se prizadevanja kmetov EU ne ogrozijo z nepreudarno rabo antim</w:t>
      </w:r>
      <w:r>
        <w:rPr>
          <w:rFonts w:ascii="Times New Roman Bold" w:hAnsi="Times New Roman Bold"/>
          <w:noProof/>
          <w:sz w:val="24"/>
        </w:rPr>
        <w:t>ikrobikov pri trgovinskih partnerjih EU. To bi lahko vključevalo povezovanje koncesij za trgovinske partnerje EU ob upoštevanju določenih ciljev politike EU o odpornosti proti antimikrobikom.</w:t>
      </w:r>
    </w:p>
    <w:p w:rsidR="00E43883" w:rsidRDefault="00E43883">
      <w:pPr>
        <w:autoSpaceDE w:val="0"/>
        <w:autoSpaceDN w:val="0"/>
        <w:adjustRightInd w:val="0"/>
        <w:spacing w:after="0"/>
        <w:rPr>
          <w:rFonts w:ascii="Times New Roman Bold" w:eastAsia="Times New Roman" w:hAnsi="Times New Roman Bold"/>
          <w:noProof/>
          <w:sz w:val="24"/>
          <w:szCs w:val="24"/>
        </w:rPr>
      </w:pPr>
    </w:p>
    <w:p w:rsidR="00E43883" w:rsidRDefault="00F13BA0">
      <w:pPr>
        <w:keepNext/>
        <w:keepLines/>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Komisija bo:</w:t>
      </w:r>
    </w:p>
    <w:p w:rsidR="00E43883" w:rsidRDefault="00F13BA0">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zagovarjala standarde in ukrepe EU za obravnavanje</w:t>
      </w:r>
      <w:r>
        <w:rPr>
          <w:rFonts w:ascii="Times New Roman" w:hAnsi="Times New Roman"/>
          <w:noProof/>
          <w:sz w:val="24"/>
        </w:rPr>
        <w:t xml:space="preserve"> problema odpornosti proti antimikrobikom v trgovinskih sporazumih in jih vključevala v dogovore o sodelovanju v okviru trgovinskih sporazumov;</w:t>
      </w:r>
    </w:p>
    <w:p w:rsidR="00E43883" w:rsidRDefault="00F13BA0">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sodelovala z glavnimi svetovnimi akterji in strateškimi državami (npr. Brazilijo, Kitajsko, Indijo) in tako pris</w:t>
      </w:r>
      <w:r>
        <w:rPr>
          <w:rFonts w:ascii="Times New Roman" w:hAnsi="Times New Roman"/>
          <w:noProof/>
          <w:sz w:val="24"/>
        </w:rPr>
        <w:t>pevala k doseganju ciljev globalnega akcijskega načrta SZO o odpornosti proti antimikrobikom z izmenjavo izkušenj, zagovarjanjem dobrih praks in spodbujanjem ukrepov zunaj EU;</w:t>
      </w:r>
    </w:p>
    <w:p w:rsidR="00E43883" w:rsidRDefault="00F13BA0">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podpirala države kandidatke EU, potencialne kandidatke in sosednje države, za ka</w:t>
      </w:r>
      <w:r>
        <w:rPr>
          <w:rFonts w:ascii="Times New Roman" w:hAnsi="Times New Roman"/>
          <w:noProof/>
          <w:sz w:val="24"/>
        </w:rPr>
        <w:t>tere velja ESP, pri usklajevanju z zakonodajo EU o odpornosti proti antimikrobikom in standardi EU ter pri gradnji zmogljivosti za izvajanje te zakonodaje in standardov;</w:t>
      </w:r>
    </w:p>
    <w:p w:rsidR="00E43883" w:rsidRDefault="00F13BA0">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pozvala Evropski parlament, države članice in zainteresirane strani k izmenjavi stališ</w:t>
      </w:r>
      <w:r>
        <w:rPr>
          <w:rFonts w:ascii="Times New Roman" w:hAnsi="Times New Roman"/>
          <w:noProof/>
          <w:sz w:val="24"/>
        </w:rPr>
        <w:t>č o ukrepih, ki jih je treba sprejeti, da se zagotovi, da proizvajalci iz EU, vključno s kmeti, zaradi svojih prizadevanj za boj zoper odpornost proti antimikrobikom ne bodo prišli v neugoden konkurenčni položaj.</w:t>
      </w:r>
    </w:p>
    <w:p w:rsidR="00E43883" w:rsidRDefault="00F13BA0">
      <w:pPr>
        <w:pStyle w:val="Heading2"/>
        <w:rPr>
          <w:rFonts w:ascii="Times New Roman Bold" w:eastAsia="Times New Roman" w:hAnsi="Times New Roman Bold"/>
          <w:noProof/>
        </w:rPr>
      </w:pPr>
      <w:r>
        <w:rPr>
          <w:noProof/>
        </w:rPr>
        <w:t>Sodelovanje z državami v razvoju</w:t>
      </w:r>
    </w:p>
    <w:p w:rsidR="00E43883" w:rsidRDefault="00F13BA0">
      <w:pPr>
        <w:autoSpaceDE w:val="0"/>
        <w:autoSpaceDN w:val="0"/>
        <w:adjustRightInd w:val="0"/>
        <w:spacing w:after="0"/>
        <w:rPr>
          <w:rFonts w:ascii="Times New Roman Bold" w:eastAsia="Times New Roman" w:hAnsi="Times New Roman Bold"/>
          <w:noProof/>
          <w:sz w:val="24"/>
          <w:szCs w:val="24"/>
        </w:rPr>
      </w:pPr>
      <w:r>
        <w:rPr>
          <w:rFonts w:ascii="Times New Roman Bold" w:hAnsi="Times New Roman Bold"/>
          <w:noProof/>
          <w:sz w:val="24"/>
        </w:rPr>
        <w:t>Nevarnost,</w:t>
      </w:r>
      <w:r>
        <w:rPr>
          <w:rFonts w:ascii="Times New Roman Bold" w:hAnsi="Times New Roman Bold"/>
          <w:noProof/>
          <w:sz w:val="24"/>
        </w:rPr>
        <w:t xml:space="preserve"> ki jo odpornost proti antimikrobikom pomeni javnemu zdravju, ter družbeno in gospodarsko breme, ki ga povzroča, sta še večja v državah v razvoju. To je posledica političnih, socialnih, epidemioloških in gospodarskih dejavnikov, ki se lahko razlikujejo od </w:t>
      </w:r>
      <w:r>
        <w:rPr>
          <w:rFonts w:ascii="Times New Roman Bold" w:hAnsi="Times New Roman Bold"/>
          <w:noProof/>
          <w:sz w:val="24"/>
        </w:rPr>
        <w:t>tistih v razvitih državah. Razvojna politika EU ima lahko pomembno vlogo pri ozaveščanju, izmenjavi izkušenj in podpiranju gradnje zmogljivosti v državah v razvoju, da bi slednje bile bolje opremljene za obvladovanje infekcijskih bolezni in preprečevanje o</w:t>
      </w:r>
      <w:r>
        <w:rPr>
          <w:rFonts w:ascii="Times New Roman Bold" w:hAnsi="Times New Roman Bold"/>
          <w:noProof/>
          <w:sz w:val="24"/>
        </w:rPr>
        <w:t>dpornosti proti antimikrobikom. Ta proces bi lahko podprli z dialogom, pomočjo in dejavnostmi sodelovanja ob upoštevanju posameznih prednostnih nalog politike partnerskih držav za okrepitev zdravstvenih sistemov in izvajanje ciljev trajnostnega razvoja, zl</w:t>
      </w:r>
      <w:r>
        <w:rPr>
          <w:rFonts w:ascii="Times New Roman Bold" w:hAnsi="Times New Roman Bold"/>
          <w:noProof/>
          <w:sz w:val="24"/>
        </w:rPr>
        <w:t>asti tretjega cilja za dobro zdravje in dobro počutje. Posebna pozornost naj se nameni državam z nižjimi dohodki, kjer je pomoč najbolj potrebna.</w:t>
      </w:r>
    </w:p>
    <w:p w:rsidR="00E43883" w:rsidRDefault="00E43883">
      <w:pPr>
        <w:autoSpaceDE w:val="0"/>
        <w:autoSpaceDN w:val="0"/>
        <w:adjustRightInd w:val="0"/>
        <w:spacing w:after="0"/>
        <w:rPr>
          <w:rFonts w:ascii="Times New Roman Bold" w:eastAsia="Times New Roman" w:hAnsi="Times New Roman Bold"/>
          <w:noProof/>
          <w:sz w:val="24"/>
          <w:szCs w:val="24"/>
        </w:rPr>
      </w:pPr>
    </w:p>
    <w:p w:rsidR="00E43883" w:rsidRDefault="00F13BA0">
      <w:pPr>
        <w:keepLines/>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Komisija bo:</w:t>
      </w:r>
    </w:p>
    <w:p w:rsidR="00E43883" w:rsidRDefault="00F13BA0">
      <w:pPr>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še naprej prispevala k zmanjševanju odpornosti proti antimikrobikom v najmanj razvitih državah p</w:t>
      </w:r>
      <w:r>
        <w:rPr>
          <w:rFonts w:ascii="Times New Roman" w:hAnsi="Times New Roman"/>
          <w:noProof/>
          <w:sz w:val="24"/>
        </w:rPr>
        <w:t xml:space="preserve">rek programov za infekcijske bolezni, kot je </w:t>
      </w:r>
      <w:r>
        <w:rPr>
          <w:rStyle w:val="st1"/>
          <w:rFonts w:ascii="Times New Roman" w:hAnsi="Times New Roman"/>
          <w:noProof/>
          <w:sz w:val="24"/>
        </w:rPr>
        <w:t>Svetovno zvezo za cepiva in imunizacijo</w:t>
      </w:r>
      <w:r>
        <w:rPr>
          <w:rFonts w:ascii="Times New Roman" w:hAnsi="Times New Roman"/>
          <w:noProof/>
          <w:sz w:val="24"/>
        </w:rPr>
        <w:t xml:space="preserve"> (GAVI);</w:t>
      </w:r>
    </w:p>
    <w:p w:rsidR="00E43883" w:rsidRDefault="00F13BA0">
      <w:pPr>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pomagala pri razvoju strategij za odpornost proti antimikrobikom na področjih varnosti hrane in zdravja živali prek regionalnih delavnic usposabljanja o odpornosti</w:t>
      </w:r>
      <w:r>
        <w:rPr>
          <w:rFonts w:ascii="Times New Roman" w:hAnsi="Times New Roman"/>
          <w:noProof/>
          <w:sz w:val="24"/>
        </w:rPr>
        <w:t xml:space="preserve"> proti antimikrobikom, organiziranih v okviru svetovne pobude „boljše usposabljanje za varnejšo hrano“;</w:t>
      </w:r>
    </w:p>
    <w:p w:rsidR="00E43883" w:rsidRDefault="00F13BA0">
      <w:pPr>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kjer je ustrezno, podprla politične pobude partnerskih držav o odpornosti proti antimikrobikom prek mednarodnega sodelovanja in razvojnih instrumentov (</w:t>
      </w:r>
      <w:r>
        <w:rPr>
          <w:rFonts w:ascii="Times New Roman" w:hAnsi="Times New Roman"/>
          <w:noProof/>
          <w:sz w:val="24"/>
        </w:rPr>
        <w:t>npr. programa „Svetovne javne dobrine in izzivi“, Evropskega razvojnega sklada);</w:t>
      </w:r>
    </w:p>
    <w:p w:rsidR="00E43883" w:rsidRDefault="00F13BA0">
      <w:pPr>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podpirala razvoj vzdržnih zdravstvenih sistemov v partnerskih državah, npr. s krepitvijo znanja in baze dokazov, preprečevanja in obvladovanja okužb ter kakovosti in rabe anti</w:t>
      </w:r>
      <w:r>
        <w:rPr>
          <w:rFonts w:ascii="Times New Roman" w:hAnsi="Times New Roman"/>
          <w:noProof/>
          <w:sz w:val="24"/>
        </w:rPr>
        <w:t>mikrobikov.</w:t>
      </w:r>
    </w:p>
    <w:p w:rsidR="00E43883" w:rsidRDefault="00E43883">
      <w:pPr>
        <w:autoSpaceDE w:val="0"/>
        <w:autoSpaceDN w:val="0"/>
        <w:adjustRightInd w:val="0"/>
        <w:spacing w:after="0"/>
        <w:rPr>
          <w:rFonts w:ascii="Times New Roman Bold" w:eastAsia="Times New Roman" w:hAnsi="Times New Roman Bold"/>
          <w:noProof/>
          <w:sz w:val="24"/>
          <w:szCs w:val="24"/>
        </w:rPr>
      </w:pPr>
    </w:p>
    <w:p w:rsidR="00E43883" w:rsidRDefault="00F13BA0">
      <w:pPr>
        <w:pStyle w:val="Heading2"/>
        <w:rPr>
          <w:rFonts w:eastAsia="Times New Roman"/>
          <w:noProof/>
        </w:rPr>
      </w:pPr>
      <w:r>
        <w:rPr>
          <w:noProof/>
        </w:rPr>
        <w:t>Razvoj globalnega raziskovalnega programa</w:t>
      </w:r>
    </w:p>
    <w:p w:rsidR="00E43883" w:rsidRDefault="00F13BA0">
      <w:pPr>
        <w:pStyle w:val="Heading1"/>
        <w:numPr>
          <w:ilvl w:val="0"/>
          <w:numId w:val="0"/>
        </w:numPr>
        <w:spacing w:before="0"/>
        <w:rPr>
          <w:rFonts w:eastAsiaTheme="minorHAnsi"/>
          <w:b w:val="0"/>
          <w:bCs w:val="0"/>
          <w:smallCaps w:val="0"/>
          <w:noProof/>
          <w:color w:val="auto"/>
        </w:rPr>
      </w:pPr>
      <w:r>
        <w:rPr>
          <w:rFonts w:eastAsiaTheme="minorHAnsi"/>
          <w:b w:val="0"/>
          <w:smallCaps w:val="0"/>
          <w:noProof/>
          <w:color w:val="auto"/>
        </w:rPr>
        <w:t xml:space="preserve">Vzpostaviti je treba močnejše, medsebojno bolj povezano in bolj globalno usmerjeno raziskovalno okolje o odpornosti proti antimikrobikom. Z nadaljnjim usklajevanjem med evropskim raziskovalnim </w:t>
      </w:r>
      <w:r>
        <w:rPr>
          <w:rFonts w:eastAsiaTheme="minorHAnsi"/>
          <w:b w:val="0"/>
          <w:smallCaps w:val="0"/>
          <w:noProof/>
          <w:color w:val="auto"/>
        </w:rPr>
        <w:t>programom in sorodnimi programi po svetu se lahko pridobijo velike koristi. V zadnjih nekaj letih so se začele izvajati številne mednarodne pobude, ki bodo izkoristile tesnejše sodelovanje za povečanje svojega vpliva, kot so jih izrazili ministri za zdravj</w:t>
      </w:r>
      <w:r>
        <w:rPr>
          <w:rFonts w:eastAsiaTheme="minorHAnsi"/>
          <w:b w:val="0"/>
          <w:smallCaps w:val="0"/>
          <w:noProof/>
          <w:color w:val="auto"/>
        </w:rPr>
        <w:t>e skupin G7</w:t>
      </w:r>
      <w:r>
        <w:rPr>
          <w:rFonts w:eastAsiaTheme="minorHAnsi"/>
          <w:b w:val="0"/>
          <w:bCs w:val="0"/>
          <w:smallCaps w:val="0"/>
          <w:noProof/>
          <w:color w:val="auto"/>
          <w:vertAlign w:val="superscript"/>
        </w:rPr>
        <w:fldChar w:fldCharType="begin"/>
      </w:r>
      <w:r>
        <w:rPr>
          <w:rFonts w:eastAsiaTheme="minorHAnsi"/>
          <w:b w:val="0"/>
          <w:bCs w:val="0"/>
          <w:smallCaps w:val="0"/>
          <w:noProof/>
          <w:color w:val="auto"/>
          <w:vertAlign w:val="superscript"/>
        </w:rPr>
        <w:instrText xml:space="preserve"> NOTEREF _Ref484099599 \h  \* MERGEFORMAT </w:instrText>
      </w:r>
      <w:r>
        <w:rPr>
          <w:rFonts w:eastAsiaTheme="minorHAnsi"/>
          <w:b w:val="0"/>
          <w:bCs w:val="0"/>
          <w:smallCaps w:val="0"/>
          <w:noProof/>
          <w:color w:val="auto"/>
          <w:vertAlign w:val="superscript"/>
        </w:rPr>
      </w:r>
      <w:r>
        <w:rPr>
          <w:rFonts w:eastAsiaTheme="minorHAnsi"/>
          <w:b w:val="0"/>
          <w:bCs w:val="0"/>
          <w:smallCaps w:val="0"/>
          <w:noProof/>
          <w:color w:val="auto"/>
          <w:vertAlign w:val="superscript"/>
        </w:rPr>
        <w:fldChar w:fldCharType="separate"/>
      </w:r>
      <w:r>
        <w:rPr>
          <w:rFonts w:eastAsiaTheme="minorHAnsi"/>
          <w:b w:val="0"/>
          <w:bCs w:val="0"/>
          <w:smallCaps w:val="0"/>
          <w:noProof/>
          <w:color w:val="auto"/>
          <w:vertAlign w:val="superscript"/>
        </w:rPr>
        <w:t>39</w:t>
      </w:r>
      <w:r>
        <w:rPr>
          <w:rFonts w:eastAsiaTheme="minorHAnsi"/>
          <w:b w:val="0"/>
          <w:bCs w:val="0"/>
          <w:smallCaps w:val="0"/>
          <w:noProof/>
          <w:color w:val="auto"/>
          <w:vertAlign w:val="superscript"/>
        </w:rPr>
        <w:fldChar w:fldCharType="end"/>
      </w:r>
      <w:r>
        <w:rPr>
          <w:rFonts w:eastAsiaTheme="minorHAnsi"/>
          <w:b w:val="0"/>
          <w:smallCaps w:val="0"/>
          <w:noProof/>
          <w:color w:val="auto"/>
        </w:rPr>
        <w:t xml:space="preserve"> in G20</w:t>
      </w:r>
      <w:r>
        <w:rPr>
          <w:rStyle w:val="FootnoteReference"/>
          <w:rFonts w:eastAsiaTheme="minorHAnsi"/>
          <w:b w:val="0"/>
          <w:smallCaps w:val="0"/>
          <w:noProof/>
          <w:color w:val="auto"/>
        </w:rPr>
        <w:footnoteReference w:id="41"/>
      </w:r>
      <w:r>
        <w:rPr>
          <w:rFonts w:eastAsiaTheme="minorHAnsi"/>
          <w:b w:val="0"/>
          <w:smallCaps w:val="0"/>
          <w:noProof/>
          <w:color w:val="auto"/>
        </w:rPr>
        <w:t>.</w:t>
      </w:r>
    </w:p>
    <w:p w:rsidR="00E43883" w:rsidRDefault="00F13BA0">
      <w:pPr>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rPr>
      </w:pPr>
      <w:r>
        <w:rPr>
          <w:rFonts w:ascii="Times New Roman" w:hAnsi="Times New Roman"/>
          <w:noProof/>
          <w:color w:val="000000"/>
          <w:sz w:val="24"/>
        </w:rPr>
        <w:t>Komisija bo:</w:t>
      </w:r>
    </w:p>
    <w:p w:rsidR="00E43883" w:rsidRDefault="00F13BA0">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izboljšala svetovno usklajevanje raziskovalnih dejavnosti s spodbujanjem dialoga in sodelovanja med mednarodnimi raziskovalnimi pobudami;</w:t>
      </w:r>
    </w:p>
    <w:p w:rsidR="00E43883" w:rsidRDefault="00F13BA0">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podprla ustanovitev virtualnega</w:t>
      </w:r>
      <w:r>
        <w:rPr>
          <w:rFonts w:ascii="Times New Roman" w:hAnsi="Times New Roman"/>
          <w:noProof/>
          <w:sz w:val="24"/>
        </w:rPr>
        <w:t xml:space="preserve"> raziskovalnega instituta v okviru programa JPIAMR;</w:t>
      </w:r>
    </w:p>
    <w:p w:rsidR="00E43883" w:rsidRDefault="00F13BA0">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nadaljevala raziskave v sodelovanju s podsaharsko Afriko v okviru Partnerstva evropskih držav in držav v razvoju na področju kliničnega preskušanja (EDCTP), zlasti v zvezi s tuberkulozo, HIV/AIDS, malarij</w:t>
      </w:r>
      <w:r>
        <w:rPr>
          <w:rFonts w:ascii="Times New Roman" w:hAnsi="Times New Roman"/>
          <w:noProof/>
          <w:sz w:val="24"/>
        </w:rPr>
        <w:t>o in zapostavljenimi infekcijskimi boleznimi;</w:t>
      </w:r>
    </w:p>
    <w:p w:rsidR="00E43883" w:rsidRDefault="00F13BA0">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rPr>
        <w:t>spodbudila mednarodno sodelovanje v raziskavah o odpornosti proti antimikrobikom v sektorju zdravja živali znotraj mednarodnega raziskovalnega konzorcija STAR-IDAZ</w:t>
      </w:r>
      <w:r>
        <w:rPr>
          <w:rStyle w:val="FootnoteReference"/>
          <w:rFonts w:ascii="Times New Roman" w:hAnsi="Times New Roman"/>
          <w:noProof/>
          <w:sz w:val="24"/>
        </w:rPr>
        <w:footnoteReference w:id="42"/>
      </w:r>
      <w:r>
        <w:rPr>
          <w:noProof/>
        </w:rPr>
        <w:t>.</w:t>
      </w:r>
    </w:p>
    <w:p w:rsidR="00E43883" w:rsidRDefault="00F13BA0">
      <w:pPr>
        <w:pStyle w:val="Heading1"/>
        <w:rPr>
          <w:noProof/>
        </w:rPr>
      </w:pPr>
      <w:r>
        <w:rPr>
          <w:noProof/>
        </w:rPr>
        <w:t>Merjenje uspeha</w:t>
      </w:r>
    </w:p>
    <w:p w:rsidR="00E43883" w:rsidRDefault="00F13BA0">
      <w:pPr>
        <w:pStyle w:val="LTTBody1"/>
        <w:numPr>
          <w:ilvl w:val="0"/>
          <w:numId w:val="0"/>
        </w:numPr>
        <w:jc w:val="both"/>
        <w:rPr>
          <w:rFonts w:ascii="Times New Roman" w:hAnsi="Times New Roman" w:cs="Times New Roman"/>
          <w:noProof/>
          <w:sz w:val="24"/>
          <w:szCs w:val="24"/>
        </w:rPr>
      </w:pPr>
      <w:r>
        <w:rPr>
          <w:rFonts w:ascii="Times New Roman" w:hAnsi="Times New Roman"/>
          <w:noProof/>
          <w:sz w:val="24"/>
        </w:rPr>
        <w:t>Za doseganje želenega učinka</w:t>
      </w:r>
      <w:r>
        <w:rPr>
          <w:rFonts w:ascii="Times New Roman" w:hAnsi="Times New Roman"/>
          <w:noProof/>
          <w:sz w:val="24"/>
        </w:rPr>
        <w:t xml:space="preserve"> bo pomembno tesno spremljati učinkovitost in uspešnost nekaterih ključnih ukrepov iz tega akcijskega načrta v rednih časovnih presledkih in jih po potrebi spremeniti.</w:t>
      </w:r>
    </w:p>
    <w:p w:rsidR="00E43883" w:rsidRDefault="00E43883">
      <w:pPr>
        <w:pStyle w:val="LTTBody1"/>
        <w:numPr>
          <w:ilvl w:val="0"/>
          <w:numId w:val="0"/>
        </w:numPr>
        <w:jc w:val="both"/>
        <w:rPr>
          <w:rFonts w:ascii="Times New Roman" w:hAnsi="Times New Roman" w:cs="Times New Roman"/>
          <w:noProof/>
          <w:sz w:val="24"/>
          <w:szCs w:val="24"/>
        </w:rPr>
      </w:pPr>
    </w:p>
    <w:p w:rsidR="00E43883" w:rsidRDefault="00F13BA0">
      <w:pPr>
        <w:pStyle w:val="LTTBody1"/>
        <w:numPr>
          <w:ilvl w:val="0"/>
          <w:numId w:val="0"/>
        </w:numPr>
        <w:jc w:val="both"/>
        <w:rPr>
          <w:rFonts w:ascii="Times New Roman" w:hAnsi="Times New Roman" w:cs="Times New Roman"/>
          <w:noProof/>
          <w:sz w:val="24"/>
          <w:szCs w:val="24"/>
        </w:rPr>
      </w:pPr>
      <w:r>
        <w:rPr>
          <w:rFonts w:ascii="Times New Roman" w:hAnsi="Times New Roman"/>
          <w:noProof/>
          <w:sz w:val="24"/>
        </w:rPr>
        <w:t xml:space="preserve">Organizacije SZO, OIE, FAO in Codex Alimentarius vzpostavljajo sisteme in razvijajo </w:t>
      </w:r>
      <w:r>
        <w:rPr>
          <w:rFonts w:ascii="Times New Roman" w:hAnsi="Times New Roman"/>
          <w:noProof/>
          <w:sz w:val="24"/>
        </w:rPr>
        <w:t>standarde za spremljanje globalnih učinkov.</w:t>
      </w:r>
    </w:p>
    <w:p w:rsidR="00E43883" w:rsidRDefault="00E43883">
      <w:pPr>
        <w:pStyle w:val="LTTBody1"/>
        <w:numPr>
          <w:ilvl w:val="0"/>
          <w:numId w:val="0"/>
        </w:numPr>
        <w:jc w:val="both"/>
        <w:rPr>
          <w:rFonts w:ascii="Times New Roman" w:hAnsi="Times New Roman" w:cs="Times New Roman"/>
          <w:noProof/>
          <w:sz w:val="24"/>
          <w:szCs w:val="24"/>
        </w:rPr>
      </w:pPr>
    </w:p>
    <w:p w:rsidR="00E43883" w:rsidRDefault="00F13BA0">
      <w:pPr>
        <w:pStyle w:val="LTTBody1"/>
        <w:numPr>
          <w:ilvl w:val="0"/>
          <w:numId w:val="0"/>
        </w:numPr>
        <w:jc w:val="both"/>
        <w:rPr>
          <w:rFonts w:ascii="Times New Roman" w:hAnsi="Times New Roman" w:cs="Times New Roman"/>
          <w:noProof/>
          <w:sz w:val="24"/>
          <w:szCs w:val="24"/>
        </w:rPr>
      </w:pPr>
      <w:r>
        <w:rPr>
          <w:rFonts w:ascii="Times New Roman" w:hAnsi="Times New Roman"/>
          <w:noProof/>
          <w:sz w:val="24"/>
        </w:rPr>
        <w:t>Sistemi EU bodo merili učinke v EU in državah članicah. To je možno z določitvijo omejenega števila ključnih kazalnikov rezultatov, ki temeljijo na že zbranih podatkih. Ti kazalniki se bodo razvili ob podpori zn</w:t>
      </w:r>
      <w:r>
        <w:rPr>
          <w:rFonts w:ascii="Times New Roman" w:hAnsi="Times New Roman"/>
          <w:noProof/>
          <w:sz w:val="24"/>
        </w:rPr>
        <w:t>anstvenih agencij EU (glej točko 2.1) in bodo državam članicam omogočili, da na jasen in preprost način ocenijo napredek pri izvajanju svojih nacionalnih akcijskih načrtov o odpornosti proti antimikrobikom v okviru pobude „eno zdravje“.</w:t>
      </w:r>
      <w:r>
        <w:rPr>
          <w:noProof/>
        </w:rPr>
        <w:t xml:space="preserve"> </w:t>
      </w:r>
      <w:r>
        <w:rPr>
          <w:rFonts w:ascii="Times New Roman" w:hAnsi="Times New Roman"/>
          <w:noProof/>
          <w:sz w:val="24"/>
        </w:rPr>
        <w:t>Kazalniki bodo tudi</w:t>
      </w:r>
      <w:r>
        <w:rPr>
          <w:rFonts w:ascii="Times New Roman" w:hAnsi="Times New Roman"/>
          <w:noProof/>
          <w:sz w:val="24"/>
        </w:rPr>
        <w:t xml:space="preserve"> pomagali državam članicam, da določijo merljive cilje za zmanjšanje okužb s ključnimi mikroorganizmi, odpornimi proti antimikrobikom, pri ljudeh in živalih, namenjenih za proizvodnjo hrane, za izboljšanje ustreznosti rabe antimikrobikov v humani in veteri</w:t>
      </w:r>
      <w:r>
        <w:rPr>
          <w:rFonts w:ascii="Times New Roman" w:hAnsi="Times New Roman"/>
          <w:noProof/>
          <w:sz w:val="24"/>
        </w:rPr>
        <w:t>narski medicini ter za boj zoper odpornost proti antimikrobikom v vseh sektorjih.</w:t>
      </w:r>
    </w:p>
    <w:p w:rsidR="00E43883" w:rsidRDefault="00E43883">
      <w:pPr>
        <w:pStyle w:val="LTTBody1"/>
        <w:numPr>
          <w:ilvl w:val="0"/>
          <w:numId w:val="0"/>
        </w:numPr>
        <w:jc w:val="both"/>
        <w:rPr>
          <w:rFonts w:ascii="Times New Roman" w:hAnsi="Times New Roman" w:cs="Times New Roman"/>
          <w:noProof/>
          <w:sz w:val="24"/>
          <w:szCs w:val="24"/>
        </w:rPr>
      </w:pPr>
    </w:p>
    <w:p w:rsidR="00E43883" w:rsidRDefault="00F13BA0">
      <w:pPr>
        <w:pStyle w:val="LTTBody1"/>
        <w:numPr>
          <w:ilvl w:val="0"/>
          <w:numId w:val="0"/>
        </w:numPr>
        <w:jc w:val="both"/>
        <w:rPr>
          <w:rFonts w:ascii="Times New Roman" w:hAnsi="Times New Roman" w:cs="Times New Roman"/>
          <w:noProof/>
          <w:sz w:val="24"/>
          <w:szCs w:val="24"/>
        </w:rPr>
      </w:pPr>
      <w:r>
        <w:rPr>
          <w:rFonts w:ascii="Times New Roman" w:hAnsi="Times New Roman"/>
          <w:noProof/>
          <w:sz w:val="24"/>
        </w:rPr>
        <w:t>Ta napredek bo predmet rednih razprav v okviru mreže „eno zdravje“ zoper odpornost proti antimikrobikom, da bi se zagotovile smernice za posamezne države članice in ugotovil</w:t>
      </w:r>
      <w:r>
        <w:rPr>
          <w:rFonts w:ascii="Times New Roman" w:hAnsi="Times New Roman"/>
          <w:noProof/>
          <w:sz w:val="24"/>
        </w:rPr>
        <w:t>o, ali so na ravni EU potrebni novi ukrepi.</w:t>
      </w:r>
    </w:p>
    <w:p w:rsidR="00E43883" w:rsidRDefault="00F13BA0">
      <w:pPr>
        <w:pStyle w:val="Heading1"/>
        <w:keepNext/>
        <w:rPr>
          <w:noProof/>
        </w:rPr>
      </w:pPr>
      <w:r>
        <w:rPr>
          <w:noProof/>
        </w:rPr>
        <w:t>Sklep</w:t>
      </w:r>
    </w:p>
    <w:p w:rsidR="00E43883" w:rsidRDefault="00F13BA0">
      <w:pPr>
        <w:keepNext/>
        <w:keepLines/>
        <w:rPr>
          <w:rFonts w:ascii="Times New Roman" w:hAnsi="Times New Roman"/>
          <w:noProof/>
          <w:sz w:val="24"/>
          <w:szCs w:val="24"/>
        </w:rPr>
      </w:pPr>
      <w:r>
        <w:rPr>
          <w:rFonts w:ascii="Times New Roman" w:hAnsi="Times New Roman"/>
          <w:noProof/>
          <w:sz w:val="24"/>
        </w:rPr>
        <w:t xml:space="preserve">To sporočilo določa okvir za prihodnje ukrepe za boj zoper odpornost proti antimikrobikom in si prizadeva doseči najboljšo možno uporabo pravnega okvira EU in instrumentov politike z usmerjenostjo v </w:t>
      </w:r>
      <w:r>
        <w:rPr>
          <w:rFonts w:ascii="Times New Roman" w:hAnsi="Times New Roman"/>
          <w:noProof/>
          <w:sz w:val="24"/>
        </w:rPr>
        <w:t>resnično dodano vrednost, ki jo EU lahko prispeva k boju zoper odpornost proti antimikrobikom.</w:t>
      </w:r>
    </w:p>
    <w:p w:rsidR="00E43883" w:rsidRDefault="00F13BA0">
      <w:pPr>
        <w:rPr>
          <w:rFonts w:ascii="Times New Roman" w:hAnsi="Times New Roman"/>
          <w:noProof/>
          <w:sz w:val="24"/>
          <w:szCs w:val="24"/>
        </w:rPr>
      </w:pPr>
      <w:r>
        <w:rPr>
          <w:rFonts w:ascii="Times New Roman" w:hAnsi="Times New Roman"/>
          <w:noProof/>
          <w:sz w:val="24"/>
        </w:rPr>
        <w:t>Večino ukrepov je mogoče izvesti s prilagajanjem in okrepitvijo obstoječih ukrepov za doseganje bolj povezanega, celovitejšega in učinkovitejšega pristopa k boju</w:t>
      </w:r>
      <w:r>
        <w:rPr>
          <w:rFonts w:ascii="Times New Roman" w:hAnsi="Times New Roman"/>
          <w:noProof/>
          <w:sz w:val="24"/>
        </w:rPr>
        <w:t xml:space="preserve"> zoper odpornost proti antimikrobikom. Drugi ukrepi so usmerjeni v prepoznavanje vrzeli v dosedanjem odzivanju EU, kar zahteva nove dejavnosti, iskanje novega znanja in oblikovanje novih partnerstev.</w:t>
      </w:r>
    </w:p>
    <w:p w:rsidR="00E43883" w:rsidRDefault="00F13BA0">
      <w:pPr>
        <w:rPr>
          <w:rFonts w:ascii="Times New Roman" w:hAnsi="Times New Roman"/>
          <w:noProof/>
          <w:sz w:val="24"/>
          <w:szCs w:val="24"/>
        </w:rPr>
      </w:pPr>
      <w:r>
        <w:rPr>
          <w:rFonts w:ascii="Times New Roman" w:hAnsi="Times New Roman"/>
          <w:noProof/>
          <w:sz w:val="24"/>
        </w:rPr>
        <w:t xml:space="preserve">Komisija je prepričana, da lahko ta novi akcijski načrt </w:t>
      </w:r>
      <w:r>
        <w:rPr>
          <w:rFonts w:ascii="Times New Roman" w:hAnsi="Times New Roman"/>
          <w:noProof/>
          <w:sz w:val="24"/>
        </w:rPr>
        <w:t xml:space="preserve">„eno zdravje“ prinese spremembe in da bo povečal uspešnost EU v boju zoper odpornost proti antimikrobikom. </w:t>
      </w:r>
    </w:p>
    <w:p w:rsidR="00E43883" w:rsidRDefault="00F13BA0">
      <w:pPr>
        <w:rPr>
          <w:rFonts w:ascii="Times New Roman" w:hAnsi="Times New Roman"/>
          <w:noProof/>
          <w:sz w:val="24"/>
          <w:szCs w:val="24"/>
        </w:rPr>
      </w:pPr>
      <w:r>
        <w:rPr>
          <w:rFonts w:ascii="Times New Roman" w:hAnsi="Times New Roman"/>
          <w:noProof/>
          <w:sz w:val="24"/>
        </w:rPr>
        <w:t>Akcijski načrt bo okrepil sodelovanje in nadzor, zmanjšal vrzeli v podatkih in omogočil izmenjavo dobrih praks v EU. Ustvaril bo več sinergij in skl</w:t>
      </w:r>
      <w:r>
        <w:rPr>
          <w:rFonts w:ascii="Times New Roman" w:hAnsi="Times New Roman"/>
          <w:noProof/>
          <w:sz w:val="24"/>
        </w:rPr>
        <w:t xml:space="preserve">adnosti med različnimi politikami v skladu s pristopom „eno zdravje“. Akcijski načrt bo tako podprl EU in njene države članice pri oblikovanju inovativnih, učinkovitih in trajnostnih odzivov na odpornost proti antimikrobikom. </w:t>
      </w:r>
    </w:p>
    <w:p w:rsidR="00E43883" w:rsidRDefault="00F13BA0">
      <w:pPr>
        <w:rPr>
          <w:rFonts w:ascii="Times New Roman" w:hAnsi="Times New Roman"/>
          <w:noProof/>
          <w:sz w:val="24"/>
          <w:szCs w:val="24"/>
        </w:rPr>
      </w:pPr>
      <w:r>
        <w:rPr>
          <w:rFonts w:ascii="Times New Roman" w:hAnsi="Times New Roman"/>
          <w:noProof/>
          <w:sz w:val="24"/>
        </w:rPr>
        <w:t>Obenem bo tudi strateško okre</w:t>
      </w:r>
      <w:r>
        <w:rPr>
          <w:rFonts w:ascii="Times New Roman" w:hAnsi="Times New Roman"/>
          <w:noProof/>
          <w:sz w:val="24"/>
        </w:rPr>
        <w:t xml:space="preserve">pil raziskovalni program o odpornosti proti antimikrobikom in aktivno spodbujal globalno ukrepanje. </w:t>
      </w:r>
    </w:p>
    <w:p w:rsidR="00E43883" w:rsidRDefault="00F13BA0">
      <w:pPr>
        <w:rPr>
          <w:rFonts w:ascii="Times New Roman" w:hAnsi="Times New Roman"/>
          <w:noProof/>
          <w:sz w:val="24"/>
          <w:szCs w:val="24"/>
        </w:rPr>
      </w:pPr>
      <w:r>
        <w:rPr>
          <w:rFonts w:ascii="Times New Roman" w:hAnsi="Times New Roman"/>
          <w:noProof/>
          <w:sz w:val="24"/>
        </w:rPr>
        <w:t>Komisija poziva Evropski parlament in Svet, naj potrdita ta akcijski načrt „eno zdravje“, države članice in vse vključene strani pa poziva, naj zagotovijo,</w:t>
      </w:r>
      <w:r>
        <w:rPr>
          <w:rFonts w:ascii="Times New Roman" w:hAnsi="Times New Roman"/>
          <w:noProof/>
          <w:sz w:val="24"/>
        </w:rPr>
        <w:t xml:space="preserve"> da se bodo ukrepi za boj zoper odpornost proti antimikrobikom hitro izvajali. Samo trajnostna prizadevanja, trajne zaveze in usklajeno ukrepanje lahko pripeljejo do preobrata in zmanjšajo to globalno nevarnost.</w:t>
      </w:r>
    </w:p>
    <w:sectPr w:rsidR="00E43883">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883" w:rsidRDefault="00F13BA0">
      <w:pPr>
        <w:spacing w:after="0"/>
      </w:pPr>
      <w:r>
        <w:separator/>
      </w:r>
    </w:p>
  </w:endnote>
  <w:endnote w:type="continuationSeparator" w:id="0">
    <w:p w:rsidR="00E43883" w:rsidRDefault="00F13BA0">
      <w:pPr>
        <w:spacing w:after="0"/>
      </w:pPr>
      <w:r>
        <w:continuationSeparator/>
      </w:r>
    </w:p>
  </w:endnote>
  <w:endnote w:type="continuationNotice" w:id="1">
    <w:p w:rsidR="00E43883" w:rsidRDefault="00E438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83" w:rsidRDefault="00E438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83" w:rsidRDefault="00F13BA0">
    <w:pPr>
      <w:pStyle w:val="FooterCoverPage"/>
      <w:rPr>
        <w:rFonts w:ascii="Arial" w:hAnsi="Arial" w:cs="Arial"/>
        <w:b/>
        <w:sz w:val="48"/>
      </w:rPr>
    </w:pPr>
    <w:r>
      <w:rPr>
        <w:rFonts w:ascii="Arial" w:hAnsi="Arial" w:cs="Arial"/>
        <w:b/>
        <w:sz w:val="48"/>
      </w:rPr>
      <w:t>SL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83" w:rsidRDefault="00E4388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83" w:rsidRDefault="00E4388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283205"/>
      <w:docPartObj>
        <w:docPartGallery w:val="Page Numbers (Bottom of Page)"/>
        <w:docPartUnique/>
      </w:docPartObj>
    </w:sdtPr>
    <w:sdtEndPr>
      <w:rPr>
        <w:noProof/>
      </w:rPr>
    </w:sdtEndPr>
    <w:sdtContent>
      <w:p w:rsidR="00E43883" w:rsidRDefault="00F13BA0">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rsidR="00E43883" w:rsidRDefault="00E43883">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83" w:rsidRDefault="00E438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883" w:rsidRDefault="00F13BA0">
      <w:pPr>
        <w:spacing w:after="0"/>
      </w:pPr>
      <w:r>
        <w:separator/>
      </w:r>
    </w:p>
  </w:footnote>
  <w:footnote w:type="continuationSeparator" w:id="0">
    <w:p w:rsidR="00E43883" w:rsidRDefault="00F13BA0">
      <w:pPr>
        <w:spacing w:after="0"/>
      </w:pPr>
      <w:r>
        <w:continuationSeparator/>
      </w:r>
    </w:p>
  </w:footnote>
  <w:footnote w:type="continuationNotice" w:id="1">
    <w:p w:rsidR="00E43883" w:rsidRDefault="00E43883">
      <w:pPr>
        <w:spacing w:after="0"/>
      </w:pPr>
    </w:p>
  </w:footnote>
  <w:footnote w:id="2">
    <w:p w:rsidR="00E43883" w:rsidRDefault="00F13BA0">
      <w:pPr>
        <w:pStyle w:val="FootnoteText"/>
        <w:spacing w:after="0" w:line="240" w:lineRule="auto"/>
        <w:rPr>
          <w:rStyle w:val="Hyperlink"/>
          <w:color w:val="auto"/>
        </w:rPr>
      </w:pPr>
      <w:r>
        <w:rPr>
          <w:rStyle w:val="Hyperlink"/>
          <w:color w:val="auto"/>
          <w:vertAlign w:val="superscript"/>
        </w:rPr>
        <w:footnoteRef/>
      </w:r>
      <w:r>
        <w:rPr>
          <w:rStyle w:val="Hyperlink"/>
          <w:color w:val="auto"/>
        </w:rPr>
        <w:t xml:space="preserve"> </w:t>
      </w:r>
      <w:hyperlink r:id="rId1">
        <w:r>
          <w:rPr>
            <w:rStyle w:val="Hyperlink"/>
            <w:rFonts w:ascii="Times New Roman" w:hAnsi="Times New Roman"/>
            <w:color w:val="auto"/>
          </w:rPr>
          <w:t>http://www.who.int/entity/drugresistance/documents/surveillancereport/en/index.html</w:t>
        </w:r>
      </w:hyperlink>
      <w:r>
        <w:rPr>
          <w:rStyle w:val="Hyperlink"/>
          <w:color w:val="auto"/>
        </w:rPr>
        <w:t xml:space="preserve"> </w:t>
      </w:r>
    </w:p>
  </w:footnote>
  <w:footnote w:id="3">
    <w:p w:rsidR="00E43883" w:rsidRDefault="00F13BA0">
      <w:pPr>
        <w:pStyle w:val="FootnoteText"/>
        <w:spacing w:after="0" w:line="240" w:lineRule="auto"/>
        <w:rPr>
          <w:rStyle w:val="Hyperlink"/>
          <w:rFonts w:ascii="Times New Roman" w:hAnsi="Times New Roman"/>
          <w:color w:val="auto"/>
        </w:rPr>
      </w:pPr>
      <w:r>
        <w:rPr>
          <w:rStyle w:val="Hyperlink"/>
          <w:rFonts w:ascii="Times New Roman" w:hAnsi="Times New Roman"/>
          <w:color w:val="auto"/>
          <w:vertAlign w:val="superscript"/>
        </w:rPr>
        <w:footnoteRef/>
      </w:r>
      <w:r>
        <w:rPr>
          <w:rStyle w:val="Hyperlink"/>
          <w:rFonts w:ascii="Times New Roman" w:hAnsi="Times New Roman"/>
          <w:color w:val="auto"/>
        </w:rPr>
        <w:t xml:space="preserve"> Združeni narodi, 2016. Political Declaration of the high-level meeting of the General Assembly on antimicrobial resistance (Politična izjava s srečanja Generalne skupščine na visoki ravni o odpornosti proti antimikrobikom). New York, ZDA.</w:t>
      </w:r>
    </w:p>
  </w:footnote>
  <w:footnote w:id="4">
    <w:p w:rsidR="00E43883" w:rsidRDefault="00F13BA0">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WHA 68.7</w:t>
      </w:r>
    </w:p>
    <w:p w:rsidR="00E43883" w:rsidRDefault="00F13BA0">
      <w:pPr>
        <w:pStyle w:val="FootnoteText"/>
        <w:spacing w:after="0" w:line="240" w:lineRule="auto"/>
        <w:rPr>
          <w:rFonts w:ascii="Times New Roman" w:hAnsi="Times New Roman"/>
        </w:rPr>
      </w:pPr>
      <w:r>
        <w:rPr>
          <w:rFonts w:ascii="Times New Roman" w:hAnsi="Times New Roman"/>
        </w:rPr>
        <w:t xml:space="preserve"> </w:t>
      </w:r>
      <w:hyperlink r:id="rId2">
        <w:r>
          <w:rPr>
            <w:rStyle w:val="Hyperlink"/>
            <w:rFonts w:ascii="Times New Roman" w:hAnsi="Times New Roman"/>
          </w:rPr>
          <w:t>http://www.wpro.who.int/entity/drug_resistance/resources/global_action_plan_eng.pdf</w:t>
        </w:r>
      </w:hyperlink>
    </w:p>
  </w:footnote>
  <w:footnote w:id="5">
    <w:p w:rsidR="00E43883" w:rsidRDefault="00F13BA0">
      <w:pPr>
        <w:pStyle w:val="FootnoteText"/>
        <w:spacing w:after="0" w:line="240" w:lineRule="auto"/>
        <w:rPr>
          <w:rStyle w:val="Hyperlink"/>
          <w:rFonts w:ascii="Times New Roman" w:hAnsi="Times New Roman"/>
          <w:color w:val="auto"/>
        </w:rPr>
      </w:pPr>
      <w:r>
        <w:rPr>
          <w:rStyle w:val="Hyperlink"/>
          <w:rFonts w:ascii="Times New Roman" w:hAnsi="Times New Roman"/>
          <w:color w:val="auto"/>
          <w:vertAlign w:val="superscript"/>
        </w:rPr>
        <w:footnoteRef/>
      </w:r>
      <w:r>
        <w:rPr>
          <w:rStyle w:val="Hyperlink"/>
          <w:rFonts w:ascii="Times New Roman" w:hAnsi="Times New Roman"/>
          <w:color w:val="auto"/>
        </w:rPr>
        <w:t xml:space="preserve"> http://ecdc.europa.eu/en/publications/Publications/0909_TER_The_Bacteri</w:t>
      </w:r>
      <w:r>
        <w:rPr>
          <w:rStyle w:val="Hyperlink"/>
          <w:rFonts w:ascii="Times New Roman" w:hAnsi="Times New Roman"/>
          <w:color w:val="auto"/>
        </w:rPr>
        <w:t>al_Challenge_Time_to_React.pdf</w:t>
      </w:r>
    </w:p>
  </w:footnote>
  <w:footnote w:id="6">
    <w:p w:rsidR="00E43883" w:rsidRDefault="00F13BA0">
      <w:pPr>
        <w:pStyle w:val="FootnoteText"/>
        <w:spacing w:after="0"/>
        <w:rPr>
          <w:rFonts w:ascii="Times New Roman" w:hAnsi="Times New Roman"/>
        </w:rPr>
      </w:pPr>
      <w:r>
        <w:rPr>
          <w:rStyle w:val="Hyperlink"/>
          <w:color w:val="auto"/>
          <w:vertAlign w:val="superscript"/>
        </w:rPr>
        <w:footnoteRef/>
      </w:r>
      <w:r>
        <w:rPr>
          <w:rStyle w:val="Hyperlink"/>
          <w:rFonts w:ascii="Times New Roman" w:hAnsi="Times New Roman"/>
          <w:color w:val="auto"/>
        </w:rPr>
        <w:t xml:space="preserve"> </w:t>
      </w:r>
      <w:hyperlink r:id="rId3">
        <w:r>
          <w:rPr>
            <w:rStyle w:val="Hyperlink"/>
            <w:rFonts w:ascii="Times New Roman" w:hAnsi="Times New Roman"/>
          </w:rPr>
          <w:t>https://amr-review.org/sites/default/files/160525_Final%20paper_with%20cover.pdf</w:t>
        </w:r>
      </w:hyperlink>
    </w:p>
  </w:footnote>
  <w:footnote w:id="7">
    <w:p w:rsidR="00E43883" w:rsidRDefault="00F13BA0">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Svetovna banka, 2016, „Drug-Resistant I</w:t>
      </w:r>
      <w:r>
        <w:rPr>
          <w:rFonts w:ascii="Times New Roman" w:hAnsi="Times New Roman"/>
        </w:rPr>
        <w:t>nfections: A Threat to Our Economic Future“ (Okužbe, odporne proti zdravilom: grožnja naši gospodarski prihodnosti), Washington, DC.</w:t>
      </w:r>
    </w:p>
  </w:footnote>
  <w:footnote w:id="8">
    <w:p w:rsidR="00E43883" w:rsidRDefault="00F13BA0">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4">
        <w:r>
          <w:rPr>
            <w:rStyle w:val="Hyperlink"/>
            <w:rFonts w:ascii="Times New Roman" w:hAnsi="Times New Roman"/>
          </w:rPr>
          <w:t>http://www.un.org/sustainablede</w:t>
        </w:r>
        <w:r>
          <w:rPr>
            <w:rStyle w:val="Hyperlink"/>
            <w:rFonts w:ascii="Times New Roman" w:hAnsi="Times New Roman"/>
          </w:rPr>
          <w:t>velopment/sustainable-development-goals</w:t>
        </w:r>
      </w:hyperlink>
    </w:p>
  </w:footnote>
  <w:footnote w:id="9">
    <w:p w:rsidR="00E43883" w:rsidRDefault="00F13BA0">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rPr>
        <w:t xml:space="preserve"> COM(2001) 333 final.</w:t>
      </w:r>
    </w:p>
  </w:footnote>
  <w:footnote w:id="10">
    <w:p w:rsidR="00E43883" w:rsidRDefault="00F13BA0">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rPr>
        <w:t xml:space="preserve"> COM(2011) 748.</w:t>
      </w:r>
    </w:p>
  </w:footnote>
  <w:footnote w:id="11">
    <w:p w:rsidR="00E43883" w:rsidRDefault="00F13BA0">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rPr>
        <w:t xml:space="preserve"> </w:t>
      </w:r>
      <w:hyperlink r:id="rId5">
        <w:r>
          <w:rPr>
            <w:rStyle w:val="Hyperlink"/>
            <w:rFonts w:ascii="Times New Roman" w:hAnsi="Times New Roman"/>
          </w:rPr>
          <w:t>http://www.imi.europa.eu/content/nd4bb</w:t>
        </w:r>
      </w:hyperlink>
    </w:p>
  </w:footnote>
  <w:footnote w:id="12">
    <w:p w:rsidR="00E43883" w:rsidRDefault="00F13BA0">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rPr>
        <w:t xml:space="preserve"> </w:t>
      </w:r>
      <w:hyperlink r:id="rId6" w:history="1">
        <w:r>
          <w:rPr>
            <w:rStyle w:val="Hyperlink"/>
            <w:rFonts w:ascii="Times New Roman" w:hAnsi="Times New Roman"/>
          </w:rPr>
          <w:t>http://www.imi.europa.eu</w:t>
        </w:r>
      </w:hyperlink>
    </w:p>
  </w:footnote>
  <w:footnote w:id="13">
    <w:p w:rsidR="00E43883" w:rsidRDefault="00F13BA0">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rPr>
        <w:t xml:space="preserve"> </w:t>
      </w:r>
      <w:hyperlink r:id="rId7">
        <w:r>
          <w:rPr>
            <w:rStyle w:val="Hyperlink"/>
            <w:rFonts w:ascii="Times New Roman" w:hAnsi="Times New Roman"/>
          </w:rPr>
          <w:t>http://www.jpiamr.eu</w:t>
        </w:r>
      </w:hyperlink>
    </w:p>
  </w:footnote>
  <w:footnote w:id="14">
    <w:p w:rsidR="00E43883" w:rsidRDefault="00F13BA0">
      <w:pPr>
        <w:pStyle w:val="FootnoteText"/>
        <w:spacing w:after="0" w:line="240" w:lineRule="auto"/>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rPr>
          <w:rStyle w:val="FootnoteReference"/>
          <w:rFonts w:ascii="Times New Roman" w:hAnsi="Times New Roman"/>
          <w:vertAlign w:val="baseline"/>
        </w:rPr>
        <w:t>Oblike zdravljenja, s katerimi se poskusi zdraviti, ko se vse druge možnosti prenehajo ustrezno odzivati na stanje pacienta.</w:t>
      </w:r>
    </w:p>
  </w:footnote>
  <w:footnote w:id="15">
    <w:p w:rsidR="00E43883" w:rsidRDefault="00F13BA0">
      <w:pPr>
        <w:pStyle w:val="FootnoteText"/>
        <w:spacing w:after="0" w:line="240" w:lineRule="auto"/>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hyperlink r:id="rId8">
        <w:r>
          <w:rPr>
            <w:rStyle w:val="FootnoteReference"/>
            <w:rFonts w:ascii="Times New Roman" w:hAnsi="Times New Roman"/>
            <w:vertAlign w:val="baseline"/>
          </w:rPr>
          <w:t>http://ecdc.europa.eu/en/publications/Publications/antimicrobial-resistance-europe-2015.pdf.</w:t>
        </w:r>
      </w:hyperlink>
    </w:p>
  </w:footnote>
  <w:footnote w:id="16">
    <w:p w:rsidR="00E43883" w:rsidRDefault="00F13BA0">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Payne et al. Drugs for bad bugs (Zdravila za slabe </w:t>
      </w:r>
      <w:r>
        <w:rPr>
          <w:rFonts w:ascii="Times New Roman" w:hAnsi="Times New Roman"/>
        </w:rPr>
        <w:t>bacile): confronting the challenges of antibacterial discovery (spopadanje z izzivi odkritja antimikrobikov), Nature Reviews Drug Discovery 6, 29–40 (januar 2007).</w:t>
      </w:r>
    </w:p>
  </w:footnote>
  <w:footnote w:id="17">
    <w:p w:rsidR="00E43883" w:rsidRDefault="00F13BA0">
      <w:pPr>
        <w:pStyle w:val="FootnoteText"/>
        <w:spacing w:after="0" w:line="240" w:lineRule="auto"/>
        <w:rPr>
          <w:rFonts w:ascii="Times New Roman" w:hAnsi="Times New Roman"/>
        </w:rPr>
      </w:pPr>
      <w:r>
        <w:rPr>
          <w:rStyle w:val="FootnoteReference"/>
          <w:rFonts w:ascii="Times New Roman" w:hAnsi="Times New Roman"/>
        </w:rPr>
        <w:footnoteRef/>
      </w:r>
      <w:hyperlink r:id="rId9">
        <w:r>
          <w:rPr>
            <w:rStyle w:val="Hyperlink"/>
            <w:rFonts w:ascii="Times New Roman" w:hAnsi="Times New Roman"/>
          </w:rPr>
          <w:t>http://www.consilium.europa.eu/en/press/press-releases/2016/06/17-epsco-conclusions-antimicrobial-resistance</w:t>
        </w:r>
      </w:hyperlink>
    </w:p>
  </w:footnote>
  <w:footnote w:id="18">
    <w:p w:rsidR="00E43883" w:rsidRDefault="00F13BA0">
      <w:pPr>
        <w:pStyle w:val="FootnoteText"/>
        <w:spacing w:after="0" w:line="240" w:lineRule="auto"/>
        <w:rPr>
          <w:rFonts w:ascii="Times New Roman" w:hAnsi="Times New Roman"/>
        </w:rPr>
      </w:pPr>
      <w:r>
        <w:rPr>
          <w:rStyle w:val="FootnoteReference"/>
          <w:rFonts w:ascii="Times New Roman" w:hAnsi="Times New Roman"/>
        </w:rPr>
        <w:footnoteRef/>
      </w:r>
      <w:r>
        <w:rPr>
          <w:rStyle w:val="FootnoteReference"/>
        </w:rPr>
        <w:t xml:space="preserve"> </w:t>
      </w:r>
      <w:r>
        <w:rPr>
          <w:rFonts w:ascii="Times New Roman" w:hAnsi="Times New Roman"/>
        </w:rPr>
        <w:t>SWD(2016) 347 final.</w:t>
      </w:r>
    </w:p>
  </w:footnote>
  <w:footnote w:id="19">
    <w:p w:rsidR="00E43883" w:rsidRDefault="00F13BA0">
      <w:pPr>
        <w:pStyle w:val="FootnoteText"/>
        <w:spacing w:after="0" w:line="240" w:lineRule="auto"/>
        <w:rPr>
          <w:rStyle w:val="FootnoteReference"/>
          <w:rFonts w:ascii="Times New Roman" w:hAnsi="Times New Roman"/>
        </w:rPr>
      </w:pPr>
      <w:r>
        <w:rPr>
          <w:rStyle w:val="FootnoteReference"/>
          <w:rFonts w:ascii="Times New Roman" w:hAnsi="Times New Roman"/>
        </w:rPr>
        <w:footnoteRef/>
      </w:r>
      <w:r>
        <w:rPr>
          <w:rStyle w:val="FootnoteReference"/>
        </w:rPr>
        <w:t xml:space="preserve"> </w:t>
      </w:r>
      <w:hyperlink r:id="rId10">
        <w:r>
          <w:rPr>
            <w:rStyle w:val="FootnoteReference"/>
            <w:rFonts w:ascii="Times New Roman" w:hAnsi="Times New Roman"/>
            <w:vertAlign w:val="baseline"/>
          </w:rPr>
          <w:t>http://ec.europa.eu/smart-regulation/roadmaps/docs/2016_sante_176_action_plan_against_amr_en.pdf</w:t>
        </w:r>
      </w:hyperlink>
    </w:p>
  </w:footnote>
  <w:footnote w:id="20">
    <w:p w:rsidR="00E43883" w:rsidRDefault="00F13BA0">
      <w:pPr>
        <w:pStyle w:val="FootnoteText"/>
        <w:spacing w:after="0" w:line="240" w:lineRule="auto"/>
      </w:pPr>
      <w:r>
        <w:rPr>
          <w:rStyle w:val="FootnoteReference"/>
          <w:rFonts w:ascii="Times New Roman" w:hAnsi="Times New Roman"/>
        </w:rPr>
        <w:footnoteRef/>
      </w:r>
      <w:r>
        <w:rPr>
          <w:rStyle w:val="FootnoteReference"/>
          <w:rFonts w:ascii="Times New Roman" w:hAnsi="Times New Roman"/>
        </w:rPr>
        <w:t xml:space="preserve"> </w:t>
      </w:r>
      <w:hyperlink r:id="rId11">
        <w:r>
          <w:rPr>
            <w:rStyle w:val="FootnoteReference"/>
            <w:rFonts w:ascii="Times New Roman" w:hAnsi="Times New Roman"/>
            <w:vertAlign w:val="baseline"/>
          </w:rPr>
          <w:t>https://ec.europ</w:t>
        </w:r>
        <w:r>
          <w:rPr>
            <w:rStyle w:val="FootnoteReference"/>
            <w:rFonts w:ascii="Times New Roman" w:hAnsi="Times New Roman"/>
            <w:vertAlign w:val="baseline"/>
          </w:rPr>
          <w:t>a.eu/health/amr/consultations/consultation_20170123_amr-new-action-plan_en</w:t>
        </w:r>
      </w:hyperlink>
    </w:p>
  </w:footnote>
  <w:footnote w:id="21">
    <w:p w:rsidR="00E43883" w:rsidRDefault="00F13BA0">
      <w:pPr>
        <w:pStyle w:val="FootnoteText"/>
        <w:spacing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Svetovna zdravstvena organizacija, 2015. </w:t>
      </w:r>
      <w:r>
        <w:rPr>
          <w:rFonts w:ascii="Times New Roman" w:hAnsi="Times New Roman"/>
          <w:i/>
        </w:rPr>
        <w:t>68. generalna skupščina Svetovne zdravstvene organizacije: Resolucija generalne skupščine SZO 68.7.</w:t>
      </w:r>
      <w:r>
        <w:rPr>
          <w:rFonts w:ascii="Times New Roman" w:hAnsi="Times New Roman"/>
        </w:rPr>
        <w:t xml:space="preserve"> Ženeva, Švica. zaveza vzpostavitvi nac</w:t>
      </w:r>
      <w:r>
        <w:rPr>
          <w:rFonts w:ascii="Times New Roman" w:hAnsi="Times New Roman"/>
        </w:rPr>
        <w:t>ionalnih akcijskih načrtov o odpornosti proti antimikrobikom še pred sredino leta 2017 je bila potrjena v Sklepih Sveta o nadaljnjih ukrepih v okviru pristopa „eno zdravje“ zoper odpornost proti antimikrobikom.</w:t>
      </w:r>
    </w:p>
  </w:footnote>
  <w:footnote w:id="22">
    <w:p w:rsidR="00E43883" w:rsidRDefault="00F13BA0">
      <w:pPr>
        <w:pStyle w:val="FootnoteText"/>
        <w:spacing w:after="0" w:line="240" w:lineRule="auto"/>
        <w:rPr>
          <w:rFonts w:ascii="Times New Roman" w:hAnsi="Times New Roman"/>
        </w:rPr>
      </w:pPr>
      <w:r>
        <w:rPr>
          <w:rStyle w:val="FootnoteReference"/>
          <w:rFonts w:ascii="Times New Roman" w:hAnsi="Times New Roman"/>
        </w:rPr>
        <w:footnoteRef/>
      </w:r>
      <w:r>
        <w:rPr>
          <w:rStyle w:val="FootnoteReference"/>
        </w:rPr>
        <w:t xml:space="preserve"> </w:t>
      </w:r>
      <w:r>
        <w:rPr>
          <w:rStyle w:val="FootnoteReference"/>
          <w:rFonts w:ascii="Times New Roman" w:hAnsi="Times New Roman"/>
          <w:vertAlign w:val="baseline"/>
        </w:rPr>
        <w:t xml:space="preserve">Uredba (EU) 2016/429 Evropskega parlamenta </w:t>
      </w:r>
      <w:r>
        <w:rPr>
          <w:rStyle w:val="FootnoteReference"/>
          <w:rFonts w:ascii="Times New Roman" w:hAnsi="Times New Roman"/>
          <w:vertAlign w:val="baseline"/>
        </w:rPr>
        <w:t>in Sveta z dne 9. marca 2016 o prenosljivih boleznih živali in o spremembi ter razveljavitvi določenih aktov na področju zdravja živali („Pravila o zdravju živali“), UL L 84, 31.3.2016, str. 1.</w:t>
      </w:r>
    </w:p>
  </w:footnote>
  <w:footnote w:id="23">
    <w:p w:rsidR="00E43883" w:rsidRDefault="00F13BA0">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Izvedbeni sklep Komisije 2013/652/EU z dne 12. novembra 2013</w:t>
      </w:r>
      <w:r>
        <w:rPr>
          <w:rFonts w:ascii="Times New Roman" w:hAnsi="Times New Roman"/>
        </w:rPr>
        <w:t xml:space="preserve"> o spremljanju in poročanju odpornosti zoonotskih in komenzalnih bakterij proti protimikrobnim snovem, UL L 303, 14.11.2013, str. 26.</w:t>
      </w:r>
    </w:p>
  </w:footnote>
  <w:footnote w:id="24">
    <w:p w:rsidR="00E43883" w:rsidRDefault="00F13BA0">
      <w:pPr>
        <w:pStyle w:val="FootnoteText"/>
        <w:spacing w:after="0" w:line="240" w:lineRule="auto"/>
      </w:pPr>
      <w:r>
        <w:rPr>
          <w:rStyle w:val="FootnoteReference"/>
          <w:rFonts w:ascii="Times New Roman" w:hAnsi="Times New Roman"/>
        </w:rPr>
        <w:footnoteRef/>
      </w:r>
      <w:r>
        <w:rPr>
          <w:rFonts w:ascii="Times New Roman" w:hAnsi="Times New Roman"/>
        </w:rPr>
        <w:t xml:space="preserve"> Odločba Komisije 2002/253/ES z dne 19. marca 2002 o opredelitvi primerov nalezljivih bolezni za poročanje mreži Skupnost</w:t>
      </w:r>
      <w:r>
        <w:rPr>
          <w:rFonts w:ascii="Times New Roman" w:hAnsi="Times New Roman"/>
        </w:rPr>
        <w:t>i v skladu z Odločbo št. 2119/98/ES Evropskega parlamenta in Sveta, UL L 86, 3.4.2002, str. 44.</w:t>
      </w:r>
    </w:p>
  </w:footnote>
  <w:footnote w:id="25">
    <w:p w:rsidR="00E43883" w:rsidRDefault="00F13BA0">
      <w:pPr>
        <w:pStyle w:val="FootnoteText"/>
        <w:spacing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Posebna raziskava Eurobarometra 338 (april 2010), Posebna raziskava Eurobarometra 407 (november 2013) in Posebna raziskava Eurobarometra 445 (junij 2016).</w:t>
      </w:r>
    </w:p>
  </w:footnote>
  <w:footnote w:id="26">
    <w:p w:rsidR="00E43883" w:rsidRDefault="00F13BA0">
      <w:pPr>
        <w:pStyle w:val="FootnoteText"/>
        <w:spacing w:after="0" w:line="240" w:lineRule="auto"/>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rPr>
          <w:rStyle w:val="FootnoteReference"/>
          <w:rFonts w:ascii="Times New Roman" w:hAnsi="Times New Roman"/>
          <w:vertAlign w:val="baseline"/>
        </w:rPr>
        <w:t>S</w:t>
      </w:r>
      <w:r>
        <w:rPr>
          <w:rStyle w:val="FootnoteReference"/>
          <w:rFonts w:ascii="Times New Roman" w:hAnsi="Times New Roman"/>
          <w:vertAlign w:val="baseline"/>
        </w:rPr>
        <w:t>klep št. 1082/2013/EU Evropskega parlamenta in Sveta z dne 22. oktobra 2013 o resnih čezmejnih nevarnostih za zdravje in o razveljavitvi Odločbe št. 2119/98/ES, UL L 293, 5.11.2013, str. 1.</w:t>
      </w:r>
    </w:p>
  </w:footnote>
  <w:footnote w:id="27">
    <w:p w:rsidR="00E43883" w:rsidRDefault="00F13BA0">
      <w:pPr>
        <w:pStyle w:val="FootnoteText"/>
        <w:spacing w:after="0" w:line="240" w:lineRule="auto"/>
        <w:rPr>
          <w:rFonts w:ascii="Times New Roman" w:hAnsi="Times New Roman"/>
        </w:rPr>
      </w:pPr>
      <w:r>
        <w:rPr>
          <w:rStyle w:val="FootnoteReference"/>
          <w:rFonts w:ascii="Times New Roman" w:hAnsi="Times New Roman"/>
        </w:rPr>
        <w:footnoteRef/>
      </w:r>
      <w:r>
        <w:rPr>
          <w:rStyle w:val="FootnoteReference"/>
        </w:rPr>
        <w:t xml:space="preserve"> </w:t>
      </w:r>
      <w:r>
        <w:rPr>
          <w:rStyle w:val="FootnoteReference"/>
          <w:rFonts w:ascii="Times New Roman" w:hAnsi="Times New Roman"/>
          <w:vertAlign w:val="baseline"/>
        </w:rPr>
        <w:t xml:space="preserve">JA-04-2016 - Odpornost proti antimikrobikom in okužbe, povezane </w:t>
      </w:r>
      <w:r>
        <w:rPr>
          <w:rStyle w:val="FootnoteReference"/>
          <w:rFonts w:ascii="Times New Roman" w:hAnsi="Times New Roman"/>
          <w:vertAlign w:val="baseline"/>
        </w:rPr>
        <w:t>z zdravstveno oskrbo.</w:t>
      </w:r>
    </w:p>
  </w:footnote>
  <w:footnote w:id="28">
    <w:p w:rsidR="00E43883" w:rsidRDefault="00F13BA0">
      <w:pPr>
        <w:pStyle w:val="FootnoteText"/>
        <w:spacing w:after="0" w:line="240" w:lineRule="auto"/>
        <w:rPr>
          <w:rStyle w:val="FootnoteReference"/>
        </w:rPr>
      </w:pPr>
      <w:r>
        <w:rPr>
          <w:rStyle w:val="FootnoteReference"/>
          <w:rFonts w:ascii="Times New Roman" w:hAnsi="Times New Roman"/>
        </w:rPr>
        <w:footnoteRef/>
      </w:r>
      <w:r>
        <w:rPr>
          <w:rStyle w:val="FootnoteReference"/>
        </w:rPr>
        <w:t xml:space="preserve"> </w:t>
      </w:r>
      <w:r>
        <w:rPr>
          <w:rStyle w:val="FootnoteReference"/>
          <w:rFonts w:ascii="Times New Roman" w:hAnsi="Times New Roman"/>
          <w:vertAlign w:val="baseline"/>
        </w:rPr>
        <w:t>Izvedbeni sklep Komisije 2013/652/EU z dne 12. novembra 2013 o spremljanju in poročanju odpornosti zoonotskih in komenzalnih bakterij proti protimikrobnim snovem, UL L 303, 14.11.2013, str. 26.</w:t>
      </w:r>
    </w:p>
  </w:footnote>
  <w:footnote w:id="29">
    <w:p w:rsidR="00E43883" w:rsidRDefault="00F13BA0">
      <w:pPr>
        <w:pStyle w:val="FootnoteText"/>
        <w:spacing w:after="0" w:line="240" w:lineRule="auto"/>
      </w:pPr>
      <w:r>
        <w:rPr>
          <w:rStyle w:val="FootnoteReference"/>
          <w:rFonts w:ascii="Times New Roman" w:hAnsi="Times New Roman"/>
        </w:rPr>
        <w:footnoteRef/>
      </w:r>
      <w:r>
        <w:rPr>
          <w:rStyle w:val="FootnoteReference"/>
          <w:rFonts w:ascii="Times New Roman" w:hAnsi="Times New Roman"/>
        </w:rPr>
        <w:t xml:space="preserve"> </w:t>
      </w:r>
      <w:hyperlink r:id="rId12">
        <w:r>
          <w:rPr>
            <w:rStyle w:val="Hyperlink"/>
            <w:rFonts w:ascii="Times New Roman" w:hAnsi="Times New Roman"/>
          </w:rPr>
          <w:t>http://www.gavi.org/about/value/</w:t>
        </w:r>
      </w:hyperlink>
    </w:p>
  </w:footnote>
  <w:footnote w:id="30">
    <w:p w:rsidR="00E43883" w:rsidRDefault="00F13BA0">
      <w:pPr>
        <w:pStyle w:val="FootnoteText"/>
        <w:spacing w:after="0" w:line="240" w:lineRule="auto"/>
        <w:rPr>
          <w:rStyle w:val="FootnoteReference"/>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hyperlink r:id="rId13">
        <w:r>
          <w:rPr>
            <w:rStyle w:val="FootnoteReference"/>
            <w:rFonts w:ascii="Times New Roman" w:hAnsi="Times New Roman"/>
            <w:vertAlign w:val="baseline"/>
          </w:rPr>
          <w:t>http://eur-lex.europa.eu/legal-content/SL/TXT/PDF/?uri=CELEX:52015X</w:t>
        </w:r>
        <w:r>
          <w:rPr>
            <w:rStyle w:val="FootnoteReference"/>
            <w:rFonts w:ascii="Times New Roman" w:hAnsi="Times New Roman"/>
            <w:vertAlign w:val="baseline"/>
          </w:rPr>
          <w:t>C0911(01)&amp;from=SL</w:t>
        </w:r>
      </w:hyperlink>
    </w:p>
  </w:footnote>
  <w:footnote w:id="31">
    <w:p w:rsidR="00E43883" w:rsidRDefault="00F13BA0">
      <w:pPr>
        <w:pStyle w:val="FootnoteText"/>
        <w:spacing w:after="0" w:line="240" w:lineRule="auto"/>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vertAlign w:val="baseline"/>
        </w:rPr>
        <w:t xml:space="preserve"> COM(2014) 558 final, COM(2014) 556 final.</w:t>
      </w:r>
    </w:p>
  </w:footnote>
  <w:footnote w:id="32">
    <w:p w:rsidR="00E43883" w:rsidRDefault="00F13BA0">
      <w:pPr>
        <w:pStyle w:val="FootnoteText"/>
        <w:spacing w:after="0" w:line="240" w:lineRule="auto"/>
        <w:rPr>
          <w:rFonts w:ascii="Times New Roman" w:hAnsi="Times New Roman"/>
        </w:rPr>
      </w:pPr>
      <w:r>
        <w:rPr>
          <w:rStyle w:val="FootnoteReference"/>
          <w:rFonts w:ascii="Times New Roman" w:hAnsi="Times New Roman"/>
        </w:rPr>
        <w:footnoteRef/>
      </w:r>
      <w:r>
        <w:rPr>
          <w:rStyle w:val="FootnoteReference"/>
          <w:rFonts w:ascii="Times New Roman" w:hAnsi="Times New Roman"/>
          <w:vertAlign w:val="baseline"/>
        </w:rPr>
        <w:t xml:space="preserve"> Direktiva 2013/39/EU Evropskega parlamenta in Sveta z dne 12. avgusta 2013 o spremembi direktiv 2000/60/ES in 2008/105/ES v zvezi s prednostnimi snovmi na področju vodne politike, UL L 226, 24</w:t>
      </w:r>
      <w:r>
        <w:rPr>
          <w:rStyle w:val="FootnoteReference"/>
          <w:rFonts w:ascii="Times New Roman" w:hAnsi="Times New Roman"/>
          <w:vertAlign w:val="baseline"/>
        </w:rPr>
        <w:t>.8.2013, str. 1.</w:t>
      </w:r>
    </w:p>
  </w:footnote>
  <w:footnote w:id="33">
    <w:p w:rsidR="00E43883" w:rsidRDefault="00F13BA0">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Direktiva 2000/60/ES Evropskega parlamenta in Sveta z dne 23. oktobra 2000 o določitvi okvira za ukrepe Skupnosti na področju vodne politike, UL L 327, 22.12.2000, str. 1.</w:t>
      </w:r>
    </w:p>
  </w:footnote>
  <w:footnote w:id="34">
    <w:p w:rsidR="00E43883" w:rsidRDefault="00F13BA0">
      <w:pPr>
        <w:pStyle w:val="FootnoteText"/>
        <w:spacing w:after="0" w:line="240" w:lineRule="auto"/>
        <w:rPr>
          <w:rStyle w:val="FootnoteReference"/>
        </w:rPr>
      </w:pPr>
      <w:r>
        <w:rPr>
          <w:rStyle w:val="FootnoteReference"/>
          <w:rFonts w:ascii="Times New Roman" w:hAnsi="Times New Roman"/>
        </w:rPr>
        <w:footnoteRef/>
      </w:r>
      <w:r>
        <w:rPr>
          <w:rFonts w:ascii="Times New Roman" w:hAnsi="Times New Roman"/>
        </w:rPr>
        <w:t xml:space="preserve"> </w:t>
      </w:r>
      <w:hyperlink r:id="rId14">
        <w:r>
          <w:rPr>
            <w:rStyle w:val="FootnoteReference"/>
            <w:rFonts w:ascii="Times New Roman" w:hAnsi="Times New Roman"/>
            <w:vertAlign w:val="baseline"/>
          </w:rPr>
          <w:t>https://ipchem.jrc.ec.europa.eu/RDSIdiscovery/ipchem/index.html</w:t>
        </w:r>
      </w:hyperlink>
      <w:r>
        <w:rPr>
          <w:rStyle w:val="FootnoteReference"/>
          <w:rFonts w:ascii="Times New Roman" w:hAnsi="Times New Roman"/>
          <w:vertAlign w:val="baseline"/>
        </w:rPr>
        <w:t xml:space="preserve"> </w:t>
      </w:r>
    </w:p>
  </w:footnote>
  <w:footnote w:id="35">
    <w:p w:rsidR="00E43883" w:rsidRDefault="00F13BA0">
      <w:pPr>
        <w:pStyle w:val="FootnoteText"/>
        <w:spacing w:after="0" w:line="240" w:lineRule="auto"/>
        <w:rPr>
          <w:rStyle w:val="FootnoteReference"/>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hyperlink r:id="rId15">
        <w:r>
          <w:rPr>
            <w:rStyle w:val="FootnoteReference"/>
            <w:rFonts w:ascii="Times New Roman" w:hAnsi="Times New Roman"/>
            <w:vertAlign w:val="baseline"/>
          </w:rPr>
          <w:t>http://www.ifpma.org/partners-2/declaration-by-the-pharmaceutical-biotechnology-and-diagnostics-industries-on-combating-antimicrobial-resistance-amr/</w:t>
        </w:r>
      </w:hyperlink>
      <w:r>
        <w:rPr>
          <w:rStyle w:val="FootnoteReference"/>
          <w:rFonts w:ascii="Times New Roman" w:hAnsi="Times New Roman"/>
          <w:vertAlign w:val="baseline"/>
        </w:rPr>
        <w:t xml:space="preserve"> </w:t>
      </w:r>
    </w:p>
  </w:footnote>
  <w:footnote w:id="36">
    <w:p w:rsidR="00E43883" w:rsidRDefault="00F13BA0">
      <w:pPr>
        <w:pStyle w:val="FootnoteText"/>
        <w:spacing w:after="0" w:line="240" w:lineRule="auto"/>
        <w:rPr>
          <w:rFonts w:ascii="Times New Roman" w:hAnsi="Times New Roman"/>
        </w:rPr>
      </w:pPr>
      <w:r>
        <w:rPr>
          <w:rStyle w:val="FootnoteReference"/>
          <w:rFonts w:ascii="Times New Roman" w:hAnsi="Times New Roman"/>
        </w:rPr>
        <w:footnoteRef/>
      </w:r>
      <w:r>
        <w:rPr>
          <w:rStyle w:val="FootnoteReference"/>
          <w:rFonts w:ascii="Times New Roman" w:hAnsi="Times New Roman"/>
          <w:vertAlign w:val="baseline"/>
        </w:rPr>
        <w:t xml:space="preserve"> Delegirana uredba Komisije (EU) 2016/161 z dne 2. oktobra 2015 o dopolnitvi Direktive 2001/83/ES Evrops</w:t>
      </w:r>
      <w:r>
        <w:rPr>
          <w:rStyle w:val="FootnoteReference"/>
          <w:rFonts w:ascii="Times New Roman" w:hAnsi="Times New Roman"/>
          <w:vertAlign w:val="baseline"/>
        </w:rPr>
        <w:t>kega parlamenta in Sveta z določitvijo podrobnih pravil za zaščitne elemente na ovojnini zdravil za uporabo v humani medicini, UL L 32, 9.2.2016, str. 1.</w:t>
      </w:r>
    </w:p>
  </w:footnote>
  <w:footnote w:id="37">
    <w:p w:rsidR="00E43883" w:rsidRDefault="00F13BA0">
      <w:pPr>
        <w:pStyle w:val="FootnoteText"/>
        <w:spacing w:after="0" w:line="240" w:lineRule="auto"/>
        <w:rPr>
          <w:rStyle w:val="FootnoteReference"/>
        </w:rPr>
      </w:pPr>
      <w:r>
        <w:rPr>
          <w:rStyle w:val="FootnoteReference"/>
          <w:rFonts w:ascii="Times New Roman" w:hAnsi="Times New Roman"/>
        </w:rPr>
        <w:footnoteRef/>
      </w:r>
      <w:r>
        <w:rPr>
          <w:rStyle w:val="FootnoteReference"/>
        </w:rPr>
        <w:t xml:space="preserve"> </w:t>
      </w:r>
      <w:r>
        <w:rPr>
          <w:rStyle w:val="FootnoteReference"/>
          <w:rFonts w:ascii="Times New Roman" w:hAnsi="Times New Roman"/>
          <w:vertAlign w:val="baseline"/>
        </w:rPr>
        <w:t>https://ec.europa.eu/digital-single-market/en/innovation-procurement</w:t>
      </w:r>
    </w:p>
  </w:footnote>
  <w:footnote w:id="38">
    <w:p w:rsidR="00E43883" w:rsidRDefault="00F13BA0">
      <w:pPr>
        <w:pStyle w:val="FootnoteText"/>
        <w:spacing w:after="0" w:line="240" w:lineRule="auto"/>
        <w:rPr>
          <w:rFonts w:ascii="Times New Roman" w:hAnsi="Times New Roman"/>
        </w:rPr>
      </w:pPr>
      <w:r>
        <w:rPr>
          <w:rStyle w:val="FootnoteReference"/>
          <w:rFonts w:ascii="Times New Roman" w:hAnsi="Times New Roman"/>
        </w:rPr>
        <w:footnoteRef/>
      </w:r>
      <w:r>
        <w:rPr>
          <w:rStyle w:val="FootnoteReference"/>
        </w:rPr>
        <w:t xml:space="preserve"> </w:t>
      </w:r>
      <w:r>
        <w:rPr>
          <w:rStyle w:val="FootnoteReference"/>
          <w:rFonts w:ascii="Times New Roman" w:hAnsi="Times New Roman"/>
          <w:vertAlign w:val="baseline"/>
        </w:rPr>
        <w:t xml:space="preserve">Kot so raziskovalci iz </w:t>
      </w:r>
      <w:r>
        <w:rPr>
          <w:rStyle w:val="FootnoteReference"/>
          <w:rFonts w:ascii="Times New Roman" w:hAnsi="Times New Roman"/>
          <w:vertAlign w:val="baseline"/>
        </w:rPr>
        <w:t>univerz in industrije, regulatorji itd.</w:t>
      </w:r>
    </w:p>
  </w:footnote>
  <w:footnote w:id="39">
    <w:p w:rsidR="00E43883" w:rsidRDefault="00F13BA0">
      <w:pPr>
        <w:pStyle w:val="FootnoteText"/>
        <w:spacing w:after="0" w:line="240" w:lineRule="auto"/>
        <w:rPr>
          <w:rFonts w:ascii="Times New Roman" w:hAnsi="Times New Roman"/>
        </w:rPr>
      </w:pPr>
      <w:r>
        <w:rPr>
          <w:rStyle w:val="FootnoteReference"/>
          <w:rFonts w:ascii="Times New Roman" w:hAnsi="Times New Roman"/>
        </w:rPr>
        <w:footnoteRef/>
      </w:r>
      <w:hyperlink r:id="rId16">
        <w:r>
          <w:rPr>
            <w:rStyle w:val="Hyperlink"/>
            <w:rFonts w:ascii="Times New Roman" w:hAnsi="Times New Roman"/>
          </w:rPr>
          <w:t>http://www.saicm.org/EmergingPolicyIssues/Pharmaceuticalnbsp;Pollutants/tabid/5477/la</w:t>
        </w:r>
        <w:r>
          <w:rPr>
            <w:rStyle w:val="Hyperlink"/>
            <w:rFonts w:ascii="Times New Roman" w:hAnsi="Times New Roman"/>
          </w:rPr>
          <w:t>nguage/en-US/Default.aspx</w:t>
        </w:r>
      </w:hyperlink>
    </w:p>
  </w:footnote>
  <w:footnote w:id="40">
    <w:p w:rsidR="00E43883" w:rsidRDefault="00F13BA0">
      <w:pPr>
        <w:pStyle w:val="FootnoteText"/>
      </w:pPr>
      <w:r>
        <w:rPr>
          <w:rStyle w:val="FootnoteReference"/>
        </w:rPr>
        <w:footnoteRef/>
      </w:r>
      <w:r>
        <w:t xml:space="preserve"> </w:t>
      </w:r>
      <w:hyperlink r:id="rId17">
        <w:r>
          <w:rPr>
            <w:rStyle w:val="Hyperlink"/>
            <w:rFonts w:ascii="Times New Roman" w:hAnsi="Times New Roman"/>
          </w:rPr>
          <w:t>http://www.mhlw.go.jp/seisakunitsuite/bunya/hokabunya/kokusai/g7kobe/KobeCommunique_en.pdf</w:t>
        </w:r>
      </w:hyperlink>
    </w:p>
  </w:footnote>
  <w:footnote w:id="41">
    <w:p w:rsidR="00E43883" w:rsidRDefault="00F13BA0">
      <w:pPr>
        <w:pStyle w:val="FootnoteText"/>
        <w:spacing w:after="0"/>
        <w:jc w:val="lef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8">
        <w:r>
          <w:rPr>
            <w:rStyle w:val="Hyperlink"/>
            <w:rFonts w:ascii="Times New Roman" w:hAnsi="Times New Roman"/>
          </w:rPr>
          <w:t>https://www.bundesgesundheitsministerium.de/fileadmin/Dateien/3_Downloads/G/G20-Gesundheitsministertreffen/G20_Health_Ministers_Declaration_engl.pdf</w:t>
        </w:r>
      </w:hyperlink>
    </w:p>
  </w:footnote>
  <w:footnote w:id="42">
    <w:p w:rsidR="00E43883" w:rsidRDefault="00F13BA0">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9">
        <w:r>
          <w:rPr>
            <w:rStyle w:val="Hyperlink"/>
            <w:rFonts w:ascii="Times New Roman" w:hAnsi="Times New Roman"/>
          </w:rPr>
          <w:t>http://www.star-idaz.net/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83" w:rsidRDefault="00E438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83" w:rsidRDefault="00E4388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83" w:rsidRDefault="00E4388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83" w:rsidRDefault="00E4388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83" w:rsidRDefault="00E4388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83" w:rsidRDefault="00E438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0EC"/>
    <w:multiLevelType w:val="hybridMultilevel"/>
    <w:tmpl w:val="7566389C"/>
    <w:lvl w:ilvl="0" w:tplc="08090001">
      <w:start w:val="1"/>
      <w:numFmt w:val="bullet"/>
      <w:lvlText w:val=""/>
      <w:lvlJc w:val="left"/>
      <w:pPr>
        <w:ind w:left="720" w:hanging="360"/>
      </w:pPr>
      <w:rPr>
        <w:rFonts w:ascii="Symbol" w:hAnsi="Symbol" w:hint="default"/>
      </w:rPr>
    </w:lvl>
    <w:lvl w:ilvl="1" w:tplc="440C0548">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476811"/>
    <w:multiLevelType w:val="hybridMultilevel"/>
    <w:tmpl w:val="3C10B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BF4E95"/>
    <w:multiLevelType w:val="hybridMultilevel"/>
    <w:tmpl w:val="0054EB9C"/>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1A4D97"/>
    <w:multiLevelType w:val="hybridMultilevel"/>
    <w:tmpl w:val="AB8ED5F6"/>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6233E1"/>
    <w:multiLevelType w:val="multilevel"/>
    <w:tmpl w:val="D1A64C34"/>
    <w:lvl w:ilvl="0">
      <w:start w:val="1"/>
      <w:numFmt w:val="decimal"/>
      <w:pStyle w:val="Heading1"/>
      <w:lvlText w:val="%1"/>
      <w:lvlJc w:val="left"/>
      <w:pPr>
        <w:ind w:left="432" w:hanging="432"/>
      </w:pPr>
    </w:lvl>
    <w:lvl w:ilvl="1">
      <w:start w:val="1"/>
      <w:numFmt w:val="decimal"/>
      <w:pStyle w:val="Heading2"/>
      <w:lvlText w:val="%1.%2"/>
      <w:lvlJc w:val="left"/>
      <w:pPr>
        <w:ind w:left="3554"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0CB6656E"/>
    <w:multiLevelType w:val="hybridMultilevel"/>
    <w:tmpl w:val="C74892E2"/>
    <w:lvl w:ilvl="0" w:tplc="EFE24CC0">
      <w:start w:val="1"/>
      <w:numFmt w:val="decimal"/>
      <w:lvlText w:val="%1."/>
      <w:lvlJc w:val="left"/>
      <w:pPr>
        <w:ind w:left="720" w:hanging="360"/>
      </w:pPr>
      <w:rPr>
        <w:rFonts w:eastAsiaTheme="majorEastAsia" w:hint="default"/>
        <w:b/>
        <w:color w:val="000000" w:themeColor="tex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C93A45"/>
    <w:multiLevelType w:val="hybridMultilevel"/>
    <w:tmpl w:val="57827EA6"/>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2602B8"/>
    <w:multiLevelType w:val="hybridMultilevel"/>
    <w:tmpl w:val="85F6C004"/>
    <w:lvl w:ilvl="0" w:tplc="440C0548">
      <w:numFmt w:val="bullet"/>
      <w:lvlText w:val="-"/>
      <w:lvlJc w:val="left"/>
      <w:pPr>
        <w:ind w:left="780" w:hanging="360"/>
      </w:pPr>
      <w:rPr>
        <w:rFonts w:ascii="Times New Roman" w:eastAsiaTheme="minorHAnsi" w:hAnsi="Times New Roman" w:cs="Times New Roman"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121D041C"/>
    <w:multiLevelType w:val="hybridMultilevel"/>
    <w:tmpl w:val="E5208D4C"/>
    <w:lvl w:ilvl="0" w:tplc="B8B21A10">
      <w:start w:val="1"/>
      <w:numFmt w:val="bullet"/>
      <w:pStyle w:val="Tir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pStyle w:val="NumPar3"/>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6B00C70"/>
    <w:multiLevelType w:val="hybridMultilevel"/>
    <w:tmpl w:val="8F6CC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74A34A0"/>
    <w:multiLevelType w:val="hybridMultilevel"/>
    <w:tmpl w:val="56A0C5F6"/>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8D3986"/>
    <w:multiLevelType w:val="hybridMultilevel"/>
    <w:tmpl w:val="F600E060"/>
    <w:lvl w:ilvl="0" w:tplc="440C054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5E87202"/>
    <w:multiLevelType w:val="hybridMultilevel"/>
    <w:tmpl w:val="0CBE235E"/>
    <w:lvl w:ilvl="0" w:tplc="440C054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5F025B6"/>
    <w:multiLevelType w:val="hybridMultilevel"/>
    <w:tmpl w:val="F334DC0C"/>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C02FF5"/>
    <w:multiLevelType w:val="hybridMultilevel"/>
    <w:tmpl w:val="2CEA5C3C"/>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076C74"/>
    <w:multiLevelType w:val="multilevel"/>
    <w:tmpl w:val="EC783D4E"/>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6">
    <w:nsid w:val="327E3B2B"/>
    <w:multiLevelType w:val="hybridMultilevel"/>
    <w:tmpl w:val="0470A862"/>
    <w:lvl w:ilvl="0" w:tplc="3154E738">
      <w:start w:val="1"/>
      <w:numFmt w:val="decimal"/>
      <w:lvlText w:val="%1."/>
      <w:lvlJc w:val="left"/>
      <w:pPr>
        <w:ind w:left="360" w:hanging="360"/>
      </w:pPr>
      <w:rPr>
        <w:rFonts w:cs="Times New Roman"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47E038C"/>
    <w:multiLevelType w:val="hybridMultilevel"/>
    <w:tmpl w:val="D3AE6278"/>
    <w:lvl w:ilvl="0" w:tplc="ED846C16">
      <w:start w:val="1"/>
      <w:numFmt w:val="bullet"/>
      <w:pStyle w:val="LTTBody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nsid w:val="3B7B0ED7"/>
    <w:multiLevelType w:val="hybridMultilevel"/>
    <w:tmpl w:val="E28C9E96"/>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8B4C0D"/>
    <w:multiLevelType w:val="hybridMultilevel"/>
    <w:tmpl w:val="84F2A0EE"/>
    <w:lvl w:ilvl="0" w:tplc="440C0548">
      <w:numFmt w:val="bullet"/>
      <w:lvlText w:val="-"/>
      <w:lvlJc w:val="left"/>
      <w:pPr>
        <w:ind w:left="780" w:hanging="360"/>
      </w:pPr>
      <w:rPr>
        <w:rFonts w:ascii="Times New Roman" w:eastAsiaTheme="minorHAnsi" w:hAnsi="Times New Roman"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nsid w:val="41692AC0"/>
    <w:multiLevelType w:val="hybridMultilevel"/>
    <w:tmpl w:val="6F9896B6"/>
    <w:lvl w:ilvl="0" w:tplc="440C054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3723C5E"/>
    <w:multiLevelType w:val="hybridMultilevel"/>
    <w:tmpl w:val="204EB4E2"/>
    <w:lvl w:ilvl="0" w:tplc="440C0548">
      <w:numFmt w:val="bullet"/>
      <w:lvlText w:val="-"/>
      <w:lvlJc w:val="left"/>
      <w:pPr>
        <w:ind w:left="-60" w:hanging="360"/>
      </w:pPr>
      <w:rPr>
        <w:rFonts w:ascii="Times New Roman" w:eastAsiaTheme="minorHAnsi" w:hAnsi="Times New Roman" w:cs="Times New Roman" w:hint="default"/>
      </w:rPr>
    </w:lvl>
    <w:lvl w:ilvl="1" w:tplc="08090003">
      <w:start w:val="1"/>
      <w:numFmt w:val="bullet"/>
      <w:lvlText w:val="o"/>
      <w:lvlJc w:val="left"/>
      <w:pPr>
        <w:ind w:left="660" w:hanging="360"/>
      </w:pPr>
      <w:rPr>
        <w:rFonts w:ascii="Courier New" w:hAnsi="Courier New" w:cs="Courier New" w:hint="default"/>
      </w:rPr>
    </w:lvl>
    <w:lvl w:ilvl="2" w:tplc="08090005">
      <w:start w:val="1"/>
      <w:numFmt w:val="bullet"/>
      <w:lvlText w:val=""/>
      <w:lvlJc w:val="left"/>
      <w:pPr>
        <w:ind w:left="1380" w:hanging="360"/>
      </w:pPr>
      <w:rPr>
        <w:rFonts w:ascii="Wingdings" w:hAnsi="Wingdings" w:hint="default"/>
      </w:rPr>
    </w:lvl>
    <w:lvl w:ilvl="3" w:tplc="08090001" w:tentative="1">
      <w:start w:val="1"/>
      <w:numFmt w:val="bullet"/>
      <w:lvlText w:val=""/>
      <w:lvlJc w:val="left"/>
      <w:pPr>
        <w:ind w:left="2100" w:hanging="360"/>
      </w:pPr>
      <w:rPr>
        <w:rFonts w:ascii="Symbol" w:hAnsi="Symbol" w:hint="default"/>
      </w:rPr>
    </w:lvl>
    <w:lvl w:ilvl="4" w:tplc="08090003" w:tentative="1">
      <w:start w:val="1"/>
      <w:numFmt w:val="bullet"/>
      <w:lvlText w:val="o"/>
      <w:lvlJc w:val="left"/>
      <w:pPr>
        <w:ind w:left="2820" w:hanging="360"/>
      </w:pPr>
      <w:rPr>
        <w:rFonts w:ascii="Courier New" w:hAnsi="Courier New" w:cs="Courier New" w:hint="default"/>
      </w:rPr>
    </w:lvl>
    <w:lvl w:ilvl="5" w:tplc="08090005" w:tentative="1">
      <w:start w:val="1"/>
      <w:numFmt w:val="bullet"/>
      <w:lvlText w:val=""/>
      <w:lvlJc w:val="left"/>
      <w:pPr>
        <w:ind w:left="3540" w:hanging="360"/>
      </w:pPr>
      <w:rPr>
        <w:rFonts w:ascii="Wingdings" w:hAnsi="Wingdings" w:hint="default"/>
      </w:rPr>
    </w:lvl>
    <w:lvl w:ilvl="6" w:tplc="08090001" w:tentative="1">
      <w:start w:val="1"/>
      <w:numFmt w:val="bullet"/>
      <w:lvlText w:val=""/>
      <w:lvlJc w:val="left"/>
      <w:pPr>
        <w:ind w:left="4260" w:hanging="360"/>
      </w:pPr>
      <w:rPr>
        <w:rFonts w:ascii="Symbol" w:hAnsi="Symbol" w:hint="default"/>
      </w:rPr>
    </w:lvl>
    <w:lvl w:ilvl="7" w:tplc="08090003" w:tentative="1">
      <w:start w:val="1"/>
      <w:numFmt w:val="bullet"/>
      <w:lvlText w:val="o"/>
      <w:lvlJc w:val="left"/>
      <w:pPr>
        <w:ind w:left="4980" w:hanging="360"/>
      </w:pPr>
      <w:rPr>
        <w:rFonts w:ascii="Courier New" w:hAnsi="Courier New" w:cs="Courier New" w:hint="default"/>
      </w:rPr>
    </w:lvl>
    <w:lvl w:ilvl="8" w:tplc="08090005" w:tentative="1">
      <w:start w:val="1"/>
      <w:numFmt w:val="bullet"/>
      <w:lvlText w:val=""/>
      <w:lvlJc w:val="left"/>
      <w:pPr>
        <w:ind w:left="5700" w:hanging="360"/>
      </w:pPr>
      <w:rPr>
        <w:rFonts w:ascii="Wingdings" w:hAnsi="Wingdings" w:hint="default"/>
      </w:rPr>
    </w:lvl>
  </w:abstractNum>
  <w:abstractNum w:abstractNumId="22">
    <w:nsid w:val="453C5E4C"/>
    <w:multiLevelType w:val="hybridMultilevel"/>
    <w:tmpl w:val="B0DC5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A51C67"/>
    <w:multiLevelType w:val="hybridMultilevel"/>
    <w:tmpl w:val="A81CE4B8"/>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17756F"/>
    <w:multiLevelType w:val="hybridMultilevel"/>
    <w:tmpl w:val="58228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B46DD8"/>
    <w:multiLevelType w:val="hybridMultilevel"/>
    <w:tmpl w:val="A6EAE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436D15"/>
    <w:multiLevelType w:val="hybridMultilevel"/>
    <w:tmpl w:val="5C187480"/>
    <w:lvl w:ilvl="0" w:tplc="082CCF3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36C2527"/>
    <w:multiLevelType w:val="hybridMultilevel"/>
    <w:tmpl w:val="1264DDAC"/>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9">
    <w:nsid w:val="56553CBB"/>
    <w:multiLevelType w:val="hybridMultilevel"/>
    <w:tmpl w:val="117E6048"/>
    <w:lvl w:ilvl="0" w:tplc="DE4CC034">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67D4723"/>
    <w:multiLevelType w:val="hybridMultilevel"/>
    <w:tmpl w:val="8C807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D01256"/>
    <w:multiLevelType w:val="hybridMultilevel"/>
    <w:tmpl w:val="39FA8A0E"/>
    <w:lvl w:ilvl="0" w:tplc="440C0548">
      <w:numFmt w:val="bullet"/>
      <w:lvlText w:val="-"/>
      <w:lvlJc w:val="left"/>
      <w:pPr>
        <w:ind w:left="607" w:hanging="360"/>
      </w:pPr>
      <w:rPr>
        <w:rFonts w:ascii="Times New Roman" w:eastAsiaTheme="minorHAnsi" w:hAnsi="Times New Roman" w:cs="Times New Roman"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32">
    <w:nsid w:val="5C1D07E8"/>
    <w:multiLevelType w:val="hybridMultilevel"/>
    <w:tmpl w:val="C7EE6A62"/>
    <w:lvl w:ilvl="0" w:tplc="440C054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E5A7B50"/>
    <w:multiLevelType w:val="hybridMultilevel"/>
    <w:tmpl w:val="18D27AA6"/>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03D3EDA"/>
    <w:multiLevelType w:val="hybridMultilevel"/>
    <w:tmpl w:val="E9B44F26"/>
    <w:lvl w:ilvl="0" w:tplc="440C054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07F2DCD"/>
    <w:multiLevelType w:val="hybridMultilevel"/>
    <w:tmpl w:val="8C6EE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0B25D3C"/>
    <w:multiLevelType w:val="hybridMultilevel"/>
    <w:tmpl w:val="FC8E5DD6"/>
    <w:lvl w:ilvl="0" w:tplc="440C054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0E21136"/>
    <w:multiLevelType w:val="multilevel"/>
    <w:tmpl w:val="0FFC8E26"/>
    <w:lvl w:ilvl="0">
      <w:start w:val="1"/>
      <w:numFmt w:val="decimal"/>
      <w:lvlText w:val="%1."/>
      <w:lvlJc w:val="left"/>
      <w:pPr>
        <w:ind w:left="432" w:hanging="432"/>
      </w:pPr>
    </w:lvl>
    <w:lvl w:ilvl="1">
      <w:start w:val="1"/>
      <w:numFmt w:val="decimal"/>
      <w:lvlText w:val="2.%2"/>
      <w:lvlJc w:val="left"/>
      <w:pPr>
        <w:ind w:left="3270"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nsid w:val="67E043CA"/>
    <w:multiLevelType w:val="hybridMultilevel"/>
    <w:tmpl w:val="C42ED072"/>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ECA79EA"/>
    <w:multiLevelType w:val="hybridMultilevel"/>
    <w:tmpl w:val="D5141A0A"/>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3F24DC4"/>
    <w:multiLevelType w:val="multilevel"/>
    <w:tmpl w:val="9418E486"/>
    <w:lvl w:ilvl="0">
      <w:start w:val="1"/>
      <w:numFmt w:val="decimal"/>
      <w:lvlText w:val="1.%1"/>
      <w:lvlJc w:val="left"/>
      <w:pPr>
        <w:ind w:left="432" w:hanging="432"/>
      </w:pPr>
      <w:rPr>
        <w:rFonts w:hint="default"/>
      </w:rPr>
    </w:lvl>
    <w:lvl w:ilvl="1">
      <w:start w:val="1"/>
      <w:numFmt w:val="decimal"/>
      <w:lvlText w:val="2.%2"/>
      <w:lvlJc w:val="left"/>
      <w:pPr>
        <w:ind w:left="3270"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759E0CA5"/>
    <w:multiLevelType w:val="hybridMultilevel"/>
    <w:tmpl w:val="6E7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FEC4DD9"/>
    <w:multiLevelType w:val="hybridMultilevel"/>
    <w:tmpl w:val="A61E772E"/>
    <w:lvl w:ilvl="0" w:tplc="440C054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7"/>
  </w:num>
  <w:num w:numId="4">
    <w:abstractNumId w:val="28"/>
  </w:num>
  <w:num w:numId="5">
    <w:abstractNumId w:val="17"/>
  </w:num>
  <w:num w:numId="6">
    <w:abstractNumId w:val="40"/>
  </w:num>
  <w:num w:numId="7">
    <w:abstractNumId w:val="30"/>
  </w:num>
  <w:num w:numId="8">
    <w:abstractNumId w:val="25"/>
  </w:num>
  <w:num w:numId="9">
    <w:abstractNumId w:val="0"/>
  </w:num>
  <w:num w:numId="10">
    <w:abstractNumId w:val="26"/>
  </w:num>
  <w:num w:numId="11">
    <w:abstractNumId w:val="1"/>
  </w:num>
  <w:num w:numId="12">
    <w:abstractNumId w:val="35"/>
  </w:num>
  <w:num w:numId="13">
    <w:abstractNumId w:val="29"/>
  </w:num>
  <w:num w:numId="14">
    <w:abstractNumId w:val="3"/>
  </w:num>
  <w:num w:numId="15">
    <w:abstractNumId w:val="41"/>
  </w:num>
  <w:num w:numId="16">
    <w:abstractNumId w:val="7"/>
  </w:num>
  <w:num w:numId="17">
    <w:abstractNumId w:val="6"/>
  </w:num>
  <w:num w:numId="18">
    <w:abstractNumId w:val="9"/>
  </w:num>
  <w:num w:numId="19">
    <w:abstractNumId w:val="19"/>
  </w:num>
  <w:num w:numId="20">
    <w:abstractNumId w:val="21"/>
  </w:num>
  <w:num w:numId="21">
    <w:abstractNumId w:val="31"/>
  </w:num>
  <w:num w:numId="22">
    <w:abstractNumId w:val="13"/>
  </w:num>
  <w:num w:numId="23">
    <w:abstractNumId w:val="32"/>
  </w:num>
  <w:num w:numId="24">
    <w:abstractNumId w:val="2"/>
  </w:num>
  <w:num w:numId="25">
    <w:abstractNumId w:val="23"/>
  </w:num>
  <w:num w:numId="26">
    <w:abstractNumId w:val="27"/>
  </w:num>
  <w:num w:numId="27">
    <w:abstractNumId w:val="10"/>
  </w:num>
  <w:num w:numId="28">
    <w:abstractNumId w:val="22"/>
  </w:num>
  <w:num w:numId="29">
    <w:abstractNumId w:val="24"/>
  </w:num>
  <w:num w:numId="30">
    <w:abstractNumId w:val="7"/>
  </w:num>
  <w:num w:numId="31">
    <w:abstractNumId w:val="38"/>
  </w:num>
  <w:num w:numId="32">
    <w:abstractNumId w:val="34"/>
  </w:num>
  <w:num w:numId="33">
    <w:abstractNumId w:val="18"/>
  </w:num>
  <w:num w:numId="34">
    <w:abstractNumId w:val="39"/>
  </w:num>
  <w:num w:numId="35">
    <w:abstractNumId w:val="42"/>
  </w:num>
  <w:num w:numId="36">
    <w:abstractNumId w:val="36"/>
  </w:num>
  <w:num w:numId="37">
    <w:abstractNumId w:val="20"/>
  </w:num>
  <w:num w:numId="38">
    <w:abstractNumId w:val="11"/>
  </w:num>
  <w:num w:numId="39">
    <w:abstractNumId w:val="14"/>
  </w:num>
  <w:num w:numId="40">
    <w:abstractNumId w:val="33"/>
  </w:num>
  <w:num w:numId="41">
    <w:abstractNumId w:val="12"/>
  </w:num>
  <w:num w:numId="42">
    <w:abstractNumId w:val="16"/>
  </w:num>
  <w:num w:numId="43">
    <w:abstractNumId w:val="5"/>
  </w:num>
  <w:num w:numId="44">
    <w:abstractNumId w:val="4"/>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55B9A60E61C48D2A25B0400DCB25449"/>
    <w:docVar w:name="LW_CROSSREFERENCE" w:val="{SWD(2017) 240 final}"/>
    <w:docVar w:name="LW_DocType" w:val="NORMAL"/>
    <w:docVar w:name="LW_EMISSION" w:val="29.6.2017"/>
    <w:docVar w:name="LW_EMISSION_ISODATE" w:val="2017-06-29"/>
    <w:docVar w:name="LW_EMISSION_LOCATION" w:val="BRX"/>
    <w:docVar w:name="LW_EMISSION_PREFIX" w:val="Bruselj, "/>
    <w:docVar w:name="LW_EMISSION_SUFFIX" w:val=" "/>
    <w:docVar w:name="LW_ID_DOCTYPE_NONLW" w:val="CP-011"/>
    <w:docVar w:name="LW_LANGUE" w:val="SL"/>
    <w:docVar w:name="LW_MARKING" w:val="&lt;UNUSED&gt;"/>
    <w:docVar w:name="LW_NOM.INST" w:val="EVROPSKA KOMISIJA"/>
    <w:docVar w:name="LW_NOM.INST_JOINTDOC" w:val="&lt;EMPTY&gt;"/>
    <w:docVar w:name="LW_PART_NBR" w:val="1"/>
    <w:docVar w:name="LW_PART_NBR_TOTAL" w:val="1"/>
    <w:docVar w:name="LW_REF.INST.NEW" w:val="COM"/>
    <w:docVar w:name="LW_REF.INST.NEW_ADOPTED" w:val="final"/>
    <w:docVar w:name="LW_REF.INST.NEW_TEXT" w:val="(2017) 339"/>
    <w:docVar w:name="LW_REF.INTERNE" w:val="&lt;UNUSED&gt;"/>
    <w:docVar w:name="LW_SOUS.TITRE.OBJ" w:val="Commission's One-Health strategy in the fight against AMR"/>
    <w:docVar w:name="LW_SOUS.TITRE.OBJ.CP" w:val="&lt;UNUSED&gt;"/>
    <w:docVar w:name="LW_SUPERTITRE" w:val="&lt;UNUSED&gt;"/>
    <w:docVar w:name="LW_TITRE.OBJ.CP" w:val="Evropski akcijski na\u269?rt \u8222?eno zdravje\u8220? zoper odpornost proti antimikrobikom"/>
    <w:docVar w:name="LW_TYPE.DOC.CP" w:val="SPORO\u268?ILO KOMISIJE SVETU IN EVROPSKEMU PARLAMENTU"/>
    <w:docVar w:name="LW_TYPE.DOC.CP.USERTEXT" w:val="&lt;EMPTY&gt;"/>
  </w:docVars>
  <w:rsids>
    <w:rsidRoot w:val="00E43883"/>
    <w:rsid w:val="00E43883"/>
    <w:rsid w:val="00F13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sl-SI" w:bidi="sl-S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Calibri" w:hAnsi="Calibri" w:cs="Times New Roman"/>
    </w:rPr>
  </w:style>
  <w:style w:type="paragraph" w:styleId="Heading1">
    <w:name w:val="heading 1"/>
    <w:basedOn w:val="Normal"/>
    <w:next w:val="Normal"/>
    <w:link w:val="Heading1Char"/>
    <w:uiPriority w:val="9"/>
    <w:qFormat/>
    <w:pPr>
      <w:keepLines/>
      <w:numPr>
        <w:numId w:val="44"/>
      </w:numPr>
      <w:spacing w:before="480"/>
      <w:outlineLvl w:val="0"/>
    </w:pPr>
    <w:rPr>
      <w:rFonts w:ascii="Times New Roman" w:eastAsiaTheme="majorEastAsia" w:hAnsi="Times New Roman"/>
      <w:b/>
      <w:bCs/>
      <w:smallCaps/>
      <w:color w:val="000000" w:themeColor="text1"/>
      <w:sz w:val="24"/>
      <w:szCs w:val="24"/>
    </w:rPr>
  </w:style>
  <w:style w:type="paragraph" w:styleId="Heading2">
    <w:name w:val="heading 2"/>
    <w:basedOn w:val="Normal"/>
    <w:next w:val="Normal"/>
    <w:link w:val="Heading2Char"/>
    <w:autoRedefine/>
    <w:uiPriority w:val="9"/>
    <w:qFormat/>
    <w:pPr>
      <w:keepNext/>
      <w:keepLines/>
      <w:numPr>
        <w:ilvl w:val="1"/>
        <w:numId w:val="44"/>
      </w:numPr>
      <w:ind w:left="576"/>
      <w:outlineLvl w:val="1"/>
    </w:pPr>
    <w:rPr>
      <w:rFonts w:ascii="Times New Roman" w:eastAsiaTheme="majorEastAsia" w:hAnsi="Times New Roman"/>
      <w:b/>
      <w:bCs/>
      <w:color w:val="000000" w:themeColor="text1"/>
      <w:sz w:val="24"/>
      <w:szCs w:val="24"/>
    </w:rPr>
  </w:style>
  <w:style w:type="paragraph" w:styleId="Heading3">
    <w:name w:val="heading 3"/>
    <w:basedOn w:val="Normal"/>
    <w:next w:val="Normal"/>
    <w:link w:val="Heading3Char"/>
    <w:uiPriority w:val="9"/>
    <w:unhideWhenUsed/>
    <w:qFormat/>
    <w:pPr>
      <w:keepNext/>
      <w:keepLines/>
      <w:numPr>
        <w:ilvl w:val="2"/>
        <w:numId w:val="44"/>
      </w:numPr>
      <w:spacing w:before="200"/>
      <w:outlineLvl w:val="2"/>
    </w:pPr>
    <w:rPr>
      <w:rFonts w:asciiTheme="minorHAnsi" w:eastAsiaTheme="majorEastAsia" w:hAnsiTheme="minorHAnsi" w:cstheme="majorBidi"/>
      <w:bCs/>
      <w:i/>
      <w:u w:val="single"/>
    </w:rPr>
  </w:style>
  <w:style w:type="paragraph" w:styleId="Heading4">
    <w:name w:val="heading 4"/>
    <w:basedOn w:val="Normal"/>
    <w:next w:val="Normal"/>
    <w:link w:val="Heading4Char"/>
    <w:uiPriority w:val="9"/>
    <w:qFormat/>
    <w:pPr>
      <w:keepNext/>
      <w:numPr>
        <w:ilvl w:val="3"/>
        <w:numId w:val="44"/>
      </w:numPr>
      <w:outlineLvl w:val="3"/>
    </w:pPr>
    <w:rPr>
      <w:rFonts w:ascii="Times New Roman" w:eastAsia="Times New Roman" w:hAnsi="Times New Roman"/>
      <w:sz w:val="24"/>
      <w:szCs w:val="20"/>
    </w:rPr>
  </w:style>
  <w:style w:type="paragraph" w:styleId="Heading5">
    <w:name w:val="heading 5"/>
    <w:basedOn w:val="Normal"/>
    <w:next w:val="Normal"/>
    <w:link w:val="Heading5Char"/>
    <w:uiPriority w:val="9"/>
    <w:semiHidden/>
    <w:unhideWhenUsed/>
    <w:qFormat/>
    <w:pPr>
      <w:keepNext/>
      <w:keepLines/>
      <w:numPr>
        <w:ilvl w:val="4"/>
        <w:numId w:val="4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color w:val="000000" w:themeColor="text1"/>
      <w:sz w:val="24"/>
      <w:szCs w:val="24"/>
    </w:rPr>
  </w:style>
  <w:style w:type="character" w:customStyle="1" w:styleId="Heading2Char">
    <w:name w:val="Heading 2 Char"/>
    <w:basedOn w:val="DefaultParagraphFont"/>
    <w:link w:val="Heading2"/>
    <w:uiPriority w:val="9"/>
    <w:rPr>
      <w:rFonts w:ascii="Times New Roman" w:eastAsiaTheme="majorEastAsia" w:hAnsi="Times New Roman" w:cs="Times New Roman"/>
      <w:b/>
      <w:bCs/>
      <w:color w:val="000000" w:themeColor="text1"/>
      <w:sz w:val="24"/>
      <w:szCs w:val="24"/>
    </w:rPr>
  </w:style>
  <w:style w:type="character" w:customStyle="1" w:styleId="Heading3Char">
    <w:name w:val="Heading 3 Char"/>
    <w:basedOn w:val="DefaultParagraphFont"/>
    <w:link w:val="Heading3"/>
    <w:uiPriority w:val="9"/>
    <w:rPr>
      <w:rFonts w:eastAsiaTheme="majorEastAsia" w:cstheme="majorBidi"/>
      <w:bCs/>
      <w:i/>
      <w:u w:val="single"/>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
    <w:basedOn w:val="Normal"/>
    <w:link w:val="ListParagraphChar"/>
    <w:uiPriority w:val="34"/>
    <w:qFormat/>
    <w:pPr>
      <w:ind w:left="720"/>
    </w:pPr>
  </w:style>
  <w:style w:type="paragraph" w:styleId="TOCHeading">
    <w:name w:val="TOC Heading"/>
    <w:basedOn w:val="Heading1"/>
    <w:next w:val="Normal"/>
    <w:uiPriority w:val="39"/>
    <w:qFormat/>
    <w:pPr>
      <w:spacing w:line="276" w:lineRule="auto"/>
      <w:outlineLvl w:val="9"/>
    </w:pPr>
  </w:style>
  <w:style w:type="paragraph" w:styleId="TOC1">
    <w:name w:val="toc 1"/>
    <w:basedOn w:val="Normal"/>
    <w:next w:val="Normal"/>
    <w:uiPriority w:val="39"/>
    <w:qFormat/>
    <w:pPr>
      <w:spacing w:after="100"/>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OC2">
    <w:name w:val="toc 2"/>
    <w:basedOn w:val="Normal"/>
    <w:next w:val="Normal"/>
    <w:uiPriority w:val="39"/>
    <w:qFormat/>
    <w:pPr>
      <w:spacing w:after="100"/>
      <w:ind w:left="220"/>
    </w:pPr>
  </w:style>
  <w:style w:type="paragraph" w:styleId="FootnoteText">
    <w:name w:val="footnote text"/>
    <w:aliases w:val="Schriftart: 9 pt,Schriftart: 10 pt,Schriftart: 8 pt,WB-Fußnotentext,fn,Footnotes,Footnote ak,footnote text,Footnote Text Char1 Char,Footnote Text Char Char Char,Footnote Text Char1 Char Char Char,Footnote Text Char Char Char Char Cha,f,ft"/>
    <w:basedOn w:val="Normal"/>
    <w:link w:val="FootnoteTextChar"/>
    <w:uiPriority w:val="99"/>
    <w:qFormat/>
    <w:pPr>
      <w:spacing w:after="200" w:line="276" w:lineRule="auto"/>
    </w:pPr>
    <w:rPr>
      <w:rFonts w:eastAsia="Calibri"/>
      <w:sz w:val="20"/>
      <w:szCs w:val="20"/>
    </w:rPr>
  </w:style>
  <w:style w:type="character" w:customStyle="1" w:styleId="FootnoteTextChar">
    <w:name w:val="Footnote Text Char"/>
    <w:aliases w:val="Schriftart: 9 pt Char,Schriftart: 10 pt Char,Schriftart: 8 pt Char,WB-Fußnotentext Char,fn Char,Footnotes Char,Footnote ak Char,footnote text Char,Footnote Text Char1 Char Char,Footnote Text Char Char Char Char,f Char,ft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stylish"/>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vertAlign w:val="superscript"/>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rPr>
  </w:style>
  <w:style w:type="paragraph" w:styleId="Revision">
    <w:name w:val="Revision"/>
    <w:uiPriority w:val="99"/>
    <w:pPr>
      <w:spacing w:after="0" w:line="240" w:lineRule="auto"/>
    </w:pPr>
    <w:rPr>
      <w:rFonts w:ascii="Calibri" w:hAnsi="Calibri" w:cs="Times New Roman"/>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Calibri" w:hAnsi="Calibri"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hAnsi="Calibri" w:cs="Times New Roman"/>
      <w:b/>
      <w:bCs/>
      <w:sz w:val="20"/>
      <w:szCs w:val="20"/>
    </w:rPr>
  </w:style>
  <w:style w:type="character" w:styleId="FollowedHyperlink">
    <w:name w:val="FollowedHyperlink"/>
    <w:basedOn w:val="DefaultParagraphFont"/>
    <w:uiPriority w:val="99"/>
    <w:rPr>
      <w:color w:val="800080"/>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uiPriority w:val="9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hAnsi="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ind w:left="-850" w:right="-850"/>
      <w:jc w:val="left"/>
    </w:pPr>
    <w:rPr>
      <w:rFonts w:ascii="Times New Roman" w:eastAsia="Times New Roman" w:hAnsi="Times New Roman"/>
      <w:smallCaps/>
      <w:sz w:val="24"/>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sz w:val="24"/>
      <w:szCs w:val="28"/>
    </w:rPr>
  </w:style>
  <w:style w:type="paragraph" w:customStyle="1" w:styleId="HeaderCoverPage">
    <w:name w:val="Header Cover Page"/>
    <w:basedOn w:val="Normal"/>
    <w:link w:val="HeaderCoverPageChar"/>
    <w:pPr>
      <w:widowControl w:val="0"/>
      <w:tabs>
        <w:tab w:val="center" w:pos="4535"/>
        <w:tab w:val="right" w:pos="9071"/>
      </w:tabs>
      <w:spacing w:after="120"/>
    </w:pPr>
    <w:rPr>
      <w:rFonts w:ascii="Times New Roman" w:eastAsia="Times New Roman" w:hAnsi="Times New Roman"/>
      <w:smallCaps/>
      <w:sz w:val="24"/>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sz w:val="24"/>
      <w:szCs w:val="28"/>
    </w:rPr>
  </w:style>
  <w:style w:type="character" w:customStyle="1" w:styleId="tgc">
    <w:name w:val="_tgc"/>
    <w:basedOn w:val="DefaultParagraphFont"/>
  </w:style>
  <w:style w:type="paragraph" w:customStyle="1" w:styleId="Point0number">
    <w:name w:val="Point 0 (number)"/>
    <w:basedOn w:val="Normal"/>
    <w:pPr>
      <w:numPr>
        <w:numId w:val="1"/>
      </w:numPr>
      <w:spacing w:before="120" w:after="120"/>
    </w:pPr>
    <w:rPr>
      <w:rFonts w:ascii="Times New Roman" w:eastAsia="Times New Roman" w:hAnsi="Times New Roman"/>
      <w:sz w:val="24"/>
      <w:szCs w:val="24"/>
    </w:rPr>
  </w:style>
  <w:style w:type="paragraph" w:customStyle="1" w:styleId="Point1number">
    <w:name w:val="Point 1 (number)"/>
    <w:basedOn w:val="Normal"/>
    <w:pPr>
      <w:numPr>
        <w:ilvl w:val="2"/>
        <w:numId w:val="1"/>
      </w:numPr>
      <w:spacing w:before="120" w:after="120"/>
    </w:pPr>
    <w:rPr>
      <w:rFonts w:ascii="Times New Roman" w:eastAsia="Times New Roman" w:hAnsi="Times New Roman"/>
      <w:sz w:val="24"/>
      <w:szCs w:val="24"/>
    </w:rPr>
  </w:style>
  <w:style w:type="paragraph" w:customStyle="1" w:styleId="Point2number">
    <w:name w:val="Point 2 (number)"/>
    <w:basedOn w:val="Normal"/>
    <w:pPr>
      <w:numPr>
        <w:ilvl w:val="4"/>
        <w:numId w:val="1"/>
      </w:numPr>
      <w:spacing w:before="120" w:after="120"/>
    </w:pPr>
    <w:rPr>
      <w:rFonts w:ascii="Times New Roman" w:eastAsia="Times New Roman" w:hAnsi="Times New Roman"/>
      <w:sz w:val="24"/>
      <w:szCs w:val="24"/>
    </w:rPr>
  </w:style>
  <w:style w:type="paragraph" w:customStyle="1" w:styleId="Point3number">
    <w:name w:val="Point 3 (number)"/>
    <w:basedOn w:val="Normal"/>
    <w:pPr>
      <w:numPr>
        <w:ilvl w:val="6"/>
        <w:numId w:val="1"/>
      </w:numPr>
      <w:spacing w:before="120" w:after="120"/>
    </w:pPr>
    <w:rPr>
      <w:rFonts w:ascii="Times New Roman" w:eastAsia="Times New Roman" w:hAnsi="Times New Roman"/>
      <w:sz w:val="24"/>
      <w:szCs w:val="24"/>
    </w:rPr>
  </w:style>
  <w:style w:type="paragraph" w:customStyle="1" w:styleId="Point0letter">
    <w:name w:val="Point 0 (letter)"/>
    <w:basedOn w:val="Normal"/>
    <w:pPr>
      <w:numPr>
        <w:ilvl w:val="1"/>
        <w:numId w:val="1"/>
      </w:numPr>
      <w:spacing w:before="120" w:after="120"/>
    </w:pPr>
    <w:rPr>
      <w:rFonts w:ascii="Times New Roman" w:eastAsia="Times New Roman" w:hAnsi="Times New Roman"/>
      <w:sz w:val="24"/>
      <w:szCs w:val="24"/>
    </w:rPr>
  </w:style>
  <w:style w:type="paragraph" w:customStyle="1" w:styleId="Point1letter">
    <w:name w:val="Point 1 (letter)"/>
    <w:basedOn w:val="Normal"/>
    <w:pPr>
      <w:numPr>
        <w:ilvl w:val="3"/>
        <w:numId w:val="1"/>
      </w:numPr>
      <w:spacing w:before="120" w:after="120"/>
    </w:pPr>
    <w:rPr>
      <w:rFonts w:ascii="Times New Roman" w:eastAsia="Times New Roman" w:hAnsi="Times New Roman"/>
      <w:sz w:val="24"/>
      <w:szCs w:val="24"/>
    </w:rPr>
  </w:style>
  <w:style w:type="paragraph" w:customStyle="1" w:styleId="Point2letter">
    <w:name w:val="Point 2 (letter)"/>
    <w:basedOn w:val="Normal"/>
    <w:pPr>
      <w:numPr>
        <w:ilvl w:val="5"/>
        <w:numId w:val="1"/>
      </w:numPr>
      <w:spacing w:before="120" w:after="120"/>
    </w:pPr>
    <w:rPr>
      <w:rFonts w:ascii="Times New Roman" w:eastAsia="Times New Roman" w:hAnsi="Times New Roman"/>
      <w:sz w:val="24"/>
      <w:szCs w:val="24"/>
    </w:rPr>
  </w:style>
  <w:style w:type="paragraph" w:customStyle="1" w:styleId="Point3letter">
    <w:name w:val="Point 3 (letter)"/>
    <w:basedOn w:val="Normal"/>
    <w:pPr>
      <w:numPr>
        <w:ilvl w:val="7"/>
        <w:numId w:val="1"/>
      </w:numPr>
      <w:spacing w:before="120" w:after="120"/>
    </w:pPr>
    <w:rPr>
      <w:rFonts w:ascii="Times New Roman" w:eastAsia="Times New Roman" w:hAnsi="Times New Roman"/>
      <w:sz w:val="24"/>
      <w:szCs w:val="24"/>
    </w:rPr>
  </w:style>
  <w:style w:type="paragraph" w:customStyle="1" w:styleId="Point4letter">
    <w:name w:val="Point 4 (letter)"/>
    <w:basedOn w:val="Normal"/>
    <w:pPr>
      <w:numPr>
        <w:ilvl w:val="8"/>
        <w:numId w:val="1"/>
      </w:numPr>
      <w:spacing w:before="120" w:after="120"/>
    </w:pPr>
    <w:rPr>
      <w:rFonts w:ascii="Times New Roman" w:eastAsia="Times New Roman" w:hAnsi="Times New Roman"/>
      <w:sz w:val="24"/>
      <w:szCs w:val="24"/>
    </w:rPr>
  </w:style>
  <w:style w:type="paragraph" w:customStyle="1" w:styleId="Bullet0">
    <w:name w:val="Bullet 0"/>
    <w:basedOn w:val="Normal"/>
    <w:pPr>
      <w:spacing w:before="120" w:after="120"/>
    </w:pPr>
    <w:rPr>
      <w:rFonts w:ascii="Times New Roman" w:eastAsia="Times New Roman" w:hAnsi="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NoSpacing">
    <w:name w:val="No Spacing"/>
    <w:uiPriority w:val="1"/>
    <w:qFormat/>
    <w:pPr>
      <w:spacing w:after="0" w:line="240" w:lineRule="auto"/>
    </w:pPr>
    <w:rPr>
      <w:rFonts w:ascii="Calibri" w:hAnsi="Calibri" w:cs="Times New Roman"/>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Calibri" w:hAnsi="Calibri" w:cs="Times New Roman"/>
      <w:i/>
      <w:iCs/>
      <w:color w:val="000000" w:themeColor="text1"/>
    </w:rPr>
  </w:style>
  <w:style w:type="paragraph" w:customStyle="1" w:styleId="Tiret1">
    <w:name w:val="Tiret 1"/>
    <w:basedOn w:val="Normal"/>
    <w:next w:val="Normal"/>
    <w:pPr>
      <w:numPr>
        <w:numId w:val="2"/>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ind w:right="57"/>
    </w:pPr>
    <w:rPr>
      <w:rFonts w:ascii="Verdana" w:eastAsia="Times New Roman" w:hAnsi="Verdana"/>
      <w:spacing w:val="-2"/>
      <w:sz w:val="20"/>
      <w:szCs w:val="24"/>
    </w:rPr>
  </w:style>
  <w:style w:type="paragraph" w:customStyle="1" w:styleId="NumPar3">
    <w:name w:val="NumPar 3"/>
    <w:basedOn w:val="Heading3"/>
    <w:next w:val="Normal"/>
    <w:pPr>
      <w:keepNext w:val="0"/>
      <w:keepLines w:val="0"/>
      <w:numPr>
        <w:numId w:val="2"/>
      </w:numPr>
      <w:tabs>
        <w:tab w:val="clear" w:pos="2160"/>
      </w:tabs>
      <w:spacing w:before="0"/>
      <w:outlineLvl w:val="9"/>
    </w:pPr>
    <w:rPr>
      <w:rFonts w:ascii="Times New Roman" w:eastAsia="Times New Roman" w:hAnsi="Times New Roman" w:cs="Times New Roman"/>
      <w:b/>
      <w:bCs w:val="0"/>
      <w:sz w:val="24"/>
      <w:szCs w:val="2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customStyle="1" w:styleId="prdnormal">
    <w:name w:val="prdnormal"/>
  </w:style>
  <w:style w:type="paragraph" w:customStyle="1" w:styleId="ZDGName">
    <w:name w:val="Z_DGName"/>
    <w:basedOn w:val="Normal"/>
    <w:pPr>
      <w:widowControl w:val="0"/>
      <w:autoSpaceDE w:val="0"/>
      <w:autoSpaceDN w:val="0"/>
      <w:ind w:right="85"/>
    </w:pPr>
    <w:rPr>
      <w:rFonts w:ascii="Arial" w:eastAsia="Times New Roman" w:hAnsi="Arial" w:cs="Arial"/>
      <w:sz w:val="16"/>
      <w:szCs w:val="16"/>
    </w:rPr>
  </w:style>
  <w:style w:type="paragraph" w:customStyle="1" w:styleId="Style1">
    <w:name w:val="Style1"/>
    <w:basedOn w:val="Normal"/>
    <w:pPr>
      <w:spacing w:after="200" w:line="276" w:lineRule="auto"/>
      <w:ind w:left="360" w:hanging="360"/>
    </w:pPr>
    <w:rPr>
      <w:rFonts w:eastAsia="Calibri"/>
    </w:rPr>
  </w:style>
  <w:style w:type="paragraph" w:styleId="TOC3">
    <w:name w:val="toc 3"/>
    <w:basedOn w:val="Normal"/>
    <w:next w:val="Normal"/>
    <w:autoRedefine/>
    <w:uiPriority w:val="39"/>
    <w:unhideWhenUsed/>
    <w:qFormat/>
    <w:pPr>
      <w:spacing w:after="100"/>
      <w:ind w:left="440"/>
    </w:pPr>
  </w:style>
  <w:style w:type="paragraph" w:styleId="ListNumber">
    <w:name w:val="List Number"/>
    <w:basedOn w:val="Normal"/>
    <w:rPr>
      <w:rFonts w:ascii="Times New Roman" w:eastAsia="Times New Roman" w:hAnsi="Times New Roman"/>
      <w:sz w:val="24"/>
      <w:szCs w:val="20"/>
    </w:rPr>
  </w:style>
  <w:style w:type="character" w:styleId="BookTitle">
    <w:name w:val="Book Title"/>
    <w:basedOn w:val="DefaultParagraphFont"/>
    <w:uiPriority w:val="33"/>
    <w:qFormat/>
    <w:rPr>
      <w:b/>
      <w:bCs/>
      <w:smallCaps/>
      <w:spacing w:val="5"/>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
    <w:link w:val="ListParagraph"/>
    <w:uiPriority w:val="34"/>
    <w:locked/>
    <w:rPr>
      <w:rFonts w:ascii="Calibri" w:hAnsi="Calibri" w:cs="Times New Roman"/>
    </w:rPr>
  </w:style>
  <w:style w:type="paragraph" w:styleId="ListBullet">
    <w:name w:val="List Bullet"/>
    <w:basedOn w:val="Normal"/>
    <w:pPr>
      <w:numPr>
        <w:numId w:val="4"/>
      </w:numPr>
    </w:pPr>
    <w:rPr>
      <w:rFonts w:ascii="Times New Roman" w:eastAsia="Times New Roman" w:hAnsi="Times New Roman"/>
      <w:sz w:val="24"/>
      <w:szCs w:val="20"/>
    </w:rPr>
  </w:style>
  <w:style w:type="paragraph" w:customStyle="1" w:styleId="LTTBody1">
    <w:name w:val="LTT Body 1"/>
    <w:basedOn w:val="Normal"/>
    <w:qFormat/>
    <w:pPr>
      <w:numPr>
        <w:numId w:val="5"/>
      </w:numPr>
      <w:spacing w:after="0"/>
      <w:jc w:val="left"/>
    </w:pPr>
    <w:rPr>
      <w:rFonts w:eastAsia="Times New Roman" w:cs="Calibri"/>
      <w:sz w:val="28"/>
      <w:szCs w:val="28"/>
    </w:rPr>
  </w:style>
  <w:style w:type="paragraph" w:customStyle="1" w:styleId="Briefingheading2">
    <w:name w:val="Briefing heading 2"/>
    <w:basedOn w:val="Normal"/>
    <w:pPr>
      <w:keepNext/>
      <w:spacing w:before="240" w:after="120"/>
    </w:pPr>
    <w:rPr>
      <w:rFonts w:ascii="Arial" w:hAnsi="Arial" w:cs="Arial"/>
      <w:b/>
      <w:bCs/>
      <w:sz w:val="24"/>
      <w:szCs w:val="24"/>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basedOn w:val="DefaultParagraphFont"/>
    <w:uiPriority w:val="99"/>
    <w:locked/>
    <w:rPr>
      <w:rFonts w:cs="Times New Roman"/>
      <w:sz w:val="20"/>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customStyle="1" w:styleId="at21">
    <w:name w:val="a__t21"/>
    <w:basedOn w:val="DefaultParagraphFont"/>
    <w:rPr>
      <w:i/>
      <w:iCs/>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rPr>
      <w:rFonts w:ascii="Arial" w:hAnsi="Arial" w:cs="Arial"/>
    </w:rPr>
  </w:style>
  <w:style w:type="character" w:customStyle="1" w:styleId="st1">
    <w:name w:val="st1"/>
    <w:basedOn w:val="DefaultParagraphFont"/>
  </w:style>
  <w:style w:type="character" w:customStyle="1" w:styleId="mixed-citation">
    <w:name w:val="mixed-citation"/>
    <w:basedOn w:val="DefaultParagraphFont"/>
  </w:style>
  <w:style w:type="character" w:customStyle="1" w:styleId="ref-title">
    <w:name w:val="ref-title"/>
    <w:basedOn w:val="DefaultParagraphFont"/>
  </w:style>
  <w:style w:type="character" w:customStyle="1" w:styleId="ref-journal">
    <w:name w:val="ref-journal"/>
    <w:basedOn w:val="DefaultParagraphFont"/>
  </w:style>
  <w:style w:type="character" w:customStyle="1" w:styleId="ref-vol">
    <w:name w:val="ref-vol"/>
    <w:basedOn w:val="DefaultParagraphFont"/>
  </w:style>
  <w:style w:type="character" w:customStyle="1" w:styleId="nowrap">
    <w:name w:val="nowrap"/>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sl-SI" w:bidi="sl-S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Calibri" w:hAnsi="Calibri" w:cs="Times New Roman"/>
    </w:rPr>
  </w:style>
  <w:style w:type="paragraph" w:styleId="Heading1">
    <w:name w:val="heading 1"/>
    <w:basedOn w:val="Normal"/>
    <w:next w:val="Normal"/>
    <w:link w:val="Heading1Char"/>
    <w:uiPriority w:val="9"/>
    <w:qFormat/>
    <w:pPr>
      <w:keepLines/>
      <w:numPr>
        <w:numId w:val="44"/>
      </w:numPr>
      <w:spacing w:before="480"/>
      <w:outlineLvl w:val="0"/>
    </w:pPr>
    <w:rPr>
      <w:rFonts w:ascii="Times New Roman" w:eastAsiaTheme="majorEastAsia" w:hAnsi="Times New Roman"/>
      <w:b/>
      <w:bCs/>
      <w:smallCaps/>
      <w:color w:val="000000" w:themeColor="text1"/>
      <w:sz w:val="24"/>
      <w:szCs w:val="24"/>
    </w:rPr>
  </w:style>
  <w:style w:type="paragraph" w:styleId="Heading2">
    <w:name w:val="heading 2"/>
    <w:basedOn w:val="Normal"/>
    <w:next w:val="Normal"/>
    <w:link w:val="Heading2Char"/>
    <w:autoRedefine/>
    <w:uiPriority w:val="9"/>
    <w:qFormat/>
    <w:pPr>
      <w:keepNext/>
      <w:keepLines/>
      <w:numPr>
        <w:ilvl w:val="1"/>
        <w:numId w:val="44"/>
      </w:numPr>
      <w:ind w:left="576"/>
      <w:outlineLvl w:val="1"/>
    </w:pPr>
    <w:rPr>
      <w:rFonts w:ascii="Times New Roman" w:eastAsiaTheme="majorEastAsia" w:hAnsi="Times New Roman"/>
      <w:b/>
      <w:bCs/>
      <w:color w:val="000000" w:themeColor="text1"/>
      <w:sz w:val="24"/>
      <w:szCs w:val="24"/>
    </w:rPr>
  </w:style>
  <w:style w:type="paragraph" w:styleId="Heading3">
    <w:name w:val="heading 3"/>
    <w:basedOn w:val="Normal"/>
    <w:next w:val="Normal"/>
    <w:link w:val="Heading3Char"/>
    <w:uiPriority w:val="9"/>
    <w:unhideWhenUsed/>
    <w:qFormat/>
    <w:pPr>
      <w:keepNext/>
      <w:keepLines/>
      <w:numPr>
        <w:ilvl w:val="2"/>
        <w:numId w:val="44"/>
      </w:numPr>
      <w:spacing w:before="200"/>
      <w:outlineLvl w:val="2"/>
    </w:pPr>
    <w:rPr>
      <w:rFonts w:asciiTheme="minorHAnsi" w:eastAsiaTheme="majorEastAsia" w:hAnsiTheme="minorHAnsi" w:cstheme="majorBidi"/>
      <w:bCs/>
      <w:i/>
      <w:u w:val="single"/>
    </w:rPr>
  </w:style>
  <w:style w:type="paragraph" w:styleId="Heading4">
    <w:name w:val="heading 4"/>
    <w:basedOn w:val="Normal"/>
    <w:next w:val="Normal"/>
    <w:link w:val="Heading4Char"/>
    <w:uiPriority w:val="9"/>
    <w:qFormat/>
    <w:pPr>
      <w:keepNext/>
      <w:numPr>
        <w:ilvl w:val="3"/>
        <w:numId w:val="44"/>
      </w:numPr>
      <w:outlineLvl w:val="3"/>
    </w:pPr>
    <w:rPr>
      <w:rFonts w:ascii="Times New Roman" w:eastAsia="Times New Roman" w:hAnsi="Times New Roman"/>
      <w:sz w:val="24"/>
      <w:szCs w:val="20"/>
    </w:rPr>
  </w:style>
  <w:style w:type="paragraph" w:styleId="Heading5">
    <w:name w:val="heading 5"/>
    <w:basedOn w:val="Normal"/>
    <w:next w:val="Normal"/>
    <w:link w:val="Heading5Char"/>
    <w:uiPriority w:val="9"/>
    <w:semiHidden/>
    <w:unhideWhenUsed/>
    <w:qFormat/>
    <w:pPr>
      <w:keepNext/>
      <w:keepLines/>
      <w:numPr>
        <w:ilvl w:val="4"/>
        <w:numId w:val="4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color w:val="000000" w:themeColor="text1"/>
      <w:sz w:val="24"/>
      <w:szCs w:val="24"/>
    </w:rPr>
  </w:style>
  <w:style w:type="character" w:customStyle="1" w:styleId="Heading2Char">
    <w:name w:val="Heading 2 Char"/>
    <w:basedOn w:val="DefaultParagraphFont"/>
    <w:link w:val="Heading2"/>
    <w:uiPriority w:val="9"/>
    <w:rPr>
      <w:rFonts w:ascii="Times New Roman" w:eastAsiaTheme="majorEastAsia" w:hAnsi="Times New Roman" w:cs="Times New Roman"/>
      <w:b/>
      <w:bCs/>
      <w:color w:val="000000" w:themeColor="text1"/>
      <w:sz w:val="24"/>
      <w:szCs w:val="24"/>
    </w:rPr>
  </w:style>
  <w:style w:type="character" w:customStyle="1" w:styleId="Heading3Char">
    <w:name w:val="Heading 3 Char"/>
    <w:basedOn w:val="DefaultParagraphFont"/>
    <w:link w:val="Heading3"/>
    <w:uiPriority w:val="9"/>
    <w:rPr>
      <w:rFonts w:eastAsiaTheme="majorEastAsia" w:cstheme="majorBidi"/>
      <w:bCs/>
      <w:i/>
      <w:u w:val="single"/>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
    <w:basedOn w:val="Normal"/>
    <w:link w:val="ListParagraphChar"/>
    <w:uiPriority w:val="34"/>
    <w:qFormat/>
    <w:pPr>
      <w:ind w:left="720"/>
    </w:pPr>
  </w:style>
  <w:style w:type="paragraph" w:styleId="TOCHeading">
    <w:name w:val="TOC Heading"/>
    <w:basedOn w:val="Heading1"/>
    <w:next w:val="Normal"/>
    <w:uiPriority w:val="39"/>
    <w:qFormat/>
    <w:pPr>
      <w:spacing w:line="276" w:lineRule="auto"/>
      <w:outlineLvl w:val="9"/>
    </w:pPr>
  </w:style>
  <w:style w:type="paragraph" w:styleId="TOC1">
    <w:name w:val="toc 1"/>
    <w:basedOn w:val="Normal"/>
    <w:next w:val="Normal"/>
    <w:uiPriority w:val="39"/>
    <w:qFormat/>
    <w:pPr>
      <w:spacing w:after="100"/>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OC2">
    <w:name w:val="toc 2"/>
    <w:basedOn w:val="Normal"/>
    <w:next w:val="Normal"/>
    <w:uiPriority w:val="39"/>
    <w:qFormat/>
    <w:pPr>
      <w:spacing w:after="100"/>
      <w:ind w:left="220"/>
    </w:pPr>
  </w:style>
  <w:style w:type="paragraph" w:styleId="FootnoteText">
    <w:name w:val="footnote text"/>
    <w:aliases w:val="Schriftart: 9 pt,Schriftart: 10 pt,Schriftart: 8 pt,WB-Fußnotentext,fn,Footnotes,Footnote ak,footnote text,Footnote Text Char1 Char,Footnote Text Char Char Char,Footnote Text Char1 Char Char Char,Footnote Text Char Char Char Char Cha,f,ft"/>
    <w:basedOn w:val="Normal"/>
    <w:link w:val="FootnoteTextChar"/>
    <w:uiPriority w:val="99"/>
    <w:qFormat/>
    <w:pPr>
      <w:spacing w:after="200" w:line="276" w:lineRule="auto"/>
    </w:pPr>
    <w:rPr>
      <w:rFonts w:eastAsia="Calibri"/>
      <w:sz w:val="20"/>
      <w:szCs w:val="20"/>
    </w:rPr>
  </w:style>
  <w:style w:type="character" w:customStyle="1" w:styleId="FootnoteTextChar">
    <w:name w:val="Footnote Text Char"/>
    <w:aliases w:val="Schriftart: 9 pt Char,Schriftart: 10 pt Char,Schriftart: 8 pt Char,WB-Fußnotentext Char,fn Char,Footnotes Char,Footnote ak Char,footnote text Char,Footnote Text Char1 Char Char,Footnote Text Char Char Char Char,f Char,ft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stylish"/>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vertAlign w:val="superscript"/>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rPr>
  </w:style>
  <w:style w:type="paragraph" w:styleId="Revision">
    <w:name w:val="Revision"/>
    <w:uiPriority w:val="99"/>
    <w:pPr>
      <w:spacing w:after="0" w:line="240" w:lineRule="auto"/>
    </w:pPr>
    <w:rPr>
      <w:rFonts w:ascii="Calibri" w:hAnsi="Calibri" w:cs="Times New Roman"/>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Calibri" w:hAnsi="Calibri"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hAnsi="Calibri" w:cs="Times New Roman"/>
      <w:b/>
      <w:bCs/>
      <w:sz w:val="20"/>
      <w:szCs w:val="20"/>
    </w:rPr>
  </w:style>
  <w:style w:type="character" w:styleId="FollowedHyperlink">
    <w:name w:val="FollowedHyperlink"/>
    <w:basedOn w:val="DefaultParagraphFont"/>
    <w:uiPriority w:val="99"/>
    <w:rPr>
      <w:color w:val="800080"/>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uiPriority w:val="9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hAnsi="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ind w:left="-850" w:right="-850"/>
      <w:jc w:val="left"/>
    </w:pPr>
    <w:rPr>
      <w:rFonts w:ascii="Times New Roman" w:eastAsia="Times New Roman" w:hAnsi="Times New Roman"/>
      <w:smallCaps/>
      <w:sz w:val="24"/>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sz w:val="24"/>
      <w:szCs w:val="28"/>
    </w:rPr>
  </w:style>
  <w:style w:type="paragraph" w:customStyle="1" w:styleId="HeaderCoverPage">
    <w:name w:val="Header Cover Page"/>
    <w:basedOn w:val="Normal"/>
    <w:link w:val="HeaderCoverPageChar"/>
    <w:pPr>
      <w:widowControl w:val="0"/>
      <w:tabs>
        <w:tab w:val="center" w:pos="4535"/>
        <w:tab w:val="right" w:pos="9071"/>
      </w:tabs>
      <w:spacing w:after="120"/>
    </w:pPr>
    <w:rPr>
      <w:rFonts w:ascii="Times New Roman" w:eastAsia="Times New Roman" w:hAnsi="Times New Roman"/>
      <w:smallCaps/>
      <w:sz w:val="24"/>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sz w:val="24"/>
      <w:szCs w:val="28"/>
    </w:rPr>
  </w:style>
  <w:style w:type="character" w:customStyle="1" w:styleId="tgc">
    <w:name w:val="_tgc"/>
    <w:basedOn w:val="DefaultParagraphFont"/>
  </w:style>
  <w:style w:type="paragraph" w:customStyle="1" w:styleId="Point0number">
    <w:name w:val="Point 0 (number)"/>
    <w:basedOn w:val="Normal"/>
    <w:pPr>
      <w:numPr>
        <w:numId w:val="1"/>
      </w:numPr>
      <w:spacing w:before="120" w:after="120"/>
    </w:pPr>
    <w:rPr>
      <w:rFonts w:ascii="Times New Roman" w:eastAsia="Times New Roman" w:hAnsi="Times New Roman"/>
      <w:sz w:val="24"/>
      <w:szCs w:val="24"/>
    </w:rPr>
  </w:style>
  <w:style w:type="paragraph" w:customStyle="1" w:styleId="Point1number">
    <w:name w:val="Point 1 (number)"/>
    <w:basedOn w:val="Normal"/>
    <w:pPr>
      <w:numPr>
        <w:ilvl w:val="2"/>
        <w:numId w:val="1"/>
      </w:numPr>
      <w:spacing w:before="120" w:after="120"/>
    </w:pPr>
    <w:rPr>
      <w:rFonts w:ascii="Times New Roman" w:eastAsia="Times New Roman" w:hAnsi="Times New Roman"/>
      <w:sz w:val="24"/>
      <w:szCs w:val="24"/>
    </w:rPr>
  </w:style>
  <w:style w:type="paragraph" w:customStyle="1" w:styleId="Point2number">
    <w:name w:val="Point 2 (number)"/>
    <w:basedOn w:val="Normal"/>
    <w:pPr>
      <w:numPr>
        <w:ilvl w:val="4"/>
        <w:numId w:val="1"/>
      </w:numPr>
      <w:spacing w:before="120" w:after="120"/>
    </w:pPr>
    <w:rPr>
      <w:rFonts w:ascii="Times New Roman" w:eastAsia="Times New Roman" w:hAnsi="Times New Roman"/>
      <w:sz w:val="24"/>
      <w:szCs w:val="24"/>
    </w:rPr>
  </w:style>
  <w:style w:type="paragraph" w:customStyle="1" w:styleId="Point3number">
    <w:name w:val="Point 3 (number)"/>
    <w:basedOn w:val="Normal"/>
    <w:pPr>
      <w:numPr>
        <w:ilvl w:val="6"/>
        <w:numId w:val="1"/>
      </w:numPr>
      <w:spacing w:before="120" w:after="120"/>
    </w:pPr>
    <w:rPr>
      <w:rFonts w:ascii="Times New Roman" w:eastAsia="Times New Roman" w:hAnsi="Times New Roman"/>
      <w:sz w:val="24"/>
      <w:szCs w:val="24"/>
    </w:rPr>
  </w:style>
  <w:style w:type="paragraph" w:customStyle="1" w:styleId="Point0letter">
    <w:name w:val="Point 0 (letter)"/>
    <w:basedOn w:val="Normal"/>
    <w:pPr>
      <w:numPr>
        <w:ilvl w:val="1"/>
        <w:numId w:val="1"/>
      </w:numPr>
      <w:spacing w:before="120" w:after="120"/>
    </w:pPr>
    <w:rPr>
      <w:rFonts w:ascii="Times New Roman" w:eastAsia="Times New Roman" w:hAnsi="Times New Roman"/>
      <w:sz w:val="24"/>
      <w:szCs w:val="24"/>
    </w:rPr>
  </w:style>
  <w:style w:type="paragraph" w:customStyle="1" w:styleId="Point1letter">
    <w:name w:val="Point 1 (letter)"/>
    <w:basedOn w:val="Normal"/>
    <w:pPr>
      <w:numPr>
        <w:ilvl w:val="3"/>
        <w:numId w:val="1"/>
      </w:numPr>
      <w:spacing w:before="120" w:after="120"/>
    </w:pPr>
    <w:rPr>
      <w:rFonts w:ascii="Times New Roman" w:eastAsia="Times New Roman" w:hAnsi="Times New Roman"/>
      <w:sz w:val="24"/>
      <w:szCs w:val="24"/>
    </w:rPr>
  </w:style>
  <w:style w:type="paragraph" w:customStyle="1" w:styleId="Point2letter">
    <w:name w:val="Point 2 (letter)"/>
    <w:basedOn w:val="Normal"/>
    <w:pPr>
      <w:numPr>
        <w:ilvl w:val="5"/>
        <w:numId w:val="1"/>
      </w:numPr>
      <w:spacing w:before="120" w:after="120"/>
    </w:pPr>
    <w:rPr>
      <w:rFonts w:ascii="Times New Roman" w:eastAsia="Times New Roman" w:hAnsi="Times New Roman"/>
      <w:sz w:val="24"/>
      <w:szCs w:val="24"/>
    </w:rPr>
  </w:style>
  <w:style w:type="paragraph" w:customStyle="1" w:styleId="Point3letter">
    <w:name w:val="Point 3 (letter)"/>
    <w:basedOn w:val="Normal"/>
    <w:pPr>
      <w:numPr>
        <w:ilvl w:val="7"/>
        <w:numId w:val="1"/>
      </w:numPr>
      <w:spacing w:before="120" w:after="120"/>
    </w:pPr>
    <w:rPr>
      <w:rFonts w:ascii="Times New Roman" w:eastAsia="Times New Roman" w:hAnsi="Times New Roman"/>
      <w:sz w:val="24"/>
      <w:szCs w:val="24"/>
    </w:rPr>
  </w:style>
  <w:style w:type="paragraph" w:customStyle="1" w:styleId="Point4letter">
    <w:name w:val="Point 4 (letter)"/>
    <w:basedOn w:val="Normal"/>
    <w:pPr>
      <w:numPr>
        <w:ilvl w:val="8"/>
        <w:numId w:val="1"/>
      </w:numPr>
      <w:spacing w:before="120" w:after="120"/>
    </w:pPr>
    <w:rPr>
      <w:rFonts w:ascii="Times New Roman" w:eastAsia="Times New Roman" w:hAnsi="Times New Roman"/>
      <w:sz w:val="24"/>
      <w:szCs w:val="24"/>
    </w:rPr>
  </w:style>
  <w:style w:type="paragraph" w:customStyle="1" w:styleId="Bullet0">
    <w:name w:val="Bullet 0"/>
    <w:basedOn w:val="Normal"/>
    <w:pPr>
      <w:spacing w:before="120" w:after="120"/>
    </w:pPr>
    <w:rPr>
      <w:rFonts w:ascii="Times New Roman" w:eastAsia="Times New Roman" w:hAnsi="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NoSpacing">
    <w:name w:val="No Spacing"/>
    <w:uiPriority w:val="1"/>
    <w:qFormat/>
    <w:pPr>
      <w:spacing w:after="0" w:line="240" w:lineRule="auto"/>
    </w:pPr>
    <w:rPr>
      <w:rFonts w:ascii="Calibri" w:hAnsi="Calibri" w:cs="Times New Roman"/>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Calibri" w:hAnsi="Calibri" w:cs="Times New Roman"/>
      <w:i/>
      <w:iCs/>
      <w:color w:val="000000" w:themeColor="text1"/>
    </w:rPr>
  </w:style>
  <w:style w:type="paragraph" w:customStyle="1" w:styleId="Tiret1">
    <w:name w:val="Tiret 1"/>
    <w:basedOn w:val="Normal"/>
    <w:next w:val="Normal"/>
    <w:pPr>
      <w:numPr>
        <w:numId w:val="2"/>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ind w:right="57"/>
    </w:pPr>
    <w:rPr>
      <w:rFonts w:ascii="Verdana" w:eastAsia="Times New Roman" w:hAnsi="Verdana"/>
      <w:spacing w:val="-2"/>
      <w:sz w:val="20"/>
      <w:szCs w:val="24"/>
    </w:rPr>
  </w:style>
  <w:style w:type="paragraph" w:customStyle="1" w:styleId="NumPar3">
    <w:name w:val="NumPar 3"/>
    <w:basedOn w:val="Heading3"/>
    <w:next w:val="Normal"/>
    <w:pPr>
      <w:keepNext w:val="0"/>
      <w:keepLines w:val="0"/>
      <w:numPr>
        <w:numId w:val="2"/>
      </w:numPr>
      <w:tabs>
        <w:tab w:val="clear" w:pos="2160"/>
      </w:tabs>
      <w:spacing w:before="0"/>
      <w:outlineLvl w:val="9"/>
    </w:pPr>
    <w:rPr>
      <w:rFonts w:ascii="Times New Roman" w:eastAsia="Times New Roman" w:hAnsi="Times New Roman" w:cs="Times New Roman"/>
      <w:b/>
      <w:bCs w:val="0"/>
      <w:sz w:val="24"/>
      <w:szCs w:val="2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customStyle="1" w:styleId="prdnormal">
    <w:name w:val="prdnormal"/>
  </w:style>
  <w:style w:type="paragraph" w:customStyle="1" w:styleId="ZDGName">
    <w:name w:val="Z_DGName"/>
    <w:basedOn w:val="Normal"/>
    <w:pPr>
      <w:widowControl w:val="0"/>
      <w:autoSpaceDE w:val="0"/>
      <w:autoSpaceDN w:val="0"/>
      <w:ind w:right="85"/>
    </w:pPr>
    <w:rPr>
      <w:rFonts w:ascii="Arial" w:eastAsia="Times New Roman" w:hAnsi="Arial" w:cs="Arial"/>
      <w:sz w:val="16"/>
      <w:szCs w:val="16"/>
    </w:rPr>
  </w:style>
  <w:style w:type="paragraph" w:customStyle="1" w:styleId="Style1">
    <w:name w:val="Style1"/>
    <w:basedOn w:val="Normal"/>
    <w:pPr>
      <w:spacing w:after="200" w:line="276" w:lineRule="auto"/>
      <w:ind w:left="360" w:hanging="360"/>
    </w:pPr>
    <w:rPr>
      <w:rFonts w:eastAsia="Calibri"/>
    </w:rPr>
  </w:style>
  <w:style w:type="paragraph" w:styleId="TOC3">
    <w:name w:val="toc 3"/>
    <w:basedOn w:val="Normal"/>
    <w:next w:val="Normal"/>
    <w:autoRedefine/>
    <w:uiPriority w:val="39"/>
    <w:unhideWhenUsed/>
    <w:qFormat/>
    <w:pPr>
      <w:spacing w:after="100"/>
      <w:ind w:left="440"/>
    </w:pPr>
  </w:style>
  <w:style w:type="paragraph" w:styleId="ListNumber">
    <w:name w:val="List Number"/>
    <w:basedOn w:val="Normal"/>
    <w:rPr>
      <w:rFonts w:ascii="Times New Roman" w:eastAsia="Times New Roman" w:hAnsi="Times New Roman"/>
      <w:sz w:val="24"/>
      <w:szCs w:val="20"/>
    </w:rPr>
  </w:style>
  <w:style w:type="character" w:styleId="BookTitle">
    <w:name w:val="Book Title"/>
    <w:basedOn w:val="DefaultParagraphFont"/>
    <w:uiPriority w:val="33"/>
    <w:qFormat/>
    <w:rPr>
      <w:b/>
      <w:bCs/>
      <w:smallCaps/>
      <w:spacing w:val="5"/>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
    <w:link w:val="ListParagraph"/>
    <w:uiPriority w:val="34"/>
    <w:locked/>
    <w:rPr>
      <w:rFonts w:ascii="Calibri" w:hAnsi="Calibri" w:cs="Times New Roman"/>
    </w:rPr>
  </w:style>
  <w:style w:type="paragraph" w:styleId="ListBullet">
    <w:name w:val="List Bullet"/>
    <w:basedOn w:val="Normal"/>
    <w:pPr>
      <w:numPr>
        <w:numId w:val="4"/>
      </w:numPr>
    </w:pPr>
    <w:rPr>
      <w:rFonts w:ascii="Times New Roman" w:eastAsia="Times New Roman" w:hAnsi="Times New Roman"/>
      <w:sz w:val="24"/>
      <w:szCs w:val="20"/>
    </w:rPr>
  </w:style>
  <w:style w:type="paragraph" w:customStyle="1" w:styleId="LTTBody1">
    <w:name w:val="LTT Body 1"/>
    <w:basedOn w:val="Normal"/>
    <w:qFormat/>
    <w:pPr>
      <w:numPr>
        <w:numId w:val="5"/>
      </w:numPr>
      <w:spacing w:after="0"/>
      <w:jc w:val="left"/>
    </w:pPr>
    <w:rPr>
      <w:rFonts w:eastAsia="Times New Roman" w:cs="Calibri"/>
      <w:sz w:val="28"/>
      <w:szCs w:val="28"/>
    </w:rPr>
  </w:style>
  <w:style w:type="paragraph" w:customStyle="1" w:styleId="Briefingheading2">
    <w:name w:val="Briefing heading 2"/>
    <w:basedOn w:val="Normal"/>
    <w:pPr>
      <w:keepNext/>
      <w:spacing w:before="240" w:after="120"/>
    </w:pPr>
    <w:rPr>
      <w:rFonts w:ascii="Arial" w:hAnsi="Arial" w:cs="Arial"/>
      <w:b/>
      <w:bCs/>
      <w:sz w:val="24"/>
      <w:szCs w:val="24"/>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basedOn w:val="DefaultParagraphFont"/>
    <w:uiPriority w:val="99"/>
    <w:locked/>
    <w:rPr>
      <w:rFonts w:cs="Times New Roman"/>
      <w:sz w:val="20"/>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customStyle="1" w:styleId="at21">
    <w:name w:val="a__t21"/>
    <w:basedOn w:val="DefaultParagraphFont"/>
    <w:rPr>
      <w:i/>
      <w:iCs/>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rPr>
      <w:rFonts w:ascii="Arial" w:hAnsi="Arial" w:cs="Arial"/>
    </w:rPr>
  </w:style>
  <w:style w:type="character" w:customStyle="1" w:styleId="st1">
    <w:name w:val="st1"/>
    <w:basedOn w:val="DefaultParagraphFont"/>
  </w:style>
  <w:style w:type="character" w:customStyle="1" w:styleId="mixed-citation">
    <w:name w:val="mixed-citation"/>
    <w:basedOn w:val="DefaultParagraphFont"/>
  </w:style>
  <w:style w:type="character" w:customStyle="1" w:styleId="ref-title">
    <w:name w:val="ref-title"/>
    <w:basedOn w:val="DefaultParagraphFont"/>
  </w:style>
  <w:style w:type="character" w:customStyle="1" w:styleId="ref-journal">
    <w:name w:val="ref-journal"/>
    <w:basedOn w:val="DefaultParagraphFont"/>
  </w:style>
  <w:style w:type="character" w:customStyle="1" w:styleId="ref-vol">
    <w:name w:val="ref-vol"/>
    <w:basedOn w:val="DefaultParagraphFont"/>
  </w:style>
  <w:style w:type="character" w:customStyle="1" w:styleId="nowrap">
    <w:name w:val="nowra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96261">
      <w:bodyDiv w:val="1"/>
      <w:marLeft w:val="0"/>
      <w:marRight w:val="0"/>
      <w:marTop w:val="0"/>
      <w:marBottom w:val="0"/>
      <w:divBdr>
        <w:top w:val="none" w:sz="0" w:space="0" w:color="auto"/>
        <w:left w:val="none" w:sz="0" w:space="0" w:color="auto"/>
        <w:bottom w:val="none" w:sz="0" w:space="0" w:color="auto"/>
        <w:right w:val="none" w:sz="0" w:space="0" w:color="auto"/>
      </w:divBdr>
    </w:div>
    <w:div w:id="652683024">
      <w:bodyDiv w:val="1"/>
      <w:marLeft w:val="0"/>
      <w:marRight w:val="0"/>
      <w:marTop w:val="0"/>
      <w:marBottom w:val="0"/>
      <w:divBdr>
        <w:top w:val="none" w:sz="0" w:space="0" w:color="auto"/>
        <w:left w:val="none" w:sz="0" w:space="0" w:color="auto"/>
        <w:bottom w:val="none" w:sz="0" w:space="0" w:color="auto"/>
        <w:right w:val="none" w:sz="0" w:space="0" w:color="auto"/>
      </w:divBdr>
    </w:div>
    <w:div w:id="1183785663">
      <w:bodyDiv w:val="1"/>
      <w:marLeft w:val="0"/>
      <w:marRight w:val="0"/>
      <w:marTop w:val="0"/>
      <w:marBottom w:val="0"/>
      <w:divBdr>
        <w:top w:val="none" w:sz="0" w:space="0" w:color="auto"/>
        <w:left w:val="none" w:sz="0" w:space="0" w:color="auto"/>
        <w:bottom w:val="none" w:sz="0" w:space="0" w:color="auto"/>
        <w:right w:val="none" w:sz="0" w:space="0" w:color="auto"/>
      </w:divBdr>
    </w:div>
    <w:div w:id="1258756071">
      <w:bodyDiv w:val="1"/>
      <w:marLeft w:val="0"/>
      <w:marRight w:val="0"/>
      <w:marTop w:val="0"/>
      <w:marBottom w:val="0"/>
      <w:divBdr>
        <w:top w:val="none" w:sz="0" w:space="0" w:color="auto"/>
        <w:left w:val="none" w:sz="0" w:space="0" w:color="auto"/>
        <w:bottom w:val="none" w:sz="0" w:space="0" w:color="auto"/>
        <w:right w:val="none" w:sz="0" w:space="0" w:color="auto"/>
      </w:divBdr>
    </w:div>
    <w:div w:id="1485778139">
      <w:bodyDiv w:val="1"/>
      <w:marLeft w:val="0"/>
      <w:marRight w:val="0"/>
      <w:marTop w:val="0"/>
      <w:marBottom w:val="0"/>
      <w:divBdr>
        <w:top w:val="none" w:sz="0" w:space="0" w:color="auto"/>
        <w:left w:val="none" w:sz="0" w:space="0" w:color="auto"/>
        <w:bottom w:val="none" w:sz="0" w:space="0" w:color="auto"/>
        <w:right w:val="none" w:sz="0" w:space="0" w:color="auto"/>
      </w:divBdr>
    </w:div>
    <w:div w:id="1750080816">
      <w:bodyDiv w:val="1"/>
      <w:marLeft w:val="0"/>
      <w:marRight w:val="0"/>
      <w:marTop w:val="0"/>
      <w:marBottom w:val="0"/>
      <w:divBdr>
        <w:top w:val="none" w:sz="0" w:space="0" w:color="auto"/>
        <w:left w:val="none" w:sz="0" w:space="0" w:color="auto"/>
        <w:bottom w:val="none" w:sz="0" w:space="0" w:color="auto"/>
        <w:right w:val="none" w:sz="0" w:space="0" w:color="auto"/>
      </w:divBdr>
    </w:div>
    <w:div w:id="191033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dc.europa.eu/en/publications/Publications/antimicrobial-resistance-europe-2015.pdf." TargetMode="External"/><Relationship Id="rId13" Type="http://schemas.openxmlformats.org/officeDocument/2006/relationships/hyperlink" Target="http://eur-lex.europa.eu/legal-content/EN/TXT/PDF/?uri=CELEX:52015XC0911(01)&amp;from=EN" TargetMode="External"/><Relationship Id="rId18" Type="http://schemas.openxmlformats.org/officeDocument/2006/relationships/hyperlink" Target="https://www.bundesgesundheitsministerium.de/fileadmin/Dateien/3_Downloads/G/G20-Gesundheitsministertreffen/G20_Health_Ministers_Declaration_engl.pdf" TargetMode="External"/><Relationship Id="rId3" Type="http://schemas.openxmlformats.org/officeDocument/2006/relationships/hyperlink" Target="https://amr-review.org/sites/default/files/160525_Final%20paper_with%20cover.pdf." TargetMode="External"/><Relationship Id="rId7" Type="http://schemas.openxmlformats.org/officeDocument/2006/relationships/hyperlink" Target="http://www.jpiamr.eu/" TargetMode="External"/><Relationship Id="rId12" Type="http://schemas.openxmlformats.org/officeDocument/2006/relationships/hyperlink" Target="http://www.gavi.org/about/value/" TargetMode="External"/><Relationship Id="rId17" Type="http://schemas.openxmlformats.org/officeDocument/2006/relationships/hyperlink" Target="http://www.mhlw.go.jp/seisakunitsuite/bunya/hokabunya/kokusai/g7kobe/KobeCommunique_en.pdf" TargetMode="External"/><Relationship Id="rId2" Type="http://schemas.openxmlformats.org/officeDocument/2006/relationships/hyperlink" Target="http://www.wpro.who.int/entity/drug_resistance/resources/global_action_plan_eng.pdf" TargetMode="External"/><Relationship Id="rId16" Type="http://schemas.openxmlformats.org/officeDocument/2006/relationships/hyperlink" Target="http://www.saicm.org/EmergingPolicyIssues/Pharmaceuticalnbsp;Pollutants/tabid/5477/language/en-US/Default.aspx" TargetMode="External"/><Relationship Id="rId1" Type="http://schemas.openxmlformats.org/officeDocument/2006/relationships/hyperlink" Target="http://www.who.int/entity/drugresistance/documents/surveillancereport/en/index.html" TargetMode="External"/><Relationship Id="rId6" Type="http://schemas.openxmlformats.org/officeDocument/2006/relationships/hyperlink" Target="http://www.imi.europa.eu/" TargetMode="External"/><Relationship Id="rId11" Type="http://schemas.openxmlformats.org/officeDocument/2006/relationships/hyperlink" Target="https://ec.europa.eu/health/amr/consultations/consultation_20170123_amr-new-action-plan_en" TargetMode="External"/><Relationship Id="rId5" Type="http://schemas.openxmlformats.org/officeDocument/2006/relationships/hyperlink" Target="http://www.imi.europa.eu/content/nd4bb" TargetMode="External"/><Relationship Id="rId15" Type="http://schemas.openxmlformats.org/officeDocument/2006/relationships/hyperlink" Target="http://www.ifpma.org/partners-2/declaration-by-the-pharmaceutical-biotechnology-and-diagnostics-industries-on-combating-antimicrobial-resistance-amr/" TargetMode="External"/><Relationship Id="rId10" Type="http://schemas.openxmlformats.org/officeDocument/2006/relationships/hyperlink" Target="http://ec.europa.eu/smart-regulation/roadmaps/docs/2016_sante_176_action_plan_against_amr_en.pdf" TargetMode="External"/><Relationship Id="rId19" Type="http://schemas.openxmlformats.org/officeDocument/2006/relationships/hyperlink" Target="http://www.star-idaz.net/" TargetMode="External"/><Relationship Id="rId4" Type="http://schemas.openxmlformats.org/officeDocument/2006/relationships/hyperlink" Target="http://www.un.org/sustainabledevelopment/sustainable-development-goals" TargetMode="External"/><Relationship Id="rId9" Type="http://schemas.openxmlformats.org/officeDocument/2006/relationships/hyperlink" Target="http://www.consilium.europa.eu/en/press/press-releases/2016/06/17-epsco-conclusions-antimicrobial-resistance" TargetMode="External"/><Relationship Id="rId14" Type="http://schemas.openxmlformats.org/officeDocument/2006/relationships/hyperlink" Target="https://ipchem.jrc.ec.europa.eu/RDSIdiscovery/ipche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C4D7D-D987-4FF3-9E3F-DC5120C0D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23</Pages>
  <Words>7667</Words>
  <Characters>43702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SANTE/176/2016-EN Rev, 2</vt:lpstr>
    </vt:vector>
  </TitlesOfParts>
  <Manager/>
  <Company/>
  <LinksUpToDate>false</LinksUpToDate>
  <CharactersWithSpaces>51267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SANTE/176/2016-EN Rev, 2</dc:title>
  <dc:subject>communication from the commission to the council and the european parliament</dc:subject>
  <dc:creator/>
  <cp:keywords>176</cp:keywords>
  <dc:description>Outlook 20.6.2017</dc:description>
  <cp:lastModifiedBy>LAGES CARVALHO Patrick (SG)</cp:lastModifiedBy>
  <cp:revision>35</cp:revision>
  <cp:lastPrinted>2017-06-02T07:43:00Z</cp:lastPrinted>
  <dcterms:created xsi:type="dcterms:W3CDTF">2017-06-20T13:25:00Z</dcterms:created>
  <dcterms:modified xsi:type="dcterms:W3CDTF">2017-06-28T06:39:00Z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