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01B6491CF6CD4F1CB94C51D745C24658" style="width:450.45pt;height:351.35pt">
            <v:imagedata r:id="rId9" o:title=""/>
          </v:shape>
        </w:pict>
      </w:r>
    </w:p>
    <w:p>
      <w:pPr>
        <w:rPr>
          <w:noProof/>
          <w:highlight w:val="yellow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8" w:bottom="1134" w:left="1418" w:header="709" w:footer="709" w:gutter="0"/>
          <w:pgNumType w:start="2"/>
          <w:cols w:space="720"/>
          <w:docGrid w:linePitch="326"/>
        </w:sectPr>
      </w:pPr>
    </w:p>
    <w:p>
      <w:pPr>
        <w:pStyle w:val="Annexetitreacte"/>
        <w:rPr>
          <w:noProof/>
          <w:lang w:val="en-GB"/>
        </w:rPr>
      </w:pPr>
      <w:bookmarkStart w:id="0" w:name="_GoBack"/>
      <w:bookmarkEnd w:id="0"/>
      <w:r>
        <w:rPr>
          <w:noProof/>
          <w:lang w:val="en-GB"/>
        </w:rPr>
        <w:lastRenderedPageBreak/>
        <w:t>PŘÍLOHA 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57"/>
        <w:gridCol w:w="7429"/>
      </w:tblGrid>
      <w:t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ROČNÍ STATISTIKA PŘEPRAVY ZBOŽÍ - PODROBNÉ VYKAZOVÁNÍ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Seznam proměnných a měrných jednotek</w:t>
            </w:r>
          </w:p>
        </w:tc>
        <w:tc>
          <w:tcPr>
            <w:tcW w:w="7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Přepravené zboží v: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tunách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tunokilometrech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Dopravní výkon nákladních vlaků v: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vlakových kilometrech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Počet přepravených jednotek kombinované dopravy: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počet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TEU (jednotka odpovídající 20 stopám) (pro kontejnery a výměnné nástavby)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Referenční období</w:t>
            </w:r>
          </w:p>
        </w:tc>
        <w:tc>
          <w:tcPr>
            <w:tcW w:w="7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Jeden rok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Četnost</w:t>
            </w:r>
          </w:p>
        </w:tc>
        <w:tc>
          <w:tcPr>
            <w:tcW w:w="7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Roční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Seznam tabulek s členěním pro každou tabulku</w:t>
            </w:r>
          </w:p>
        </w:tc>
        <w:tc>
          <w:tcPr>
            <w:tcW w:w="7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Tabulka I1: Přepravené zboží podle druhu přepravy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Tabulka I2: Přepravené zboží podle druhu zboží (příloha VI)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Tabulka I3: Přepravené zboží (pro mezinárodní a tranzitní dopravu) podle země nakládky a země vykládky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Tabulka I4: Přepravené zboží podle kategorií nebezpečných věcí (příloha VII)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Tabulka I5: Přepravené zboží podle typu zásilky (nepovinné)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Tabulka I6: Přepravené zboží v jednotkách kombinované dopravy, podle druhu přepravy a typu přepravní jednotky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Tabulka I7: Počet naložených přepravovaných jednotek kombinované dopravy, podle druhu přepravy a typu přepravní jednotky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Tabulka I8: Počet prázdných přepravovaných jednotek kombinované dopravy, podle druhu přepravy a typu přepravní jednotky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Tabulka I9: Dopravní výkon nákladních vlaků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Termín pro předání údajů</w:t>
            </w:r>
          </w:p>
        </w:tc>
        <w:tc>
          <w:tcPr>
            <w:tcW w:w="7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Pět měsíců po skončení referenčního období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První referenční období pro tabulky I1, I2 a I3</w:t>
            </w:r>
          </w:p>
        </w:tc>
        <w:tc>
          <w:tcPr>
            <w:tcW w:w="7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2003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57"/>
        <w:gridCol w:w="7429"/>
      </w:tblGrid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lastRenderedPageBreak/>
              <w:t>První referenční období pro tabulky I4, I5, I6, I7, I8 a I9</w:t>
            </w:r>
          </w:p>
        </w:tc>
        <w:tc>
          <w:tcPr>
            <w:tcW w:w="7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2004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Poznámky:</w:t>
            </w:r>
          </w:p>
        </w:tc>
        <w:tc>
          <w:tcPr>
            <w:tcW w:w="7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Druhy přepravy se rozlišují tyto: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vnitrostátní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mezinárodní - dovoz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mezinárodní - vývoz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tranzitní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Typ zásilky lze rozlišovat takto: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ucelený vlak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vozová zásilka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jiná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Typ přepravní jednotky se rozlišuje takto: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kontejnery a výměnné nástavby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návěsy (nedoprovázené)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silniční vozidla (doprovázená)</w:t>
            </w:r>
          </w:p>
          <w:p>
            <w:pPr>
              <w:pStyle w:val="NormalLeft"/>
              <w:ind w:left="720" w:hanging="720"/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U tabulky I3 mohou Eurostat a členské státy učinit opatření za účelem usnadnění sjednocení údajů pocházejících od provozovatelů železniční dopravy v ostatních členských státech a tím zajistit jednotnost údajů.</w:t>
            </w:r>
          </w:p>
          <w:p>
            <w:pPr>
              <w:pStyle w:val="NormalLeft"/>
              <w:ind w:left="720" w:hanging="720"/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U tabulky I4 členské státy případně označí, které druhy provozu nejsou v údajích zahrnuty.</w:t>
            </w:r>
          </w:p>
          <w:p>
            <w:pPr>
              <w:pStyle w:val="NormalLeft"/>
              <w:ind w:left="720" w:hanging="720"/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>U tabulek I2 až I8, nejsou-li k dispozici úplné informace o tranzitní přepravě, uvedou členské státy všechny dostupné údaje.</w:t>
            </w:r>
          </w:p>
        </w:tc>
      </w:tr>
    </w:tbl>
    <w:p>
      <w:pPr>
        <w:jc w:val="center"/>
        <w:rPr>
          <w:noProof/>
        </w:rPr>
      </w:pPr>
      <w:r>
        <w:rPr>
          <w:noProof/>
        </w:rPr>
        <w:t>_________________</w:t>
      </w:r>
    </w:p>
    <w:p>
      <w:pPr>
        <w:adjustRightInd w:val="0"/>
        <w:spacing w:before="0" w:after="0"/>
        <w:jc w:val="left"/>
        <w:rPr>
          <w:noProof/>
        </w:rPr>
        <w:sectPr>
          <w:footerReference w:type="default" r:id="rId16"/>
          <w:footerReference w:type="first" r:id="rId17"/>
          <w:pgSz w:w="11906" w:h="16838"/>
          <w:pgMar w:top="1134" w:right="1418" w:bottom="1134" w:left="1418" w:header="709" w:footer="709" w:gutter="0"/>
          <w:pgNumType w:start="2"/>
          <w:cols w:space="720"/>
          <w:docGrid w:linePitch="326"/>
        </w:sectPr>
      </w:pPr>
    </w:p>
    <w:p>
      <w:pPr>
        <w:pStyle w:val="CRSeparator"/>
        <w:rPr>
          <w:noProof/>
          <w:lang w:val="cs-CZ"/>
        </w:rPr>
      </w:pPr>
    </w:p>
    <w:p>
      <w:pPr>
        <w:pStyle w:val="CRReference"/>
        <w:rPr>
          <w:noProof/>
          <w:lang w:val="cs-CZ"/>
        </w:rPr>
      </w:pPr>
      <w:r>
        <w:rPr>
          <w:noProof/>
        </w:rPr>
        <w:fldChar w:fldCharType="begin"/>
      </w:r>
      <w:r>
        <w:rPr>
          <w:noProof/>
          <w:lang w:val="cs-CZ"/>
        </w:rPr>
        <w:instrText xml:space="preserve"> QUOTE "</w:instrText>
      </w:r>
      <w:r>
        <w:rPr>
          <w:rStyle w:val="CRMarker"/>
          <w:noProof/>
          <w:lang w:val="cs-CZ"/>
        </w:rPr>
        <w:instrText>ê</w:instrText>
      </w:r>
      <w:r>
        <w:rPr>
          <w:noProof/>
          <w:lang w:val="cs-CZ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cs-CZ"/>
        </w:rPr>
        <w:t>ê</w:t>
      </w:r>
      <w:r>
        <w:rPr>
          <w:noProof/>
        </w:rPr>
        <w:fldChar w:fldCharType="end"/>
      </w:r>
      <w:r>
        <w:rPr>
          <w:noProof/>
          <w:lang w:val="cs-CZ"/>
        </w:rPr>
        <w:t> 2032/2016 čl. 1 bod 11 a příloha I</w:t>
      </w:r>
    </w:p>
    <w:p>
      <w:pPr>
        <w:pStyle w:val="Annexetitreacte"/>
        <w:rPr>
          <w:noProof/>
          <w:lang w:val="cs-CZ"/>
        </w:rPr>
      </w:pPr>
      <w:r>
        <w:rPr>
          <w:noProof/>
          <w:lang w:val="cs-CZ"/>
        </w:rPr>
        <w:t>PŘÍLOHA II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6"/>
        <w:gridCol w:w="7150"/>
      </w:tblGrid>
      <w:t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ROČNÍ STATISTIKA PŘEPRAVY CESTUJÍCÍCH – PODROBNÉ VYKAZOVÁNÍ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Seznam proměnných a měrných jednotek</w:t>
            </w:r>
          </w:p>
        </w:tc>
        <w:tc>
          <w:tcPr>
            <w:tcW w:w="7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Přepravení cestující: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v počtu cestujících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v osobokilometrech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Dopravní výkon vlaků osobní dopravy: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ve vlakových kilometrech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Referenční období</w:t>
            </w:r>
          </w:p>
        </w:tc>
        <w:tc>
          <w:tcPr>
            <w:tcW w:w="7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Jeden rok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Četnost</w:t>
            </w:r>
          </w:p>
        </w:tc>
        <w:tc>
          <w:tcPr>
            <w:tcW w:w="7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Roční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Seznam tabulek s členěním pro každou tabulku</w:t>
            </w:r>
          </w:p>
        </w:tc>
        <w:tc>
          <w:tcPr>
            <w:tcW w:w="7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Tabulka II1: Přepravení cestující podle druhu dopravy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Tabulka II2: Mezinárodně přepravení cestující podle země nástupu a země výstupu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Tabulka II3: Dopravní výkon vlaků osobní dopravy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Termín pro předání údajů</w:t>
            </w:r>
          </w:p>
        </w:tc>
        <w:tc>
          <w:tcPr>
            <w:tcW w:w="7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Osm měsíců po skončení referenčního období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První referenční období</w:t>
            </w:r>
          </w:p>
        </w:tc>
        <w:tc>
          <w:tcPr>
            <w:tcW w:w="7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2016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Poznámky:</w:t>
            </w:r>
          </w:p>
        </w:tc>
        <w:tc>
          <w:tcPr>
            <w:tcW w:w="7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Point0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Druhy přepravy se rozlišují takto:</w:t>
            </w:r>
          </w:p>
          <w:p>
            <w:pPr>
              <w:pStyle w:val="Tiret1"/>
              <w:numPr>
                <w:ilvl w:val="0"/>
                <w:numId w:val="20"/>
              </w:numPr>
              <w:autoSpaceDE w:val="0"/>
              <w:autoSpaceDN w:val="0"/>
              <w:ind w:left="1418" w:hanging="567"/>
              <w:rPr>
                <w:noProof/>
              </w:rPr>
            </w:pPr>
            <w:r>
              <w:rPr>
                <w:noProof/>
              </w:rPr>
              <w:t>vnitrostátní</w:t>
            </w:r>
          </w:p>
          <w:p>
            <w:pPr>
              <w:pStyle w:val="Tiret1"/>
              <w:numPr>
                <w:ilvl w:val="0"/>
                <w:numId w:val="20"/>
              </w:numPr>
              <w:autoSpaceDE w:val="0"/>
              <w:autoSpaceDN w:val="0"/>
              <w:ind w:left="1418" w:hanging="567"/>
              <w:rPr>
                <w:noProof/>
              </w:rPr>
            </w:pPr>
            <w:r>
              <w:rPr>
                <w:noProof/>
              </w:rPr>
              <w:t>mezinárodní.</w:t>
            </w:r>
          </w:p>
          <w:p>
            <w:pPr>
              <w:pStyle w:val="Point0"/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U tabulek II1 a II2 uvádí členské státy údaje včetně informací o prodeji jízdenek mimo vykazující zemi. Tyto informace se dají získat přímo od vnitrostátních orgánů jiných zemí nebo prostřednictvím mezinárodního clearingového vyúčtování jízdného.</w:t>
            </w:r>
          </w:p>
        </w:tc>
      </w:tr>
    </w:tbl>
    <w:p>
      <w:pPr>
        <w:jc w:val="center"/>
        <w:rPr>
          <w:noProof/>
        </w:rPr>
      </w:pPr>
      <w:r>
        <w:rPr>
          <w:noProof/>
        </w:rPr>
        <w:t>________________</w:t>
      </w:r>
    </w:p>
    <w:p>
      <w:pPr>
        <w:adjustRightInd w:val="0"/>
        <w:spacing w:before="0" w:after="0"/>
        <w:jc w:val="left"/>
        <w:rPr>
          <w:noProof/>
          <w:lang w:val="en-US"/>
        </w:rPr>
        <w:sectPr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91/2003</w:t>
      </w:r>
    </w:p>
    <w:p>
      <w:pPr>
        <w:pStyle w:val="Annexetitreacte"/>
        <w:rPr>
          <w:noProof/>
        </w:rPr>
      </w:pPr>
      <w:r>
        <w:rPr>
          <w:noProof/>
        </w:rPr>
        <w:t>PŘÍLOHA III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6"/>
        <w:gridCol w:w="7150"/>
      </w:tblGrid>
      <w:t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ČTVRTLETNÍ STATISTIKA PŘEPRAVY ZBOŽÍ A CESTUJÍCÍCH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Seznam proměnných a měrných jednotek</w:t>
            </w:r>
          </w:p>
        </w:tc>
        <w:tc>
          <w:tcPr>
            <w:tcW w:w="7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Přepravené zboží v: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tunách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tunokilometrech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Přepravení cestující v: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počtu cestujících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osobokilometrech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Referenční období</w:t>
            </w:r>
          </w:p>
        </w:tc>
        <w:tc>
          <w:tcPr>
            <w:tcW w:w="7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Jedno čtvrtletí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Četnost</w:t>
            </w:r>
          </w:p>
        </w:tc>
        <w:tc>
          <w:tcPr>
            <w:tcW w:w="7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Čtvrtletní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Seznam tabulek s členěním pro každou tabulku</w:t>
            </w:r>
          </w:p>
        </w:tc>
        <w:tc>
          <w:tcPr>
            <w:tcW w:w="7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Tabulka III1: přepravené zboží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Tabulka III2: přepravení cestující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Termín pro předání údajů</w:t>
            </w:r>
          </w:p>
        </w:tc>
        <w:tc>
          <w:tcPr>
            <w:tcW w:w="7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Tři měsíce po skončení referenčního období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První referenční období</w:t>
            </w:r>
          </w:p>
        </w:tc>
        <w:tc>
          <w:tcPr>
            <w:tcW w:w="7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1. čtvrtletí 2004</w:t>
            </w:r>
          </w:p>
        </w:tc>
      </w:tr>
      <w:tr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Poznámky:</w:t>
            </w:r>
          </w:p>
        </w:tc>
        <w:tc>
          <w:tcPr>
            <w:tcW w:w="7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ind w:left="720" w:hanging="720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Tabulky III1 a III2 lze předávat na základě předběžných údajů, včetně odhadů. U tabulky III2 mohou členské státy uvádět údaje založené na prodejích jízdenek ve vykazující zemi nebo na jiném dostupném zdroji.</w:t>
            </w:r>
          </w:p>
          <w:p>
            <w:pPr>
              <w:pStyle w:val="NormalLeft"/>
              <w:ind w:left="720" w:hanging="720"/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Tyto statistické údaje předávají provozovatelé železniční dopravy spadající pod přílohy I a II.</w:t>
            </w:r>
          </w:p>
        </w:tc>
      </w:tr>
    </w:tbl>
    <w:p>
      <w:pPr>
        <w:jc w:val="center"/>
        <w:rPr>
          <w:noProof/>
        </w:rPr>
      </w:pPr>
      <w:r>
        <w:rPr>
          <w:noProof/>
        </w:rPr>
        <w:t>____________________</w:t>
      </w:r>
    </w:p>
    <w:p>
      <w:pPr>
        <w:adjustRightInd w:val="0"/>
        <w:spacing w:before="0" w:after="0"/>
        <w:jc w:val="left"/>
        <w:rPr>
          <w:noProof/>
        </w:rPr>
        <w:sectPr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Annexetitreacte"/>
        <w:rPr>
          <w:noProof/>
        </w:rPr>
      </w:pPr>
      <w:r>
        <w:rPr>
          <w:noProof/>
        </w:rPr>
        <w:lastRenderedPageBreak/>
        <w:t>PŘÍLOHA IV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57"/>
        <w:gridCol w:w="7429"/>
      </w:tblGrid>
      <w:t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REGIONÁLNÍ STATISTIKA PŘEPRAVY ZBOŽÍ A CESTUJÍCÍCH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Seznam proměnných a měrných jednotek</w:t>
            </w:r>
          </w:p>
        </w:tc>
        <w:tc>
          <w:tcPr>
            <w:tcW w:w="7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Přepravené zboží v: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tunách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Přepravení cestující v: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počtu cestujících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Referenční období</w:t>
            </w:r>
          </w:p>
        </w:tc>
        <w:tc>
          <w:tcPr>
            <w:tcW w:w="7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Jeden rok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Četnost</w:t>
            </w:r>
          </w:p>
        </w:tc>
        <w:tc>
          <w:tcPr>
            <w:tcW w:w="7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Jednou za pět let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Seznam tabulek s členěním pro každou tabulku</w:t>
            </w:r>
          </w:p>
        </w:tc>
        <w:tc>
          <w:tcPr>
            <w:tcW w:w="7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Tabulka IV1: Vnitrostátní přeprava zboží podle regionu nakládky a regionu vykládky (NUTS 2)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Tabulka IV2: Mezinárodní přeprava zboží podle regionu nakládky a regionu vykládky (NUTS 2)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Tabulka IV3: Vnitrostátní přeprava cestujících podle regionu nástupu a regionu výstupu (NUTS 2)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Tabulka IV4: Mezinárodní přeprava cestujících podle regionu nástupu a regionu výstupu (NUTS 2)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Termín pro předání údajů</w:t>
            </w:r>
          </w:p>
        </w:tc>
        <w:tc>
          <w:tcPr>
            <w:tcW w:w="7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12 měsíců po skončení referenčního období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První referenční období</w:t>
            </w:r>
          </w:p>
        </w:tc>
        <w:tc>
          <w:tcPr>
            <w:tcW w:w="7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2005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Poznámky:</w:t>
            </w:r>
          </w:p>
        </w:tc>
        <w:tc>
          <w:tcPr>
            <w:tcW w:w="7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ind w:left="720" w:hanging="720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Pokud je místo nakládky nebo vykládky (tabulky IV1, IV2) nebo nástupu nebo výstupu (tabulky IV3, IV4) mimo Evropský hospodářský prostor, uvádějí členské státy pouze zemi.</w:t>
            </w:r>
          </w:p>
          <w:p>
            <w:pPr>
              <w:pStyle w:val="NormalLeft"/>
              <w:ind w:left="720" w:hanging="720"/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Jako pomoc členským státům s přípravou těchto tabulek poskytne Eurostat členským státům seznam kódů UIC stanic a odpovídající kódy NUTS.</w:t>
            </w:r>
          </w:p>
          <w:p>
            <w:pPr>
              <w:pStyle w:val="NormalLeft"/>
              <w:ind w:left="720" w:hanging="720"/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U tabulek IV3 a IV4 mohou členské státy uvádět údaje založené na prodejích jízdenek nebo jakémkoli jiném dostupném zdroji.</w:t>
            </w:r>
          </w:p>
          <w:p>
            <w:pPr>
              <w:pStyle w:val="NormalLeft"/>
              <w:ind w:left="720" w:hanging="720"/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Tyto statistické údaje se předávají za provozovatele železniční dopravy spadající pod přílohy I a II.</w:t>
            </w:r>
          </w:p>
        </w:tc>
      </w:tr>
    </w:tbl>
    <w:p>
      <w:pPr>
        <w:jc w:val="center"/>
        <w:rPr>
          <w:noProof/>
        </w:rPr>
      </w:pPr>
      <w:r>
        <w:rPr>
          <w:noProof/>
        </w:rPr>
        <w:t>__________________</w:t>
      </w:r>
    </w:p>
    <w:p>
      <w:pPr>
        <w:adjustRightInd w:val="0"/>
        <w:spacing w:before="0" w:after="0"/>
        <w:jc w:val="left"/>
        <w:rPr>
          <w:noProof/>
        </w:rPr>
        <w:sectPr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Annexetitreacte"/>
        <w:rPr>
          <w:noProof/>
        </w:rPr>
      </w:pPr>
      <w:r>
        <w:rPr>
          <w:noProof/>
        </w:rPr>
        <w:lastRenderedPageBreak/>
        <w:t>PŘÍLOHA V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57"/>
        <w:gridCol w:w="7429"/>
      </w:tblGrid>
      <w:t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STATISTIKA DOPRAVNÍCH TOKŮ V ŽELEZNIČNÍ SÍTI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Seznam proměnných a měrných jednotek</w:t>
            </w:r>
          </w:p>
        </w:tc>
        <w:tc>
          <w:tcPr>
            <w:tcW w:w="7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Nákladní doprava: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počet vlaků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Osobní doprava: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počet vlaků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Ostatní doprava (služební vlaky atd.) (nepovinné):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počet vlaků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Referenční období</w:t>
            </w:r>
          </w:p>
        </w:tc>
        <w:tc>
          <w:tcPr>
            <w:tcW w:w="7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Jeden rok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Četnost</w:t>
            </w:r>
          </w:p>
        </w:tc>
        <w:tc>
          <w:tcPr>
            <w:tcW w:w="7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Jednou za pět let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Seznam tabulek s členěním pro každou tabulku</w:t>
            </w:r>
          </w:p>
        </w:tc>
        <w:tc>
          <w:tcPr>
            <w:tcW w:w="7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Tabulka V1: Nákladní doprava, podle traťových úseků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Tabulka V2: Osobní doprava, podle traťových úseků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Tabulka V3: Ostatní doprava (služební vlaky atd.) podle traťových úseků (nepovinné)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Termín pro předání údajů</w:t>
            </w:r>
          </w:p>
        </w:tc>
        <w:tc>
          <w:tcPr>
            <w:tcW w:w="7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18 měsíců po skončení referenčního období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První referenční období</w:t>
            </w:r>
          </w:p>
        </w:tc>
        <w:tc>
          <w:tcPr>
            <w:tcW w:w="7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2005</w:t>
            </w:r>
          </w:p>
        </w:tc>
      </w:tr>
      <w:t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Poznámky:</w:t>
            </w:r>
          </w:p>
        </w:tc>
        <w:tc>
          <w:tcPr>
            <w:tcW w:w="7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ind w:left="720" w:hanging="720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Členské státy definují soubor traťových úseků, který musí zahrnovat alespoň železniční transevropskou síť (TEN) na jejich území. Členské státy sdělí Eurostatu: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1263" w:hanging="528"/>
              <w:rPr>
                <w:noProof/>
              </w:rPr>
            </w:pPr>
            <w:r>
              <w:rPr>
                <w:noProof/>
              </w:rPr>
              <w:t>geografické souřadnice a jiné údaje nutné k identifikaci a mapování každého traťového úseku, a také spojů mezi úseky;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1263" w:hanging="528"/>
              <w:rPr>
                <w:noProof/>
              </w:rPr>
            </w:pPr>
            <w:r>
              <w:rPr>
                <w:noProof/>
              </w:rPr>
              <w:t>informace o vlastnostech (včetně kapacity) vlaků používajících každý traťový úsek.</w:t>
            </w:r>
          </w:p>
          <w:p>
            <w:pPr>
              <w:pStyle w:val="NormalLeft"/>
              <w:ind w:left="720" w:hanging="720"/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Každý traťový úsek, který je částí železniční transevropské sítě (TEN) se označí pomocí dalšího atributu v záznamu údajů, aby bylo možné kvantifikovat provoz na železniční síti TEN.</w:t>
            </w:r>
          </w:p>
        </w:tc>
      </w:tr>
    </w:tbl>
    <w:p>
      <w:pPr>
        <w:jc w:val="center"/>
        <w:rPr>
          <w:noProof/>
        </w:rPr>
      </w:pPr>
      <w:r>
        <w:rPr>
          <w:noProof/>
        </w:rPr>
        <w:t>________________</w:t>
      </w:r>
    </w:p>
    <w:p>
      <w:pPr>
        <w:adjustRightInd w:val="0"/>
        <w:spacing w:before="0" w:after="0"/>
        <w:jc w:val="left"/>
        <w:rPr>
          <w:noProof/>
        </w:rPr>
        <w:sectPr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CRSeparator"/>
        <w:rPr>
          <w:noProof/>
          <w:lang w:val="cs-CZ"/>
        </w:rPr>
      </w:pPr>
    </w:p>
    <w:p>
      <w:pPr>
        <w:pStyle w:val="CRReference"/>
        <w:rPr>
          <w:noProof/>
          <w:lang w:val="cs-CZ"/>
        </w:rPr>
      </w:pPr>
      <w:r>
        <w:rPr>
          <w:noProof/>
        </w:rPr>
        <w:fldChar w:fldCharType="begin"/>
      </w:r>
      <w:r>
        <w:rPr>
          <w:noProof/>
          <w:lang w:val="cs-CZ"/>
        </w:rPr>
        <w:instrText xml:space="preserve"> QUOTE "</w:instrText>
      </w:r>
      <w:r>
        <w:rPr>
          <w:rStyle w:val="CRMarker"/>
          <w:noProof/>
          <w:lang w:val="cs-CZ"/>
        </w:rPr>
        <w:instrText>ê</w:instrText>
      </w:r>
      <w:r>
        <w:rPr>
          <w:noProof/>
          <w:lang w:val="cs-CZ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cs-CZ"/>
        </w:rPr>
        <w:t>ê</w:t>
      </w:r>
      <w:r>
        <w:rPr>
          <w:noProof/>
        </w:rPr>
        <w:fldChar w:fldCharType="end"/>
      </w:r>
      <w:r>
        <w:rPr>
          <w:noProof/>
          <w:lang w:val="cs-CZ"/>
        </w:rPr>
        <w:t> 1304/2007 článek 3 a příloha</w:t>
      </w:r>
    </w:p>
    <w:p>
      <w:pPr>
        <w:pStyle w:val="Annexetitreacte"/>
        <w:rPr>
          <w:noProof/>
          <w:lang w:val="cs-CZ"/>
        </w:rPr>
      </w:pPr>
      <w:r>
        <w:rPr>
          <w:noProof/>
          <w:lang w:val="cs-CZ"/>
        </w:rPr>
        <w:t>PŘÍLOHA VI</w:t>
      </w:r>
    </w:p>
    <w:p>
      <w:pPr>
        <w:pStyle w:val="NormalCentered"/>
        <w:rPr>
          <w:b/>
          <w:bCs/>
          <w:noProof/>
        </w:rPr>
      </w:pPr>
      <w:r>
        <w:rPr>
          <w:b/>
          <w:bCs/>
          <w:noProof/>
        </w:rPr>
        <w:t>NST 2007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9"/>
        <w:gridCol w:w="8357"/>
      </w:tblGrid>
      <w:t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Oddíl</w:t>
            </w:r>
          </w:p>
        </w:tc>
        <w:tc>
          <w:tcPr>
            <w:tcW w:w="8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Popis</w:t>
            </w:r>
          </w:p>
        </w:tc>
      </w:tr>
      <w:t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01</w:t>
            </w:r>
          </w:p>
        </w:tc>
        <w:tc>
          <w:tcPr>
            <w:tcW w:w="8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Produkty zemědělství, myslivosti a lesnictví; ryby a jiné produkty rybolovu</w:t>
            </w:r>
          </w:p>
        </w:tc>
      </w:tr>
      <w:t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02</w:t>
            </w:r>
          </w:p>
        </w:tc>
        <w:tc>
          <w:tcPr>
            <w:tcW w:w="8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Černé a hnědé uhlí (lignit); ropa a zemní plyn</w:t>
            </w:r>
          </w:p>
        </w:tc>
      </w:tr>
      <w:t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03</w:t>
            </w:r>
          </w:p>
        </w:tc>
        <w:tc>
          <w:tcPr>
            <w:tcW w:w="8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Rudy kovů a produkty těžby a úpravy jiných nerostných surovin; rašelina; uran a thorium</w:t>
            </w:r>
          </w:p>
        </w:tc>
      </w:tr>
      <w:t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04</w:t>
            </w:r>
          </w:p>
        </w:tc>
        <w:tc>
          <w:tcPr>
            <w:tcW w:w="8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Potravinářské výrobky, nápoje a tabák</w:t>
            </w:r>
          </w:p>
        </w:tc>
      </w:tr>
      <w:t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05</w:t>
            </w:r>
          </w:p>
        </w:tc>
        <w:tc>
          <w:tcPr>
            <w:tcW w:w="8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Textilie a textilní výrobky; usně a výrobky z usně</w:t>
            </w:r>
          </w:p>
        </w:tc>
      </w:tr>
      <w:t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06</w:t>
            </w:r>
          </w:p>
        </w:tc>
        <w:tc>
          <w:tcPr>
            <w:tcW w:w="8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Dřevo a dřevěné a korkové výrobky (kromě nábytku); proutěné a slaměné výrobky; buničina, papír a výrobky z papíru; tiskařské výrobky a nahraná média</w:t>
            </w:r>
          </w:p>
        </w:tc>
      </w:tr>
      <w:t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07</w:t>
            </w:r>
          </w:p>
        </w:tc>
        <w:tc>
          <w:tcPr>
            <w:tcW w:w="8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Koks a rafinované ropné produkty</w:t>
            </w:r>
          </w:p>
        </w:tc>
      </w:tr>
      <w:t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08</w:t>
            </w:r>
          </w:p>
        </w:tc>
        <w:tc>
          <w:tcPr>
            <w:tcW w:w="8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Chemické látky, přípravky, výrobky a umělá vlákna; pryžové a plastové výrobky; jaderné palivo</w:t>
            </w:r>
          </w:p>
        </w:tc>
      </w:tr>
      <w:t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09</w:t>
            </w:r>
          </w:p>
        </w:tc>
        <w:tc>
          <w:tcPr>
            <w:tcW w:w="8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Jiné nekovové anorganické produkty</w:t>
            </w:r>
          </w:p>
        </w:tc>
      </w:tr>
      <w:t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8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Obecné kovy; kovové konstrukce a kovodělné výrobky, kromě strojů a zařízení</w:t>
            </w:r>
          </w:p>
        </w:tc>
      </w:tr>
      <w:t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8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Stroje a zařízení jinde neuvedené; kancelářské stroje a počítače; elektrické stroje a zařízení jinde neuvedené; rádiová, televizní, spojová zařízení a přístroje; lékařské, přesné a optické přístroje; hodinky a hodiny</w:t>
            </w:r>
          </w:p>
        </w:tc>
      </w:tr>
      <w:t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8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Dopravní prostředky a zařízení</w:t>
            </w:r>
          </w:p>
        </w:tc>
      </w:tr>
      <w:t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8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Nábytek; jiné průmyslové výrobky jinde neuvedené</w:t>
            </w:r>
          </w:p>
        </w:tc>
      </w:tr>
      <w:t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8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Druhotné suroviny; komunální a jiné odpady</w:t>
            </w:r>
          </w:p>
        </w:tc>
      </w:tr>
      <w:t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8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Zásilky, balíky</w:t>
            </w:r>
          </w:p>
        </w:tc>
      </w:tr>
      <w:t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8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Zařízení a materiál používaný při přepravě věcí</w:t>
            </w:r>
          </w:p>
        </w:tc>
      </w:tr>
      <w:t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8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Věci přepravované v rámci stěhování domácností a kanceláří; zavazadla přepravovaná odděleně od cestujících; motorová vozidla přepravovaná za účelem opravy; jiné neobchodovatelné věci jinde neuvedené</w:t>
            </w:r>
          </w:p>
        </w:tc>
      </w:tr>
      <w:t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lastRenderedPageBreak/>
              <w:t>18</w:t>
            </w:r>
          </w:p>
        </w:tc>
        <w:tc>
          <w:tcPr>
            <w:tcW w:w="8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Skupinové věci: kombinace druhů věcí, které se přepravují společně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9"/>
        <w:gridCol w:w="8357"/>
      </w:tblGrid>
      <w:t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lastRenderedPageBreak/>
              <w:t>19</w:t>
            </w:r>
          </w:p>
        </w:tc>
        <w:tc>
          <w:tcPr>
            <w:tcW w:w="8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Neidentifikovatelné věci: věci, které z jakéhokoliv důvodu nelze identifikovat, a proto nemohou být zařazeny do skupin 01–16</w:t>
            </w:r>
          </w:p>
        </w:tc>
      </w:tr>
      <w:tr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8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Jiné věci jinde neuvedené</w:t>
            </w:r>
          </w:p>
        </w:tc>
      </w:tr>
    </w:tbl>
    <w:p>
      <w:pPr>
        <w:jc w:val="center"/>
        <w:rPr>
          <w:noProof/>
        </w:rPr>
      </w:pPr>
      <w:r>
        <w:rPr>
          <w:noProof/>
        </w:rPr>
        <w:t>_________________</w:t>
      </w:r>
    </w:p>
    <w:p>
      <w:pPr>
        <w:adjustRightInd w:val="0"/>
        <w:spacing w:before="0" w:after="0"/>
        <w:jc w:val="left"/>
        <w:rPr>
          <w:noProof/>
          <w:lang w:val="en-US"/>
        </w:rPr>
        <w:sectPr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91/2003</w:t>
      </w:r>
    </w:p>
    <w:p>
      <w:pPr>
        <w:pStyle w:val="Annexetitreacte"/>
        <w:rPr>
          <w:noProof/>
        </w:rPr>
      </w:pPr>
      <w:r>
        <w:rPr>
          <w:noProof/>
        </w:rPr>
        <w:t>PŘÍLOHA VII</w:t>
      </w:r>
    </w:p>
    <w:p>
      <w:pPr>
        <w:pStyle w:val="NormalCentered"/>
        <w:rPr>
          <w:b/>
          <w:bCs/>
          <w:noProof/>
        </w:rPr>
      </w:pPr>
      <w:r>
        <w:rPr>
          <w:b/>
          <w:bCs/>
          <w:noProof/>
        </w:rPr>
        <w:t>KLASIFIKACE NEBEZPEČNÝCH VĚCÍ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Výbušné látky a předměty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Plyny</w:t>
      </w:r>
    </w:p>
    <w:p>
      <w:pPr>
        <w:pStyle w:val="Point0"/>
        <w:rPr>
          <w:noProof/>
        </w:rPr>
      </w:pPr>
      <w:r>
        <w:rPr>
          <w:noProof/>
        </w:rPr>
        <w:t>3.</w:t>
      </w:r>
      <w:r>
        <w:rPr>
          <w:noProof/>
        </w:rPr>
        <w:tab/>
        <w:t>Hořlavé kapalné látky (kapaliny)</w:t>
      </w:r>
    </w:p>
    <w:p>
      <w:pPr>
        <w:pStyle w:val="Point0"/>
        <w:rPr>
          <w:noProof/>
        </w:rPr>
      </w:pPr>
      <w:r>
        <w:rPr>
          <w:noProof/>
        </w:rPr>
        <w:t>4.1.</w:t>
      </w:r>
      <w:r>
        <w:rPr>
          <w:noProof/>
        </w:rPr>
        <w:tab/>
        <w:t>Hořlavé tuhé látky, samovolně se rozkládající látky a znecitlivělé tuhé výbušné látky</w:t>
      </w:r>
    </w:p>
    <w:p>
      <w:pPr>
        <w:pStyle w:val="Point0"/>
        <w:rPr>
          <w:noProof/>
        </w:rPr>
      </w:pPr>
      <w:r>
        <w:rPr>
          <w:noProof/>
        </w:rPr>
        <w:t>4.2.</w:t>
      </w:r>
      <w:r>
        <w:rPr>
          <w:noProof/>
        </w:rPr>
        <w:tab/>
        <w:t>Samozápalné látky</w:t>
      </w:r>
    </w:p>
    <w:p>
      <w:pPr>
        <w:pStyle w:val="Point0"/>
        <w:rPr>
          <w:noProof/>
        </w:rPr>
      </w:pPr>
      <w:r>
        <w:rPr>
          <w:noProof/>
        </w:rPr>
        <w:t>4.3.</w:t>
      </w:r>
      <w:r>
        <w:rPr>
          <w:noProof/>
        </w:rPr>
        <w:tab/>
        <w:t>Látky, které při styku s vodou vyvíjejí hořlavé plyny</w:t>
      </w:r>
    </w:p>
    <w:p>
      <w:pPr>
        <w:pStyle w:val="Point0"/>
        <w:rPr>
          <w:noProof/>
        </w:rPr>
      </w:pPr>
      <w:r>
        <w:rPr>
          <w:noProof/>
        </w:rPr>
        <w:t>5.1.</w:t>
      </w:r>
      <w:r>
        <w:rPr>
          <w:noProof/>
        </w:rPr>
        <w:tab/>
        <w:t>Látky podporující hoření</w:t>
      </w:r>
    </w:p>
    <w:p>
      <w:pPr>
        <w:pStyle w:val="Point0"/>
        <w:rPr>
          <w:noProof/>
        </w:rPr>
      </w:pPr>
      <w:r>
        <w:rPr>
          <w:noProof/>
        </w:rPr>
        <w:t>5.2.</w:t>
      </w:r>
      <w:r>
        <w:rPr>
          <w:noProof/>
        </w:rPr>
        <w:tab/>
        <w:t>Organické peroxidy</w:t>
      </w:r>
    </w:p>
    <w:p>
      <w:pPr>
        <w:pStyle w:val="Point0"/>
        <w:rPr>
          <w:noProof/>
        </w:rPr>
      </w:pPr>
      <w:r>
        <w:rPr>
          <w:noProof/>
        </w:rPr>
        <w:t>6.1.</w:t>
      </w:r>
      <w:r>
        <w:rPr>
          <w:noProof/>
        </w:rPr>
        <w:tab/>
        <w:t>Jedovaté látky</w:t>
      </w:r>
    </w:p>
    <w:p>
      <w:pPr>
        <w:pStyle w:val="Point0"/>
        <w:rPr>
          <w:noProof/>
        </w:rPr>
      </w:pPr>
      <w:r>
        <w:rPr>
          <w:noProof/>
        </w:rPr>
        <w:t>6.2.</w:t>
      </w:r>
      <w:r>
        <w:rPr>
          <w:noProof/>
        </w:rPr>
        <w:tab/>
        <w:t>Látky působící infekce</w:t>
      </w:r>
    </w:p>
    <w:p>
      <w:pPr>
        <w:pStyle w:val="Point0"/>
        <w:rPr>
          <w:noProof/>
        </w:rPr>
      </w:pPr>
      <w:r>
        <w:rPr>
          <w:noProof/>
        </w:rPr>
        <w:t>7.</w:t>
      </w:r>
      <w:r>
        <w:rPr>
          <w:noProof/>
        </w:rPr>
        <w:tab/>
        <w:t>Radioaktivní látky</w:t>
      </w:r>
    </w:p>
    <w:p>
      <w:pPr>
        <w:pStyle w:val="Point0"/>
        <w:rPr>
          <w:noProof/>
        </w:rPr>
      </w:pPr>
      <w:r>
        <w:rPr>
          <w:noProof/>
        </w:rPr>
        <w:t>8.</w:t>
      </w:r>
      <w:r>
        <w:rPr>
          <w:noProof/>
        </w:rPr>
        <w:tab/>
        <w:t>Žíravé látky</w:t>
      </w:r>
    </w:p>
    <w:p>
      <w:pPr>
        <w:pStyle w:val="Point0"/>
        <w:rPr>
          <w:noProof/>
        </w:rPr>
      </w:pPr>
      <w:r>
        <w:rPr>
          <w:noProof/>
        </w:rPr>
        <w:t>9.</w:t>
      </w:r>
      <w:r>
        <w:rPr>
          <w:noProof/>
        </w:rPr>
        <w:tab/>
        <w:t>Různé nebezpečné látky</w:t>
      </w:r>
    </w:p>
    <w:p>
      <w:pPr>
        <w:ind w:left="1440" w:hanging="1440"/>
        <w:rPr>
          <w:noProof/>
        </w:rPr>
      </w:pPr>
      <w:r>
        <w:rPr>
          <w:b/>
          <w:bCs/>
          <w:i/>
          <w:iCs/>
          <w:noProof/>
        </w:rPr>
        <w:t>Poznámka:</w:t>
      </w:r>
      <w:r>
        <w:rPr>
          <w:b/>
          <w:bCs/>
          <w:i/>
          <w:iCs/>
          <w:noProof/>
        </w:rPr>
        <w:tab/>
      </w:r>
      <w:r>
        <w:rPr>
          <w:noProof/>
        </w:rPr>
        <w:t>Tyto kategorie jsou kategorie definované v Řádu pro mezinárodní železniční přepravu nebezpečných věcí (RID), přijatého podle směrnice Evropského parlamentu a Rady 2008/68/ES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ind w:left="1440" w:hanging="1440"/>
        <w:jc w:val="center"/>
        <w:rPr>
          <w:noProof/>
        </w:rPr>
      </w:pPr>
      <w:r>
        <w:rPr>
          <w:b/>
          <w:bCs/>
          <w:i/>
          <w:iCs/>
          <w:noProof/>
        </w:rPr>
        <w:t>__________________</w:t>
      </w:r>
    </w:p>
    <w:p>
      <w:pPr>
        <w:adjustRightInd w:val="0"/>
        <w:spacing w:before="0" w:after="0"/>
        <w:jc w:val="left"/>
        <w:rPr>
          <w:noProof/>
        </w:rPr>
        <w:sectPr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CRSeparator"/>
        <w:rPr>
          <w:noProof/>
          <w:lang w:val="cs-CZ"/>
        </w:rPr>
      </w:pPr>
    </w:p>
    <w:p>
      <w:pPr>
        <w:pStyle w:val="CRReference"/>
        <w:rPr>
          <w:noProof/>
          <w:lang w:val="cs-CZ"/>
        </w:rPr>
      </w:pPr>
      <w:r>
        <w:rPr>
          <w:noProof/>
        </w:rPr>
        <w:fldChar w:fldCharType="begin"/>
      </w:r>
      <w:r>
        <w:rPr>
          <w:noProof/>
          <w:lang w:val="cs-CZ"/>
        </w:rPr>
        <w:instrText xml:space="preserve"> QUOTE "</w:instrText>
      </w:r>
      <w:r>
        <w:rPr>
          <w:rStyle w:val="CRMarker"/>
          <w:noProof/>
          <w:lang w:val="cs-CZ"/>
        </w:rPr>
        <w:instrText>ê</w:instrText>
      </w:r>
      <w:r>
        <w:rPr>
          <w:noProof/>
          <w:lang w:val="cs-CZ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cs-CZ"/>
        </w:rPr>
        <w:t>ê</w:t>
      </w:r>
      <w:r>
        <w:rPr>
          <w:noProof/>
        </w:rPr>
        <w:fldChar w:fldCharType="end"/>
      </w:r>
      <w:r>
        <w:rPr>
          <w:noProof/>
          <w:lang w:val="cs-CZ"/>
        </w:rPr>
        <w:t> 2032/2016 čl. 1 bod 12 příloha II</w:t>
      </w:r>
    </w:p>
    <w:p>
      <w:pPr>
        <w:pStyle w:val="Annexetitreacte"/>
        <w:rPr>
          <w:noProof/>
          <w:lang w:val="cs-CZ"/>
        </w:rPr>
      </w:pPr>
      <w:r>
        <w:rPr>
          <w:noProof/>
          <w:lang w:val="cs-CZ"/>
        </w:rPr>
        <w:t>PŘÍLOHA VIII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72"/>
        <w:gridCol w:w="5014"/>
      </w:tblGrid>
      <w:t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Tabulka VIII.1</w:t>
            </w:r>
          </w:p>
        </w:tc>
      </w:tr>
      <w:t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OBJEM PŘEPRAVNÍ ČINNOSTI PŘI PŘEPRAVĚ ZBOŽÍ</w:t>
            </w:r>
          </w:p>
        </w:tc>
      </w:tr>
      <w:t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Seznam proměnných a měrných jednotek</w:t>
            </w:r>
          </w:p>
        </w:tc>
        <w:tc>
          <w:tcPr>
            <w:tcW w:w="5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Přepravené zboží v: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tunách celkem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v tunokilometrech celkem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Dopravní výkon nákladních vlaků ve: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vlakových kilometrech celkem</w:t>
            </w:r>
          </w:p>
        </w:tc>
      </w:tr>
      <w:t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Referenční období</w:t>
            </w:r>
          </w:p>
        </w:tc>
        <w:tc>
          <w:tcPr>
            <w:tcW w:w="5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Jeden rok</w:t>
            </w:r>
          </w:p>
        </w:tc>
      </w:tr>
      <w:t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Četnost</w:t>
            </w:r>
          </w:p>
        </w:tc>
        <w:tc>
          <w:tcPr>
            <w:tcW w:w="5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Roční</w:t>
            </w:r>
          </w:p>
        </w:tc>
      </w:tr>
      <w:t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Termín pro předání údajů</w:t>
            </w:r>
          </w:p>
        </w:tc>
        <w:tc>
          <w:tcPr>
            <w:tcW w:w="5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Pět měsíců po skončení referenčního období</w:t>
            </w:r>
          </w:p>
        </w:tc>
      </w:tr>
      <w:t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První referenční období</w:t>
            </w:r>
          </w:p>
        </w:tc>
        <w:tc>
          <w:tcPr>
            <w:tcW w:w="5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2017</w:t>
            </w:r>
          </w:p>
        </w:tc>
      </w:tr>
      <w:t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Poznámky:</w:t>
            </w:r>
          </w:p>
        </w:tc>
        <w:tc>
          <w:tcPr>
            <w:tcW w:w="5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Pouze za provozovatele, u kterých celkový objem přepravy v přepravě zboží nepřesáhne 200 milionů tunokilometrů a nepřesáhne 500 000 tun a kteří se nevykazují podle přílohy I (podrobné vykazování).</w:t>
            </w:r>
          </w:p>
        </w:tc>
      </w:tr>
    </w:tbl>
    <w:p>
      <w:pPr>
        <w:rPr>
          <w:noProof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72"/>
        <w:gridCol w:w="5014"/>
      </w:tblGrid>
      <w:t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Tabulka VIII.2</w:t>
            </w:r>
          </w:p>
        </w:tc>
      </w:tr>
      <w:t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OBJEM PŘEPRAVNÍ ČINNOSTI PŘI PŘEPRAVĚ CESTUJÍCÍCH</w:t>
            </w:r>
          </w:p>
        </w:tc>
      </w:tr>
      <w:t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Seznam proměnných a měrných jednotek</w:t>
            </w:r>
          </w:p>
        </w:tc>
        <w:tc>
          <w:tcPr>
            <w:tcW w:w="5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Přepravení cestující v: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počtu cestujících celkem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osobokilometrech celkem</w:t>
            </w:r>
          </w:p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Dopravní výkon vlaků osobní dopravy ve:</w:t>
            </w:r>
          </w:p>
          <w:p>
            <w:pPr>
              <w:pStyle w:val="Tiret0"/>
              <w:numPr>
                <w:ilvl w:val="0"/>
                <w:numId w:val="20"/>
              </w:numPr>
              <w:autoSpaceDE w:val="0"/>
              <w:autoSpaceDN w:val="0"/>
              <w:ind w:left="851" w:hanging="851"/>
              <w:rPr>
                <w:noProof/>
              </w:rPr>
            </w:pPr>
            <w:r>
              <w:rPr>
                <w:noProof/>
              </w:rPr>
              <w:t>vlakových kilometrech celkem</w:t>
            </w:r>
          </w:p>
        </w:tc>
      </w:tr>
      <w:t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Referenční období</w:t>
            </w:r>
          </w:p>
        </w:tc>
        <w:tc>
          <w:tcPr>
            <w:tcW w:w="5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Jeden rok</w:t>
            </w:r>
          </w:p>
        </w:tc>
      </w:tr>
      <w:t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Četnost</w:t>
            </w:r>
          </w:p>
        </w:tc>
        <w:tc>
          <w:tcPr>
            <w:tcW w:w="5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Roční</w:t>
            </w:r>
          </w:p>
        </w:tc>
      </w:tr>
      <w:t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Termín pro předání údajů</w:t>
            </w:r>
          </w:p>
        </w:tc>
        <w:tc>
          <w:tcPr>
            <w:tcW w:w="5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Osm měsíců po skončení referenčního období</w:t>
            </w:r>
          </w:p>
        </w:tc>
      </w:tr>
      <w:t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lastRenderedPageBreak/>
              <w:t>První referenční období</w:t>
            </w:r>
          </w:p>
        </w:tc>
        <w:tc>
          <w:tcPr>
            <w:tcW w:w="5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2017</w:t>
            </w:r>
          </w:p>
        </w:tc>
      </w:tr>
      <w:t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Poznámky:</w:t>
            </w:r>
          </w:p>
        </w:tc>
        <w:tc>
          <w:tcPr>
            <w:tcW w:w="5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noProof/>
              </w:rPr>
              <w:t>Pouze za provozovatele, u kterých celkový objem přepravy v přepravě cestujících nepřesáhne 100 milionů osobokilometrů a kteří se nevykazují podle přílohy II (podrobné vykazování).</w:t>
            </w:r>
          </w:p>
        </w:tc>
      </w:tr>
    </w:tbl>
    <w:p>
      <w:pPr>
        <w:jc w:val="center"/>
        <w:rPr>
          <w:noProof/>
        </w:rPr>
      </w:pPr>
      <w:r>
        <w:rPr>
          <w:noProof/>
        </w:rPr>
        <w:t>___________________</w:t>
      </w:r>
    </w:p>
    <w:p>
      <w:pPr>
        <w:adjustRightInd w:val="0"/>
        <w:spacing w:before="0" w:after="0"/>
        <w:jc w:val="left"/>
        <w:rPr>
          <w:noProof/>
        </w:rPr>
        <w:sectPr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CRSeparator"/>
        <w:rPr>
          <w:noProof/>
          <w:lang w:val="cs-CZ"/>
        </w:rPr>
      </w:pPr>
    </w:p>
    <w:p>
      <w:pPr>
        <w:pStyle w:val="CRReference"/>
        <w:rPr>
          <w:noProof/>
          <w:lang w:val="cs-CZ"/>
        </w:rPr>
      </w:pPr>
      <w:r>
        <w:rPr>
          <w:noProof/>
        </w:rPr>
        <w:fldChar w:fldCharType="begin"/>
      </w:r>
      <w:r>
        <w:rPr>
          <w:noProof/>
          <w:lang w:val="cs-CZ"/>
        </w:rPr>
        <w:instrText xml:space="preserve"> QUOTE "</w:instrText>
      </w:r>
      <w:r>
        <w:rPr>
          <w:rStyle w:val="CRMarker"/>
          <w:noProof/>
          <w:lang w:val="cs-CZ"/>
        </w:rPr>
        <w:instrText>é</w:instrText>
      </w:r>
      <w:r>
        <w:rPr>
          <w:noProof/>
          <w:lang w:val="cs-CZ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cs-CZ"/>
        </w:rPr>
        <w:t>é</w:t>
      </w:r>
      <w:r>
        <w:rPr>
          <w:noProof/>
        </w:rPr>
        <w:fldChar w:fldCharType="end"/>
      </w:r>
    </w:p>
    <w:p>
      <w:pPr>
        <w:pStyle w:val="Annexetitre"/>
        <w:rPr>
          <w:noProof/>
        </w:rPr>
      </w:pPr>
      <w:r>
        <w:rPr>
          <w:noProof/>
        </w:rPr>
        <w:t>PŘÍLOHA IX</w:t>
      </w:r>
    </w:p>
    <w:p>
      <w:pPr>
        <w:jc w:val="center"/>
        <w:rPr>
          <w:noProof/>
        </w:rPr>
      </w:pPr>
      <w:r>
        <w:rPr>
          <w:b/>
          <w:noProof/>
        </w:rPr>
        <w:t>Zrušené nařízení a seznam jeho následných změn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8"/>
        <w:gridCol w:w="5520"/>
        <w:gridCol w:w="480"/>
        <w:gridCol w:w="2520"/>
        <w:gridCol w:w="480"/>
      </w:tblGrid>
      <w:tr>
        <w:trPr>
          <w:gridAfter w:val="1"/>
          <w:wAfter w:w="480" w:type="dxa"/>
          <w:cantSplit/>
        </w:trPr>
        <w:tc>
          <w:tcPr>
            <w:tcW w:w="5868" w:type="dxa"/>
            <w:gridSpan w:val="2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Nařízení Evropského parlamentu a Rady (ES) č. 91/2003</w:t>
            </w:r>
            <w:r>
              <w:rPr>
                <w:noProof/>
              </w:rPr>
              <w:br/>
            </w:r>
            <w:r>
              <w:rPr>
                <w:rFonts w:eastAsia="Times New Roman"/>
                <w:noProof/>
                <w:szCs w:val="20"/>
              </w:rPr>
              <w:t>(</w:t>
            </w:r>
            <w:r>
              <w:rPr>
                <w:noProof/>
              </w:rPr>
              <w:t>Úř. věst. L 14, 21.1.2003, s. 1)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0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000" w:type="dxa"/>
            <w:gridSpan w:val="2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Nařízení Komise (ES) č. 1192/2003</w:t>
            </w:r>
            <w:r>
              <w:rPr>
                <w:noProof/>
              </w:rPr>
              <w:br/>
              <w:t>(Úř. věst. L 167, 4.7.2003, s. 13)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0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000" w:type="dxa"/>
            <w:gridSpan w:val="2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Nařízení Komise (ES) č. 1304/2007</w:t>
            </w:r>
            <w:r>
              <w:rPr>
                <w:noProof/>
              </w:rPr>
              <w:br/>
              <w:t>(Úř. věst. L 290, 8.11.2007, s. 14)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Pouze článek 3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000" w:type="dxa"/>
            <w:gridSpan w:val="2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Nařízení Evropského parlamentu a Rady (ES) č. 219/2009</w:t>
            </w:r>
            <w:r>
              <w:rPr>
                <w:noProof/>
              </w:rPr>
              <w:br/>
              <w:t>(Úř. věst. L 87, 31.3.2009, s. 109)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</w:rPr>
              <w:t xml:space="preserve">Pouze bod 4.4 přílohy 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000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0"/>
                <w:lang w:val="en-US"/>
              </w:rPr>
            </w:pPr>
            <w:r>
              <w:rPr>
                <w:rFonts w:eastAsia="Times New Roman"/>
                <w:bCs/>
                <w:noProof/>
              </w:rPr>
              <w:t xml:space="preserve">Nařízení Evropského parlamentu a Rady (EU) 2016/2032 </w:t>
            </w:r>
            <w:r>
              <w:rPr>
                <w:rFonts w:eastAsia="Times New Roman"/>
                <w:noProof/>
              </w:rPr>
              <w:t>(</w:t>
            </w:r>
            <w:r>
              <w:rPr>
                <w:noProof/>
              </w:rPr>
              <w:t>Úř. věst. </w:t>
            </w:r>
            <w:r>
              <w:rPr>
                <w:rFonts w:eastAsia="Times New Roman"/>
                <w:noProof/>
              </w:rPr>
              <w:t>L 317, 23.11.2016, s. 105)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0"/>
              </w:rPr>
            </w:pPr>
          </w:p>
        </w:tc>
      </w:tr>
    </w:tbl>
    <w:p>
      <w:pPr>
        <w:jc w:val="center"/>
        <w:rPr>
          <w:noProof/>
        </w:rPr>
      </w:pPr>
      <w:r>
        <w:rPr>
          <w:noProof/>
        </w:rPr>
        <w:t>_________________</w:t>
      </w:r>
    </w:p>
    <w:p>
      <w:pPr>
        <w:adjustRightInd w:val="0"/>
        <w:spacing w:before="0" w:after="0"/>
        <w:jc w:val="left"/>
        <w:rPr>
          <w:noProof/>
        </w:rPr>
        <w:sectPr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jc w:val="center"/>
        <w:rPr>
          <w:b/>
          <w:noProof/>
          <w:szCs w:val="20"/>
          <w:u w:val="single"/>
        </w:rPr>
      </w:pPr>
      <w:r>
        <w:rPr>
          <w:b/>
          <w:noProof/>
          <w:szCs w:val="20"/>
          <w:u w:val="single"/>
        </w:rPr>
        <w:lastRenderedPageBreak/>
        <w:t>PŘÍLOHA X</w:t>
      </w:r>
    </w:p>
    <w:p>
      <w:pPr>
        <w:keepNext/>
        <w:spacing w:before="360"/>
        <w:jc w:val="center"/>
        <w:outlineLvl w:val="0"/>
        <w:rPr>
          <w:b/>
          <w:smallCaps/>
          <w:noProof/>
          <w:lang w:eastAsia="de-DE"/>
        </w:rPr>
      </w:pPr>
      <w:r>
        <w:rPr>
          <w:b/>
          <w:smallCaps/>
          <w:noProof/>
        </w:rPr>
        <w:t>Srovnávací tabulka</w:t>
      </w:r>
    </w:p>
    <w:tbl>
      <w:tblPr>
        <w:tblW w:w="9348" w:type="dxa"/>
        <w:tblLayout w:type="fixed"/>
        <w:tblLook w:val="0000" w:firstRow="0" w:lastRow="0" w:firstColumn="0" w:lastColumn="0" w:noHBand="0" w:noVBand="0"/>
      </w:tblPr>
      <w:tblGrid>
        <w:gridCol w:w="4674"/>
        <w:gridCol w:w="4674"/>
      </w:tblGrid>
      <w:tr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Nařízení (ES) č. </w:t>
            </w:r>
            <w:r>
              <w:rPr>
                <w:noProof/>
                <w:szCs w:val="20"/>
              </w:rPr>
              <w:t>91/2003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Toto nařízení</w:t>
            </w:r>
          </w:p>
        </w:tc>
      </w:tr>
      <w:tr>
        <w:trPr>
          <w:trHeight w:val="480"/>
        </w:trPr>
        <w:tc>
          <w:tcPr>
            <w:tcW w:w="4674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Cs w:val="20"/>
              </w:rPr>
              <w:t>Články</w:t>
            </w:r>
            <w:r>
              <w:rPr>
                <w:rFonts w:eastAsia="Times New Roman"/>
                <w:noProof/>
                <w:szCs w:val="20"/>
              </w:rPr>
              <w:t xml:space="preserve"> 1, 2 a 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Cs w:val="20"/>
              </w:rPr>
              <w:t>Články</w:t>
            </w:r>
            <w:r>
              <w:rPr>
                <w:rFonts w:eastAsia="Times New Roman"/>
                <w:noProof/>
                <w:szCs w:val="20"/>
              </w:rPr>
              <w:t xml:space="preserve"> 1, 2 a 3</w:t>
            </w:r>
          </w:p>
        </w:tc>
      </w:tr>
      <w:tr>
        <w:trPr>
          <w:trHeight w:val="435"/>
        </w:trP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  <w:lang w:val="en-GB"/>
              </w:rPr>
              <w:t>Čl. 4 odst. 1, návětí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  <w:lang w:val="en-GB"/>
              </w:rPr>
              <w:t>Čl. 4 odst. 1, návětí</w:t>
            </w:r>
          </w:p>
        </w:tc>
      </w:tr>
      <w:tr>
        <w:trPr>
          <w:trHeight w:val="435"/>
        </w:trP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Čl. 4 odst. 1 písm. a)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Čl. 4 odst. 1 písm. a)</w:t>
            </w:r>
          </w:p>
        </w:tc>
      </w:tr>
      <w:tr>
        <w:trPr>
          <w:trHeight w:val="471"/>
        </w:trP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Čl. 4 odst. 1 písm. c)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Čl. 4 odst. 1 písm. b)</w:t>
            </w:r>
          </w:p>
        </w:tc>
      </w:tr>
      <w:tr>
        <w:trPr>
          <w:trHeight w:val="510"/>
        </w:trP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Čl. 4 odst. 1 písm. e)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Čl. 4 odst. 1 písm. c)</w:t>
            </w:r>
          </w:p>
        </w:tc>
      </w:tr>
      <w:tr>
        <w:trPr>
          <w:trHeight w:val="444"/>
        </w:trP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Čl. 4 odst.1 písm. f)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Čl. 4 odst. 1 písm. d)</w:t>
            </w:r>
          </w:p>
        </w:tc>
      </w:tr>
      <w:tr>
        <w:trPr>
          <w:trHeight w:val="453"/>
        </w:trP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Čl. 4 odst. 1 písm. g)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Čl. 4 odst. 1 písm. e)</w:t>
            </w:r>
          </w:p>
        </w:tc>
      </w:tr>
      <w:tr>
        <w:trPr>
          <w:trHeight w:val="480"/>
        </w:trP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Cs w:val="20"/>
              </w:rPr>
              <w:t>Čl.</w:t>
            </w:r>
            <w:r>
              <w:rPr>
                <w:rFonts w:eastAsia="Times New Roman"/>
                <w:noProof/>
                <w:szCs w:val="20"/>
              </w:rPr>
              <w:t xml:space="preserve"> 4 odst. 2, 3 a 4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Cs w:val="20"/>
              </w:rPr>
              <w:t>Čl.</w:t>
            </w:r>
            <w:r>
              <w:rPr>
                <w:rFonts w:eastAsia="Times New Roman"/>
                <w:noProof/>
                <w:szCs w:val="20"/>
              </w:rPr>
              <w:t xml:space="preserve"> 4 odst. 2, 3 a 4</w:t>
            </w:r>
          </w:p>
        </w:tc>
      </w:tr>
      <w:t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Čl. 4 odst. 5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-</w:t>
            </w:r>
          </w:p>
        </w:tc>
      </w:tr>
      <w:tr>
        <w:trPr>
          <w:trHeight w:val="450"/>
        </w:trP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 xml:space="preserve">Články 5, 6 a 7 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Články 5, 6 a 7</w:t>
            </w:r>
          </w:p>
        </w:tc>
      </w:tr>
      <w:tr>
        <w:trPr>
          <w:trHeight w:val="468"/>
        </w:trP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Čl. 8 odst. 1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Čl. 8 odst. 1</w:t>
            </w:r>
          </w:p>
        </w:tc>
      </w:tr>
      <w:tr>
        <w:trPr>
          <w:trHeight w:val="465"/>
        </w:trP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Čl. 8 odst. 1a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Čl. 8 odst. 2</w:t>
            </w:r>
          </w:p>
        </w:tc>
      </w:tr>
      <w:tr>
        <w:trPr>
          <w:trHeight w:val="516"/>
        </w:trP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Čl. 8 odst. 2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Čl. 8 odst. 3</w:t>
            </w:r>
          </w:p>
        </w:tc>
      </w:tr>
      <w:tr>
        <w:trPr>
          <w:trHeight w:val="420"/>
        </w:trP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Čl. 8 odst. 3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Čl. 8 odst. 4</w:t>
            </w:r>
          </w:p>
        </w:tc>
      </w:tr>
      <w:tr>
        <w:trPr>
          <w:trHeight w:val="420"/>
        </w:trP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Čl. 8 odst. 4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Čl. 8 odst. 5</w:t>
            </w:r>
          </w:p>
        </w:tc>
      </w:tr>
      <w:tr>
        <w:trPr>
          <w:trHeight w:val="453"/>
        </w:trP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Cs w:val="20"/>
              </w:rPr>
              <w:t>Články</w:t>
            </w:r>
            <w:r>
              <w:rPr>
                <w:rFonts w:eastAsia="Times New Roman"/>
                <w:noProof/>
                <w:szCs w:val="20"/>
              </w:rPr>
              <w:t xml:space="preserve"> 9, 10 a 11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Cs w:val="20"/>
              </w:rPr>
              <w:t>Články</w:t>
            </w:r>
            <w:r>
              <w:rPr>
                <w:rFonts w:eastAsia="Times New Roman"/>
                <w:noProof/>
                <w:szCs w:val="20"/>
              </w:rPr>
              <w:t xml:space="preserve"> 9, 10 a 11</w:t>
            </w:r>
          </w:p>
        </w:tc>
      </w:tr>
      <w:tr>
        <w:trPr>
          <w:trHeight w:val="495"/>
        </w:trP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  <w:lang w:val="fr-BE"/>
              </w:rPr>
              <w:t>-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  <w:lang w:val="fr-BE"/>
              </w:rPr>
              <w:t>Článek 12</w:t>
            </w:r>
          </w:p>
        </w:tc>
      </w:tr>
      <w:tr>
        <w:trPr>
          <w:trHeight w:val="402"/>
        </w:trP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  <w:lang w:val="fr-BE"/>
              </w:rPr>
            </w:pPr>
            <w:r>
              <w:rPr>
                <w:rFonts w:eastAsia="Times New Roman"/>
                <w:noProof/>
                <w:szCs w:val="20"/>
                <w:lang w:val="fr-BE"/>
              </w:rPr>
              <w:t>Článek 13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  <w:lang w:val="fr-BE"/>
              </w:rPr>
            </w:pPr>
            <w:r>
              <w:rPr>
                <w:rFonts w:eastAsia="Times New Roman"/>
                <w:noProof/>
                <w:szCs w:val="20"/>
                <w:lang w:val="fr-BE"/>
              </w:rPr>
              <w:t>Článek 13</w:t>
            </w:r>
          </w:p>
        </w:tc>
      </w:tr>
      <w:t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Příloha A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Příloha I</w:t>
            </w:r>
          </w:p>
        </w:tc>
      </w:tr>
      <w:t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Příloha C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Příloha II</w:t>
            </w:r>
          </w:p>
        </w:tc>
      </w:tr>
      <w:t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Příloha E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Příloha III</w:t>
            </w:r>
          </w:p>
        </w:tc>
      </w:tr>
      <w:tr>
        <w:trPr>
          <w:trHeight w:val="405"/>
        </w:trP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Příloha F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Příloha IV</w:t>
            </w:r>
          </w:p>
        </w:tc>
      </w:tr>
      <w:tr>
        <w:trPr>
          <w:trHeight w:val="495"/>
        </w:trP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lastRenderedPageBreak/>
              <w:t>Příloha G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Příloha V</w:t>
            </w:r>
          </w:p>
        </w:tc>
      </w:tr>
      <w:tr>
        <w:trPr>
          <w:trHeight w:val="393"/>
        </w:trP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Příloha J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Příloha VI</w:t>
            </w:r>
          </w:p>
        </w:tc>
      </w:tr>
      <w:tr>
        <w:trPr>
          <w:trHeight w:val="414"/>
        </w:trP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Příloha K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Příloha VII</w:t>
            </w:r>
          </w:p>
        </w:tc>
      </w:tr>
      <w:tr>
        <w:trPr>
          <w:trHeight w:val="405"/>
        </w:trP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Příloha L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Příloha VIII</w:t>
            </w:r>
          </w:p>
        </w:tc>
      </w:tr>
      <w:tr>
        <w:trPr>
          <w:trHeight w:val="411"/>
        </w:trP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Příloha IX</w:t>
            </w:r>
          </w:p>
        </w:tc>
      </w:tr>
      <w:tr>
        <w:trPr>
          <w:trHeight w:val="360"/>
        </w:trPr>
        <w:tc>
          <w:tcPr>
            <w:tcW w:w="4674" w:type="dxa"/>
            <w:tcBorders>
              <w:righ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_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t>Příloha X</w:t>
            </w:r>
          </w:p>
        </w:tc>
      </w:tr>
    </w:tbl>
    <w:p>
      <w:pPr>
        <w:jc w:val="center"/>
        <w:rPr>
          <w:noProof/>
        </w:rPr>
      </w:pPr>
      <w:r>
        <w:rPr>
          <w:noProof/>
        </w:rPr>
        <w:t>_________________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CS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CS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CS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CS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Směrnice Evropského parlamentu a Rady 2008/68/ES ze dne 24. září 2008 o pozemní přepravě nebezpečných věcí (Úř. věst. L 260, 30.9.2008, s. 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03A3C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B9E8E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052AB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7F29C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CF0F7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408F1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682F0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AD2EB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5D9B6005"/>
    <w:multiLevelType w:val="singleLevel"/>
    <w:tmpl w:val="43E2927E"/>
    <w:lvl w:ilvl="0">
      <w:start w:val="1"/>
      <w:numFmt w:val="decimal"/>
      <w:lvlRestart w:val="0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1"/>
  </w:num>
  <w:num w:numId="4">
    <w:abstractNumId w:val="11"/>
  </w:num>
  <w:num w:numId="5">
    <w:abstractNumId w:val="13"/>
  </w:num>
  <w:num w:numId="6">
    <w:abstractNumId w:val="9"/>
  </w:num>
  <w:num w:numId="7">
    <w:abstractNumId w:val="20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2"/>
  </w:num>
  <w:num w:numId="15">
    <w:abstractNumId w:val="7"/>
  </w:num>
  <w:num w:numId="16">
    <w:abstractNumId w:val="5"/>
  </w:num>
  <w:num w:numId="17">
    <w:abstractNumId w:val="4"/>
  </w:num>
  <w:num w:numId="18">
    <w:abstractNumId w:val="3"/>
  </w:num>
  <w:num w:numId="19">
    <w:abstractNumId w:val="19"/>
  </w:num>
  <w:num w:numId="20">
    <w:abstractNumId w:val="18"/>
    <w:lvlOverride w:ilvl="0">
      <w:lvl w:ilvl="0">
        <w:start w:val="1"/>
        <w:numFmt w:val="bullet"/>
        <w:pStyle w:val="Tiret0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21">
    <w:abstractNumId w:val="18"/>
  </w:num>
  <w:num w:numId="22">
    <w:abstractNumId w:val="18"/>
  </w:num>
  <w:num w:numId="23">
    <w:abstractNumId w:val="12"/>
  </w:num>
  <w:num w:numId="24">
    <w:abstractNumId w:val="21"/>
  </w:num>
  <w:num w:numId="25">
    <w:abstractNumId w:val="11"/>
  </w:num>
  <w:num w:numId="26">
    <w:abstractNumId w:val="13"/>
  </w:num>
  <w:num w:numId="27">
    <w:abstractNumId w:val="9"/>
  </w:num>
  <w:num w:numId="28">
    <w:abstractNumId w:val="20"/>
  </w:num>
  <w:num w:numId="29">
    <w:abstractNumId w:val="8"/>
  </w:num>
  <w:num w:numId="30">
    <w:abstractNumId w:val="14"/>
  </w:num>
  <w:num w:numId="31">
    <w:abstractNumId w:val="16"/>
  </w:num>
  <w:num w:numId="32">
    <w:abstractNumId w:val="17"/>
  </w:num>
  <w:num w:numId="33">
    <w:abstractNumId w:val="10"/>
  </w:num>
  <w:num w:numId="34">
    <w:abstractNumId w:val="15"/>
  </w:num>
  <w:num w:numId="35">
    <w:abstractNumId w:val="22"/>
  </w:num>
  <w:num w:numId="36">
    <w:abstractNumId w:val="6"/>
  </w:num>
  <w:num w:numId="37">
    <w:abstractNumId w:val="2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CR_TimeStamp" w:val="9:53:59"/>
    <w:docVar w:name="DQCDateTime" w:val="2017-05-02 09:54:2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&lt;UNUSED&gt;"/>
    <w:docVar w:name="LW_ANNEX_NBR_FIRST" w:val="1"/>
    <w:docVar w:name="LW_ANNEX_NBR_LAST" w:val="10"/>
    <w:docVar w:name="LW_CONFIDENCE" w:val=" "/>
    <w:docVar w:name="LW_CONST_RESTREINT_UE" w:val="RESTREINT UE"/>
    <w:docVar w:name="LW_CORRIGENDUM" w:val="&lt;UNUSED&gt;"/>
    <w:docVar w:name="LW_COVERPAGE_GUID" w:val="01B6491CF6CD4F1CB94C51D745C24658"/>
    <w:docVar w:name="LW_CROSSREFERENCE" w:val="&lt;UNUSED&gt;"/>
    <w:docVar w:name="LW_DocType" w:val="ANNEX"/>
    <w:docVar w:name="LW_EMISSION" w:val="30.6.2017"/>
    <w:docVar w:name="LW_EMISSION_ISODATE" w:val="2017-06-30"/>
    <w:docVar w:name="LW_EMISSION_LOCATION" w:val="BRX"/>
    <w:docVar w:name="LW_EMISSION_PREFIX" w:val="V Bruselu dne "/>
    <w:docVar w:name="LW_EMISSION_SUFFIX" w:val=" "/>
    <w:docVar w:name="LW_ID_DOCSTRUCTURE" w:val="COM/ANNEX"/>
    <w:docVar w:name="LW_ID_DOCTYPE" w:val="SG-017"/>
    <w:docVar w:name="LW_LANGUE" w:val="CS"/>
    <w:docVar w:name="LW_MARKING" w:val="&lt;UNUSED&gt;"/>
    <w:docVar w:name="LW_NOM.INST" w:val="EVROPSKÁ KOMISE"/>
    <w:docVar w:name="LW_NOM.INST_JOINTDOC" w:val="&lt;EMPTY&gt;"/>
    <w:docVar w:name="LW_OBJETACTEPRINCIPAL.CP" w:val="&lt;UNUSED&gt;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353"/>
    <w:docVar w:name="LW_REF.INTERNE" w:val="&lt;UNUSED&gt;"/>
    <w:docVar w:name="LW_SUPERTITRE" w:val="&lt;UNUSED&gt;"/>
    <w:docVar w:name="LW_TITRE.OBJ.CP" w:val="návrhu _x000b__x000b_NA\u344?ÍZENÍ EVROPSKÉHO PARLAMENTU A RADY _x000b_o statistice \u382?elezni\u269?ní dopravy (p\u345?epracované zn\u283?ní)"/>
    <w:docVar w:name="LW_TYPE.DOC.CP" w:val="P\u344?ÍLOHY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cs-CZ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customStyle="1" w:styleId="Annexetitreacte">
    <w:name w:val="Annexe titre (acte)"/>
    <w:basedOn w:val="Normal"/>
    <w:next w:val="Normal"/>
    <w:uiPriority w:val="99"/>
    <w:pPr>
      <w:autoSpaceDE w:val="0"/>
      <w:autoSpaceDN w:val="0"/>
      <w:jc w:val="center"/>
    </w:pPr>
    <w:rPr>
      <w:rFonts w:eastAsiaTheme="minorEastAsia"/>
      <w:b/>
      <w:bCs/>
      <w:szCs w:val="24"/>
      <w:u w:val="single"/>
      <w:lang w:val="fr-FR" w:eastAsia="en-GB"/>
    </w:rPr>
  </w:style>
  <w:style w:type="character" w:customStyle="1" w:styleId="CRMarker">
    <w:name w:val="CR Marker"/>
    <w:basedOn w:val="DefaultParagraphFont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Theme="minorEastAsia"/>
      <w:szCs w:val="24"/>
      <w:lang w:val="fr-FR"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Theme="minorEastAsia"/>
      <w:szCs w:val="24"/>
      <w:lang w:val="fr-FR" w:eastAsia="en-GB"/>
    </w:rPr>
  </w:style>
  <w:style w:type="paragraph" w:customStyle="1" w:styleId="CRParaDeleted">
    <w:name w:val="CR ParaDeleted"/>
    <w:basedOn w:val="Normal"/>
    <w:next w:val="Normal"/>
    <w:uiPriority w:val="99"/>
    <w:pPr>
      <w:autoSpaceDE w:val="0"/>
      <w:autoSpaceDN w:val="0"/>
    </w:pPr>
    <w:rPr>
      <w:rFonts w:eastAsiaTheme="minorEastAsia"/>
      <w:szCs w:val="24"/>
      <w:lang w:val="fr-F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cs-CZ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cs-CZ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2"/>
      </w:numPr>
    </w:pPr>
  </w:style>
  <w:style w:type="paragraph" w:customStyle="1" w:styleId="Tiret1">
    <w:name w:val="Tiret 1"/>
    <w:basedOn w:val="Point1"/>
    <w:pPr>
      <w:numPr>
        <w:numId w:val="23"/>
      </w:numPr>
    </w:pPr>
  </w:style>
  <w:style w:type="paragraph" w:customStyle="1" w:styleId="Tiret2">
    <w:name w:val="Tiret 2"/>
    <w:basedOn w:val="Point2"/>
    <w:pPr>
      <w:numPr>
        <w:numId w:val="24"/>
      </w:numPr>
    </w:pPr>
  </w:style>
  <w:style w:type="paragraph" w:customStyle="1" w:styleId="Tiret3">
    <w:name w:val="Tiret 3"/>
    <w:basedOn w:val="Point3"/>
    <w:pPr>
      <w:numPr>
        <w:numId w:val="25"/>
      </w:numPr>
    </w:pPr>
  </w:style>
  <w:style w:type="paragraph" w:customStyle="1" w:styleId="Tiret4">
    <w:name w:val="Tiret 4"/>
    <w:basedOn w:val="Point4"/>
    <w:pPr>
      <w:numPr>
        <w:numId w:val="2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9"/>
      </w:numPr>
    </w:pPr>
  </w:style>
  <w:style w:type="paragraph" w:customStyle="1" w:styleId="Point1number">
    <w:name w:val="Point 1 (number)"/>
    <w:basedOn w:val="Normal"/>
    <w:pPr>
      <w:numPr>
        <w:ilvl w:val="2"/>
        <w:numId w:val="29"/>
      </w:numPr>
    </w:pPr>
  </w:style>
  <w:style w:type="paragraph" w:customStyle="1" w:styleId="Point2number">
    <w:name w:val="Point 2 (number)"/>
    <w:basedOn w:val="Normal"/>
    <w:pPr>
      <w:numPr>
        <w:ilvl w:val="4"/>
        <w:numId w:val="29"/>
      </w:numPr>
    </w:pPr>
  </w:style>
  <w:style w:type="paragraph" w:customStyle="1" w:styleId="Point3number">
    <w:name w:val="Point 3 (number)"/>
    <w:basedOn w:val="Normal"/>
    <w:pPr>
      <w:numPr>
        <w:ilvl w:val="6"/>
        <w:numId w:val="29"/>
      </w:numPr>
    </w:pPr>
  </w:style>
  <w:style w:type="paragraph" w:customStyle="1" w:styleId="Point0letter">
    <w:name w:val="Point 0 (letter)"/>
    <w:basedOn w:val="Normal"/>
    <w:pPr>
      <w:numPr>
        <w:ilvl w:val="1"/>
        <w:numId w:val="29"/>
      </w:numPr>
    </w:pPr>
  </w:style>
  <w:style w:type="paragraph" w:customStyle="1" w:styleId="Point1letter">
    <w:name w:val="Point 1 (letter)"/>
    <w:basedOn w:val="Normal"/>
    <w:pPr>
      <w:numPr>
        <w:ilvl w:val="3"/>
        <w:numId w:val="29"/>
      </w:numPr>
    </w:pPr>
  </w:style>
  <w:style w:type="paragraph" w:customStyle="1" w:styleId="Point2letter">
    <w:name w:val="Point 2 (letter)"/>
    <w:basedOn w:val="Normal"/>
    <w:pPr>
      <w:numPr>
        <w:ilvl w:val="5"/>
        <w:numId w:val="29"/>
      </w:numPr>
    </w:pPr>
  </w:style>
  <w:style w:type="paragraph" w:customStyle="1" w:styleId="Point3letter">
    <w:name w:val="Point 3 (letter)"/>
    <w:basedOn w:val="Normal"/>
    <w:pPr>
      <w:numPr>
        <w:ilvl w:val="7"/>
        <w:numId w:val="29"/>
      </w:numPr>
    </w:pPr>
  </w:style>
  <w:style w:type="paragraph" w:customStyle="1" w:styleId="Point4letter">
    <w:name w:val="Point 4 (letter)"/>
    <w:basedOn w:val="Normal"/>
    <w:pPr>
      <w:numPr>
        <w:ilvl w:val="8"/>
        <w:numId w:val="29"/>
      </w:numPr>
    </w:pPr>
  </w:style>
  <w:style w:type="paragraph" w:customStyle="1" w:styleId="Bullet0">
    <w:name w:val="Bullet 0"/>
    <w:basedOn w:val="Normal"/>
    <w:pPr>
      <w:numPr>
        <w:numId w:val="30"/>
      </w:numPr>
    </w:pPr>
  </w:style>
  <w:style w:type="paragraph" w:customStyle="1" w:styleId="Bullet1">
    <w:name w:val="Bullet 1"/>
    <w:basedOn w:val="Normal"/>
    <w:pPr>
      <w:numPr>
        <w:numId w:val="31"/>
      </w:numPr>
    </w:pPr>
  </w:style>
  <w:style w:type="paragraph" w:customStyle="1" w:styleId="Bullet2">
    <w:name w:val="Bullet 2"/>
    <w:basedOn w:val="Normal"/>
    <w:pPr>
      <w:numPr>
        <w:numId w:val="32"/>
      </w:numPr>
    </w:pPr>
  </w:style>
  <w:style w:type="paragraph" w:customStyle="1" w:styleId="Bullet3">
    <w:name w:val="Bullet 3"/>
    <w:basedOn w:val="Normal"/>
    <w:pPr>
      <w:numPr>
        <w:numId w:val="33"/>
      </w:numPr>
    </w:pPr>
  </w:style>
  <w:style w:type="paragraph" w:customStyle="1" w:styleId="Bullet4">
    <w:name w:val="Bullet 4"/>
    <w:basedOn w:val="Normal"/>
    <w:pPr>
      <w:numPr>
        <w:numId w:val="34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cs-CZ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customStyle="1" w:styleId="Annexetitreacte">
    <w:name w:val="Annexe titre (acte)"/>
    <w:basedOn w:val="Normal"/>
    <w:next w:val="Normal"/>
    <w:uiPriority w:val="99"/>
    <w:pPr>
      <w:autoSpaceDE w:val="0"/>
      <w:autoSpaceDN w:val="0"/>
      <w:jc w:val="center"/>
    </w:pPr>
    <w:rPr>
      <w:rFonts w:eastAsiaTheme="minorEastAsia"/>
      <w:b/>
      <w:bCs/>
      <w:szCs w:val="24"/>
      <w:u w:val="single"/>
      <w:lang w:val="fr-FR" w:eastAsia="en-GB"/>
    </w:rPr>
  </w:style>
  <w:style w:type="character" w:customStyle="1" w:styleId="CRMarker">
    <w:name w:val="CR Marker"/>
    <w:basedOn w:val="DefaultParagraphFont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Theme="minorEastAsia"/>
      <w:szCs w:val="24"/>
      <w:lang w:val="fr-FR"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Theme="minorEastAsia"/>
      <w:szCs w:val="24"/>
      <w:lang w:val="fr-FR" w:eastAsia="en-GB"/>
    </w:rPr>
  </w:style>
  <w:style w:type="paragraph" w:customStyle="1" w:styleId="CRParaDeleted">
    <w:name w:val="CR ParaDeleted"/>
    <w:basedOn w:val="Normal"/>
    <w:next w:val="Normal"/>
    <w:uiPriority w:val="99"/>
    <w:pPr>
      <w:autoSpaceDE w:val="0"/>
      <w:autoSpaceDN w:val="0"/>
    </w:pPr>
    <w:rPr>
      <w:rFonts w:eastAsiaTheme="minorEastAsia"/>
      <w:szCs w:val="24"/>
      <w:lang w:val="fr-F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cs-CZ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cs-CZ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2"/>
      </w:numPr>
    </w:pPr>
  </w:style>
  <w:style w:type="paragraph" w:customStyle="1" w:styleId="Tiret1">
    <w:name w:val="Tiret 1"/>
    <w:basedOn w:val="Point1"/>
    <w:pPr>
      <w:numPr>
        <w:numId w:val="23"/>
      </w:numPr>
    </w:pPr>
  </w:style>
  <w:style w:type="paragraph" w:customStyle="1" w:styleId="Tiret2">
    <w:name w:val="Tiret 2"/>
    <w:basedOn w:val="Point2"/>
    <w:pPr>
      <w:numPr>
        <w:numId w:val="24"/>
      </w:numPr>
    </w:pPr>
  </w:style>
  <w:style w:type="paragraph" w:customStyle="1" w:styleId="Tiret3">
    <w:name w:val="Tiret 3"/>
    <w:basedOn w:val="Point3"/>
    <w:pPr>
      <w:numPr>
        <w:numId w:val="25"/>
      </w:numPr>
    </w:pPr>
  </w:style>
  <w:style w:type="paragraph" w:customStyle="1" w:styleId="Tiret4">
    <w:name w:val="Tiret 4"/>
    <w:basedOn w:val="Point4"/>
    <w:pPr>
      <w:numPr>
        <w:numId w:val="2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9"/>
      </w:numPr>
    </w:pPr>
  </w:style>
  <w:style w:type="paragraph" w:customStyle="1" w:styleId="Point1number">
    <w:name w:val="Point 1 (number)"/>
    <w:basedOn w:val="Normal"/>
    <w:pPr>
      <w:numPr>
        <w:ilvl w:val="2"/>
        <w:numId w:val="29"/>
      </w:numPr>
    </w:pPr>
  </w:style>
  <w:style w:type="paragraph" w:customStyle="1" w:styleId="Point2number">
    <w:name w:val="Point 2 (number)"/>
    <w:basedOn w:val="Normal"/>
    <w:pPr>
      <w:numPr>
        <w:ilvl w:val="4"/>
        <w:numId w:val="29"/>
      </w:numPr>
    </w:pPr>
  </w:style>
  <w:style w:type="paragraph" w:customStyle="1" w:styleId="Point3number">
    <w:name w:val="Point 3 (number)"/>
    <w:basedOn w:val="Normal"/>
    <w:pPr>
      <w:numPr>
        <w:ilvl w:val="6"/>
        <w:numId w:val="29"/>
      </w:numPr>
    </w:pPr>
  </w:style>
  <w:style w:type="paragraph" w:customStyle="1" w:styleId="Point0letter">
    <w:name w:val="Point 0 (letter)"/>
    <w:basedOn w:val="Normal"/>
    <w:pPr>
      <w:numPr>
        <w:ilvl w:val="1"/>
        <w:numId w:val="29"/>
      </w:numPr>
    </w:pPr>
  </w:style>
  <w:style w:type="paragraph" w:customStyle="1" w:styleId="Point1letter">
    <w:name w:val="Point 1 (letter)"/>
    <w:basedOn w:val="Normal"/>
    <w:pPr>
      <w:numPr>
        <w:ilvl w:val="3"/>
        <w:numId w:val="29"/>
      </w:numPr>
    </w:pPr>
  </w:style>
  <w:style w:type="paragraph" w:customStyle="1" w:styleId="Point2letter">
    <w:name w:val="Point 2 (letter)"/>
    <w:basedOn w:val="Normal"/>
    <w:pPr>
      <w:numPr>
        <w:ilvl w:val="5"/>
        <w:numId w:val="29"/>
      </w:numPr>
    </w:pPr>
  </w:style>
  <w:style w:type="paragraph" w:customStyle="1" w:styleId="Point3letter">
    <w:name w:val="Point 3 (letter)"/>
    <w:basedOn w:val="Normal"/>
    <w:pPr>
      <w:numPr>
        <w:ilvl w:val="7"/>
        <w:numId w:val="29"/>
      </w:numPr>
    </w:pPr>
  </w:style>
  <w:style w:type="paragraph" w:customStyle="1" w:styleId="Point4letter">
    <w:name w:val="Point 4 (letter)"/>
    <w:basedOn w:val="Normal"/>
    <w:pPr>
      <w:numPr>
        <w:ilvl w:val="8"/>
        <w:numId w:val="29"/>
      </w:numPr>
    </w:pPr>
  </w:style>
  <w:style w:type="paragraph" w:customStyle="1" w:styleId="Bullet0">
    <w:name w:val="Bullet 0"/>
    <w:basedOn w:val="Normal"/>
    <w:pPr>
      <w:numPr>
        <w:numId w:val="30"/>
      </w:numPr>
    </w:pPr>
  </w:style>
  <w:style w:type="paragraph" w:customStyle="1" w:styleId="Bullet1">
    <w:name w:val="Bullet 1"/>
    <w:basedOn w:val="Normal"/>
    <w:pPr>
      <w:numPr>
        <w:numId w:val="31"/>
      </w:numPr>
    </w:pPr>
  </w:style>
  <w:style w:type="paragraph" w:customStyle="1" w:styleId="Bullet2">
    <w:name w:val="Bullet 2"/>
    <w:basedOn w:val="Normal"/>
    <w:pPr>
      <w:numPr>
        <w:numId w:val="32"/>
      </w:numPr>
    </w:pPr>
  </w:style>
  <w:style w:type="paragraph" w:customStyle="1" w:styleId="Bullet3">
    <w:name w:val="Bullet 3"/>
    <w:basedOn w:val="Normal"/>
    <w:pPr>
      <w:numPr>
        <w:numId w:val="33"/>
      </w:numPr>
    </w:pPr>
  </w:style>
  <w:style w:type="paragraph" w:customStyle="1" w:styleId="Bullet4">
    <w:name w:val="Bullet 4"/>
    <w:basedOn w:val="Normal"/>
    <w:pPr>
      <w:numPr>
        <w:numId w:val="34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9451-6D66-4FEB-9725-D5CBA11F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7</TotalTime>
  <Pages>16</Pages>
  <Words>1727</Words>
  <Characters>9827</Characters>
  <Application>Microsoft Office Word</Application>
  <DocSecurity>0</DocSecurity>
  <Lines>467</Lines>
  <Paragraphs>385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AGUAYO DEL PRADO Juan Miguel (SJ)</dc:creator>
  <cp:lastModifiedBy>DIGIT/A3</cp:lastModifiedBy>
  <cp:revision>10</cp:revision>
  <cp:lastPrinted>2017-05-11T06:55:00Z</cp:lastPrinted>
  <dcterms:created xsi:type="dcterms:W3CDTF">2017-05-02T07:54:00Z</dcterms:created>
  <dcterms:modified xsi:type="dcterms:W3CDTF">2017-06-23T14:54:00Z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LWCR Document">
    <vt:lpwstr>True</vt:lpwstr>
  </property>
  <property fmtid="{D5CDD505-2E9C-101B-9397-08002B2CF9AE}" pid="13" name="LWCR Version">
    <vt:lpwstr>1.6.413</vt:lpwstr>
  </property>
  <property fmtid="{D5CDD505-2E9C-101B-9397-08002B2CF9AE}" pid="14" name="DQCStatus">
    <vt:lpwstr>Yellow (DQC version 03)</vt:lpwstr>
  </property>
</Properties>
</file>