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lang w:val="bg-BG"/>
        </w:rPr>
      </w:pPr>
      <w:bookmarkStart w:id="0" w:name="LW_BM_COVERPAGE"/>
      <w:r>
        <w:rPr>
          <w:noProof/>
          <w:lang w:val="bg-BG"/>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C38DEA5260E7430484723A5073F67687" style="width:450.75pt;height:307.5pt">
            <v:imagedata r:id="rId9" o:title=""/>
          </v:shape>
        </w:pict>
      </w:r>
    </w:p>
    <w:bookmarkEnd w:id="0"/>
    <w:p>
      <w:pPr>
        <w:rPr>
          <w:noProof/>
          <w:lang w:val="bg-BG"/>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360"/>
        </w:sectPr>
      </w:pPr>
    </w:p>
    <w:p>
      <w:pPr>
        <w:spacing w:line="240" w:lineRule="auto"/>
        <w:jc w:val="center"/>
        <w:rPr>
          <w:rFonts w:asciiTheme="majorBidi" w:hAnsiTheme="majorBidi" w:cstheme="majorBidi"/>
          <w:b/>
          <w:bCs/>
          <w:noProof/>
          <w:sz w:val="24"/>
          <w:szCs w:val="24"/>
          <w:lang w:val="bg-BG"/>
        </w:rPr>
      </w:pPr>
      <w:bookmarkStart w:id="1" w:name="_GoBack"/>
      <w:bookmarkEnd w:id="1"/>
    </w:p>
    <w:p>
      <w:pPr>
        <w:spacing w:line="240" w:lineRule="auto"/>
        <w:jc w:val="center"/>
        <w:rPr>
          <w:rFonts w:asciiTheme="majorBidi" w:hAnsiTheme="majorBidi" w:cstheme="majorBidi"/>
          <w:b/>
          <w:bCs/>
          <w:noProof/>
          <w:sz w:val="24"/>
          <w:szCs w:val="24"/>
          <w:lang w:val="bg-BG"/>
        </w:rPr>
      </w:pPr>
      <w:r>
        <w:rPr>
          <w:rFonts w:asciiTheme="majorBidi" w:hAnsiTheme="majorBidi" w:cstheme="majorBidi"/>
          <w:b/>
          <w:noProof/>
          <w:sz w:val="24"/>
          <w:lang w:val="bg-BG"/>
        </w:rPr>
        <w:t>ГОДИШЕН ДОКЛАД ЗА 2016 ГОДИНА</w:t>
      </w:r>
      <w:r>
        <w:rPr>
          <w:rFonts w:asciiTheme="majorBidi" w:hAnsiTheme="majorBidi" w:cstheme="majorBidi"/>
          <w:b/>
          <w:bCs/>
          <w:noProof/>
          <w:sz w:val="24"/>
          <w:szCs w:val="24"/>
          <w:lang w:val="bg-BG"/>
        </w:rPr>
        <w:br/>
      </w:r>
      <w:r>
        <w:rPr>
          <w:rFonts w:asciiTheme="majorBidi" w:hAnsiTheme="majorBidi" w:cstheme="majorBidi"/>
          <w:b/>
          <w:noProof/>
          <w:sz w:val="24"/>
          <w:lang w:val="bg-BG"/>
        </w:rPr>
        <w:t>ОТНОСНО СУБСИДИАРНОСТТА И ПРОПОРЦИОНАЛНОСТТА</w:t>
      </w:r>
    </w:p>
    <w:p>
      <w:pPr>
        <w:spacing w:after="240" w:line="240" w:lineRule="auto"/>
        <w:rPr>
          <w:rFonts w:asciiTheme="majorBidi" w:hAnsiTheme="majorBidi" w:cstheme="majorBidi"/>
          <w:smallCaps/>
          <w:noProof/>
          <w:lang w:val="bg-BG"/>
        </w:rPr>
      </w:pPr>
      <w:r>
        <w:rPr>
          <w:rFonts w:asciiTheme="majorBidi" w:hAnsiTheme="majorBidi" w:cstheme="majorBidi"/>
          <w:smallCaps/>
          <w:noProof/>
          <w:lang w:val="bg-BG"/>
        </w:rPr>
        <w:t xml:space="preserve">1. </w:t>
      </w:r>
      <w:r>
        <w:rPr>
          <w:noProof/>
          <w:lang w:val="bg-BG"/>
        </w:rPr>
        <w:tab/>
      </w:r>
      <w:r>
        <w:rPr>
          <w:rFonts w:asciiTheme="majorBidi" w:hAnsiTheme="majorBidi" w:cstheme="majorBidi"/>
          <w:smallCaps/>
          <w:noProof/>
          <w:lang w:val="bg-BG"/>
        </w:rPr>
        <w:t>Въведение</w:t>
      </w:r>
    </w:p>
    <w:p>
      <w:pPr>
        <w:spacing w:after="240" w:line="240" w:lineRule="auto"/>
        <w:jc w:val="both"/>
        <w:rPr>
          <w:rFonts w:asciiTheme="majorBidi" w:eastAsia="Times New Roman" w:hAnsiTheme="majorBidi" w:cstheme="majorBidi"/>
          <w:noProof/>
          <w:sz w:val="24"/>
          <w:szCs w:val="24"/>
          <w:lang w:val="bg-BG"/>
        </w:rPr>
      </w:pPr>
      <w:r>
        <w:rPr>
          <w:rFonts w:asciiTheme="majorBidi" w:hAnsiTheme="majorBidi" w:cstheme="majorBidi"/>
          <w:noProof/>
          <w:sz w:val="24"/>
          <w:lang w:val="bg-BG"/>
        </w:rPr>
        <w:t>Настоящият доклад е двадесет и четвъртият по ред годишен доклад относно прилагането на принципите на субсидиарност и пропорционалност в законотворчеството на ЕС. Той се представя в съответствие с член 9 от Протокол № 2 към Договора за Европейския съюз и към Договора за функционирането на Европейския съюз.</w:t>
      </w:r>
    </w:p>
    <w:p>
      <w:pPr>
        <w:spacing w:after="240" w:line="240" w:lineRule="auto"/>
        <w:jc w:val="both"/>
        <w:rPr>
          <w:rFonts w:asciiTheme="majorBidi" w:hAnsiTheme="majorBidi" w:cstheme="majorBidi"/>
          <w:smallCaps/>
          <w:noProof/>
          <w:lang w:val="bg-BG"/>
        </w:rPr>
      </w:pPr>
      <w:r>
        <w:rPr>
          <w:rFonts w:asciiTheme="majorBidi" w:hAnsiTheme="majorBidi" w:cstheme="majorBidi"/>
          <w:noProof/>
          <w:sz w:val="24"/>
          <w:lang w:val="bg-BG"/>
        </w:rPr>
        <w:t>В доклада се разглежда начинът, по който институциите и органите на Европейския съюз са прилагали тези два принципа през 2016 г., а също и как практиката се е променила в сравнение с предходните години. В него се анализират и предложенията на Комисията, по които са били изготвени мотивирани становища от националните парламенти през годината. Предвид тесните връзки между механизма за контрол на субсидиарността и политическия диалог между националните парламенти и Комисията настоящият доклад следва да се разглежда като допълнение към годишния доклад на Комисията за 2016 г. относно отношенията с националните парламенти</w:t>
      </w:r>
      <w:r>
        <w:rPr>
          <w:rStyle w:val="FootnoteReference"/>
          <w:rFonts w:asciiTheme="majorBidi" w:hAnsiTheme="majorBidi" w:cstheme="majorBidi"/>
          <w:noProof/>
          <w:sz w:val="24"/>
          <w:lang w:val="bg-BG"/>
        </w:rPr>
        <w:footnoteReference w:id="2"/>
      </w:r>
      <w:r>
        <w:rPr>
          <w:noProof/>
          <w:lang w:val="bg-BG"/>
        </w:rPr>
        <w:t>.</w:t>
      </w:r>
    </w:p>
    <w:p>
      <w:pPr>
        <w:tabs>
          <w:tab w:val="left" w:pos="720"/>
          <w:tab w:val="left" w:pos="1440"/>
          <w:tab w:val="left" w:pos="2160"/>
          <w:tab w:val="left" w:pos="2880"/>
          <w:tab w:val="left" w:pos="3600"/>
          <w:tab w:val="left" w:pos="4320"/>
          <w:tab w:val="left" w:pos="5040"/>
          <w:tab w:val="left" w:pos="6073"/>
        </w:tabs>
        <w:spacing w:after="240" w:line="240" w:lineRule="auto"/>
        <w:rPr>
          <w:rFonts w:asciiTheme="majorBidi" w:hAnsiTheme="majorBidi" w:cstheme="majorBidi"/>
          <w:smallCaps/>
          <w:noProof/>
          <w:lang w:val="bg-BG"/>
        </w:rPr>
      </w:pPr>
      <w:r>
        <w:rPr>
          <w:rFonts w:asciiTheme="majorBidi" w:hAnsiTheme="majorBidi" w:cstheme="majorBidi"/>
          <w:smallCaps/>
          <w:noProof/>
          <w:lang w:val="bg-BG"/>
        </w:rPr>
        <w:t xml:space="preserve">2. </w:t>
      </w:r>
      <w:r>
        <w:rPr>
          <w:noProof/>
          <w:lang w:val="bg-BG"/>
        </w:rPr>
        <w:tab/>
      </w:r>
      <w:r>
        <w:rPr>
          <w:rFonts w:asciiTheme="majorBidi" w:hAnsiTheme="majorBidi" w:cstheme="majorBidi"/>
          <w:smallCaps/>
          <w:noProof/>
          <w:lang w:val="bg-BG"/>
        </w:rPr>
        <w:t>Прилагане на принципите от страна на институциите</w:t>
      </w:r>
    </w:p>
    <w:p>
      <w:pPr>
        <w:spacing w:after="240" w:line="240" w:lineRule="auto"/>
        <w:rPr>
          <w:rFonts w:asciiTheme="majorBidi" w:hAnsiTheme="majorBidi" w:cstheme="majorBidi"/>
          <w:i/>
          <w:iCs/>
          <w:noProof/>
          <w:sz w:val="24"/>
          <w:szCs w:val="24"/>
          <w:lang w:val="bg-BG"/>
        </w:rPr>
      </w:pPr>
      <w:r>
        <w:rPr>
          <w:rFonts w:asciiTheme="majorBidi" w:hAnsiTheme="majorBidi" w:cstheme="majorBidi"/>
          <w:b/>
          <w:noProof/>
          <w:sz w:val="24"/>
          <w:lang w:val="bg-BG"/>
        </w:rPr>
        <w:t>2.1.</w:t>
      </w:r>
      <w:r>
        <w:rPr>
          <w:noProof/>
          <w:lang w:val="bg-BG"/>
        </w:rPr>
        <w:tab/>
      </w:r>
      <w:r>
        <w:rPr>
          <w:rFonts w:asciiTheme="majorBidi" w:hAnsiTheme="majorBidi" w:cstheme="majorBidi"/>
          <w:b/>
          <w:noProof/>
          <w:sz w:val="24"/>
          <w:lang w:val="bg-BG"/>
        </w:rPr>
        <w:t xml:space="preserve"> Комисията </w:t>
      </w:r>
    </w:p>
    <w:p>
      <w:pPr>
        <w:autoSpaceDE w:val="0"/>
        <w:autoSpaceDN w:val="0"/>
        <w:adjustRightInd w:val="0"/>
        <w:spacing w:after="0" w:line="240" w:lineRule="auto"/>
        <w:jc w:val="both"/>
        <w:rPr>
          <w:rFonts w:ascii="Times New Roman" w:hAnsi="Times New Roman" w:cs="Times New Roman"/>
          <w:noProof/>
          <w:color w:val="000000"/>
          <w:sz w:val="24"/>
          <w:szCs w:val="24"/>
          <w:lang w:val="bg-BG"/>
        </w:rPr>
      </w:pPr>
      <w:r>
        <w:rPr>
          <w:rFonts w:ascii="Times New Roman" w:hAnsi="Times New Roman"/>
          <w:noProof/>
          <w:color w:val="000000"/>
          <w:sz w:val="24"/>
          <w:lang w:val="bg-BG"/>
        </w:rPr>
        <w:t xml:space="preserve">Проверката на съответствието на инициативите на Комисията с принципите на субсидиарност и пропорционалност е неразделна част от регулаторните практики на Комисията. През 2016 г. Комисията продължи да прилага своята усъвършенствана програма за по-добро регулиране, която включва по-подробни насоки за оценка на субсидиарността и пропорционалността в процеса на изготвяне на политиките и нови възможности за гражданите и заинтересованите страни да предоставят обратна информация. Комисията освен това продължава практиката си да оценява съществуващите рамки на политиките, преди да излезе с предложения за законодателни промени. Оценяването включва оценки на това дали съществуващите мерки на политиката са все още целесъобразни и до каква степен те са в съответствие с принципите на субсидиарност и пропорционалност. Принципите и инструментите за по-добро регулиране, включително оценките на субсидиарността и пропорционалността, се използват на различни етапи от процеса на вземане на решения, като се вземат предвид съответният анализ и коментари от страна на заинтересованите страни:  </w:t>
      </w:r>
    </w:p>
    <w:p>
      <w:pPr>
        <w:autoSpaceDE w:val="0"/>
        <w:autoSpaceDN w:val="0"/>
        <w:adjustRightInd w:val="0"/>
        <w:spacing w:after="0" w:line="240" w:lineRule="auto"/>
        <w:jc w:val="both"/>
        <w:rPr>
          <w:rFonts w:ascii="Times New Roman" w:hAnsi="Times New Roman" w:cs="Times New Roman"/>
          <w:noProof/>
          <w:color w:val="000000"/>
          <w:sz w:val="24"/>
          <w:szCs w:val="24"/>
          <w:lang w:val="bg-BG"/>
        </w:rPr>
      </w:pPr>
    </w:p>
    <w:p>
      <w:pPr>
        <w:numPr>
          <w:ilvl w:val="0"/>
          <w:numId w:val="14"/>
        </w:numPr>
        <w:autoSpaceDE w:val="0"/>
        <w:autoSpaceDN w:val="0"/>
        <w:adjustRightInd w:val="0"/>
        <w:spacing w:after="0" w:line="240" w:lineRule="auto"/>
        <w:ind w:left="426" w:hanging="284"/>
        <w:jc w:val="both"/>
        <w:rPr>
          <w:rFonts w:ascii="Times New Roman" w:hAnsi="Times New Roman" w:cs="Times New Roman"/>
          <w:noProof/>
          <w:sz w:val="24"/>
          <w:szCs w:val="24"/>
          <w:lang w:val="bg-BG"/>
        </w:rPr>
      </w:pPr>
      <w:r>
        <w:rPr>
          <w:rFonts w:ascii="Times New Roman" w:hAnsi="Times New Roman"/>
          <w:noProof/>
          <w:color w:val="000000"/>
          <w:sz w:val="24"/>
          <w:lang w:val="bg-BG"/>
        </w:rPr>
        <w:t>На ранния етап от процеса на планиране на политиките на уебсайта на Комисията</w:t>
      </w:r>
      <w:r>
        <w:rPr>
          <w:rFonts w:ascii="Times New Roman" w:hAnsi="Times New Roman"/>
          <w:noProof/>
          <w:color w:val="000000"/>
          <w:sz w:val="24"/>
          <w:vertAlign w:val="superscript"/>
          <w:lang w:val="bg-BG"/>
        </w:rPr>
        <w:footnoteReference w:id="3"/>
      </w:r>
      <w:r>
        <w:rPr>
          <w:rFonts w:ascii="Times New Roman" w:hAnsi="Times New Roman"/>
          <w:noProof/>
          <w:color w:val="000000"/>
          <w:sz w:val="24"/>
          <w:lang w:val="bg-BG"/>
        </w:rPr>
        <w:t xml:space="preserve"> се публикуват пътни карти или оценки на въздействието от етапа на създаване за всички по-значими нови инициативи. В тях се съдържа предварително описание на предвидените инициативи</w:t>
      </w:r>
      <w:r>
        <w:rPr>
          <w:rFonts w:ascii="Times New Roman" w:hAnsi="Times New Roman"/>
          <w:noProof/>
          <w:sz w:val="24"/>
          <w:lang w:val="bg-BG"/>
        </w:rPr>
        <w:t xml:space="preserve"> и се очертават плановете на Комисията за оценяване на въздействието и провеждането на консултации. Пътните карти или оценките на въздействието от етапа на създаване съдържат също първоначална обосновка за предприемане на действие с оглед на субсидиарността и пропорционалността. </w:t>
      </w:r>
    </w:p>
    <w:p>
      <w:pPr>
        <w:autoSpaceDE w:val="0"/>
        <w:autoSpaceDN w:val="0"/>
        <w:adjustRightInd w:val="0"/>
        <w:spacing w:after="0" w:line="240" w:lineRule="auto"/>
        <w:ind w:left="426" w:hanging="284"/>
        <w:jc w:val="both"/>
        <w:rPr>
          <w:rFonts w:ascii="Times New Roman" w:hAnsi="Times New Roman" w:cs="Times New Roman"/>
          <w:noProof/>
          <w:sz w:val="24"/>
          <w:szCs w:val="24"/>
          <w:lang w:val="bg-BG"/>
        </w:rPr>
      </w:pPr>
    </w:p>
    <w:p>
      <w:pPr>
        <w:numPr>
          <w:ilvl w:val="0"/>
          <w:numId w:val="14"/>
        </w:numPr>
        <w:autoSpaceDE w:val="0"/>
        <w:autoSpaceDN w:val="0"/>
        <w:adjustRightInd w:val="0"/>
        <w:spacing w:after="0" w:line="240" w:lineRule="auto"/>
        <w:ind w:left="426" w:hanging="284"/>
        <w:jc w:val="both"/>
        <w:rPr>
          <w:rFonts w:ascii="Times New Roman" w:hAnsi="Times New Roman" w:cs="Times New Roman"/>
          <w:noProof/>
          <w:sz w:val="24"/>
          <w:szCs w:val="24"/>
          <w:lang w:val="bg-BG"/>
        </w:rPr>
      </w:pPr>
      <w:r>
        <w:rPr>
          <w:rFonts w:ascii="Times New Roman" w:hAnsi="Times New Roman"/>
          <w:noProof/>
          <w:sz w:val="24"/>
          <w:lang w:val="bg-BG"/>
        </w:rPr>
        <w:t xml:space="preserve">По време на процеса на разработване на политиките аспектите на субсидиарността и пропорционалността се анализират в оценките на въздействието, които са придружени също така от открита обществена консултация. В оценките на </w:t>
      </w:r>
      <w:r>
        <w:rPr>
          <w:rFonts w:ascii="Times New Roman" w:hAnsi="Times New Roman"/>
          <w:noProof/>
          <w:sz w:val="24"/>
          <w:lang w:val="bg-BG"/>
        </w:rPr>
        <w:lastRenderedPageBreak/>
        <w:t>въздействието се разглежда по какъв начин принципите на субсидиарност и пропорционалност се прилагат за всеки конкретен случай. Качеството на този анализ е обект на независим контрол от страна на Комитета за регулаторен контрол.</w:t>
      </w:r>
    </w:p>
    <w:p>
      <w:pPr>
        <w:autoSpaceDE w:val="0"/>
        <w:autoSpaceDN w:val="0"/>
        <w:adjustRightInd w:val="0"/>
        <w:spacing w:after="0" w:line="240" w:lineRule="auto"/>
        <w:ind w:left="426" w:hanging="284"/>
        <w:jc w:val="both"/>
        <w:rPr>
          <w:rFonts w:ascii="Times New Roman" w:hAnsi="Times New Roman" w:cs="Times New Roman"/>
          <w:noProof/>
          <w:sz w:val="24"/>
          <w:szCs w:val="24"/>
          <w:lang w:val="bg-BG"/>
        </w:rPr>
      </w:pPr>
    </w:p>
    <w:p>
      <w:pPr>
        <w:numPr>
          <w:ilvl w:val="0"/>
          <w:numId w:val="14"/>
        </w:numPr>
        <w:autoSpaceDE w:val="0"/>
        <w:autoSpaceDN w:val="0"/>
        <w:adjustRightInd w:val="0"/>
        <w:spacing w:after="0" w:line="240" w:lineRule="auto"/>
        <w:ind w:left="426" w:hanging="284"/>
        <w:jc w:val="both"/>
        <w:rPr>
          <w:rFonts w:ascii="Times New Roman" w:hAnsi="Times New Roman" w:cs="Times New Roman"/>
          <w:noProof/>
          <w:sz w:val="24"/>
          <w:szCs w:val="24"/>
          <w:lang w:val="bg-BG"/>
        </w:rPr>
      </w:pPr>
      <w:r>
        <w:rPr>
          <w:rFonts w:ascii="Times New Roman" w:hAnsi="Times New Roman"/>
          <w:noProof/>
          <w:sz w:val="24"/>
          <w:lang w:val="bg-BG"/>
        </w:rPr>
        <w:t>Накрая в обяснителния меморандум, придружаващ предложението на Комисията, се обобщава по какъв начин са спазени принципите на субсидиарност и пропорционалност. След приемането на предложението от Комисията заинтересованите страни продължават да имат възможност да предоставят обратна информация относно предложението и съответната оценка на въздействието, включително по отношение на субсидиарността и пропорционалността. Такава обратна информация се използва след това като принос към законодателния процес</w:t>
      </w:r>
      <w:r>
        <w:rPr>
          <w:rStyle w:val="FootnoteReference"/>
          <w:rFonts w:ascii="Times New Roman" w:hAnsi="Times New Roman"/>
          <w:noProof/>
          <w:sz w:val="24"/>
          <w:lang w:val="bg-BG"/>
        </w:rPr>
        <w:footnoteReference w:id="4"/>
      </w:r>
      <w:r>
        <w:rPr>
          <w:rFonts w:ascii="Times New Roman" w:hAnsi="Times New Roman"/>
          <w:noProof/>
          <w:sz w:val="24"/>
          <w:lang w:val="bg-BG"/>
        </w:rPr>
        <w:t xml:space="preserve">.  </w:t>
      </w:r>
    </w:p>
    <w:p>
      <w:pPr>
        <w:autoSpaceDE w:val="0"/>
        <w:autoSpaceDN w:val="0"/>
        <w:adjustRightInd w:val="0"/>
        <w:spacing w:after="0" w:line="240" w:lineRule="auto"/>
        <w:jc w:val="both"/>
        <w:rPr>
          <w:rFonts w:ascii="Times New Roman" w:hAnsi="Times New Roman" w:cs="Times New Roman"/>
          <w:noProof/>
          <w:sz w:val="24"/>
          <w:szCs w:val="24"/>
          <w:lang w:val="bg-BG"/>
        </w:rPr>
      </w:pPr>
    </w:p>
    <w:p>
      <w:pPr>
        <w:autoSpaceDE w:val="0"/>
        <w:autoSpaceDN w:val="0"/>
        <w:adjustRightInd w:val="0"/>
        <w:spacing w:after="0" w:line="240" w:lineRule="auto"/>
        <w:jc w:val="both"/>
        <w:rPr>
          <w:rFonts w:ascii="Times New Roman" w:hAnsi="Times New Roman" w:cs="Times New Roman"/>
          <w:noProof/>
          <w:sz w:val="24"/>
          <w:szCs w:val="24"/>
          <w:lang w:val="bg-BG"/>
        </w:rPr>
      </w:pPr>
      <w:r>
        <w:rPr>
          <w:rFonts w:ascii="Times New Roman" w:hAnsi="Times New Roman"/>
          <w:noProof/>
          <w:sz w:val="24"/>
          <w:lang w:val="bg-BG"/>
        </w:rPr>
        <w:t>Уебсайтът на Комисията „Облекчете товара — споделете мнението си“</w:t>
      </w:r>
      <w:r>
        <w:rPr>
          <w:rFonts w:ascii="Times New Roman" w:hAnsi="Times New Roman"/>
          <w:noProof/>
          <w:sz w:val="24"/>
          <w:vertAlign w:val="superscript"/>
          <w:lang w:val="bg-BG"/>
        </w:rPr>
        <w:footnoteReference w:id="5"/>
      </w:r>
      <w:r>
        <w:rPr>
          <w:rFonts w:ascii="Times New Roman" w:hAnsi="Times New Roman"/>
          <w:noProof/>
          <w:sz w:val="24"/>
          <w:lang w:val="bg-BG"/>
        </w:rPr>
        <w:t xml:space="preserve">, който заработи през 2015 г., както и платформата на Програмата за пригодност и резултатност на регулаторната рамка (REFIT), която започна да функционира през 2016 г., също предоставят на обществеността и заинтересованите страни възможност за комуникация с Комисията относно евентуална прекомерна тежест или неефективност на съществуващи регулаторни мерки, което може да включва въпроси относно субсидиарността и пропорционалността. През 2016 г. чрез платформата REFIT бе предоставен първи набор от препоръки към Комисията относно начините за опростяване и намаляване на регулаторната тежест на действащото законодателство на ЕС, на които Комисията реагира чрез изпълнението на работната си програма за 2017 г. Новото междуинституционално споразумение за по-добро законотворчество беше подписано от председателите на Европейския парламент, Съвета и Комисията през април 2016 г., което свидетелства за ангажираността на трите институции за по-добро регулиране. В споразумението са включени ангажименти от страна на трите институции да съблюдават и прилагат принципите на субсидиарност и пропорционалност, като по-конкретно Комисията се ангажира да представя в обяснителните меморандуми към своите предложения собствената си оценка по отношение на тези аспекти. </w:t>
      </w:r>
    </w:p>
    <w:p>
      <w:pPr>
        <w:autoSpaceDE w:val="0"/>
        <w:autoSpaceDN w:val="0"/>
        <w:adjustRightInd w:val="0"/>
        <w:spacing w:after="0" w:line="240" w:lineRule="auto"/>
        <w:rPr>
          <w:rFonts w:ascii="Times New Roman" w:hAnsi="Times New Roman" w:cs="Times New Roman"/>
          <w:b/>
          <w:bCs/>
          <w:noProof/>
          <w:sz w:val="24"/>
          <w:szCs w:val="24"/>
          <w:lang w:val="bg-BG"/>
        </w:rPr>
      </w:pPr>
    </w:p>
    <w:p>
      <w:pPr>
        <w:autoSpaceDE w:val="0"/>
        <w:autoSpaceDN w:val="0"/>
        <w:adjustRightInd w:val="0"/>
        <w:spacing w:after="120" w:line="240" w:lineRule="auto"/>
        <w:rPr>
          <w:rFonts w:ascii="Times New Roman" w:hAnsi="Times New Roman" w:cs="Times New Roman"/>
          <w:noProof/>
          <w:sz w:val="24"/>
          <w:szCs w:val="24"/>
          <w:lang w:val="bg-BG"/>
        </w:rPr>
      </w:pPr>
      <w:r>
        <w:rPr>
          <w:rFonts w:ascii="Times New Roman" w:hAnsi="Times New Roman"/>
          <w:b/>
          <w:noProof/>
          <w:sz w:val="24"/>
          <w:lang w:val="bg-BG"/>
        </w:rPr>
        <w:t xml:space="preserve">Анализ на субсидиарността </w:t>
      </w:r>
    </w:p>
    <w:p>
      <w:pPr>
        <w:autoSpaceDE w:val="0"/>
        <w:autoSpaceDN w:val="0"/>
        <w:adjustRightInd w:val="0"/>
        <w:spacing w:after="0" w:line="240" w:lineRule="auto"/>
        <w:jc w:val="both"/>
        <w:rPr>
          <w:rFonts w:ascii="Times New Roman" w:hAnsi="Times New Roman" w:cs="Times New Roman"/>
          <w:noProof/>
          <w:sz w:val="24"/>
          <w:szCs w:val="24"/>
          <w:lang w:val="bg-BG"/>
        </w:rPr>
      </w:pPr>
      <w:r>
        <w:rPr>
          <w:rFonts w:ascii="Times New Roman" w:hAnsi="Times New Roman"/>
          <w:noProof/>
          <w:sz w:val="24"/>
          <w:lang w:val="bg-BG"/>
        </w:rPr>
        <w:t>Съгласно приетите през май 2015 г. нови насоки за по-добро регулиране и придружаващия ги инструментариум</w:t>
      </w:r>
      <w:r>
        <w:rPr>
          <w:rFonts w:ascii="Times New Roman" w:hAnsi="Times New Roman"/>
          <w:noProof/>
          <w:sz w:val="24"/>
          <w:vertAlign w:val="superscript"/>
          <w:lang w:val="bg-BG"/>
        </w:rPr>
        <w:footnoteReference w:id="6"/>
      </w:r>
      <w:r>
        <w:rPr>
          <w:rFonts w:ascii="Times New Roman" w:hAnsi="Times New Roman"/>
          <w:noProof/>
          <w:sz w:val="24"/>
          <w:lang w:val="bg-BG"/>
        </w:rPr>
        <w:t xml:space="preserve"> се изисква от Комисията да извършва анализ на субсидиарността, когато се обмисля нова инициатива в области, в които ЕС не разполага с изключителна компетентност, и когато се оценяват целесъобразността и европейската добавена стойност на съществуваща мярка за намеса. Комисията разглежда субсидиарността по отношение както на законодателните, така и на незаконодателните инициативи. Анализът има две цели: първо, да се прецени дали действията на национално, регионално и местно равнище са достатъчни за постигане на съответната цел; второ, да се прецени дали действията на равнището на Съюза ще осигурят добавена стойност в сравнение с действията от страна на държавите членки. </w:t>
      </w:r>
    </w:p>
    <w:p>
      <w:pPr>
        <w:autoSpaceDE w:val="0"/>
        <w:autoSpaceDN w:val="0"/>
        <w:adjustRightInd w:val="0"/>
        <w:spacing w:after="0" w:line="240" w:lineRule="auto"/>
        <w:jc w:val="both"/>
        <w:rPr>
          <w:rFonts w:ascii="Times New Roman" w:hAnsi="Times New Roman" w:cs="Times New Roman"/>
          <w:noProof/>
          <w:sz w:val="24"/>
          <w:szCs w:val="24"/>
          <w:lang w:val="bg-BG"/>
        </w:rPr>
      </w:pPr>
    </w:p>
    <w:p>
      <w:pPr>
        <w:autoSpaceDE w:val="0"/>
        <w:autoSpaceDN w:val="0"/>
        <w:adjustRightInd w:val="0"/>
        <w:spacing w:after="0" w:line="240" w:lineRule="auto"/>
        <w:jc w:val="both"/>
        <w:rPr>
          <w:rFonts w:ascii="Times New Roman" w:hAnsi="Times New Roman" w:cs="Times New Roman"/>
          <w:noProof/>
          <w:sz w:val="24"/>
          <w:szCs w:val="24"/>
          <w:lang w:val="bg-BG"/>
        </w:rPr>
      </w:pPr>
      <w:r>
        <w:rPr>
          <w:rFonts w:ascii="Times New Roman" w:hAnsi="Times New Roman"/>
          <w:noProof/>
          <w:sz w:val="24"/>
          <w:lang w:val="bg-BG"/>
        </w:rPr>
        <w:t xml:space="preserve">Съгласно новите насоки за по-добро регулиране и придружаващия ги инструментариум ключова част от анализа е оценяването на „значимостта за ЕС“ на разглежданата инициатива. Ключовите съображения в тази връзка са географският обхват, броят на засегнатите участници, броят на засегнатите държави членки, както и главните икономически, екологични и социални последици. Освен това в анализа се определя в </w:t>
      </w:r>
      <w:r>
        <w:rPr>
          <w:rFonts w:ascii="Times New Roman" w:hAnsi="Times New Roman"/>
          <w:noProof/>
          <w:sz w:val="24"/>
          <w:lang w:val="bg-BG"/>
        </w:rPr>
        <w:lastRenderedPageBreak/>
        <w:t xml:space="preserve">качествено, а доколкото е възможно — и в количествено изражение, дали е налице съществен трансграничен проблем. В анализа трябва също така да се разгледат предимствата и недостатъците, които действията на Съюза могат да имат в сравнение с действията на държавите членки. </w:t>
      </w:r>
    </w:p>
    <w:p>
      <w:pPr>
        <w:autoSpaceDE w:val="0"/>
        <w:autoSpaceDN w:val="0"/>
        <w:adjustRightInd w:val="0"/>
        <w:spacing w:after="0" w:line="240" w:lineRule="auto"/>
        <w:jc w:val="both"/>
        <w:rPr>
          <w:rFonts w:ascii="Times New Roman" w:hAnsi="Times New Roman" w:cs="Times New Roman"/>
          <w:noProof/>
          <w:sz w:val="24"/>
          <w:szCs w:val="24"/>
          <w:lang w:val="bg-BG"/>
        </w:rPr>
      </w:pPr>
    </w:p>
    <w:p>
      <w:pPr>
        <w:autoSpaceDE w:val="0"/>
        <w:autoSpaceDN w:val="0"/>
        <w:adjustRightInd w:val="0"/>
        <w:spacing w:after="120" w:line="240" w:lineRule="auto"/>
        <w:jc w:val="both"/>
        <w:rPr>
          <w:rFonts w:ascii="Times New Roman" w:hAnsi="Times New Roman" w:cs="Times New Roman"/>
          <w:noProof/>
          <w:sz w:val="24"/>
          <w:szCs w:val="24"/>
          <w:lang w:val="bg-BG"/>
        </w:rPr>
      </w:pPr>
      <w:r>
        <w:rPr>
          <w:rFonts w:ascii="Times New Roman" w:hAnsi="Times New Roman"/>
          <w:b/>
          <w:noProof/>
          <w:sz w:val="24"/>
          <w:lang w:val="bg-BG"/>
        </w:rPr>
        <w:t xml:space="preserve">Анализ на пропорционалността </w:t>
      </w:r>
    </w:p>
    <w:p>
      <w:pPr>
        <w:autoSpaceDE w:val="0"/>
        <w:autoSpaceDN w:val="0"/>
        <w:adjustRightInd w:val="0"/>
        <w:spacing w:after="0" w:line="240" w:lineRule="auto"/>
        <w:jc w:val="both"/>
        <w:rPr>
          <w:rFonts w:ascii="Times New Roman" w:hAnsi="Times New Roman" w:cs="Times New Roman"/>
          <w:noProof/>
          <w:sz w:val="24"/>
          <w:szCs w:val="24"/>
          <w:lang w:val="bg-BG"/>
        </w:rPr>
      </w:pPr>
      <w:r>
        <w:rPr>
          <w:rFonts w:ascii="Times New Roman" w:hAnsi="Times New Roman"/>
          <w:noProof/>
          <w:sz w:val="24"/>
          <w:lang w:val="bg-BG"/>
        </w:rPr>
        <w:t>Съгласно принципа на пропорционалност съдържанието и формата на дейност на Съюза не трябва да надхвърлят необходимото за постигане на целите на Договорите</w:t>
      </w:r>
      <w:r>
        <w:rPr>
          <w:rFonts w:ascii="Times New Roman" w:hAnsi="Times New Roman"/>
          <w:noProof/>
          <w:sz w:val="24"/>
          <w:vertAlign w:val="superscript"/>
          <w:lang w:val="bg-BG"/>
        </w:rPr>
        <w:footnoteReference w:id="7"/>
      </w:r>
      <w:r>
        <w:rPr>
          <w:rFonts w:ascii="Times New Roman" w:hAnsi="Times New Roman"/>
          <w:noProof/>
          <w:sz w:val="24"/>
          <w:lang w:val="bg-BG"/>
        </w:rPr>
        <w:t>. Спазването на принципа на пропорционалност означава да се гарантира, че подходът и степента на дадена регулаторна намеса на политиката съответстват на преследваната цел. В оценките на въздействието и в оценките и проверките за пригодност</w:t>
      </w:r>
      <w:r>
        <w:rPr>
          <w:rFonts w:ascii="Times New Roman" w:hAnsi="Times New Roman"/>
          <w:noProof/>
          <w:sz w:val="24"/>
          <w:vertAlign w:val="superscript"/>
          <w:lang w:val="bg-BG"/>
        </w:rPr>
        <w:footnoteReference w:id="8"/>
      </w:r>
      <w:r>
        <w:rPr>
          <w:rFonts w:ascii="Times New Roman" w:hAnsi="Times New Roman"/>
          <w:noProof/>
          <w:sz w:val="24"/>
          <w:lang w:val="bg-BG"/>
        </w:rPr>
        <w:t xml:space="preserve"> трябва да се съдържа ясно позоваване на пропорционалността.</w:t>
      </w:r>
    </w:p>
    <w:p>
      <w:pPr>
        <w:autoSpaceDE w:val="0"/>
        <w:autoSpaceDN w:val="0"/>
        <w:adjustRightInd w:val="0"/>
        <w:spacing w:after="0" w:line="240" w:lineRule="auto"/>
        <w:jc w:val="both"/>
        <w:rPr>
          <w:rFonts w:ascii="Times New Roman" w:hAnsi="Times New Roman" w:cs="Times New Roman"/>
          <w:noProof/>
          <w:sz w:val="24"/>
          <w:szCs w:val="24"/>
          <w:lang w:val="bg-BG"/>
        </w:rPr>
      </w:pPr>
    </w:p>
    <w:p>
      <w:pPr>
        <w:autoSpaceDE w:val="0"/>
        <w:autoSpaceDN w:val="0"/>
        <w:adjustRightInd w:val="0"/>
        <w:spacing w:after="0" w:line="240" w:lineRule="auto"/>
        <w:jc w:val="both"/>
        <w:rPr>
          <w:rFonts w:ascii="Times New Roman" w:hAnsi="Times New Roman" w:cs="Times New Roman"/>
          <w:noProof/>
          <w:sz w:val="24"/>
          <w:szCs w:val="24"/>
          <w:lang w:val="bg-BG"/>
        </w:rPr>
      </w:pPr>
      <w:r>
        <w:rPr>
          <w:rFonts w:ascii="Times New Roman" w:hAnsi="Times New Roman"/>
          <w:noProof/>
          <w:sz w:val="24"/>
          <w:lang w:val="bg-BG"/>
        </w:rPr>
        <w:t xml:space="preserve">По-специално, с Насоките за по-добро регулиране и придружаващия ги инструментариум се изисква от Комисията да прецени в своя анализ на пропорционалността: </w:t>
      </w:r>
    </w:p>
    <w:p>
      <w:pPr>
        <w:autoSpaceDE w:val="0"/>
        <w:autoSpaceDN w:val="0"/>
        <w:adjustRightInd w:val="0"/>
        <w:spacing w:after="0" w:line="240" w:lineRule="auto"/>
        <w:jc w:val="both"/>
        <w:rPr>
          <w:rFonts w:ascii="Times New Roman" w:hAnsi="Times New Roman" w:cs="Times New Roman"/>
          <w:noProof/>
          <w:sz w:val="24"/>
          <w:szCs w:val="24"/>
          <w:lang w:val="bg-BG"/>
        </w:rPr>
      </w:pPr>
    </w:p>
    <w:p>
      <w:pPr>
        <w:numPr>
          <w:ilvl w:val="0"/>
          <w:numId w:val="12"/>
        </w:numPr>
        <w:autoSpaceDE w:val="0"/>
        <w:autoSpaceDN w:val="0"/>
        <w:adjustRightInd w:val="0"/>
        <w:spacing w:after="44" w:line="240" w:lineRule="auto"/>
        <w:jc w:val="both"/>
        <w:rPr>
          <w:rFonts w:ascii="Times New Roman" w:hAnsi="Times New Roman" w:cs="Times New Roman"/>
          <w:noProof/>
          <w:sz w:val="24"/>
          <w:szCs w:val="24"/>
          <w:lang w:val="bg-BG"/>
        </w:rPr>
      </w:pPr>
      <w:r>
        <w:rPr>
          <w:rFonts w:ascii="Times New Roman" w:hAnsi="Times New Roman"/>
          <w:noProof/>
          <w:sz w:val="24"/>
          <w:lang w:val="bg-BG"/>
        </w:rPr>
        <w:t xml:space="preserve">дали мерките надхвърлят рамките на необходимото за разрешаването на проблема и постигането на целта в задоволителна степен; </w:t>
      </w:r>
    </w:p>
    <w:p>
      <w:pPr>
        <w:numPr>
          <w:ilvl w:val="0"/>
          <w:numId w:val="12"/>
        </w:numPr>
        <w:autoSpaceDE w:val="0"/>
        <w:autoSpaceDN w:val="0"/>
        <w:adjustRightInd w:val="0"/>
        <w:spacing w:after="44" w:line="240" w:lineRule="auto"/>
        <w:jc w:val="both"/>
        <w:rPr>
          <w:rFonts w:ascii="Times New Roman" w:hAnsi="Times New Roman" w:cs="Times New Roman"/>
          <w:noProof/>
          <w:sz w:val="24"/>
          <w:szCs w:val="24"/>
          <w:lang w:val="bg-BG"/>
        </w:rPr>
      </w:pPr>
      <w:r>
        <w:rPr>
          <w:rFonts w:ascii="Times New Roman" w:hAnsi="Times New Roman"/>
          <w:noProof/>
          <w:sz w:val="24"/>
          <w:lang w:val="bg-BG"/>
        </w:rPr>
        <w:t xml:space="preserve">дали обхватът на инициативата е ограничен до онези аспекти, които държавите членки не могат да постигнат задоволително самостоятелно и по отношение на които ЕС може да постигне по-добри резултати; </w:t>
      </w:r>
    </w:p>
    <w:p>
      <w:pPr>
        <w:numPr>
          <w:ilvl w:val="0"/>
          <w:numId w:val="12"/>
        </w:numPr>
        <w:autoSpaceDE w:val="0"/>
        <w:autoSpaceDN w:val="0"/>
        <w:adjustRightInd w:val="0"/>
        <w:spacing w:after="44" w:line="240" w:lineRule="auto"/>
        <w:jc w:val="both"/>
        <w:rPr>
          <w:rFonts w:ascii="Times New Roman" w:hAnsi="Times New Roman" w:cs="Times New Roman"/>
          <w:noProof/>
          <w:sz w:val="24"/>
          <w:szCs w:val="24"/>
          <w:lang w:val="bg-BG"/>
        </w:rPr>
      </w:pPr>
      <w:r>
        <w:rPr>
          <w:rFonts w:ascii="Times New Roman" w:hAnsi="Times New Roman"/>
          <w:noProof/>
          <w:sz w:val="24"/>
          <w:lang w:val="bg-BG"/>
        </w:rPr>
        <w:t xml:space="preserve">дали действието или изборът на инструмент са възможно най-прости и позволяват задоволителното постигане на целта и ефективното изпълнение; </w:t>
      </w:r>
    </w:p>
    <w:p>
      <w:pPr>
        <w:numPr>
          <w:ilvl w:val="0"/>
          <w:numId w:val="12"/>
        </w:numPr>
        <w:autoSpaceDE w:val="0"/>
        <w:autoSpaceDN w:val="0"/>
        <w:adjustRightInd w:val="0"/>
        <w:spacing w:after="44" w:line="240" w:lineRule="auto"/>
        <w:jc w:val="both"/>
        <w:rPr>
          <w:rFonts w:ascii="Times New Roman" w:hAnsi="Times New Roman" w:cs="Times New Roman"/>
          <w:noProof/>
          <w:sz w:val="24"/>
          <w:szCs w:val="24"/>
          <w:lang w:val="bg-BG"/>
        </w:rPr>
      </w:pPr>
      <w:r>
        <w:rPr>
          <w:rFonts w:ascii="Times New Roman" w:hAnsi="Times New Roman"/>
          <w:noProof/>
          <w:sz w:val="24"/>
          <w:lang w:val="bg-BG"/>
        </w:rPr>
        <w:t xml:space="preserve">дали разходите са сведени до минимум и съответстват на целта, която трябва да бъде постигната; </w:t>
      </w:r>
    </w:p>
    <w:p>
      <w:pPr>
        <w:numPr>
          <w:ilvl w:val="0"/>
          <w:numId w:val="12"/>
        </w:numPr>
        <w:autoSpaceDE w:val="0"/>
        <w:autoSpaceDN w:val="0"/>
        <w:adjustRightInd w:val="0"/>
        <w:spacing w:after="44" w:line="240" w:lineRule="auto"/>
        <w:jc w:val="both"/>
        <w:rPr>
          <w:rFonts w:ascii="Times New Roman" w:hAnsi="Times New Roman" w:cs="Times New Roman"/>
          <w:noProof/>
          <w:sz w:val="24"/>
          <w:szCs w:val="24"/>
          <w:lang w:val="bg-BG"/>
        </w:rPr>
      </w:pPr>
      <w:r>
        <w:rPr>
          <w:rFonts w:ascii="Times New Roman" w:hAnsi="Times New Roman"/>
          <w:noProof/>
          <w:sz w:val="24"/>
          <w:lang w:val="bg-BG"/>
        </w:rPr>
        <w:t xml:space="preserve">дали има солидна обосновка за избора на инструмент (регламент, директива или алтернативни регулаторни методи); както и </w:t>
      </w:r>
    </w:p>
    <w:p>
      <w:pPr>
        <w:numPr>
          <w:ilvl w:val="0"/>
          <w:numId w:val="12"/>
        </w:numPr>
        <w:autoSpaceDE w:val="0"/>
        <w:autoSpaceDN w:val="0"/>
        <w:adjustRightInd w:val="0"/>
        <w:spacing w:after="0" w:line="240" w:lineRule="auto"/>
        <w:jc w:val="both"/>
        <w:rPr>
          <w:rFonts w:ascii="Times New Roman" w:hAnsi="Times New Roman" w:cs="Times New Roman"/>
          <w:noProof/>
          <w:sz w:val="24"/>
          <w:szCs w:val="24"/>
          <w:lang w:val="bg-BG"/>
        </w:rPr>
      </w:pPr>
      <w:r>
        <w:rPr>
          <w:rFonts w:ascii="Times New Roman" w:hAnsi="Times New Roman"/>
          <w:noProof/>
          <w:sz w:val="24"/>
          <w:lang w:val="bg-BG"/>
        </w:rPr>
        <w:t xml:space="preserve">дали се зачитат утвърдените национални разпоредби и специфичните обстоятелства в отделните държави членки. </w:t>
      </w:r>
    </w:p>
    <w:p>
      <w:pPr>
        <w:autoSpaceDE w:val="0"/>
        <w:autoSpaceDN w:val="0"/>
        <w:adjustRightInd w:val="0"/>
        <w:spacing w:after="0" w:line="240" w:lineRule="auto"/>
        <w:jc w:val="both"/>
        <w:rPr>
          <w:rFonts w:ascii="Times New Roman" w:hAnsi="Times New Roman" w:cs="Times New Roman"/>
          <w:noProof/>
          <w:sz w:val="24"/>
          <w:szCs w:val="24"/>
          <w:lang w:val="bg-BG"/>
        </w:rPr>
      </w:pPr>
    </w:p>
    <w:p>
      <w:pPr>
        <w:autoSpaceDE w:val="0"/>
        <w:autoSpaceDN w:val="0"/>
        <w:adjustRightInd w:val="0"/>
        <w:spacing w:after="120" w:line="240" w:lineRule="auto"/>
        <w:rPr>
          <w:rFonts w:ascii="Times New Roman" w:hAnsi="Times New Roman" w:cs="Times New Roman"/>
          <w:noProof/>
          <w:sz w:val="24"/>
          <w:szCs w:val="24"/>
          <w:lang w:val="bg-BG"/>
        </w:rPr>
      </w:pPr>
      <w:r>
        <w:rPr>
          <w:rFonts w:ascii="Times New Roman" w:hAnsi="Times New Roman"/>
          <w:b/>
          <w:noProof/>
          <w:sz w:val="24"/>
          <w:lang w:val="bg-BG"/>
        </w:rPr>
        <w:t xml:space="preserve">Оценки на въздействието </w:t>
      </w:r>
    </w:p>
    <w:p>
      <w:pPr>
        <w:autoSpaceDE w:val="0"/>
        <w:autoSpaceDN w:val="0"/>
        <w:adjustRightInd w:val="0"/>
        <w:spacing w:after="0" w:line="240" w:lineRule="auto"/>
        <w:jc w:val="both"/>
        <w:rPr>
          <w:rFonts w:ascii="Times New Roman" w:hAnsi="Times New Roman" w:cs="Times New Roman"/>
          <w:noProof/>
          <w:sz w:val="24"/>
          <w:szCs w:val="24"/>
          <w:lang w:val="bg-BG"/>
        </w:rPr>
      </w:pPr>
      <w:r>
        <w:rPr>
          <w:rFonts w:ascii="Times New Roman" w:hAnsi="Times New Roman"/>
          <w:noProof/>
          <w:sz w:val="24"/>
          <w:lang w:val="bg-BG"/>
        </w:rPr>
        <w:t xml:space="preserve">Оценки на въздействието се изискват винаги когато се очаква дадена инициатива да има значително икономическо, социално или екологично въздействие. В тях се включват оценка на проблема, възможни варианти на политиката и техните вероятни въздействия, а също и начина, по който при отделните варианти се спазват принципите на субсидиарност и пропорционалност. </w:t>
      </w:r>
    </w:p>
    <w:p>
      <w:pPr>
        <w:autoSpaceDE w:val="0"/>
        <w:autoSpaceDN w:val="0"/>
        <w:adjustRightInd w:val="0"/>
        <w:spacing w:after="0" w:line="240" w:lineRule="auto"/>
        <w:jc w:val="both"/>
        <w:rPr>
          <w:rFonts w:ascii="Times New Roman" w:hAnsi="Times New Roman" w:cs="Times New Roman"/>
          <w:noProof/>
          <w:sz w:val="24"/>
          <w:szCs w:val="24"/>
          <w:lang w:val="bg-BG"/>
        </w:rPr>
      </w:pPr>
      <w:r>
        <w:rPr>
          <w:rFonts w:ascii="Times New Roman" w:hAnsi="Times New Roman"/>
          <w:noProof/>
          <w:sz w:val="24"/>
          <w:lang w:val="bg-BG"/>
        </w:rPr>
        <w:t xml:space="preserve"> </w:t>
      </w:r>
    </w:p>
    <w:p>
      <w:pPr>
        <w:autoSpaceDE w:val="0"/>
        <w:autoSpaceDN w:val="0"/>
        <w:adjustRightInd w:val="0"/>
        <w:spacing w:after="0" w:line="240" w:lineRule="auto"/>
        <w:jc w:val="both"/>
        <w:rPr>
          <w:rFonts w:ascii="Times New Roman" w:hAnsi="Times New Roman" w:cs="Times New Roman"/>
          <w:noProof/>
          <w:sz w:val="24"/>
          <w:szCs w:val="24"/>
          <w:lang w:val="bg-BG"/>
        </w:rPr>
      </w:pPr>
      <w:r>
        <w:rPr>
          <w:rFonts w:ascii="Times New Roman" w:hAnsi="Times New Roman"/>
          <w:noProof/>
          <w:sz w:val="24"/>
          <w:lang w:val="bg-BG"/>
        </w:rPr>
        <w:t xml:space="preserve">През юли 2015 г. Комитетът по оценка на въздействието бе заменен от Комитета за регулаторен контрол. През 2016 г. Комитетът бе съставен от председател (на равнище генерален директор) и петима щатни членове, двама от които не са от Комисията. Третият и последен външен член бе назначен през 2017 г. Всички членове на Комитета са независими и действат в лично качество въз основа на личния си експертен опит. Комитетът разглежда качеството на оценките на въздействието, на по-значимите оценки и проверки за пригодност. Субсидиарността и пропорционалността са част от тези проверки на качеството.  </w:t>
      </w:r>
    </w:p>
    <w:p>
      <w:pPr>
        <w:autoSpaceDE w:val="0"/>
        <w:autoSpaceDN w:val="0"/>
        <w:adjustRightInd w:val="0"/>
        <w:spacing w:after="0" w:line="240" w:lineRule="auto"/>
        <w:jc w:val="both"/>
        <w:rPr>
          <w:rFonts w:ascii="Times New Roman" w:hAnsi="Times New Roman" w:cs="Times New Roman"/>
          <w:noProof/>
          <w:sz w:val="24"/>
          <w:szCs w:val="24"/>
          <w:lang w:val="bg-BG"/>
        </w:rPr>
      </w:pPr>
    </w:p>
    <w:p>
      <w:pPr>
        <w:autoSpaceDE w:val="0"/>
        <w:autoSpaceDN w:val="0"/>
        <w:adjustRightInd w:val="0"/>
        <w:spacing w:after="0" w:line="240" w:lineRule="auto"/>
        <w:jc w:val="both"/>
        <w:rPr>
          <w:rFonts w:ascii="Times New Roman" w:hAnsi="Times New Roman" w:cs="Times New Roman"/>
          <w:noProof/>
          <w:sz w:val="24"/>
          <w:szCs w:val="24"/>
          <w:lang w:val="bg-BG"/>
        </w:rPr>
      </w:pPr>
      <w:r>
        <w:rPr>
          <w:rFonts w:ascii="Times New Roman" w:hAnsi="Times New Roman"/>
          <w:noProof/>
          <w:sz w:val="24"/>
          <w:lang w:val="bg-BG"/>
        </w:rPr>
        <w:t xml:space="preserve">През 2016 г. Комитетът за регулаторен контрол разгледа 60 оценки на въздействието. В девет случая (15 %) бе изразено становището, че е необходимо да се подобри анализът на аспектите, свързани със субсидиарността и/или пропорционалността . Въпреки че общият брой на случаите, оценени през 2015 г., беше по-малък (29), делът на случаите, в които бяха открити несъвършенства по отношение на субсидиарността и пропорционалността бе по-голям (23 %). Следните примери от 2016 г. илюстрират как Комитетът оценява субсидиарността и пропорционалността: </w:t>
      </w:r>
    </w:p>
    <w:p>
      <w:pPr>
        <w:autoSpaceDE w:val="0"/>
        <w:autoSpaceDN w:val="0"/>
        <w:adjustRightInd w:val="0"/>
        <w:spacing w:after="0" w:line="240" w:lineRule="auto"/>
        <w:jc w:val="both"/>
        <w:rPr>
          <w:rFonts w:ascii="Times New Roman" w:hAnsi="Times New Roman" w:cs="Times New Roman"/>
          <w:noProof/>
          <w:sz w:val="24"/>
          <w:szCs w:val="24"/>
          <w:lang w:val="bg-BG"/>
        </w:rPr>
      </w:pPr>
    </w:p>
    <w:p>
      <w:pPr>
        <w:numPr>
          <w:ilvl w:val="0"/>
          <w:numId w:val="12"/>
        </w:numPr>
        <w:autoSpaceDE w:val="0"/>
        <w:autoSpaceDN w:val="0"/>
        <w:adjustRightInd w:val="0"/>
        <w:spacing w:after="44" w:line="240" w:lineRule="auto"/>
        <w:jc w:val="both"/>
        <w:rPr>
          <w:rFonts w:ascii="Times New Roman" w:hAnsi="Times New Roman" w:cs="Times New Roman"/>
          <w:noProof/>
          <w:sz w:val="24"/>
          <w:szCs w:val="24"/>
          <w:lang w:val="bg-BG"/>
        </w:rPr>
      </w:pPr>
      <w:r>
        <w:rPr>
          <w:rFonts w:ascii="Times New Roman" w:hAnsi="Times New Roman"/>
          <w:noProof/>
          <w:sz w:val="24"/>
          <w:lang w:val="bg-BG"/>
        </w:rPr>
        <w:t>В становището относно оценката на въздействието на предложението за изменение на Директивата относно командироването на работници</w:t>
      </w:r>
      <w:r>
        <w:rPr>
          <w:rFonts w:ascii="Times New Roman" w:hAnsi="Times New Roman"/>
          <w:noProof/>
          <w:sz w:val="24"/>
          <w:vertAlign w:val="superscript"/>
          <w:lang w:val="bg-BG"/>
        </w:rPr>
        <w:footnoteReference w:id="9"/>
      </w:r>
      <w:r>
        <w:rPr>
          <w:rFonts w:ascii="Times New Roman" w:hAnsi="Times New Roman"/>
          <w:noProof/>
          <w:sz w:val="24"/>
          <w:lang w:val="bg-BG"/>
        </w:rPr>
        <w:t xml:space="preserve"> Комитетът за регулаторен контрол подчерта, че в доклада е необходима по-добра аргументация относно прилагането на принципите на субсидиарност и пропорционалност. Комитетът поиска обяснение защо в анализа не са включени алтернативни варианти. Що се отнася до въпроса за пропорционалността, Комитетът поиска пояснение относно начина, по който в доклада се обръща внимание на притесненията на малките и средните предприятия във връзка с процедурната тежест. В представената последваща версия на доклада, която получи положително становище от Комитета, и двата въпроса бяха разгледани по-добре, особено що се отнася до цялостната обосновка на предложението. Също така беше добавен раздел относно малките и средните предприятия и вероятната тежест на административните процедури. Макар че в преразгледания доклад отхвърлянето на някои варианти беше обосновано по-добре, Комитетът поиска в доклада да се обясни по-ясно защо не е разгледана възможността за освобождаване за случаите на краткосрочно командироване. Измененият доклад беше приет през март 2016 г.</w:t>
      </w:r>
      <w:r>
        <w:rPr>
          <w:rStyle w:val="FootnoteReference"/>
          <w:rFonts w:ascii="Times New Roman" w:hAnsi="Times New Roman"/>
          <w:noProof/>
          <w:sz w:val="24"/>
          <w:lang w:val="bg-BG"/>
        </w:rPr>
        <w:footnoteReference w:id="10"/>
      </w:r>
      <w:r>
        <w:rPr>
          <w:rFonts w:ascii="Times New Roman" w:hAnsi="Times New Roman"/>
          <w:noProof/>
          <w:sz w:val="24"/>
          <w:lang w:val="bg-BG"/>
        </w:rPr>
        <w:t xml:space="preserve">   </w:t>
      </w:r>
    </w:p>
    <w:p>
      <w:pPr>
        <w:autoSpaceDE w:val="0"/>
        <w:autoSpaceDN w:val="0"/>
        <w:adjustRightInd w:val="0"/>
        <w:spacing w:after="0" w:line="240" w:lineRule="auto"/>
        <w:jc w:val="both"/>
        <w:rPr>
          <w:rFonts w:ascii="Times New Roman" w:hAnsi="Times New Roman" w:cs="Times New Roman"/>
          <w:noProof/>
          <w:sz w:val="24"/>
          <w:szCs w:val="24"/>
          <w:lang w:val="bg-BG"/>
        </w:rPr>
      </w:pPr>
    </w:p>
    <w:p>
      <w:pPr>
        <w:numPr>
          <w:ilvl w:val="0"/>
          <w:numId w:val="13"/>
        </w:numPr>
        <w:autoSpaceDE w:val="0"/>
        <w:autoSpaceDN w:val="0"/>
        <w:adjustRightInd w:val="0"/>
        <w:spacing w:after="0" w:line="240" w:lineRule="auto"/>
        <w:jc w:val="both"/>
        <w:rPr>
          <w:rFonts w:ascii="Times New Roman" w:hAnsi="Times New Roman" w:cs="Times New Roman"/>
          <w:noProof/>
          <w:sz w:val="24"/>
          <w:szCs w:val="24"/>
          <w:lang w:val="bg-BG"/>
        </w:rPr>
      </w:pPr>
      <w:r>
        <w:rPr>
          <w:rFonts w:ascii="Times New Roman" w:hAnsi="Times New Roman"/>
          <w:noProof/>
          <w:sz w:val="24"/>
          <w:lang w:val="bg-BG"/>
        </w:rPr>
        <w:t>При прегледа на оценката на въздействието относно предложението за Директива на Съвета относно общ механизъм за самоначисляване на данък добавена стойност</w:t>
      </w:r>
      <w:r>
        <w:rPr>
          <w:rFonts w:ascii="Times New Roman" w:hAnsi="Times New Roman"/>
          <w:noProof/>
          <w:sz w:val="24"/>
          <w:vertAlign w:val="superscript"/>
          <w:lang w:val="bg-BG"/>
        </w:rPr>
        <w:footnoteReference w:id="11"/>
      </w:r>
      <w:r>
        <w:rPr>
          <w:rFonts w:ascii="Times New Roman" w:hAnsi="Times New Roman"/>
          <w:noProof/>
          <w:sz w:val="24"/>
          <w:lang w:val="bg-BG"/>
        </w:rPr>
        <w:t xml:space="preserve"> Комитетът за регулаторен контрол констатира, че спазването на принципа на пропорционалност не е достатъчно обосновано за отделните варианти на политиката, особено по отношение на въздействията. Докладът получи отрицателно становище. В представената подобрена версия на доклада беше добавен анализ на пропорционалността, което обогати оценката на вариантите и рисковете. Така например, вторичните последици бяха описани по-подробно по отношение на въздействието върху разходите за постигане на съответствие за предприятията, както и въздействието върху другите държави членки, които не използват общия механизъм за самоначисляване.</w:t>
      </w:r>
    </w:p>
    <w:p>
      <w:pPr>
        <w:autoSpaceDE w:val="0"/>
        <w:autoSpaceDN w:val="0"/>
        <w:adjustRightInd w:val="0"/>
        <w:spacing w:after="0" w:line="240" w:lineRule="auto"/>
        <w:jc w:val="both"/>
        <w:rPr>
          <w:rFonts w:ascii="Times New Roman" w:hAnsi="Times New Roman" w:cs="Times New Roman"/>
          <w:noProof/>
          <w:sz w:val="24"/>
          <w:szCs w:val="24"/>
          <w:lang w:val="bg-BG"/>
        </w:rPr>
      </w:pPr>
    </w:p>
    <w:p>
      <w:pPr>
        <w:numPr>
          <w:ilvl w:val="0"/>
          <w:numId w:val="13"/>
        </w:numPr>
        <w:autoSpaceDE w:val="0"/>
        <w:autoSpaceDN w:val="0"/>
        <w:adjustRightInd w:val="0"/>
        <w:spacing w:after="0" w:line="240" w:lineRule="auto"/>
        <w:jc w:val="both"/>
        <w:rPr>
          <w:rFonts w:ascii="Times New Roman" w:hAnsi="Times New Roman" w:cs="Times New Roman"/>
          <w:noProof/>
          <w:sz w:val="24"/>
          <w:szCs w:val="24"/>
          <w:lang w:val="bg-BG"/>
        </w:rPr>
      </w:pPr>
      <w:r>
        <w:rPr>
          <w:rFonts w:ascii="Times New Roman" w:hAnsi="Times New Roman"/>
          <w:noProof/>
          <w:sz w:val="24"/>
          <w:lang w:val="bg-BG"/>
        </w:rPr>
        <w:t>В оценката на въздействието на предложението за регламент на Съвета относно блокирането на географски принцип</w:t>
      </w:r>
      <w:r>
        <w:rPr>
          <w:rFonts w:ascii="Times New Roman" w:hAnsi="Times New Roman"/>
          <w:noProof/>
          <w:sz w:val="24"/>
          <w:vertAlign w:val="superscript"/>
          <w:lang w:val="bg-BG"/>
        </w:rPr>
        <w:footnoteReference w:id="12"/>
      </w:r>
      <w:r>
        <w:rPr>
          <w:rFonts w:ascii="Times New Roman" w:hAnsi="Times New Roman"/>
          <w:noProof/>
          <w:sz w:val="24"/>
          <w:lang w:val="bg-BG"/>
        </w:rPr>
        <w:t xml:space="preserve">, основано на принципа на местопребиваване и гражданство, Комитетът поиска по-добра обосновка на това как предпочетеният вариант е пропорционален по отношение на установения проблем. Комитетът призова за по-добро обяснение на очаквания от инициативата резултат, като се има предвид, че търговците няма да са задължени да осигуряват доставка в друга държава членка, както и за повече съществени доказателства за това защо трансграничната търговия би се увеличила дори когато на потребителите се налага да прибират стоки в чужда държава. Становището по доклада беше отрицателно. Впоследствие в доклада бяха внесени подобрения и Комитетът даде положително становище по изменения текст. </w:t>
      </w:r>
    </w:p>
    <w:p>
      <w:pPr>
        <w:autoSpaceDE w:val="0"/>
        <w:autoSpaceDN w:val="0"/>
        <w:adjustRightInd w:val="0"/>
        <w:spacing w:after="0" w:line="240" w:lineRule="auto"/>
        <w:ind w:left="360"/>
        <w:jc w:val="both"/>
        <w:rPr>
          <w:rFonts w:ascii="Times New Roman" w:hAnsi="Times New Roman" w:cs="Times New Roman"/>
          <w:noProof/>
          <w:sz w:val="24"/>
          <w:szCs w:val="24"/>
          <w:lang w:val="bg-BG"/>
        </w:rPr>
      </w:pPr>
    </w:p>
    <w:p>
      <w:pPr>
        <w:numPr>
          <w:ilvl w:val="0"/>
          <w:numId w:val="13"/>
        </w:numPr>
        <w:autoSpaceDE w:val="0"/>
        <w:autoSpaceDN w:val="0"/>
        <w:adjustRightInd w:val="0"/>
        <w:spacing w:after="0" w:line="240" w:lineRule="auto"/>
        <w:jc w:val="both"/>
        <w:rPr>
          <w:rFonts w:ascii="Times New Roman" w:hAnsi="Times New Roman" w:cs="Times New Roman"/>
          <w:noProof/>
          <w:sz w:val="24"/>
          <w:szCs w:val="24"/>
          <w:lang w:val="bg-BG"/>
        </w:rPr>
      </w:pPr>
      <w:r>
        <w:rPr>
          <w:rFonts w:ascii="Times New Roman" w:hAnsi="Times New Roman"/>
          <w:noProof/>
          <w:sz w:val="24"/>
          <w:lang w:val="bg-BG"/>
        </w:rPr>
        <w:t>Комитетът даде положително становище по оценката на въздействието на предложението за регламент за модернизиране на правилата на ЕС в областта на авторското право в цифровия единен пазар</w:t>
      </w:r>
      <w:r>
        <w:rPr>
          <w:rFonts w:ascii="Times New Roman" w:hAnsi="Times New Roman"/>
          <w:noProof/>
          <w:sz w:val="24"/>
          <w:vertAlign w:val="superscript"/>
          <w:lang w:val="bg-BG"/>
        </w:rPr>
        <w:footnoteReference w:id="13"/>
      </w:r>
      <w:r>
        <w:rPr>
          <w:rFonts w:ascii="Times New Roman" w:hAnsi="Times New Roman"/>
          <w:noProof/>
          <w:sz w:val="24"/>
          <w:lang w:val="bg-BG"/>
        </w:rPr>
        <w:t>, при условие че докладът бъде подобрен, особено по отношение на доказателствата в подкрепа на необходимостта от действие на ЕС и пропорционалността на предложените мерки. По-конкретно, Комитетът поиска от Комисията да предостави повече доказателства, що се отнася до използването на защитено съдържание в съдържание, качено от ползватели, справедливото възнаграждение на авторите и изпълнителите и аудио-визуалното съдържание на платформи за „видео по заявка“. Изразената от Комитета загриженост доведе до преразглеждане на доклада за оценка на въздействието, придружаващ проектите на законодателни предложения, приети от Комисията през септември 2016 г.</w:t>
      </w:r>
    </w:p>
    <w:p>
      <w:pPr>
        <w:autoSpaceDE w:val="0"/>
        <w:autoSpaceDN w:val="0"/>
        <w:adjustRightInd w:val="0"/>
        <w:spacing w:after="0" w:line="240" w:lineRule="auto"/>
        <w:rPr>
          <w:rFonts w:ascii="Times New Roman" w:hAnsi="Times New Roman" w:cs="Times New Roman"/>
          <w:b/>
          <w:bCs/>
          <w:noProof/>
          <w:color w:val="000000"/>
          <w:sz w:val="23"/>
          <w:szCs w:val="23"/>
          <w:lang w:val="bg-BG"/>
        </w:rPr>
      </w:pPr>
    </w:p>
    <w:p>
      <w:pPr>
        <w:numPr>
          <w:ilvl w:val="0"/>
          <w:numId w:val="13"/>
        </w:numPr>
        <w:autoSpaceDE w:val="0"/>
        <w:autoSpaceDN w:val="0"/>
        <w:adjustRightInd w:val="0"/>
        <w:spacing w:after="0" w:line="240" w:lineRule="auto"/>
        <w:jc w:val="both"/>
        <w:rPr>
          <w:rFonts w:ascii="Times New Roman" w:hAnsi="Times New Roman"/>
          <w:noProof/>
          <w:sz w:val="24"/>
          <w:szCs w:val="24"/>
          <w:lang w:val="bg-BG"/>
        </w:rPr>
      </w:pPr>
      <w:bookmarkStart w:id="2" w:name="_Toc445291003"/>
      <w:bookmarkStart w:id="3" w:name="_Toc445715299"/>
      <w:bookmarkEnd w:id="2"/>
      <w:bookmarkEnd w:id="3"/>
      <w:r>
        <w:rPr>
          <w:rFonts w:ascii="Times New Roman" w:hAnsi="Times New Roman"/>
          <w:noProof/>
          <w:sz w:val="24"/>
          <w:lang w:val="bg-BG"/>
        </w:rPr>
        <w:t>По отношение на предложението за преразгледана директива за енергията от възобновяеми източници</w:t>
      </w:r>
      <w:r>
        <w:rPr>
          <w:rStyle w:val="FootnoteReference"/>
          <w:rFonts w:ascii="Times New Roman" w:hAnsi="Times New Roman"/>
          <w:noProof/>
          <w:sz w:val="24"/>
          <w:lang w:val="bg-BG"/>
        </w:rPr>
        <w:footnoteReference w:id="14"/>
      </w:r>
      <w:r>
        <w:rPr>
          <w:rFonts w:ascii="Times New Roman" w:hAnsi="Times New Roman"/>
          <w:noProof/>
          <w:sz w:val="24"/>
          <w:lang w:val="bg-BG"/>
        </w:rPr>
        <w:t xml:space="preserve"> Комитетът за регулаторен контрол изрази загриженост относно пропорционалността на някои от вариантите и степента, в която е спазен принципът на субсидиарност. В предложението си Комисията взе под внимание резервите на Комитета. По-конкретно, що се отнася до разпоредбите относно отоплението и охлаждането, Комисията не предлага законови задължения, а вместо това въвежда няколко варианта за държавите членки, като по този начин се осигурява гъвкавост при прилагането на национално равнище. Тези по-пропорционални и по-малко обременяващи разпоредби са съчетани с изрични разпоредби в рамката на управление, така че да се гарантира постигането на целите за 2030 г.</w:t>
      </w:r>
    </w:p>
    <w:p>
      <w:pPr>
        <w:autoSpaceDE w:val="0"/>
        <w:autoSpaceDN w:val="0"/>
        <w:adjustRightInd w:val="0"/>
        <w:spacing w:after="0" w:line="240" w:lineRule="auto"/>
        <w:jc w:val="both"/>
        <w:rPr>
          <w:rFonts w:ascii="Times New Roman" w:hAnsi="Times New Roman" w:cs="Times New Roman"/>
          <w:noProof/>
          <w:sz w:val="24"/>
          <w:szCs w:val="24"/>
          <w:lang w:val="bg-BG"/>
        </w:rPr>
      </w:pPr>
    </w:p>
    <w:p>
      <w:pPr>
        <w:autoSpaceDE w:val="0"/>
        <w:autoSpaceDN w:val="0"/>
        <w:adjustRightInd w:val="0"/>
        <w:spacing w:after="0" w:line="240" w:lineRule="auto"/>
        <w:jc w:val="both"/>
        <w:rPr>
          <w:rFonts w:ascii="Times New Roman" w:hAnsi="Times New Roman" w:cs="Times New Roman"/>
          <w:noProof/>
          <w:sz w:val="24"/>
          <w:szCs w:val="24"/>
          <w:lang w:val="bg-BG"/>
        </w:rPr>
      </w:pPr>
      <w:r>
        <w:rPr>
          <w:rFonts w:ascii="Times New Roman" w:hAnsi="Times New Roman"/>
          <w:noProof/>
          <w:sz w:val="24"/>
          <w:lang w:val="bg-BG"/>
        </w:rPr>
        <w:t xml:space="preserve">Както се вижда от горните примери, през 2016 г. Комитетът за регулаторен контрол помогна за подобряване на анализа на спазването на принципите на субсидиарност и пропорционалност в предложенията. По този начин той осигури информация от решаващо значение за процеса на вземане на политически решения на Комисията. </w:t>
      </w:r>
    </w:p>
    <w:p>
      <w:pPr>
        <w:autoSpaceDE w:val="0"/>
        <w:autoSpaceDN w:val="0"/>
        <w:adjustRightInd w:val="0"/>
        <w:spacing w:after="0" w:line="240" w:lineRule="auto"/>
        <w:rPr>
          <w:rFonts w:ascii="Times New Roman" w:hAnsi="Times New Roman" w:cs="Times New Roman"/>
          <w:b/>
          <w:bCs/>
          <w:noProof/>
          <w:sz w:val="24"/>
          <w:szCs w:val="24"/>
          <w:lang w:val="bg-BG"/>
        </w:rPr>
      </w:pPr>
    </w:p>
    <w:p>
      <w:pPr>
        <w:autoSpaceDE w:val="0"/>
        <w:autoSpaceDN w:val="0"/>
        <w:adjustRightInd w:val="0"/>
        <w:spacing w:after="120" w:line="240" w:lineRule="auto"/>
        <w:jc w:val="both"/>
        <w:rPr>
          <w:rFonts w:ascii="Times New Roman" w:hAnsi="Times New Roman" w:cs="Times New Roman"/>
          <w:noProof/>
          <w:sz w:val="24"/>
          <w:szCs w:val="24"/>
          <w:lang w:val="bg-BG"/>
        </w:rPr>
      </w:pPr>
      <w:r>
        <w:rPr>
          <w:rFonts w:ascii="Times New Roman" w:hAnsi="Times New Roman"/>
          <w:b/>
          <w:noProof/>
          <w:sz w:val="24"/>
          <w:lang w:val="bg-BG"/>
        </w:rPr>
        <w:t xml:space="preserve">Оценки и проверки за пригодност </w:t>
      </w:r>
    </w:p>
    <w:p>
      <w:pPr>
        <w:autoSpaceDE w:val="0"/>
        <w:autoSpaceDN w:val="0"/>
        <w:adjustRightInd w:val="0"/>
        <w:spacing w:after="0" w:line="240" w:lineRule="auto"/>
        <w:jc w:val="both"/>
        <w:rPr>
          <w:rFonts w:ascii="Times New Roman" w:hAnsi="Times New Roman" w:cs="Times New Roman"/>
          <w:noProof/>
          <w:sz w:val="24"/>
          <w:szCs w:val="24"/>
          <w:lang w:val="bg-BG"/>
        </w:rPr>
      </w:pPr>
      <w:r>
        <w:rPr>
          <w:rFonts w:ascii="Times New Roman" w:hAnsi="Times New Roman"/>
          <w:noProof/>
          <w:sz w:val="24"/>
          <w:lang w:val="bg-BG"/>
        </w:rPr>
        <w:t xml:space="preserve">Субсидиарността и пропорционалността бяха от ключово значение и за ретроспективните оценки и проверки за пригодност, извършени през 2016 г. С тези инструменти се оценява дали европейските действия постигат очакваните резултати по отношение на ефикасността, ефективността, съгласуваността, значимостта и европейската добавена стойност. С тях се оценява също така дали такива действия все още са необходими или целите могат да бъдат постигнати по-добре по други начини. Комисията се е ангажирала да прави първо оценка, т.е. да анализира постигнатите в миналото резултати, преди да предлага нови мерки. Като събира информация и опит, които може да бъдат използвани за вземането на решения, ЕС превръща оценката в неразделна и постоянна част от своя процес на изработване на политики. </w:t>
      </w:r>
    </w:p>
    <w:p>
      <w:pPr>
        <w:autoSpaceDE w:val="0"/>
        <w:autoSpaceDN w:val="0"/>
        <w:adjustRightInd w:val="0"/>
        <w:spacing w:after="0" w:line="240" w:lineRule="auto"/>
        <w:jc w:val="both"/>
        <w:rPr>
          <w:rFonts w:ascii="Times New Roman" w:hAnsi="Times New Roman" w:cs="Times New Roman"/>
          <w:noProof/>
          <w:sz w:val="24"/>
          <w:szCs w:val="24"/>
          <w:lang w:val="bg-BG"/>
        </w:rPr>
      </w:pPr>
    </w:p>
    <w:p>
      <w:pPr>
        <w:spacing w:after="0" w:line="240" w:lineRule="auto"/>
        <w:jc w:val="both"/>
        <w:rPr>
          <w:rFonts w:ascii="Times New Roman" w:hAnsi="Times New Roman" w:cs="Times New Roman"/>
          <w:noProof/>
          <w:sz w:val="24"/>
          <w:szCs w:val="24"/>
          <w:lang w:val="bg-BG"/>
        </w:rPr>
      </w:pPr>
      <w:r>
        <w:rPr>
          <w:rFonts w:ascii="Times New Roman" w:hAnsi="Times New Roman"/>
          <w:noProof/>
          <w:sz w:val="24"/>
          <w:lang w:val="bg-BG"/>
        </w:rPr>
        <w:t>Комисията обикновено изготвя между 100 и 120 оценки всяка година. През 2016 г. Комисията публикува 43 оценки и проверки за пригодност</w:t>
      </w:r>
      <w:r>
        <w:rPr>
          <w:rStyle w:val="FootnoteReference"/>
          <w:rFonts w:ascii="Times New Roman" w:hAnsi="Times New Roman"/>
          <w:noProof/>
          <w:sz w:val="24"/>
          <w:lang w:val="bg-BG"/>
        </w:rPr>
        <w:footnoteReference w:id="15"/>
      </w:r>
      <w:r>
        <w:rPr>
          <w:noProof/>
          <w:lang w:val="bg-BG"/>
        </w:rPr>
        <w:t>.</w:t>
      </w:r>
      <w:r>
        <w:rPr>
          <w:rFonts w:ascii="Times New Roman" w:hAnsi="Times New Roman"/>
          <w:noProof/>
          <w:sz w:val="24"/>
          <w:lang w:val="bg-BG"/>
        </w:rPr>
        <w:t xml:space="preserve"> </w:t>
      </w:r>
      <w:r>
        <w:rPr>
          <w:rFonts w:ascii="Times New Roman" w:hAnsi="Times New Roman"/>
          <w:noProof/>
          <w:sz w:val="23"/>
          <w:lang w:val="bg-BG"/>
        </w:rPr>
        <w:t>Комисията приключи две проверки за пригодност (оценки на по-широки области на политиката): една относно задълженията за докладване, планиране и мониторинг, съдържащи се в постиженията на правото на ЕС в областта на енергетиката, и една относно директивите за птиците и естествените местообитания.</w:t>
      </w:r>
      <w:r>
        <w:rPr>
          <w:rFonts w:ascii="Times New Roman" w:hAnsi="Times New Roman"/>
          <w:noProof/>
          <w:sz w:val="24"/>
          <w:lang w:val="bg-BG"/>
        </w:rPr>
        <w:t xml:space="preserve"> Следващите примери от 2016 г. илюстрират оценки, при които са били повдигнати въпроси, свързани със субсидиарността, европейската добавена стойност и пропорционалността: </w:t>
      </w:r>
    </w:p>
    <w:p>
      <w:pPr>
        <w:spacing w:after="0" w:line="240" w:lineRule="auto"/>
        <w:jc w:val="both"/>
        <w:rPr>
          <w:rFonts w:ascii="Calibri" w:hAnsi="Calibri" w:cs="Times New Roman"/>
          <w:noProof/>
          <w:color w:val="1F497D"/>
          <w:sz w:val="24"/>
          <w:szCs w:val="24"/>
          <w:lang w:val="bg-BG"/>
        </w:rPr>
      </w:pPr>
    </w:p>
    <w:p>
      <w:pPr>
        <w:numPr>
          <w:ilvl w:val="0"/>
          <w:numId w:val="11"/>
        </w:numPr>
        <w:autoSpaceDE w:val="0"/>
        <w:autoSpaceDN w:val="0"/>
        <w:adjustRightInd w:val="0"/>
        <w:spacing w:after="0" w:line="240" w:lineRule="auto"/>
        <w:jc w:val="both"/>
        <w:rPr>
          <w:rFonts w:ascii="Times New Roman" w:hAnsi="Times New Roman" w:cs="Times New Roman"/>
          <w:noProof/>
          <w:sz w:val="24"/>
          <w:szCs w:val="24"/>
          <w:lang w:val="bg-BG"/>
        </w:rPr>
      </w:pPr>
      <w:r>
        <w:rPr>
          <w:rFonts w:ascii="Times New Roman" w:hAnsi="Times New Roman"/>
          <w:noProof/>
          <w:sz w:val="24"/>
          <w:lang w:val="bg-BG"/>
        </w:rPr>
        <w:t>В оценката на Директивата за трансгранично налагане на глоби за пътнотранспортни нарушения</w:t>
      </w:r>
      <w:r>
        <w:rPr>
          <w:rFonts w:ascii="Times New Roman" w:hAnsi="Times New Roman"/>
          <w:noProof/>
          <w:sz w:val="24"/>
          <w:vertAlign w:val="superscript"/>
          <w:lang w:val="bg-BG"/>
        </w:rPr>
        <w:footnoteReference w:id="16"/>
      </w:r>
      <w:r>
        <w:rPr>
          <w:rFonts w:ascii="Times New Roman" w:hAnsi="Times New Roman"/>
          <w:noProof/>
          <w:sz w:val="24"/>
          <w:lang w:val="bg-BG"/>
        </w:rPr>
        <w:t xml:space="preserve"> се заключава, че Директивата носи европейска добавена стойност, тъй като с нея се въвежда механизъм за обмен на информация за регистрационните данни на превозните средства, което е от решаващо значение за преследването на нарушения, извършени с превозни средства, регистрирани в други държави членки. Постигането на същите резултати посредством други средства, различни от директива, е щяло да бъде почти невъзможно, като се имат предвид: а) броят на споразуменията, които държавите членки би трябвало да подпишат, за да си обменят този вид данни; б) необходимото време за ратифициране на подобни споразумения във всички държави членки; и в) възможните резултати от такива споразумения, както и липсата на прозрачност, която е възможна при някои двустранни или многостранни споразумения. </w:t>
      </w:r>
    </w:p>
    <w:p>
      <w:pPr>
        <w:autoSpaceDE w:val="0"/>
        <w:autoSpaceDN w:val="0"/>
        <w:adjustRightInd w:val="0"/>
        <w:spacing w:after="0" w:line="240" w:lineRule="auto"/>
        <w:jc w:val="both"/>
        <w:rPr>
          <w:rFonts w:ascii="Times New Roman" w:hAnsi="Times New Roman" w:cs="Times New Roman"/>
          <w:noProof/>
          <w:sz w:val="24"/>
          <w:szCs w:val="24"/>
          <w:lang w:val="bg-BG"/>
        </w:rPr>
      </w:pPr>
    </w:p>
    <w:p>
      <w:pPr>
        <w:numPr>
          <w:ilvl w:val="0"/>
          <w:numId w:val="11"/>
        </w:numPr>
        <w:autoSpaceDE w:val="0"/>
        <w:autoSpaceDN w:val="0"/>
        <w:adjustRightInd w:val="0"/>
        <w:spacing w:after="0" w:line="240" w:lineRule="auto"/>
        <w:jc w:val="both"/>
        <w:rPr>
          <w:rFonts w:ascii="Times New Roman" w:hAnsi="Times New Roman" w:cs="Times New Roman"/>
          <w:noProof/>
          <w:sz w:val="24"/>
          <w:szCs w:val="24"/>
          <w:lang w:val="bg-BG"/>
        </w:rPr>
      </w:pPr>
      <w:r>
        <w:rPr>
          <w:rFonts w:ascii="Times New Roman" w:hAnsi="Times New Roman"/>
          <w:noProof/>
          <w:sz w:val="24"/>
          <w:lang w:val="bg-BG"/>
        </w:rPr>
        <w:t>В оценката на Плана за действие срещу нарастващите опасности от антимикробна резистентност</w:t>
      </w:r>
      <w:r>
        <w:rPr>
          <w:rFonts w:ascii="Times New Roman" w:hAnsi="Times New Roman"/>
          <w:noProof/>
          <w:sz w:val="24"/>
          <w:vertAlign w:val="superscript"/>
          <w:lang w:val="bg-BG"/>
        </w:rPr>
        <w:footnoteReference w:id="17"/>
      </w:r>
      <w:r>
        <w:rPr>
          <w:rFonts w:ascii="Times New Roman" w:hAnsi="Times New Roman"/>
          <w:noProof/>
          <w:sz w:val="24"/>
          <w:lang w:val="bg-BG"/>
        </w:rPr>
        <w:t xml:space="preserve"> се заключава, че Планът за действие има ясно изразена европейска добавена стойност. Той стимулира действия в държавите членки, укрепва международното сътрудничество и предоставя рамка за координиране на дейностите относно антимикробната резистентност на международно равнище. Следователно, като цяло, констатациите от оценката подкрепят продължаването на действията на равнището на ЕС. Оценката показва, че съществува ясна необходимост държавите членки да бъдат подкрепяни и подпомагани при разработването и изпълнението на национални планове за действие за намаляване на разликите в употребата на антимикробни средства и разпространението на инфекции, да се насърчава сътрудничеството между различните сектори, да се повишат знанията на гражданите и да се укрепят системите за наблюдение и надзор чрез натрупването на експертни познания за методологиите, стабилни показатели и инструменти. Оценката доказва, че е необходимо да бъдат поддържани координацията и сътрудничеството в областта на научните изследвания и разработването на нови антимикробни средства, тестове за бързо диагностициране, ваксини и алтернативни лечения, както и нови бизнес модели, с които да се подкрепят инвестициите и увеличават познанията относно предаването на антимикробната резистентност.  </w:t>
      </w:r>
    </w:p>
    <w:p>
      <w:pPr>
        <w:autoSpaceDE w:val="0"/>
        <w:autoSpaceDN w:val="0"/>
        <w:adjustRightInd w:val="0"/>
        <w:spacing w:after="0" w:line="240" w:lineRule="auto"/>
        <w:ind w:left="720"/>
        <w:jc w:val="both"/>
        <w:rPr>
          <w:rFonts w:ascii="Times New Roman" w:hAnsi="Times New Roman" w:cs="Times New Roman"/>
          <w:noProof/>
          <w:sz w:val="24"/>
          <w:szCs w:val="24"/>
          <w:lang w:val="bg-BG"/>
        </w:rPr>
      </w:pPr>
    </w:p>
    <w:p>
      <w:pPr>
        <w:numPr>
          <w:ilvl w:val="0"/>
          <w:numId w:val="11"/>
        </w:numPr>
        <w:autoSpaceDE w:val="0"/>
        <w:autoSpaceDN w:val="0"/>
        <w:adjustRightInd w:val="0"/>
        <w:spacing w:after="0" w:line="240" w:lineRule="auto"/>
        <w:jc w:val="both"/>
        <w:rPr>
          <w:rFonts w:ascii="Times New Roman" w:hAnsi="Times New Roman" w:cs="Times New Roman"/>
          <w:noProof/>
          <w:sz w:val="24"/>
          <w:szCs w:val="24"/>
          <w:lang w:val="bg-BG"/>
        </w:rPr>
      </w:pPr>
      <w:r>
        <w:rPr>
          <w:rFonts w:ascii="Times New Roman" w:hAnsi="Times New Roman"/>
          <w:noProof/>
          <w:sz w:val="24"/>
          <w:lang w:val="bg-BG"/>
        </w:rPr>
        <w:t>В последващата оценка на Седмата рамкова програма за научни изследвания</w:t>
      </w:r>
      <w:r>
        <w:rPr>
          <w:rFonts w:ascii="Times New Roman" w:hAnsi="Times New Roman"/>
          <w:noProof/>
          <w:sz w:val="24"/>
          <w:vertAlign w:val="superscript"/>
          <w:lang w:val="bg-BG"/>
        </w:rPr>
        <w:footnoteReference w:id="18"/>
      </w:r>
      <w:r>
        <w:rPr>
          <w:rFonts w:ascii="Times New Roman" w:hAnsi="Times New Roman"/>
          <w:noProof/>
          <w:sz w:val="24"/>
          <w:lang w:val="bg-BG"/>
        </w:rPr>
        <w:t xml:space="preserve"> се заключава, че справянето с общоевропейските предизвикателства чрез европейски научни изследвания е сред най-важните области на европейската добавена стойност в сравнение с действията на отделните държави членки. Европейските научноизследователски програми включват редица награди за „обществени предизвикателства“, с които се дават парични награди за най-ефективно преодоляване на определено предизвикателство. Те действат като стимул за иновации. Те определят целта, но не и начина за нейното постигане. През 2014 г. наградата за иновации беше присъдена на германската биофармацевтична компания CureVac GmbH, която получи 2 милиона евро за напредъка си в разработването на новаторска технология за поддържане на стабилността на животоспасяващи ваксини при каквато и да е температура на околната среда, с което се преодолява една от най-големите пречки за използването на ваксини в развиващите се страни. През 2015 г. наградата привлече допълнителни частни инвестиции в научни изследвания, когато фондацията на Бил и Мелинда Гейтс обяви ангажимента си да инвестира 46 милиона евро в CureVac, за да ускори разработването на новаторската технология за ваксините и производството на различни ваксини против заразни болести. </w:t>
      </w:r>
    </w:p>
    <w:p>
      <w:pPr>
        <w:rPr>
          <w:rFonts w:asciiTheme="majorBidi" w:hAnsiTheme="majorBidi" w:cstheme="majorBidi"/>
          <w:i/>
          <w:iCs/>
          <w:noProof/>
          <w:sz w:val="24"/>
          <w:szCs w:val="24"/>
          <w:lang w:val="bg-BG"/>
        </w:rPr>
      </w:pPr>
    </w:p>
    <w:p>
      <w:pPr>
        <w:rPr>
          <w:rFonts w:asciiTheme="majorBidi" w:hAnsiTheme="majorBidi" w:cstheme="majorBidi"/>
          <w:b/>
          <w:bCs/>
          <w:noProof/>
          <w:sz w:val="24"/>
          <w:szCs w:val="24"/>
          <w:lang w:val="bg-BG"/>
        </w:rPr>
      </w:pPr>
      <w:r>
        <w:rPr>
          <w:rFonts w:asciiTheme="majorBidi" w:hAnsiTheme="majorBidi" w:cstheme="majorBidi"/>
          <w:b/>
          <w:noProof/>
          <w:sz w:val="24"/>
          <w:lang w:val="bg-BG"/>
        </w:rPr>
        <w:t>2.2.</w:t>
      </w:r>
      <w:r>
        <w:rPr>
          <w:noProof/>
          <w:lang w:val="bg-BG"/>
        </w:rPr>
        <w:tab/>
      </w:r>
      <w:r>
        <w:rPr>
          <w:rFonts w:asciiTheme="majorBidi" w:hAnsiTheme="majorBidi" w:cstheme="majorBidi"/>
          <w:b/>
          <w:noProof/>
          <w:sz w:val="24"/>
          <w:lang w:val="bg-BG"/>
        </w:rPr>
        <w:t xml:space="preserve"> Последващи мерки във връзка с мотивираните становища на националните парламенти</w:t>
      </w:r>
    </w:p>
    <w:p>
      <w:pPr>
        <w:spacing w:after="240" w:line="240" w:lineRule="auto"/>
        <w:jc w:val="both"/>
        <w:rPr>
          <w:rFonts w:asciiTheme="majorBidi" w:eastAsia="Times New Roman" w:hAnsiTheme="majorBidi" w:cstheme="majorBidi"/>
          <w:noProof/>
          <w:sz w:val="24"/>
          <w:szCs w:val="24"/>
          <w:lang w:val="bg-BG"/>
        </w:rPr>
      </w:pPr>
      <w:r>
        <w:rPr>
          <w:rFonts w:asciiTheme="majorBidi" w:hAnsiTheme="majorBidi" w:cstheme="majorBidi"/>
          <w:noProof/>
          <w:sz w:val="24"/>
          <w:lang w:val="bg-BG"/>
        </w:rPr>
        <w:t>През 2016 г. Комисията получи 65</w:t>
      </w:r>
      <w:r>
        <w:rPr>
          <w:rStyle w:val="FootnoteReference"/>
          <w:rFonts w:asciiTheme="majorBidi" w:hAnsiTheme="majorBidi" w:cstheme="majorBidi"/>
          <w:noProof/>
          <w:sz w:val="24"/>
          <w:lang w:val="bg-BG"/>
        </w:rPr>
        <w:footnoteReference w:id="19"/>
      </w:r>
      <w:r>
        <w:rPr>
          <w:rFonts w:asciiTheme="majorBidi" w:hAnsiTheme="majorBidi" w:cstheme="majorBidi"/>
          <w:noProof/>
          <w:sz w:val="24"/>
          <w:lang w:val="bg-BG"/>
        </w:rPr>
        <w:t xml:space="preserve"> </w:t>
      </w:r>
      <w:r>
        <w:rPr>
          <w:rFonts w:asciiTheme="majorBidi" w:hAnsiTheme="majorBidi" w:cstheme="majorBidi"/>
          <w:b/>
          <w:noProof/>
          <w:sz w:val="24"/>
          <w:lang w:val="bg-BG"/>
        </w:rPr>
        <w:t>мотивирани становища</w:t>
      </w:r>
      <w:r>
        <w:rPr>
          <w:rFonts w:asciiTheme="majorBidi" w:hAnsiTheme="majorBidi" w:cstheme="majorBidi"/>
          <w:noProof/>
          <w:sz w:val="24"/>
          <w:lang w:val="bg-BG"/>
        </w:rPr>
        <w:t xml:space="preserve"> от националните парламенти относно спазването на принципа на субсидиарност</w:t>
      </w:r>
      <w:r>
        <w:rPr>
          <w:rStyle w:val="FootnoteReference"/>
          <w:rFonts w:ascii="Times New Roman" w:hAnsi="Times New Roman"/>
          <w:noProof/>
          <w:sz w:val="24"/>
          <w:lang w:val="bg-BG"/>
        </w:rPr>
        <w:footnoteReference w:id="20"/>
      </w:r>
      <w:r>
        <w:rPr>
          <w:noProof/>
          <w:lang w:val="bg-BG"/>
        </w:rPr>
        <w:t>.</w:t>
      </w:r>
      <w:r>
        <w:rPr>
          <w:rFonts w:asciiTheme="majorBidi" w:hAnsiTheme="majorBidi" w:cstheme="majorBidi"/>
          <w:noProof/>
          <w:sz w:val="24"/>
          <w:lang w:val="bg-BG"/>
        </w:rPr>
        <w:t xml:space="preserve"> Това представлява увеличение със 713 % в сравнение с осемте мотивирани становища, получени през 2015 г. Броят на мотивираните становища, получени през 2016 г., е третият по големина за една календарна година, откакто през 2009 г. с Договора от Лисабон беше въведен механизмът за контрол на субсидиарността (през 2012 г. и 2013 г. бяха получени съответно 84 и 70 мотивирани становища). Получените през 2016 г. мотивирани становища представляваха освен това по-голям дял (10,5 %) от общия брой становища, получени от Комисията през същата година в рамките на политическия диалог (620). Следва да се отбележи, че общият брой на становищата, изпратени от националните парламенти в рамките на политическия диалог, също нарасна значително през 2016 г.</w:t>
      </w:r>
      <w:r>
        <w:rPr>
          <w:rStyle w:val="FootnoteReference"/>
          <w:rFonts w:ascii="Times New Roman" w:hAnsi="Times New Roman"/>
          <w:noProof/>
          <w:sz w:val="24"/>
          <w:lang w:val="bg-BG"/>
        </w:rPr>
        <w:footnoteReference w:id="21"/>
      </w:r>
    </w:p>
    <w:p>
      <w:pPr>
        <w:spacing w:after="240" w:line="240" w:lineRule="auto"/>
        <w:jc w:val="both"/>
        <w:rPr>
          <w:rFonts w:asciiTheme="majorBidi" w:eastAsia="Times New Roman" w:hAnsiTheme="majorBidi" w:cstheme="majorBidi"/>
          <w:noProof/>
          <w:sz w:val="24"/>
          <w:szCs w:val="24"/>
          <w:lang w:val="bg-BG"/>
        </w:rPr>
      </w:pPr>
      <w:r>
        <w:rPr>
          <w:rFonts w:asciiTheme="majorBidi" w:hAnsiTheme="majorBidi" w:cstheme="majorBidi"/>
          <w:noProof/>
          <w:sz w:val="24"/>
          <w:lang w:val="bg-BG"/>
        </w:rPr>
        <w:t>65-те мотивирани становища, получени през 2016 г., включват 38 становища, свързани с четири предложения на Комисията. Най-много мотивирани становища — общо 14 на брой — бяха внесени по предложението за преразглеждане на Директивата относно командироването на работници</w:t>
      </w:r>
      <w:r>
        <w:rPr>
          <w:rStyle w:val="FootnoteReference"/>
          <w:rFonts w:ascii="Times New Roman" w:hAnsi="Times New Roman"/>
          <w:noProof/>
          <w:sz w:val="24"/>
          <w:lang w:val="bg-BG"/>
        </w:rPr>
        <w:footnoteReference w:id="22"/>
      </w:r>
      <w:r>
        <w:rPr>
          <w:rFonts w:asciiTheme="majorBidi" w:hAnsiTheme="majorBidi" w:cstheme="majorBidi"/>
          <w:noProof/>
          <w:sz w:val="24"/>
          <w:lang w:val="bg-BG"/>
        </w:rPr>
        <w:t xml:space="preserve">, с което беше задействана процедурата съгласно член 7, параграф 2 от Протокол № 2 към Договорите (т.нар. процедура „жълт картон“). По предложението за преразглеждане на Регламента „Дъблин“ </w:t>
      </w:r>
      <w:r>
        <w:rPr>
          <w:rStyle w:val="FootnoteReference"/>
          <w:rFonts w:asciiTheme="majorBidi" w:hAnsiTheme="majorBidi" w:cstheme="majorBidi"/>
          <w:noProof/>
          <w:sz w:val="24"/>
          <w:lang w:val="bg-BG"/>
        </w:rPr>
        <w:footnoteReference w:id="23"/>
      </w:r>
      <w:r>
        <w:rPr>
          <w:rFonts w:asciiTheme="majorBidi" w:hAnsiTheme="majorBidi" w:cstheme="majorBidi"/>
          <w:noProof/>
          <w:sz w:val="24"/>
          <w:lang w:val="bg-BG"/>
        </w:rPr>
        <w:t xml:space="preserve"> бяха получени </w:t>
      </w:r>
      <w:r>
        <w:rPr>
          <w:rFonts w:ascii="Times New Roman" w:hAnsi="Times New Roman"/>
          <w:noProof/>
          <w:color w:val="000000"/>
          <w:sz w:val="24"/>
          <w:lang w:val="bg-BG"/>
        </w:rPr>
        <w:t>осем</w:t>
      </w:r>
      <w:r>
        <w:rPr>
          <w:rFonts w:ascii="Times New Roman" w:hAnsi="Times New Roman"/>
          <w:noProof/>
          <w:sz w:val="24"/>
          <w:lang w:val="bg-BG"/>
        </w:rPr>
        <w:t xml:space="preserve"> </w:t>
      </w:r>
      <w:r>
        <w:rPr>
          <w:rFonts w:asciiTheme="majorBidi" w:hAnsiTheme="majorBidi" w:cstheme="majorBidi"/>
          <w:noProof/>
          <w:sz w:val="24"/>
          <w:lang w:val="bg-BG"/>
        </w:rPr>
        <w:t xml:space="preserve">мотивирани становища, а за двете предложения за установяване на обща консолидирана основа за облагане с корпоративен данък също бяха получени </w:t>
      </w:r>
      <w:r>
        <w:rPr>
          <w:rFonts w:ascii="Times New Roman" w:hAnsi="Times New Roman"/>
          <w:noProof/>
          <w:color w:val="000000"/>
          <w:sz w:val="24"/>
          <w:lang w:val="bg-BG"/>
        </w:rPr>
        <w:t>осем</w:t>
      </w:r>
      <w:r>
        <w:rPr>
          <w:rFonts w:ascii="Times New Roman" w:hAnsi="Times New Roman"/>
          <w:noProof/>
          <w:sz w:val="24"/>
          <w:lang w:val="bg-BG"/>
        </w:rPr>
        <w:t xml:space="preserve"> </w:t>
      </w:r>
      <w:r>
        <w:rPr>
          <w:rFonts w:asciiTheme="majorBidi" w:hAnsiTheme="majorBidi" w:cstheme="majorBidi"/>
          <w:noProof/>
          <w:sz w:val="24"/>
          <w:lang w:val="bg-BG"/>
        </w:rPr>
        <w:t>мотивирани становища</w:t>
      </w:r>
      <w:r>
        <w:rPr>
          <w:rStyle w:val="FootnoteReference"/>
          <w:rFonts w:asciiTheme="majorBidi" w:hAnsiTheme="majorBidi" w:cstheme="majorBidi"/>
          <w:noProof/>
          <w:sz w:val="24"/>
          <w:lang w:val="bg-BG"/>
        </w:rPr>
        <w:footnoteReference w:id="24"/>
      </w:r>
      <w:r>
        <w:rPr>
          <w:noProof/>
          <w:lang w:val="bg-BG"/>
        </w:rPr>
        <w:t>.</w:t>
      </w:r>
      <w:r>
        <w:rPr>
          <w:rFonts w:asciiTheme="majorBidi" w:hAnsiTheme="majorBidi" w:cstheme="majorBidi"/>
          <w:noProof/>
          <w:sz w:val="24"/>
          <w:lang w:val="bg-BG"/>
        </w:rPr>
        <w:t xml:space="preserve"> За други предложения бяха получени между едно и четири мотивирани становища. Случаите, във връзка с които Комисията е получила най-много мотивирани становища, са описани по-подробно в глава 3.</w:t>
      </w:r>
    </w:p>
    <w:p>
      <w:pPr>
        <w:spacing w:after="240" w:line="240" w:lineRule="auto"/>
        <w:jc w:val="both"/>
        <w:rPr>
          <w:rFonts w:asciiTheme="majorBidi" w:eastAsia="Times New Roman" w:hAnsiTheme="majorBidi" w:cstheme="majorBidi"/>
          <w:noProof/>
          <w:sz w:val="24"/>
          <w:szCs w:val="24"/>
          <w:highlight w:val="yellow"/>
          <w:lang w:val="bg-BG"/>
        </w:rPr>
      </w:pPr>
      <w:r>
        <w:rPr>
          <w:rFonts w:asciiTheme="majorBidi" w:hAnsiTheme="majorBidi" w:cstheme="majorBidi"/>
          <w:noProof/>
          <w:sz w:val="24"/>
          <w:lang w:val="bg-BG"/>
        </w:rPr>
        <w:t xml:space="preserve">Значителният ръст на общия брой мотивирани становища, изготвени през 2016 г., беше свързан със съществено увеличение на броя на мотивираните становища спрямо броя на камарите. През 2016 г. 26 от общо 41 камари представиха мотивирани становища (в сравнение с 8 камари през 2015 г.). Мотивирани становища представиха българското </w:t>
      </w:r>
      <w:r>
        <w:rPr>
          <w:rFonts w:asciiTheme="majorBidi" w:hAnsiTheme="majorBidi" w:cstheme="majorBidi"/>
          <w:i/>
          <w:noProof/>
          <w:sz w:val="24"/>
          <w:lang w:val="bg-BG"/>
        </w:rPr>
        <w:t>Народно събрание</w:t>
      </w:r>
      <w:r>
        <w:rPr>
          <w:rFonts w:asciiTheme="majorBidi" w:hAnsiTheme="majorBidi" w:cstheme="majorBidi"/>
          <w:noProof/>
          <w:sz w:val="24"/>
          <w:lang w:val="bg-BG"/>
        </w:rPr>
        <w:t xml:space="preserve"> (3), чешкият </w:t>
      </w:r>
      <w:r>
        <w:rPr>
          <w:rFonts w:asciiTheme="majorBidi" w:hAnsiTheme="majorBidi" w:cstheme="majorBidi"/>
          <w:i/>
          <w:noProof/>
          <w:sz w:val="24"/>
          <w:lang w:val="bg-BG"/>
        </w:rPr>
        <w:t>Senát</w:t>
      </w:r>
      <w:r>
        <w:rPr>
          <w:rFonts w:asciiTheme="majorBidi" w:hAnsiTheme="majorBidi" w:cstheme="majorBidi"/>
          <w:noProof/>
          <w:sz w:val="24"/>
          <w:lang w:val="bg-BG"/>
        </w:rPr>
        <w:t xml:space="preserve"> (3), чешката </w:t>
      </w:r>
      <w:r>
        <w:rPr>
          <w:rFonts w:asciiTheme="majorBidi" w:hAnsiTheme="majorBidi" w:cstheme="majorBidi"/>
          <w:i/>
          <w:noProof/>
          <w:sz w:val="24"/>
          <w:lang w:val="bg-BG"/>
        </w:rPr>
        <w:t>Poslanecká sněmovna</w:t>
      </w:r>
      <w:r>
        <w:rPr>
          <w:rFonts w:asciiTheme="majorBidi" w:hAnsiTheme="majorBidi" w:cstheme="majorBidi"/>
          <w:noProof/>
          <w:sz w:val="24"/>
          <w:lang w:val="bg-BG"/>
        </w:rPr>
        <w:t xml:space="preserve"> (4), датският </w:t>
      </w:r>
      <w:r>
        <w:rPr>
          <w:rFonts w:asciiTheme="majorBidi" w:hAnsiTheme="majorBidi" w:cstheme="majorBidi"/>
          <w:i/>
          <w:noProof/>
          <w:sz w:val="24"/>
          <w:lang w:val="bg-BG"/>
        </w:rPr>
        <w:t>Folketing</w:t>
      </w:r>
      <w:r>
        <w:rPr>
          <w:rFonts w:asciiTheme="majorBidi" w:hAnsiTheme="majorBidi" w:cstheme="majorBidi"/>
          <w:noProof/>
          <w:sz w:val="24"/>
          <w:lang w:val="bg-BG"/>
        </w:rPr>
        <w:t xml:space="preserve"> (2), естонският </w:t>
      </w:r>
      <w:r>
        <w:rPr>
          <w:rFonts w:asciiTheme="majorBidi" w:hAnsiTheme="majorBidi" w:cstheme="majorBidi"/>
          <w:i/>
          <w:noProof/>
          <w:sz w:val="24"/>
          <w:lang w:val="bg-BG"/>
        </w:rPr>
        <w:t>Riigikogu</w:t>
      </w:r>
      <w:r>
        <w:rPr>
          <w:rFonts w:asciiTheme="majorBidi" w:hAnsiTheme="majorBidi" w:cstheme="majorBidi"/>
          <w:noProof/>
          <w:sz w:val="24"/>
          <w:lang w:val="bg-BG"/>
        </w:rPr>
        <w:t xml:space="preserve"> (1), ирландският </w:t>
      </w:r>
      <w:r>
        <w:rPr>
          <w:rFonts w:asciiTheme="majorBidi" w:hAnsiTheme="majorBidi" w:cstheme="majorBidi"/>
          <w:i/>
          <w:noProof/>
          <w:sz w:val="24"/>
          <w:lang w:val="bg-BG"/>
        </w:rPr>
        <w:t xml:space="preserve">Dáil Éireann </w:t>
      </w:r>
      <w:r>
        <w:rPr>
          <w:rFonts w:asciiTheme="majorBidi" w:hAnsiTheme="majorBidi" w:cstheme="majorBidi"/>
          <w:noProof/>
          <w:sz w:val="24"/>
          <w:lang w:val="bg-BG"/>
        </w:rPr>
        <w:t xml:space="preserve">(2), ирландският </w:t>
      </w:r>
      <w:r>
        <w:rPr>
          <w:rFonts w:asciiTheme="majorBidi" w:hAnsiTheme="majorBidi" w:cstheme="majorBidi"/>
          <w:i/>
          <w:noProof/>
          <w:sz w:val="24"/>
          <w:lang w:val="bg-BG"/>
        </w:rPr>
        <w:t>Seanad Éireann</w:t>
      </w:r>
      <w:r>
        <w:rPr>
          <w:rFonts w:asciiTheme="majorBidi" w:hAnsiTheme="majorBidi" w:cstheme="majorBidi"/>
          <w:noProof/>
          <w:sz w:val="24"/>
          <w:lang w:val="bg-BG"/>
        </w:rPr>
        <w:t xml:space="preserve"> (1), френският </w:t>
      </w:r>
      <w:r>
        <w:rPr>
          <w:rFonts w:asciiTheme="majorBidi" w:hAnsiTheme="majorBidi" w:cstheme="majorBidi"/>
          <w:i/>
          <w:noProof/>
          <w:sz w:val="24"/>
          <w:lang w:val="bg-BG"/>
        </w:rPr>
        <w:t>Sénat</w:t>
      </w:r>
      <w:r>
        <w:rPr>
          <w:rFonts w:asciiTheme="majorBidi" w:hAnsiTheme="majorBidi" w:cstheme="majorBidi"/>
          <w:noProof/>
          <w:sz w:val="24"/>
          <w:lang w:val="bg-BG"/>
        </w:rPr>
        <w:t xml:space="preserve"> (3), хърватският </w:t>
      </w:r>
      <w:r>
        <w:rPr>
          <w:rFonts w:asciiTheme="majorBidi" w:hAnsiTheme="majorBidi" w:cstheme="majorBidi"/>
          <w:i/>
          <w:noProof/>
          <w:sz w:val="24"/>
          <w:lang w:val="bg-BG"/>
        </w:rPr>
        <w:t>Hrvatski sabor</w:t>
      </w:r>
      <w:r>
        <w:rPr>
          <w:rFonts w:asciiTheme="majorBidi" w:hAnsiTheme="majorBidi" w:cstheme="majorBidi"/>
          <w:noProof/>
          <w:sz w:val="24"/>
          <w:lang w:val="bg-BG"/>
        </w:rPr>
        <w:t xml:space="preserve"> (1), италианският </w:t>
      </w:r>
      <w:r>
        <w:rPr>
          <w:rFonts w:asciiTheme="majorBidi" w:hAnsiTheme="majorBidi" w:cstheme="majorBidi"/>
          <w:i/>
          <w:noProof/>
          <w:sz w:val="24"/>
          <w:lang w:val="bg-BG"/>
        </w:rPr>
        <w:t>Senato della Repubblica</w:t>
      </w:r>
      <w:r>
        <w:rPr>
          <w:rFonts w:asciiTheme="majorBidi" w:hAnsiTheme="majorBidi" w:cstheme="majorBidi"/>
          <w:noProof/>
          <w:sz w:val="24"/>
          <w:lang w:val="bg-BG"/>
        </w:rPr>
        <w:t xml:space="preserve"> (3), латвийският </w:t>
      </w:r>
      <w:r>
        <w:rPr>
          <w:rFonts w:asciiTheme="majorBidi" w:hAnsiTheme="majorBidi" w:cstheme="majorBidi"/>
          <w:i/>
          <w:noProof/>
          <w:sz w:val="24"/>
          <w:lang w:val="bg-BG"/>
        </w:rPr>
        <w:t>Saeima</w:t>
      </w:r>
      <w:r>
        <w:rPr>
          <w:rFonts w:asciiTheme="majorBidi" w:hAnsiTheme="majorBidi" w:cstheme="majorBidi"/>
          <w:noProof/>
          <w:sz w:val="24"/>
          <w:lang w:val="bg-BG"/>
        </w:rPr>
        <w:t xml:space="preserve"> (1), литовският </w:t>
      </w:r>
      <w:r>
        <w:rPr>
          <w:rFonts w:asciiTheme="majorBidi" w:hAnsiTheme="majorBidi" w:cstheme="majorBidi"/>
          <w:i/>
          <w:noProof/>
          <w:sz w:val="24"/>
          <w:lang w:val="bg-BG"/>
        </w:rPr>
        <w:t>Seimas</w:t>
      </w:r>
      <w:r>
        <w:rPr>
          <w:rFonts w:asciiTheme="majorBidi" w:hAnsiTheme="majorBidi" w:cstheme="majorBidi"/>
          <w:noProof/>
          <w:sz w:val="24"/>
          <w:lang w:val="bg-BG"/>
        </w:rPr>
        <w:t xml:space="preserve"> (1), люксембургската </w:t>
      </w:r>
      <w:r>
        <w:rPr>
          <w:rFonts w:asciiTheme="majorBidi" w:hAnsiTheme="majorBidi" w:cstheme="majorBidi"/>
          <w:i/>
          <w:noProof/>
          <w:sz w:val="24"/>
          <w:lang w:val="bg-BG"/>
        </w:rPr>
        <w:t>Chambre des Députés</w:t>
      </w:r>
      <w:r>
        <w:rPr>
          <w:rFonts w:asciiTheme="majorBidi" w:hAnsiTheme="majorBidi" w:cstheme="majorBidi"/>
          <w:noProof/>
          <w:sz w:val="24"/>
          <w:lang w:val="bg-BG"/>
        </w:rPr>
        <w:t xml:space="preserve"> (2), унгарският </w:t>
      </w:r>
      <w:r>
        <w:rPr>
          <w:rFonts w:asciiTheme="majorBidi" w:hAnsiTheme="majorBidi" w:cstheme="majorBidi"/>
          <w:i/>
          <w:noProof/>
          <w:sz w:val="24"/>
          <w:lang w:val="bg-BG"/>
        </w:rPr>
        <w:t>Országgyűlés</w:t>
      </w:r>
      <w:r>
        <w:rPr>
          <w:rFonts w:asciiTheme="majorBidi" w:hAnsiTheme="majorBidi" w:cstheme="majorBidi"/>
          <w:noProof/>
          <w:sz w:val="24"/>
          <w:lang w:val="bg-BG"/>
        </w:rPr>
        <w:t xml:space="preserve"> (2), малтийската </w:t>
      </w:r>
      <w:r>
        <w:rPr>
          <w:rFonts w:asciiTheme="majorBidi" w:hAnsiTheme="majorBidi" w:cstheme="majorBidi"/>
          <w:i/>
          <w:noProof/>
          <w:sz w:val="24"/>
          <w:lang w:val="bg-BG"/>
        </w:rPr>
        <w:t>Kamra tad-Deputati</w:t>
      </w:r>
      <w:r>
        <w:rPr>
          <w:rFonts w:asciiTheme="majorBidi" w:hAnsiTheme="majorBidi" w:cstheme="majorBidi"/>
          <w:noProof/>
          <w:sz w:val="24"/>
          <w:lang w:val="bg-BG"/>
        </w:rPr>
        <w:t xml:space="preserve"> (5), нидерландската </w:t>
      </w:r>
      <w:r>
        <w:rPr>
          <w:rFonts w:asciiTheme="majorBidi" w:hAnsiTheme="majorBidi" w:cstheme="majorBidi"/>
          <w:i/>
          <w:noProof/>
          <w:sz w:val="24"/>
          <w:lang w:val="bg-BG"/>
        </w:rPr>
        <w:t>Eerste Kamer</w:t>
      </w:r>
      <w:r>
        <w:rPr>
          <w:rFonts w:asciiTheme="majorBidi" w:hAnsiTheme="majorBidi" w:cstheme="majorBidi"/>
          <w:noProof/>
          <w:sz w:val="24"/>
          <w:lang w:val="bg-BG"/>
        </w:rPr>
        <w:t xml:space="preserve"> (1), нидерландската </w:t>
      </w:r>
      <w:r>
        <w:rPr>
          <w:rFonts w:asciiTheme="majorBidi" w:hAnsiTheme="majorBidi" w:cstheme="majorBidi"/>
          <w:i/>
          <w:noProof/>
          <w:sz w:val="24"/>
          <w:lang w:val="bg-BG"/>
        </w:rPr>
        <w:t>Tweede Kamer</w:t>
      </w:r>
      <w:r>
        <w:rPr>
          <w:rFonts w:asciiTheme="majorBidi" w:hAnsiTheme="majorBidi" w:cstheme="majorBidi"/>
          <w:noProof/>
          <w:sz w:val="24"/>
          <w:lang w:val="bg-BG"/>
        </w:rPr>
        <w:t xml:space="preserve"> (3), австрийският </w:t>
      </w:r>
      <w:r>
        <w:rPr>
          <w:rFonts w:asciiTheme="majorBidi" w:hAnsiTheme="majorBidi" w:cstheme="majorBidi"/>
          <w:i/>
          <w:noProof/>
          <w:sz w:val="24"/>
          <w:lang w:val="bg-BG"/>
        </w:rPr>
        <w:t>Bundesrat</w:t>
      </w:r>
      <w:r>
        <w:rPr>
          <w:rFonts w:asciiTheme="majorBidi" w:hAnsiTheme="majorBidi" w:cstheme="majorBidi"/>
          <w:noProof/>
          <w:sz w:val="24"/>
          <w:lang w:val="bg-BG"/>
        </w:rPr>
        <w:t xml:space="preserve"> (4), полският </w:t>
      </w:r>
      <w:r>
        <w:rPr>
          <w:rFonts w:asciiTheme="majorBidi" w:hAnsiTheme="majorBidi" w:cstheme="majorBidi"/>
          <w:i/>
          <w:noProof/>
          <w:sz w:val="24"/>
          <w:lang w:val="bg-BG"/>
        </w:rPr>
        <w:t>Senat</w:t>
      </w:r>
      <w:r>
        <w:rPr>
          <w:rFonts w:asciiTheme="majorBidi" w:hAnsiTheme="majorBidi" w:cstheme="majorBidi"/>
          <w:noProof/>
          <w:sz w:val="24"/>
          <w:lang w:val="bg-BG"/>
        </w:rPr>
        <w:t xml:space="preserve"> (2), полският </w:t>
      </w:r>
      <w:r>
        <w:rPr>
          <w:rFonts w:asciiTheme="majorBidi" w:hAnsiTheme="majorBidi" w:cstheme="majorBidi"/>
          <w:i/>
          <w:noProof/>
          <w:sz w:val="24"/>
          <w:lang w:val="bg-BG"/>
        </w:rPr>
        <w:t>Sejm</w:t>
      </w:r>
      <w:r>
        <w:rPr>
          <w:rFonts w:asciiTheme="majorBidi" w:hAnsiTheme="majorBidi" w:cstheme="majorBidi"/>
          <w:noProof/>
          <w:sz w:val="24"/>
          <w:lang w:val="bg-BG"/>
        </w:rPr>
        <w:t xml:space="preserve"> (2), португалската </w:t>
      </w:r>
      <w:r>
        <w:rPr>
          <w:rFonts w:asciiTheme="majorBidi" w:hAnsiTheme="majorBidi" w:cstheme="majorBidi"/>
          <w:i/>
          <w:noProof/>
          <w:sz w:val="24"/>
          <w:lang w:val="bg-BG"/>
        </w:rPr>
        <w:t>Assembleia da República</w:t>
      </w:r>
      <w:r>
        <w:rPr>
          <w:rFonts w:asciiTheme="majorBidi" w:hAnsiTheme="majorBidi" w:cstheme="majorBidi"/>
          <w:noProof/>
          <w:sz w:val="24"/>
          <w:lang w:val="bg-BG"/>
        </w:rPr>
        <w:t xml:space="preserve"> (1), румънската </w:t>
      </w:r>
      <w:r>
        <w:rPr>
          <w:rFonts w:asciiTheme="majorBidi" w:hAnsiTheme="majorBidi" w:cstheme="majorBidi"/>
          <w:i/>
          <w:noProof/>
          <w:sz w:val="24"/>
          <w:lang w:val="bg-BG"/>
        </w:rPr>
        <w:t>Camera Deputaților</w:t>
      </w:r>
      <w:r>
        <w:rPr>
          <w:rFonts w:asciiTheme="majorBidi" w:hAnsiTheme="majorBidi" w:cstheme="majorBidi"/>
          <w:noProof/>
          <w:sz w:val="24"/>
          <w:lang w:val="bg-BG"/>
        </w:rPr>
        <w:t xml:space="preserve"> (2), румънският </w:t>
      </w:r>
      <w:r>
        <w:rPr>
          <w:rFonts w:asciiTheme="majorBidi" w:hAnsiTheme="majorBidi" w:cstheme="majorBidi"/>
          <w:i/>
          <w:noProof/>
          <w:sz w:val="24"/>
          <w:lang w:val="bg-BG"/>
        </w:rPr>
        <w:t>Senat</w:t>
      </w:r>
      <w:r>
        <w:rPr>
          <w:rFonts w:asciiTheme="majorBidi" w:hAnsiTheme="majorBidi" w:cstheme="majorBidi"/>
          <w:noProof/>
          <w:sz w:val="24"/>
          <w:lang w:val="bg-BG"/>
        </w:rPr>
        <w:t xml:space="preserve"> (1),словашкият </w:t>
      </w:r>
      <w:r>
        <w:rPr>
          <w:rFonts w:asciiTheme="majorBidi" w:hAnsiTheme="majorBidi" w:cstheme="majorBidi"/>
          <w:i/>
          <w:noProof/>
          <w:sz w:val="24"/>
          <w:lang w:val="bg-BG"/>
        </w:rPr>
        <w:t>Národná rada</w:t>
      </w:r>
      <w:r>
        <w:rPr>
          <w:rFonts w:asciiTheme="majorBidi" w:hAnsiTheme="majorBidi" w:cstheme="majorBidi"/>
          <w:noProof/>
          <w:sz w:val="24"/>
          <w:lang w:val="bg-BG"/>
        </w:rPr>
        <w:t xml:space="preserve"> (2), шведският </w:t>
      </w:r>
      <w:r>
        <w:rPr>
          <w:rFonts w:asciiTheme="majorBidi" w:hAnsiTheme="majorBidi" w:cstheme="majorBidi"/>
          <w:i/>
          <w:noProof/>
          <w:sz w:val="24"/>
          <w:lang w:val="bg-BG"/>
        </w:rPr>
        <w:t>Riksdag</w:t>
      </w:r>
      <w:r>
        <w:rPr>
          <w:rFonts w:asciiTheme="majorBidi" w:hAnsiTheme="majorBidi" w:cstheme="majorBidi"/>
          <w:noProof/>
          <w:sz w:val="24"/>
          <w:lang w:val="bg-BG"/>
        </w:rPr>
        <w:t xml:space="preserve"> (12) и </w:t>
      </w:r>
      <w:r>
        <w:rPr>
          <w:rFonts w:asciiTheme="majorBidi" w:hAnsiTheme="majorBidi" w:cstheme="majorBidi"/>
          <w:i/>
          <w:noProof/>
          <w:sz w:val="24"/>
          <w:lang w:val="bg-BG"/>
        </w:rPr>
        <w:t>House of Commons</w:t>
      </w:r>
      <w:r>
        <w:rPr>
          <w:rFonts w:asciiTheme="majorBidi" w:hAnsiTheme="majorBidi" w:cstheme="majorBidi"/>
          <w:noProof/>
          <w:sz w:val="24"/>
          <w:lang w:val="bg-BG"/>
        </w:rPr>
        <w:t xml:space="preserve"> на Обединеното кралство(1).</w:t>
      </w:r>
    </w:p>
    <w:p>
      <w:pPr>
        <w:spacing w:after="240" w:line="240" w:lineRule="auto"/>
        <w:jc w:val="both"/>
        <w:rPr>
          <w:rFonts w:asciiTheme="majorBidi" w:eastAsia="Times New Roman" w:hAnsiTheme="majorBidi" w:cstheme="majorBidi"/>
          <w:noProof/>
          <w:sz w:val="24"/>
          <w:szCs w:val="24"/>
          <w:lang w:val="bg-BG"/>
        </w:rPr>
      </w:pPr>
      <w:r>
        <w:rPr>
          <w:rFonts w:asciiTheme="majorBidi" w:hAnsiTheme="majorBidi" w:cstheme="majorBidi"/>
          <w:noProof/>
          <w:sz w:val="24"/>
          <w:lang w:val="bg-BG"/>
        </w:rPr>
        <w:t xml:space="preserve">Шведският </w:t>
      </w:r>
      <w:r>
        <w:rPr>
          <w:rFonts w:asciiTheme="majorBidi" w:hAnsiTheme="majorBidi" w:cstheme="majorBidi"/>
          <w:i/>
          <w:noProof/>
          <w:sz w:val="24"/>
          <w:lang w:val="bg-BG"/>
        </w:rPr>
        <w:t>Riksdag</w:t>
      </w:r>
      <w:r>
        <w:rPr>
          <w:rFonts w:asciiTheme="majorBidi" w:hAnsiTheme="majorBidi" w:cstheme="majorBidi"/>
          <w:noProof/>
          <w:sz w:val="24"/>
          <w:lang w:val="bg-BG"/>
        </w:rPr>
        <w:t xml:space="preserve"> е националният парламент, представил най-голям брой мотивирани становища (12). Малтийската </w:t>
      </w:r>
      <w:r>
        <w:rPr>
          <w:rFonts w:asciiTheme="majorBidi" w:hAnsiTheme="majorBidi" w:cstheme="majorBidi"/>
          <w:i/>
          <w:noProof/>
          <w:sz w:val="24"/>
          <w:lang w:val="bg-BG"/>
        </w:rPr>
        <w:t>Kamra tad-Deputati</w:t>
      </w:r>
      <w:r>
        <w:rPr>
          <w:rFonts w:asciiTheme="majorBidi" w:hAnsiTheme="majorBidi" w:cstheme="majorBidi"/>
          <w:noProof/>
          <w:sz w:val="24"/>
          <w:lang w:val="bg-BG"/>
        </w:rPr>
        <w:t xml:space="preserve"> се нарежда на второ място по брой представени мотивирани становища (5), следвана от чешката </w:t>
      </w:r>
      <w:r>
        <w:rPr>
          <w:rFonts w:asciiTheme="majorBidi" w:hAnsiTheme="majorBidi" w:cstheme="majorBidi"/>
          <w:i/>
          <w:noProof/>
          <w:sz w:val="24"/>
          <w:lang w:val="bg-BG"/>
        </w:rPr>
        <w:t>Poslanecká sněmovna</w:t>
      </w:r>
      <w:r>
        <w:rPr>
          <w:rFonts w:asciiTheme="majorBidi" w:hAnsiTheme="majorBidi" w:cstheme="majorBidi"/>
          <w:noProof/>
          <w:sz w:val="24"/>
          <w:lang w:val="bg-BG"/>
        </w:rPr>
        <w:t xml:space="preserve"> и австрийският </w:t>
      </w:r>
      <w:r>
        <w:rPr>
          <w:rFonts w:asciiTheme="majorBidi" w:hAnsiTheme="majorBidi" w:cstheme="majorBidi"/>
          <w:i/>
          <w:noProof/>
          <w:sz w:val="24"/>
          <w:lang w:val="bg-BG"/>
        </w:rPr>
        <w:t>Bundesrat</w:t>
      </w:r>
      <w:r>
        <w:rPr>
          <w:rFonts w:asciiTheme="majorBidi" w:hAnsiTheme="majorBidi" w:cstheme="majorBidi"/>
          <w:noProof/>
          <w:sz w:val="24"/>
          <w:lang w:val="bg-BG"/>
        </w:rPr>
        <w:t xml:space="preserve"> (съответно по 4). </w:t>
      </w:r>
    </w:p>
    <w:p>
      <w:pPr>
        <w:spacing w:after="240" w:line="240" w:lineRule="auto"/>
        <w:jc w:val="both"/>
        <w:rPr>
          <w:rFonts w:asciiTheme="majorBidi" w:eastAsia="Times New Roman" w:hAnsiTheme="majorBidi" w:cstheme="majorBidi"/>
          <w:noProof/>
          <w:sz w:val="24"/>
          <w:szCs w:val="24"/>
          <w:lang w:val="bg-BG"/>
        </w:rPr>
      </w:pPr>
      <w:r>
        <w:rPr>
          <w:rFonts w:asciiTheme="majorBidi" w:hAnsiTheme="majorBidi" w:cstheme="majorBidi"/>
          <w:noProof/>
          <w:sz w:val="24"/>
          <w:lang w:val="bg-BG"/>
        </w:rPr>
        <w:t>Освен това някои регионални парламенти се възползваха от възможността да информират пряко Комисията за становищата си по определени нейни предложения, които в някои случаи са били внесени и в съответните национални парламентарни камари в рамките на процедурата за контрол на субсидиарността съгласно член 6 от Протокол № 2 към Договорите. Комисията взема предвид тези становища, когато това е целесъобразно.</w:t>
      </w:r>
    </w:p>
    <w:p>
      <w:pPr>
        <w:spacing w:after="240" w:line="240" w:lineRule="auto"/>
        <w:rPr>
          <w:rFonts w:asciiTheme="majorBidi" w:hAnsiTheme="majorBidi" w:cstheme="majorBidi"/>
          <w:b/>
          <w:bCs/>
          <w:noProof/>
          <w:sz w:val="24"/>
          <w:szCs w:val="24"/>
          <w:lang w:val="bg-BG"/>
        </w:rPr>
      </w:pPr>
      <w:r>
        <w:rPr>
          <w:rFonts w:asciiTheme="majorBidi" w:hAnsiTheme="majorBidi" w:cstheme="majorBidi"/>
          <w:b/>
          <w:noProof/>
          <w:sz w:val="24"/>
          <w:lang w:val="bg-BG"/>
        </w:rPr>
        <w:t xml:space="preserve">2.3. </w:t>
      </w:r>
      <w:r>
        <w:rPr>
          <w:noProof/>
          <w:lang w:val="bg-BG"/>
        </w:rPr>
        <w:tab/>
      </w:r>
      <w:r>
        <w:rPr>
          <w:rFonts w:asciiTheme="majorBidi" w:hAnsiTheme="majorBidi" w:cstheme="majorBidi"/>
          <w:b/>
          <w:noProof/>
          <w:sz w:val="24"/>
          <w:lang w:val="bg-BG"/>
        </w:rPr>
        <w:t xml:space="preserve">Европейският парламент и Съветът </w:t>
      </w:r>
    </w:p>
    <w:p>
      <w:pPr>
        <w:spacing w:after="240" w:line="240" w:lineRule="auto"/>
        <w:ind w:firstLine="720"/>
        <w:rPr>
          <w:rFonts w:asciiTheme="majorBidi" w:hAnsiTheme="majorBidi" w:cstheme="majorBidi"/>
          <w:i/>
          <w:iCs/>
          <w:noProof/>
          <w:sz w:val="24"/>
          <w:szCs w:val="24"/>
          <w:lang w:val="bg-BG"/>
        </w:rPr>
      </w:pPr>
      <w:r>
        <w:rPr>
          <w:rFonts w:asciiTheme="majorBidi" w:hAnsiTheme="majorBidi" w:cstheme="majorBidi"/>
          <w:i/>
          <w:noProof/>
          <w:sz w:val="24"/>
          <w:lang w:val="bg-BG"/>
        </w:rPr>
        <w:t>а) Европейският парламент</w:t>
      </w:r>
    </w:p>
    <w:p>
      <w:pPr>
        <w:spacing w:after="240" w:line="240" w:lineRule="auto"/>
        <w:jc w:val="both"/>
        <w:rPr>
          <w:rFonts w:asciiTheme="majorBidi" w:hAnsiTheme="majorBidi" w:cstheme="majorBidi"/>
          <w:noProof/>
          <w:sz w:val="24"/>
          <w:szCs w:val="24"/>
          <w:lang w:val="bg-BG"/>
        </w:rPr>
      </w:pPr>
      <w:r>
        <w:rPr>
          <w:rFonts w:asciiTheme="majorBidi" w:hAnsiTheme="majorBidi" w:cstheme="majorBidi"/>
          <w:noProof/>
          <w:sz w:val="24"/>
          <w:lang w:val="bg-BG"/>
        </w:rPr>
        <w:t>Европейският парламент предприе редица мерки, за да изпълни задълженията си, произтичащи от Договорите по отношение на прилагането на принципите на субсидиарност и пропорционалност. За мотивираните становища на националните парламенти в момента се прилага следната процедура:</w:t>
      </w:r>
    </w:p>
    <w:p>
      <w:pPr>
        <w:pStyle w:val="ListParagraph"/>
        <w:numPr>
          <w:ilvl w:val="0"/>
          <w:numId w:val="16"/>
        </w:numPr>
        <w:spacing w:after="240" w:line="240" w:lineRule="auto"/>
        <w:jc w:val="both"/>
        <w:rPr>
          <w:rFonts w:asciiTheme="majorBidi" w:hAnsiTheme="majorBidi" w:cstheme="majorBidi"/>
          <w:noProof/>
          <w:sz w:val="24"/>
          <w:szCs w:val="24"/>
          <w:lang w:val="bg-BG"/>
        </w:rPr>
      </w:pPr>
      <w:r>
        <w:rPr>
          <w:rFonts w:asciiTheme="majorBidi" w:hAnsiTheme="majorBidi" w:cstheme="majorBidi"/>
          <w:noProof/>
          <w:sz w:val="24"/>
          <w:lang w:val="bg-BG"/>
        </w:rPr>
        <w:t>мотивираните становища се предават на Комисията по правни въпроси на Европейския парламент и на парламентарната комисия, компетентна по въпроса,за да бъдат препратени до всички членове на комисията; те се включват също така в досието на заседанието;</w:t>
      </w:r>
    </w:p>
    <w:p>
      <w:pPr>
        <w:pStyle w:val="ListParagraph"/>
        <w:numPr>
          <w:ilvl w:val="0"/>
          <w:numId w:val="16"/>
        </w:numPr>
        <w:spacing w:after="240" w:line="240" w:lineRule="auto"/>
        <w:jc w:val="both"/>
        <w:rPr>
          <w:rFonts w:asciiTheme="majorBidi" w:hAnsiTheme="majorBidi" w:cstheme="majorBidi"/>
          <w:noProof/>
          <w:sz w:val="24"/>
          <w:szCs w:val="24"/>
          <w:lang w:val="bg-BG"/>
        </w:rPr>
      </w:pPr>
      <w:r>
        <w:rPr>
          <w:rFonts w:asciiTheme="majorBidi" w:hAnsiTheme="majorBidi" w:cstheme="majorBidi"/>
          <w:noProof/>
          <w:sz w:val="24"/>
          <w:lang w:val="bg-BG"/>
        </w:rPr>
        <w:t>мотивираните становища се превеждат систематично на всички официални езици на ЕС (с изключение на ирландски и малтийски);</w:t>
      </w:r>
    </w:p>
    <w:p>
      <w:pPr>
        <w:pStyle w:val="ListParagraph"/>
        <w:numPr>
          <w:ilvl w:val="0"/>
          <w:numId w:val="16"/>
        </w:numPr>
        <w:spacing w:after="240" w:line="240" w:lineRule="auto"/>
        <w:jc w:val="both"/>
        <w:rPr>
          <w:rFonts w:asciiTheme="majorBidi" w:hAnsiTheme="majorBidi" w:cstheme="majorBidi"/>
          <w:noProof/>
          <w:sz w:val="24"/>
          <w:szCs w:val="24"/>
          <w:lang w:val="bg-BG"/>
        </w:rPr>
      </w:pPr>
      <w:r>
        <w:rPr>
          <w:rFonts w:asciiTheme="majorBidi" w:hAnsiTheme="majorBidi" w:cstheme="majorBidi"/>
          <w:noProof/>
          <w:sz w:val="24"/>
          <w:lang w:val="bg-BG"/>
        </w:rPr>
        <w:t>в преамбюлите на законодателните резолюции се правят позовавания на получените мотивирани становища;</w:t>
      </w:r>
    </w:p>
    <w:p>
      <w:pPr>
        <w:pStyle w:val="ListParagraph"/>
        <w:numPr>
          <w:ilvl w:val="0"/>
          <w:numId w:val="16"/>
        </w:numPr>
        <w:spacing w:after="240" w:line="240" w:lineRule="auto"/>
        <w:jc w:val="both"/>
        <w:rPr>
          <w:rFonts w:asciiTheme="majorBidi" w:hAnsiTheme="majorBidi" w:cstheme="majorBidi"/>
          <w:noProof/>
          <w:sz w:val="24"/>
          <w:szCs w:val="24"/>
          <w:lang w:val="bg-BG"/>
        </w:rPr>
      </w:pPr>
      <w:r>
        <w:rPr>
          <w:rFonts w:asciiTheme="majorBidi" w:hAnsiTheme="majorBidi" w:cstheme="majorBidi"/>
          <w:noProof/>
          <w:sz w:val="24"/>
          <w:lang w:val="bg-BG"/>
        </w:rPr>
        <w:t>парламентарната комисия, компетентна по въпроса, гарантира, че Европейският парламент не пристъпва към окончателно гласуване преди изтичането на срока от осем седмици за представяне на мотивирани становища съгласно Протокол № 2 към Договорите</w:t>
      </w:r>
      <w:r>
        <w:rPr>
          <w:rStyle w:val="FootnoteReference"/>
          <w:rFonts w:asciiTheme="majorBidi" w:hAnsiTheme="majorBidi" w:cstheme="majorBidi"/>
          <w:noProof/>
          <w:sz w:val="24"/>
          <w:lang w:val="bg-BG"/>
        </w:rPr>
        <w:footnoteReference w:id="25"/>
      </w:r>
      <w:r>
        <w:rPr>
          <w:noProof/>
          <w:lang w:val="bg-BG"/>
        </w:rPr>
        <w:t>.</w:t>
      </w:r>
    </w:p>
    <w:p>
      <w:pPr>
        <w:spacing w:after="240" w:line="240" w:lineRule="auto"/>
        <w:jc w:val="both"/>
        <w:rPr>
          <w:rFonts w:asciiTheme="majorBidi" w:hAnsiTheme="majorBidi" w:cstheme="majorBidi"/>
          <w:noProof/>
          <w:sz w:val="24"/>
          <w:szCs w:val="24"/>
          <w:lang w:val="bg-BG"/>
        </w:rPr>
      </w:pPr>
      <w:r>
        <w:rPr>
          <w:rFonts w:asciiTheme="majorBidi" w:hAnsiTheme="majorBidi" w:cstheme="majorBidi"/>
          <w:noProof/>
          <w:sz w:val="24"/>
          <w:lang w:val="bg-BG"/>
        </w:rPr>
        <w:t>През 2016 г. Европейският парламент получи по официален път 410 документа от националните парламенти</w:t>
      </w:r>
      <w:r>
        <w:rPr>
          <w:rStyle w:val="FootnoteReference"/>
          <w:rFonts w:asciiTheme="majorBidi" w:hAnsiTheme="majorBidi" w:cstheme="majorBidi"/>
          <w:noProof/>
          <w:sz w:val="24"/>
          <w:lang w:val="bg-BG"/>
        </w:rPr>
        <w:footnoteReference w:id="26"/>
      </w:r>
      <w:r>
        <w:rPr>
          <w:noProof/>
          <w:lang w:val="bg-BG"/>
        </w:rPr>
        <w:t>.</w:t>
      </w:r>
      <w:r>
        <w:rPr>
          <w:rFonts w:asciiTheme="majorBidi" w:hAnsiTheme="majorBidi" w:cstheme="majorBidi"/>
          <w:noProof/>
          <w:sz w:val="24"/>
          <w:lang w:val="bg-BG"/>
        </w:rPr>
        <w:t xml:space="preserve"> 76</w:t>
      </w:r>
      <w:r>
        <w:rPr>
          <w:rStyle w:val="FootnoteReference"/>
          <w:rFonts w:asciiTheme="majorBidi" w:hAnsiTheme="majorBidi" w:cstheme="majorBidi"/>
          <w:noProof/>
          <w:sz w:val="24"/>
          <w:lang w:val="bg-BG"/>
        </w:rPr>
        <w:footnoteReference w:id="27"/>
      </w:r>
      <w:r>
        <w:rPr>
          <w:rFonts w:asciiTheme="majorBidi" w:hAnsiTheme="majorBidi" w:cstheme="majorBidi"/>
          <w:noProof/>
          <w:sz w:val="24"/>
          <w:lang w:val="bg-BG"/>
        </w:rPr>
        <w:t xml:space="preserve"> от тях бяха мотивирани становища, представени по силата на Протокол № 2 към Договорите, а останалите 334 документа бяха други изявления, които не са свързани с механизма за контрол на субсидиарността. Тези цифри представляват ръст в сравнение с 2015 г., когато на Европейския парламент бяха официално изпратени девет мотивирани становища и 242 други документа. Всички документи, внесени от националните парламенти в Европейския парламент, са достъпни във вътрешна база данни (CONNECT).</w:t>
      </w:r>
    </w:p>
    <w:p>
      <w:pPr>
        <w:spacing w:after="240" w:line="240" w:lineRule="auto"/>
        <w:jc w:val="both"/>
        <w:rPr>
          <w:rFonts w:asciiTheme="majorBidi" w:hAnsiTheme="majorBidi" w:cstheme="majorBidi"/>
          <w:noProof/>
          <w:sz w:val="24"/>
          <w:szCs w:val="24"/>
          <w:lang w:val="bg-BG"/>
        </w:rPr>
      </w:pPr>
      <w:r>
        <w:rPr>
          <w:rFonts w:asciiTheme="majorBidi" w:hAnsiTheme="majorBidi" w:cstheme="majorBidi"/>
          <w:noProof/>
          <w:sz w:val="24"/>
          <w:lang w:val="bg-BG"/>
        </w:rPr>
        <w:t>Съгласно приложение V към Правилника за дейността на Европейския парламент Комисията по правни въпроси е парламентарната комисия с хоризонтални отговорности, която гарантира спазването на принципа на субсидиарност. На всеки шест месеца, въз основа на ротационен принцип сред политическите групи, като постоянен докладчик относно субсидиарността се назначава даден член на комисията. През първото полугодие на 2016 г. постоянният докладчик беше г-н Gilles LEBRETON (ENF). През второто полугодие неговото място беше заето от г-н Kostas CHRYSOGONOS (GUE/NGL). Докладчикът следи получените мотивирани становища и има възможност да постави въпроси, съдържащи се в мотивираните становища, за разискване в комисията, както и да отправи евентуални препоръки към комисията, отговаряща за предмета на въпросното предложение.</w:t>
      </w:r>
    </w:p>
    <w:p>
      <w:pPr>
        <w:spacing w:after="240" w:line="240" w:lineRule="auto"/>
        <w:jc w:val="both"/>
        <w:rPr>
          <w:rFonts w:asciiTheme="majorBidi" w:hAnsiTheme="majorBidi" w:cstheme="majorBidi"/>
          <w:noProof/>
          <w:sz w:val="24"/>
          <w:szCs w:val="24"/>
          <w:lang w:val="bg-BG"/>
        </w:rPr>
      </w:pPr>
      <w:r>
        <w:rPr>
          <w:rFonts w:asciiTheme="majorBidi" w:hAnsiTheme="majorBidi" w:cstheme="majorBidi"/>
          <w:noProof/>
          <w:sz w:val="24"/>
          <w:lang w:val="bg-BG"/>
        </w:rPr>
        <w:t>Освен това Комисията по правни въпроси редовно изготвя доклад относно годишния доклад на Комисията относно субсидиарността и пропорционалността. Г-н Sajjad KARIM (ECR) беше назначен за докладчик по Годишния доклад за 2014 г. относно субсидиарността и пропорционалността. Г-жа Mady DELVAUX (S&amp;D) беше назначена за докладчик по Годишния доклад за 2015 г. относно субсидиарността и пропорционалността. Комисията по правни въпроси също така дава своя принос за двугодишните доклади, изготвяни от Конференцията на комисиите по европейски въпроси (КОСАК) по теми, свързани със субсидиарността.</w:t>
      </w:r>
    </w:p>
    <w:p>
      <w:pPr>
        <w:spacing w:after="240" w:line="240" w:lineRule="auto"/>
        <w:jc w:val="both"/>
        <w:rPr>
          <w:rFonts w:asciiTheme="majorBidi" w:hAnsiTheme="majorBidi" w:cstheme="majorBidi"/>
          <w:noProof/>
          <w:sz w:val="24"/>
          <w:szCs w:val="24"/>
          <w:lang w:val="bg-BG"/>
        </w:rPr>
      </w:pPr>
      <w:r>
        <w:rPr>
          <w:rFonts w:asciiTheme="majorBidi" w:hAnsiTheme="majorBidi" w:cstheme="majorBidi"/>
          <w:noProof/>
          <w:sz w:val="24"/>
          <w:lang w:val="bg-BG"/>
        </w:rPr>
        <w:t xml:space="preserve">На 24 май 2016 г. Комисията по правни въпроси проведе обсъждане във връзка с мотивираните становища, получени по силата на член 7, параграф 2 от Протокол № 2, т.нар. процедура „жълт картон“, относно предложението за целенасочено преразглеждане на Директивата относно командироването на работници (вж. също така глава 3 от настоящия доклад по-долу). На 12 октомври 2016 г. Комисията по заетост и социални въпроси прикани националните парламенти да обменят мнения по предложението. </w:t>
      </w:r>
    </w:p>
    <w:p>
      <w:pPr>
        <w:spacing w:after="240" w:line="240" w:lineRule="auto"/>
        <w:jc w:val="both"/>
        <w:rPr>
          <w:rFonts w:asciiTheme="majorBidi" w:hAnsiTheme="majorBidi" w:cstheme="majorBidi"/>
          <w:noProof/>
          <w:sz w:val="24"/>
          <w:szCs w:val="24"/>
          <w:lang w:val="bg-BG"/>
        </w:rPr>
      </w:pPr>
      <w:r>
        <w:rPr>
          <w:rFonts w:asciiTheme="majorBidi" w:hAnsiTheme="majorBidi" w:cstheme="majorBidi"/>
          <w:noProof/>
          <w:sz w:val="24"/>
          <w:lang w:val="bg-BG"/>
        </w:rPr>
        <w:t>Комисията по правни въпроси отговаря също така за спазването на принципа на пропорционалност, който тя взема предвид при изпълнение на своята задача да проверява правните основания на предложенията и при упражняване на своята отговорност за по-добро законотворчество.</w:t>
      </w:r>
    </w:p>
    <w:p>
      <w:pPr>
        <w:spacing w:after="240" w:line="240" w:lineRule="auto"/>
        <w:jc w:val="both"/>
        <w:rPr>
          <w:rFonts w:asciiTheme="majorBidi" w:hAnsiTheme="majorBidi" w:cstheme="majorBidi"/>
          <w:noProof/>
          <w:sz w:val="24"/>
          <w:szCs w:val="24"/>
          <w:lang w:val="bg-BG"/>
        </w:rPr>
      </w:pPr>
      <w:r>
        <w:rPr>
          <w:rFonts w:asciiTheme="majorBidi" w:hAnsiTheme="majorBidi" w:cstheme="majorBidi"/>
          <w:noProof/>
          <w:sz w:val="24"/>
          <w:lang w:val="bg-BG"/>
        </w:rPr>
        <w:t>В допълнение Службата на ЕП за парламентарни изследвания продължи да оказва съдействие на Европейския парламент в отчитането на принципите на субсидиарност и пропорционалност в неговата работа:</w:t>
      </w:r>
    </w:p>
    <w:p>
      <w:pPr>
        <w:pStyle w:val="ListParagraph"/>
        <w:numPr>
          <w:ilvl w:val="0"/>
          <w:numId w:val="17"/>
        </w:numPr>
        <w:spacing w:after="240" w:line="240" w:lineRule="auto"/>
        <w:jc w:val="both"/>
        <w:rPr>
          <w:rFonts w:asciiTheme="majorBidi" w:hAnsiTheme="majorBidi" w:cstheme="majorBidi"/>
          <w:noProof/>
          <w:sz w:val="24"/>
          <w:szCs w:val="24"/>
          <w:lang w:val="bg-BG"/>
        </w:rPr>
      </w:pPr>
      <w:r>
        <w:rPr>
          <w:rFonts w:asciiTheme="majorBidi" w:hAnsiTheme="majorBidi" w:cstheme="majorBidi"/>
          <w:noProof/>
          <w:sz w:val="24"/>
          <w:lang w:val="bg-BG"/>
        </w:rPr>
        <w:t xml:space="preserve">чрез системно разглеждане на аспектите на субсидиарността и пропорционалността в оценките на въздействието на Комисията и насочване на вниманието към изразените в тази връзка опасения, по-специално от страна на националните парламенти и Комитета на регионите; </w:t>
      </w:r>
    </w:p>
    <w:p>
      <w:pPr>
        <w:pStyle w:val="ListParagraph"/>
        <w:numPr>
          <w:ilvl w:val="0"/>
          <w:numId w:val="17"/>
        </w:numPr>
        <w:spacing w:after="240" w:line="240" w:lineRule="auto"/>
        <w:jc w:val="both"/>
        <w:rPr>
          <w:rFonts w:asciiTheme="majorBidi" w:hAnsiTheme="majorBidi" w:cstheme="majorBidi"/>
          <w:noProof/>
          <w:sz w:val="24"/>
          <w:szCs w:val="24"/>
          <w:lang w:val="bg-BG"/>
        </w:rPr>
      </w:pPr>
      <w:r>
        <w:rPr>
          <w:rFonts w:asciiTheme="majorBidi" w:hAnsiTheme="majorBidi" w:cstheme="majorBidi"/>
          <w:noProof/>
          <w:sz w:val="24"/>
          <w:lang w:val="bg-BG"/>
        </w:rPr>
        <w:t>чрез мерки, гарантиращи спазването в пълна степен на тези принципи в работата на самия Европейски парламент, например чрез извършване на оценки на въздействието на въвежданите от ЕП съществени изменения, или чрез анализ на добавената стойност на предложенията на Парламента за ново законодателство, основани на член 225 от Договора за функционирането на Европейския съюз, както и на разходите, свързани с липсата на действия на равнището на ЕС;</w:t>
      </w:r>
    </w:p>
    <w:p>
      <w:pPr>
        <w:pStyle w:val="ListParagraph"/>
        <w:numPr>
          <w:ilvl w:val="0"/>
          <w:numId w:val="17"/>
        </w:numPr>
        <w:spacing w:after="240" w:line="240" w:lineRule="auto"/>
        <w:jc w:val="both"/>
        <w:rPr>
          <w:rFonts w:asciiTheme="majorBidi" w:hAnsiTheme="majorBidi" w:cstheme="majorBidi"/>
          <w:noProof/>
          <w:sz w:val="24"/>
          <w:szCs w:val="24"/>
          <w:lang w:val="bg-BG"/>
        </w:rPr>
      </w:pPr>
      <w:r>
        <w:rPr>
          <w:rFonts w:asciiTheme="majorBidi" w:hAnsiTheme="majorBidi" w:cstheme="majorBidi"/>
          <w:noProof/>
          <w:sz w:val="24"/>
          <w:lang w:val="bg-BG"/>
        </w:rPr>
        <w:t>чрез внимателно разглеждане на аспектите на субсидиарността и пропорционалността при изготвянето на оценки на въздействието, като се поставя ударение върху добавената стойност на ЕС в сравнение с националните разходи или действия.</w:t>
      </w:r>
    </w:p>
    <w:p>
      <w:pPr>
        <w:spacing w:after="240" w:line="240" w:lineRule="auto"/>
        <w:jc w:val="both"/>
        <w:rPr>
          <w:rFonts w:asciiTheme="majorBidi" w:hAnsiTheme="majorBidi" w:cstheme="majorBidi"/>
          <w:noProof/>
          <w:sz w:val="24"/>
          <w:szCs w:val="24"/>
          <w:lang w:val="bg-BG"/>
        </w:rPr>
      </w:pPr>
      <w:r>
        <w:rPr>
          <w:rFonts w:asciiTheme="majorBidi" w:hAnsiTheme="majorBidi" w:cstheme="majorBidi"/>
          <w:noProof/>
          <w:sz w:val="24"/>
          <w:lang w:val="bg-BG"/>
        </w:rPr>
        <w:t>През 2016 г. Европейският парламент подготви 36 първоначални оценки, една оценка на въздействието във връзка със съществени изменения от страна на Парламента и 14 последващи оценки на въздействието на равнището на ЕС. Освен това той изготви седем доклада относно цената на „отказа от Европа“ и четири оценки на европейската добавена стойност. Службата на ЕП за парламентарни изследвания проверява също изпълнението и ефективността на действащи законодателни актове на ЕС всеки път, когато Европейската комисия обяви в своята годишна работна програма, че това законодателство ще бъде изменено. През 2016 г. бяха изготвени близо 28 такива „оценки на изпълнението“.</w:t>
      </w:r>
    </w:p>
    <w:p>
      <w:pPr>
        <w:spacing w:after="240" w:line="240" w:lineRule="auto"/>
        <w:jc w:val="both"/>
        <w:rPr>
          <w:rFonts w:asciiTheme="majorBidi" w:hAnsiTheme="majorBidi" w:cstheme="majorBidi"/>
          <w:i/>
          <w:iCs/>
          <w:noProof/>
          <w:sz w:val="24"/>
          <w:szCs w:val="24"/>
          <w:lang w:val="bg-BG"/>
        </w:rPr>
      </w:pPr>
      <w:r>
        <w:rPr>
          <w:rFonts w:asciiTheme="majorBidi" w:hAnsiTheme="majorBidi" w:cstheme="majorBidi"/>
          <w:noProof/>
          <w:sz w:val="24"/>
          <w:lang w:val="bg-BG"/>
        </w:rPr>
        <w:t>Всяка година Европейският парламент призовава националните парламенти да му изпращат всякаква информация, която считат за полезна в този контекст.</w:t>
      </w:r>
    </w:p>
    <w:p>
      <w:pPr>
        <w:spacing w:after="240" w:line="240" w:lineRule="auto"/>
        <w:ind w:firstLine="720"/>
        <w:rPr>
          <w:rFonts w:asciiTheme="majorBidi" w:hAnsiTheme="majorBidi" w:cstheme="majorBidi"/>
          <w:i/>
          <w:iCs/>
          <w:noProof/>
          <w:sz w:val="24"/>
          <w:szCs w:val="24"/>
          <w:lang w:val="bg-BG"/>
        </w:rPr>
      </w:pPr>
      <w:r>
        <w:rPr>
          <w:rFonts w:asciiTheme="majorBidi" w:hAnsiTheme="majorBidi" w:cstheme="majorBidi"/>
          <w:i/>
          <w:noProof/>
          <w:sz w:val="24"/>
          <w:lang w:val="bg-BG"/>
        </w:rPr>
        <w:t xml:space="preserve">б) Съветът </w:t>
      </w:r>
    </w:p>
    <w:p>
      <w:pPr>
        <w:spacing w:after="240" w:line="240" w:lineRule="auto"/>
        <w:jc w:val="both"/>
        <w:rPr>
          <w:rFonts w:asciiTheme="majorBidi" w:hAnsiTheme="majorBidi" w:cstheme="majorBidi"/>
          <w:noProof/>
          <w:sz w:val="24"/>
          <w:szCs w:val="24"/>
          <w:lang w:val="bg-BG"/>
        </w:rPr>
      </w:pPr>
      <w:r>
        <w:rPr>
          <w:rFonts w:asciiTheme="majorBidi" w:hAnsiTheme="majorBidi" w:cstheme="majorBidi"/>
          <w:noProof/>
          <w:sz w:val="24"/>
          <w:lang w:val="bg-BG"/>
        </w:rPr>
        <w:t>Задълженията на Съвета по отношение на наблюдението на принципа на субсидиарност от страна на националните парламенти са посочени в протоколи № 1 и 2 към Договорите. Отговорностите на Съвета се състоят главно в изпращането на националните парламенти на проектите за законодателни актове, които не са инициирани от Комисията.</w:t>
      </w:r>
    </w:p>
    <w:p>
      <w:pPr>
        <w:spacing w:after="240" w:line="240" w:lineRule="auto"/>
        <w:jc w:val="both"/>
        <w:rPr>
          <w:rFonts w:asciiTheme="majorBidi" w:hAnsiTheme="majorBidi" w:cstheme="majorBidi"/>
          <w:noProof/>
          <w:sz w:val="24"/>
          <w:szCs w:val="24"/>
          <w:lang w:val="bg-BG"/>
        </w:rPr>
      </w:pPr>
      <w:r>
        <w:rPr>
          <w:rFonts w:asciiTheme="majorBidi" w:hAnsiTheme="majorBidi" w:cstheme="majorBidi"/>
          <w:noProof/>
          <w:sz w:val="24"/>
          <w:lang w:val="bg-BG"/>
        </w:rPr>
        <w:t>Съгласно член 4 от Протокол № 2 Съветът изпраща на националните парламенти всички проекти на законодателни актове, инициирани от група държави членки, от Съда, от Европейската централна банка или от Европейската инвестиционна банка. Като следствие от горепосоченото задължение съгласно член 6 от Протокол № 2 Съветът трябва да изпрати полученото от национален парламент становище относно законодателно предложение, инициирано от група от държави членки, на предлагащите държави членки. По същия начин Съветът препраща становищата от националните парламенти относно законодателни предложения, направени от Съда, Европейската централна банка и Европейската инвестиционна банка, към съответната институция. През 2016 г. не е имало такива проекти на законодателни актове, нито са постъпили становища</w:t>
      </w:r>
      <w:r>
        <w:rPr>
          <w:rStyle w:val="FootnoteReference"/>
          <w:rFonts w:asciiTheme="majorBidi" w:hAnsiTheme="majorBidi" w:cstheme="majorBidi"/>
          <w:noProof/>
          <w:sz w:val="24"/>
          <w:lang w:val="bg-BG"/>
        </w:rPr>
        <w:footnoteReference w:id="28"/>
      </w:r>
      <w:r>
        <w:rPr>
          <w:noProof/>
          <w:lang w:val="bg-BG"/>
        </w:rPr>
        <w:t>.</w:t>
      </w:r>
    </w:p>
    <w:p>
      <w:pPr>
        <w:pStyle w:val="ListParagraph"/>
        <w:spacing w:after="120" w:line="240" w:lineRule="auto"/>
        <w:ind w:left="0"/>
        <w:jc w:val="both"/>
        <w:rPr>
          <w:rFonts w:asciiTheme="majorBidi" w:hAnsiTheme="majorBidi" w:cstheme="majorBidi"/>
          <w:noProof/>
          <w:sz w:val="24"/>
          <w:szCs w:val="24"/>
          <w:lang w:val="bg-BG"/>
        </w:rPr>
      </w:pPr>
      <w:r>
        <w:rPr>
          <w:rFonts w:asciiTheme="majorBidi" w:hAnsiTheme="majorBidi" w:cstheme="majorBidi"/>
          <w:noProof/>
          <w:sz w:val="24"/>
          <w:lang w:val="bg-BG"/>
        </w:rPr>
        <w:t>В допълнение към изискванията на Договора Съветът също така държи държавите членки в течение на становищата на националните парламенти относно законодателните предложения на Комисията. През 2016 г. генералният секретариат на Съвета разпространи сред делегациите 69</w:t>
      </w:r>
      <w:r>
        <w:rPr>
          <w:rStyle w:val="FootnoteReference"/>
          <w:rFonts w:asciiTheme="majorBidi" w:hAnsiTheme="majorBidi" w:cstheme="majorBidi"/>
          <w:noProof/>
          <w:sz w:val="24"/>
          <w:lang w:val="bg-BG"/>
        </w:rPr>
        <w:footnoteReference w:id="29"/>
      </w:r>
      <w:r>
        <w:rPr>
          <w:rFonts w:asciiTheme="majorBidi" w:hAnsiTheme="majorBidi" w:cstheme="majorBidi"/>
          <w:noProof/>
          <w:sz w:val="24"/>
          <w:lang w:val="bg-BG"/>
        </w:rPr>
        <w:t xml:space="preserve"> мотивирани становища, получени по силата на протокол № 2, и 280 становища, изготвени в рамките на политическия диалог</w:t>
      </w:r>
      <w:r>
        <w:rPr>
          <w:rStyle w:val="FootnoteReference"/>
          <w:rFonts w:asciiTheme="majorBidi" w:hAnsiTheme="majorBidi" w:cstheme="majorBidi"/>
          <w:noProof/>
          <w:sz w:val="24"/>
          <w:lang w:val="bg-BG"/>
        </w:rPr>
        <w:footnoteReference w:id="30"/>
      </w:r>
      <w:r>
        <w:rPr>
          <w:noProof/>
          <w:lang w:val="bg-BG"/>
        </w:rPr>
        <w:t>.</w:t>
      </w:r>
      <w:r>
        <w:rPr>
          <w:rFonts w:asciiTheme="majorBidi" w:hAnsiTheme="majorBidi" w:cstheme="majorBidi"/>
          <w:noProof/>
          <w:sz w:val="24"/>
          <w:lang w:val="bg-BG"/>
        </w:rPr>
        <w:t xml:space="preserve"> </w:t>
      </w:r>
    </w:p>
    <w:p>
      <w:pPr>
        <w:spacing w:after="240" w:line="240" w:lineRule="auto"/>
        <w:jc w:val="both"/>
        <w:rPr>
          <w:rFonts w:asciiTheme="majorBidi" w:hAnsiTheme="majorBidi" w:cstheme="majorBidi"/>
          <w:i/>
          <w:iCs/>
          <w:noProof/>
          <w:sz w:val="24"/>
          <w:szCs w:val="24"/>
          <w:lang w:val="bg-BG"/>
        </w:rPr>
      </w:pPr>
      <w:r>
        <w:rPr>
          <w:rFonts w:asciiTheme="majorBidi" w:hAnsiTheme="majorBidi" w:cstheme="majorBidi"/>
          <w:noProof/>
          <w:sz w:val="24"/>
          <w:lang w:val="bg-BG"/>
        </w:rPr>
        <w:t>И накрая, като част от своята законодателна работа Съветът проверява дали са спазени принципите на субсидиарност и пропорционалност, когато разглежда оценките на въздействието, придружаващи предложенията на Комисията.</w:t>
      </w:r>
    </w:p>
    <w:p>
      <w:pPr>
        <w:spacing w:before="120" w:after="240" w:line="240" w:lineRule="auto"/>
        <w:rPr>
          <w:rFonts w:asciiTheme="majorBidi" w:hAnsiTheme="majorBidi" w:cstheme="majorBidi"/>
          <w:noProof/>
          <w:sz w:val="24"/>
          <w:szCs w:val="24"/>
          <w:lang w:val="bg-BG"/>
        </w:rPr>
      </w:pPr>
      <w:r>
        <w:rPr>
          <w:rFonts w:asciiTheme="majorBidi" w:hAnsiTheme="majorBidi" w:cstheme="majorBidi"/>
          <w:b/>
          <w:noProof/>
          <w:sz w:val="24"/>
          <w:lang w:val="bg-BG"/>
        </w:rPr>
        <w:t xml:space="preserve">2.4. </w:t>
      </w:r>
      <w:r>
        <w:rPr>
          <w:noProof/>
          <w:lang w:val="bg-BG"/>
        </w:rPr>
        <w:tab/>
      </w:r>
      <w:r>
        <w:rPr>
          <w:rFonts w:asciiTheme="majorBidi" w:hAnsiTheme="majorBidi" w:cstheme="majorBidi"/>
          <w:b/>
          <w:noProof/>
          <w:sz w:val="24"/>
          <w:lang w:val="bg-BG"/>
        </w:rPr>
        <w:t>Комитетът на регионите</w:t>
      </w:r>
    </w:p>
    <w:p>
      <w:pPr>
        <w:spacing w:after="240" w:line="240" w:lineRule="auto"/>
        <w:jc w:val="both"/>
        <w:rPr>
          <w:rFonts w:ascii="Times New Roman" w:hAnsi="Times New Roman"/>
          <w:bCs/>
          <w:noProof/>
          <w:sz w:val="24"/>
          <w:szCs w:val="24"/>
          <w:lang w:val="bg-BG"/>
        </w:rPr>
      </w:pPr>
      <w:r>
        <w:rPr>
          <w:rFonts w:asciiTheme="majorBidi" w:hAnsiTheme="majorBidi" w:cstheme="majorBidi"/>
          <w:noProof/>
          <w:sz w:val="24"/>
          <w:lang w:val="bg-BG"/>
        </w:rPr>
        <w:t>В съответствие с разпоредбите за местното и регионалното равнище в член 5, параграф 3 от Договора за Европейския съюз през 2016 г. Комитетът на регионите следи за прилагането на принципа на субсидиарност с помощта на различните инструменти, които има на разположение. Чрез работната програма в областта на субсидиарността</w:t>
      </w:r>
      <w:r>
        <w:rPr>
          <w:rFonts w:asciiTheme="majorBidi" w:hAnsiTheme="majorBidi" w:cstheme="majorBidi"/>
          <w:noProof/>
          <w:sz w:val="24"/>
          <w:vertAlign w:val="superscript"/>
          <w:lang w:val="bg-BG"/>
        </w:rPr>
        <w:footnoteReference w:id="31"/>
      </w:r>
      <w:r>
        <w:rPr>
          <w:rFonts w:asciiTheme="majorBidi" w:hAnsiTheme="majorBidi" w:cstheme="majorBidi"/>
          <w:noProof/>
          <w:sz w:val="24"/>
          <w:lang w:val="bg-BG"/>
        </w:rPr>
        <w:t xml:space="preserve"> бяха избрани и наблюдавани с особено внимание четири инициативи от работната програма на Комисията за 2016 г. Освен това по силата на своя вътрешен правилник</w:t>
      </w:r>
      <w:r>
        <w:rPr>
          <w:rFonts w:asciiTheme="majorBidi" w:hAnsiTheme="majorBidi" w:cstheme="majorBidi"/>
          <w:noProof/>
          <w:sz w:val="24"/>
          <w:vertAlign w:val="superscript"/>
          <w:lang w:val="bg-BG"/>
        </w:rPr>
        <w:footnoteReference w:id="32"/>
      </w:r>
      <w:r>
        <w:rPr>
          <w:rFonts w:asciiTheme="majorBidi" w:hAnsiTheme="majorBidi" w:cstheme="majorBidi"/>
          <w:noProof/>
          <w:sz w:val="24"/>
          <w:lang w:val="bg-BG"/>
        </w:rPr>
        <w:t xml:space="preserve"> Комитетът на регионите оцени спазването на принципите на субсидиарност и пропорционалност за всички законодателни предложения, по които представи становище. През 2016 г. бяха изготвени 13 становища по законодателни предложения, девет от които бяха от значение по отношение на наблюдението на субсидиарността и пропорционалността, в допълнение към тези, включени в работната програма в областта на субсидиарността. Комитетът на регионите констатира, че при по-голямата част от предложенията принципите на субсидиарност и пропорционалност са спазени. В два случая и в различна степен Комитетът на регионите изрази известни опасения във връзка с пропорционалността, особено по отношение на </w:t>
      </w:r>
      <w:r>
        <w:rPr>
          <w:rFonts w:ascii="Times New Roman" w:hAnsi="Times New Roman"/>
          <w:noProof/>
          <w:sz w:val="24"/>
          <w:lang w:val="bg-BG"/>
        </w:rPr>
        <w:t>пакета за кръговата икономика</w:t>
      </w:r>
      <w:r>
        <w:rPr>
          <w:rStyle w:val="FootnoteReference"/>
          <w:rFonts w:ascii="Times New Roman" w:hAnsi="Times New Roman"/>
          <w:noProof/>
          <w:sz w:val="24"/>
          <w:lang w:val="bg-BG"/>
        </w:rPr>
        <w:footnoteReference w:id="33"/>
      </w:r>
      <w:r>
        <w:rPr>
          <w:rFonts w:ascii="Times New Roman" w:hAnsi="Times New Roman"/>
          <w:noProof/>
          <w:sz w:val="24"/>
          <w:lang w:val="bg-BG"/>
        </w:rPr>
        <w:t xml:space="preserve"> и относно преразглеждането на Директивата за аудиовизуалните медийни услуги</w:t>
      </w:r>
      <w:r>
        <w:rPr>
          <w:rStyle w:val="FootnoteReference"/>
          <w:rFonts w:ascii="Times New Roman" w:hAnsi="Times New Roman"/>
          <w:noProof/>
          <w:sz w:val="24"/>
          <w:lang w:val="bg-BG"/>
        </w:rPr>
        <w:footnoteReference w:id="34"/>
      </w:r>
      <w:r>
        <w:rPr>
          <w:noProof/>
          <w:lang w:val="bg-BG"/>
        </w:rPr>
        <w:t>.</w:t>
      </w:r>
      <w:r>
        <w:rPr>
          <w:rFonts w:ascii="Times New Roman" w:hAnsi="Times New Roman"/>
          <w:noProof/>
          <w:sz w:val="24"/>
          <w:lang w:val="bg-BG"/>
        </w:rPr>
        <w:t xml:space="preserve"> Относно създаването на европейска схема за застраховане на депозитите</w:t>
      </w:r>
      <w:r>
        <w:rPr>
          <w:rFonts w:ascii="Times New Roman" w:hAnsi="Times New Roman"/>
          <w:noProof/>
          <w:sz w:val="24"/>
          <w:vertAlign w:val="superscript"/>
          <w:lang w:val="bg-BG"/>
        </w:rPr>
        <w:footnoteReference w:id="35"/>
      </w:r>
      <w:r>
        <w:rPr>
          <w:rFonts w:ascii="Times New Roman" w:hAnsi="Times New Roman"/>
          <w:noProof/>
          <w:sz w:val="24"/>
          <w:lang w:val="bg-BG"/>
        </w:rPr>
        <w:t xml:space="preserve"> Комитетът на регионите констатира, че обосновката е непълна и поиска от Комисията да представи по-съществена обосновка, която да позволи изготвянето на информирана оценка на спазването на принципите на субсидиарност и пропорционалност.</w:t>
      </w:r>
    </w:p>
    <w:p>
      <w:pPr>
        <w:autoSpaceDE w:val="0"/>
        <w:autoSpaceDN w:val="0"/>
        <w:adjustRightInd w:val="0"/>
        <w:spacing w:after="120" w:line="240" w:lineRule="auto"/>
        <w:jc w:val="both"/>
        <w:rPr>
          <w:rFonts w:ascii="Times New Roman" w:hAnsi="Times New Roman" w:cs="Times New Roman"/>
          <w:b/>
          <w:bCs/>
          <w:noProof/>
          <w:sz w:val="24"/>
          <w:szCs w:val="24"/>
          <w:lang w:val="bg-BG"/>
        </w:rPr>
      </w:pPr>
      <w:r>
        <w:rPr>
          <w:rFonts w:ascii="Times New Roman" w:hAnsi="Times New Roman"/>
          <w:b/>
          <w:noProof/>
          <w:sz w:val="24"/>
          <w:lang w:val="bg-BG"/>
        </w:rPr>
        <w:t xml:space="preserve">Консултации на Експертната група за субсидиарността </w:t>
      </w:r>
    </w:p>
    <w:p>
      <w:pPr>
        <w:spacing w:after="240" w:line="240" w:lineRule="auto"/>
        <w:jc w:val="both"/>
        <w:rPr>
          <w:rFonts w:ascii="Times New Roman" w:eastAsia="SimSun" w:hAnsi="Times New Roman"/>
          <w:bCs/>
          <w:iCs/>
          <w:noProof/>
          <w:sz w:val="24"/>
          <w:szCs w:val="24"/>
          <w:lang w:val="bg-BG"/>
        </w:rPr>
      </w:pPr>
      <w:r>
        <w:rPr>
          <w:rFonts w:ascii="Times New Roman" w:hAnsi="Times New Roman"/>
          <w:noProof/>
          <w:sz w:val="24"/>
          <w:lang w:val="bg-BG"/>
        </w:rPr>
        <w:t>За всяка от инициативите, включени в работната програма в областта на субсидиарността, беше проведена консултация с Експертната група за субсидиарността</w:t>
      </w:r>
      <w:r>
        <w:rPr>
          <w:rStyle w:val="FootnoteReference"/>
          <w:rFonts w:ascii="Times New Roman" w:hAnsi="Times New Roman"/>
          <w:noProof/>
          <w:sz w:val="24"/>
          <w:lang w:val="bg-BG"/>
        </w:rPr>
        <w:footnoteReference w:id="36"/>
      </w:r>
      <w:r>
        <w:rPr>
          <w:rFonts w:ascii="Times New Roman" w:hAnsi="Times New Roman"/>
          <w:noProof/>
          <w:sz w:val="24"/>
          <w:lang w:val="bg-BG"/>
        </w:rPr>
        <w:t>. Първата консултация с Експертната група по субсидиарността беше свързана с предложенията за директиви в новия пакет за кръговата икономика. По-голямата част от експертите заявиха, че целите за управление на отпадъците не представляват повод за безпокойство от гледна точка на субсидиарността. Що се отнася до принципа на пропорционалност обаче, някои смятат, че целите, заложени в законодателното предложение от 2014 г., са непропорционални. В становището</w:t>
      </w:r>
      <w:r>
        <w:rPr>
          <w:rStyle w:val="FootnoteReference"/>
          <w:rFonts w:ascii="Times New Roman" w:hAnsi="Times New Roman"/>
          <w:noProof/>
          <w:sz w:val="24"/>
          <w:lang w:val="bg-BG"/>
        </w:rPr>
        <w:footnoteReference w:id="37"/>
      </w:r>
      <w:r>
        <w:rPr>
          <w:rFonts w:ascii="Times New Roman" w:hAnsi="Times New Roman"/>
          <w:noProof/>
          <w:sz w:val="24"/>
          <w:lang w:val="bg-BG"/>
        </w:rPr>
        <w:t xml:space="preserve"> се заключава, че: „</w:t>
      </w:r>
      <w:r>
        <w:rPr>
          <w:rFonts w:ascii="Times New Roman" w:hAnsi="Times New Roman"/>
          <w:i/>
          <w:noProof/>
          <w:sz w:val="24"/>
          <w:lang w:val="bg-BG"/>
        </w:rPr>
        <w:t>предложенията на Комисията не пораждат никакво безпокойство във връзка със субсидиарността, но будят безпокойства във връзка с пропорционалността</w:t>
      </w:r>
      <w:r>
        <w:rPr>
          <w:rFonts w:ascii="Times New Roman" w:hAnsi="Times New Roman"/>
          <w:noProof/>
          <w:sz w:val="24"/>
          <w:lang w:val="bg-BG"/>
        </w:rPr>
        <w:t>“.</w:t>
      </w:r>
    </w:p>
    <w:p>
      <w:pPr>
        <w:spacing w:after="240" w:line="240" w:lineRule="auto"/>
        <w:jc w:val="both"/>
        <w:rPr>
          <w:rFonts w:ascii="Times New Roman" w:eastAsia="SimSun" w:hAnsi="Times New Roman"/>
          <w:bCs/>
          <w:iCs/>
          <w:noProof/>
          <w:sz w:val="24"/>
          <w:szCs w:val="24"/>
          <w:lang w:val="bg-BG"/>
        </w:rPr>
      </w:pPr>
      <w:r>
        <w:rPr>
          <w:rFonts w:ascii="Times New Roman" w:hAnsi="Times New Roman"/>
          <w:noProof/>
          <w:sz w:val="24"/>
          <w:lang w:val="bg-BG"/>
        </w:rPr>
        <w:t>Втората консултация през 2016 г. бе свързана с преразглеждането на Директивата относно командироването на работници. Респондентите на консултацията подчертаха, че предложението включва значителни нови елементи, без предложените мерки да са адекватно и съществено обосновани. В становището</w:t>
      </w:r>
      <w:r>
        <w:rPr>
          <w:rStyle w:val="FootnoteReference"/>
          <w:rFonts w:ascii="Times New Roman" w:hAnsi="Times New Roman"/>
          <w:noProof/>
          <w:sz w:val="24"/>
          <w:lang w:val="bg-BG"/>
        </w:rPr>
        <w:footnoteReference w:id="38"/>
      </w:r>
      <w:r>
        <w:rPr>
          <w:rFonts w:ascii="Times New Roman" w:hAnsi="Times New Roman"/>
          <w:noProof/>
          <w:sz w:val="24"/>
          <w:lang w:val="bg-BG"/>
        </w:rPr>
        <w:t xml:space="preserve"> не се повдигат никакви въпроси относно съществените аспекти на субсидиарността и се изразява съгласие с предложението на Комисията, „</w:t>
      </w:r>
      <w:r>
        <w:rPr>
          <w:rFonts w:ascii="Times New Roman" w:hAnsi="Times New Roman"/>
          <w:i/>
          <w:noProof/>
          <w:sz w:val="24"/>
          <w:lang w:val="bg-BG"/>
        </w:rPr>
        <w:t>че целта на предложената преразгледана директива, т.е. общо определяне на правилата, приложими към командироването на работници, може да бъде постигната по-добре на равнището на ЕС.</w:t>
      </w:r>
      <w:r>
        <w:rPr>
          <w:rFonts w:ascii="Times New Roman" w:hAnsi="Times New Roman"/>
          <w:noProof/>
          <w:sz w:val="24"/>
          <w:lang w:val="bg-BG"/>
        </w:rPr>
        <w:t>“</w:t>
      </w:r>
    </w:p>
    <w:p>
      <w:pPr>
        <w:spacing w:after="240" w:line="240" w:lineRule="auto"/>
        <w:jc w:val="both"/>
        <w:rPr>
          <w:rFonts w:ascii="Times New Roman" w:eastAsia="SimSun" w:hAnsi="Times New Roman"/>
          <w:bCs/>
          <w:iCs/>
          <w:noProof/>
          <w:sz w:val="24"/>
          <w:szCs w:val="24"/>
          <w:lang w:val="bg-BG"/>
        </w:rPr>
      </w:pPr>
      <w:r>
        <w:rPr>
          <w:rFonts w:ascii="Times New Roman" w:hAnsi="Times New Roman"/>
          <w:noProof/>
          <w:sz w:val="24"/>
          <w:lang w:val="bg-BG"/>
        </w:rPr>
        <w:t>Що се отнася до предложението за преразглеждане на Директивата за аудиовизуалните медийни услуги,</w:t>
      </w:r>
      <w:r>
        <w:rPr>
          <w:rFonts w:ascii="Times New Roman" w:hAnsi="Times New Roman"/>
          <w:b/>
          <w:noProof/>
          <w:sz w:val="24"/>
          <w:lang w:val="bg-BG"/>
        </w:rPr>
        <w:t xml:space="preserve"> </w:t>
      </w:r>
      <w:r>
        <w:rPr>
          <w:rFonts w:ascii="Times New Roman" w:hAnsi="Times New Roman"/>
          <w:noProof/>
          <w:sz w:val="24"/>
          <w:lang w:val="bg-BG"/>
        </w:rPr>
        <w:t>експертите заключиха, че макар и да изглежда, че предложението съответства на принципа на субсидиарност, изключително подробните разпоредби относно националните регулаторни органи не оставят много възможности за вземане на решения на национално равнище, поради което предложението поражда въпроси относно пропорционалността</w:t>
      </w:r>
      <w:r>
        <w:rPr>
          <w:rStyle w:val="FootnoteReference"/>
          <w:rFonts w:ascii="Times New Roman" w:hAnsi="Times New Roman"/>
          <w:noProof/>
          <w:sz w:val="24"/>
          <w:lang w:val="bg-BG"/>
        </w:rPr>
        <w:footnoteReference w:id="39"/>
      </w:r>
      <w:r>
        <w:rPr>
          <w:noProof/>
          <w:lang w:val="bg-BG"/>
        </w:rPr>
        <w:t>.</w:t>
      </w:r>
    </w:p>
    <w:p>
      <w:pPr>
        <w:spacing w:after="240" w:line="240" w:lineRule="auto"/>
        <w:jc w:val="both"/>
        <w:rPr>
          <w:rFonts w:ascii="Times New Roman" w:hAnsi="Times New Roman" w:cs="Times New Roman"/>
          <w:b/>
          <w:bCs/>
          <w:noProof/>
          <w:sz w:val="24"/>
          <w:szCs w:val="24"/>
          <w:lang w:val="bg-BG"/>
        </w:rPr>
      </w:pPr>
      <w:r>
        <w:rPr>
          <w:rFonts w:ascii="Times New Roman" w:hAnsi="Times New Roman"/>
          <w:noProof/>
          <w:sz w:val="24"/>
          <w:lang w:val="bg-BG"/>
        </w:rPr>
        <w:t>Последната консултация с Експертната група за субсидиарността през 2016 г. засягаше предложението за Директива относно авторското право в цифровия единен пазар. Не бяха повдигнати въпроси във връзка със субсидиарността или пропорционалността. Становището на Комитета на регионите беше прието на 8 февруари 2017 г.</w:t>
      </w:r>
      <w:r>
        <w:rPr>
          <w:rStyle w:val="FootnoteReference"/>
          <w:rFonts w:ascii="Times New Roman" w:hAnsi="Times New Roman"/>
          <w:noProof/>
          <w:sz w:val="24"/>
          <w:lang w:val="bg-BG"/>
        </w:rPr>
        <w:footnoteReference w:id="40"/>
      </w:r>
    </w:p>
    <w:p>
      <w:pPr>
        <w:pStyle w:val="FootnoteText"/>
        <w:spacing w:after="120"/>
        <w:rPr>
          <w:rFonts w:ascii="Times New Roman" w:hAnsi="Times New Roman" w:cs="Times New Roman"/>
          <w:b/>
          <w:bCs/>
          <w:noProof/>
          <w:sz w:val="24"/>
          <w:szCs w:val="24"/>
          <w:lang w:val="bg-BG"/>
        </w:rPr>
      </w:pPr>
      <w:r>
        <w:rPr>
          <w:rFonts w:ascii="Times New Roman" w:hAnsi="Times New Roman"/>
          <w:b/>
          <w:noProof/>
          <w:sz w:val="24"/>
          <w:lang w:val="bg-BG"/>
        </w:rPr>
        <w:t>REGPEX — платформата за регионите със законодателни правомощия</w:t>
      </w:r>
    </w:p>
    <w:p>
      <w:pPr>
        <w:spacing w:after="240" w:line="240" w:lineRule="auto"/>
        <w:jc w:val="both"/>
        <w:rPr>
          <w:rFonts w:ascii="Times New Roman" w:hAnsi="Times New Roman" w:cs="Arial"/>
          <w:noProof/>
          <w:sz w:val="24"/>
          <w:szCs w:val="24"/>
          <w:lang w:val="bg-BG"/>
        </w:rPr>
      </w:pPr>
      <w:r>
        <w:rPr>
          <w:rFonts w:ascii="Times New Roman" w:hAnsi="Times New Roman"/>
          <w:noProof/>
          <w:sz w:val="24"/>
          <w:lang w:val="bg-BG"/>
        </w:rPr>
        <w:t xml:space="preserve">През 2016 г. Комитетът на регионите модернизира и доразви REGPEX — подмрежата на Мрежата за наблюдение на субсидиарността, в която могат да участват парламентите и правителствата на регионите със законодателни правомощия и в която в края на 2016 г. членуваха 76 партньора (47 регионални парламента и 29 регионални правителства). Търсачката на REGPEX улеснява подбора на приоритети за наблюдение във връзка със субсидиарността и обмена на информация между партньорите, като предоставя пряк достъп до информацията, необходима за анализа на субсидиарността. REGPEX продължава да бъде важен инструмент за наблюдение на субсидиарността. Тя насърчава обмена на добри практики и ползването на по-общ подход при наблюдението на субсидиарността. </w:t>
      </w:r>
    </w:p>
    <w:p>
      <w:pPr>
        <w:spacing w:after="0" w:line="240" w:lineRule="auto"/>
        <w:jc w:val="both"/>
        <w:rPr>
          <w:rFonts w:ascii="Times New Roman" w:hAnsi="Times New Roman" w:cs="Arial"/>
          <w:noProof/>
          <w:sz w:val="24"/>
          <w:szCs w:val="24"/>
          <w:lang w:val="bg-BG"/>
        </w:rPr>
      </w:pPr>
      <w:r>
        <w:rPr>
          <w:rFonts w:ascii="Times New Roman" w:hAnsi="Times New Roman"/>
          <w:noProof/>
          <w:sz w:val="24"/>
          <w:lang w:val="bg-BG"/>
        </w:rPr>
        <w:t>През 2016 г. в платформата бяха качени общо 28 становища, изготвени от партньорите на REGPEX. Сред най-активните партньори бяха парламентът на федерална провинция Горна Австрия, регионалната законодателна асамблея на Емилия Романя и парламентът на федерална провинция Бавария. През 2016 г. по предложението за директива относно командироването на работници бяха получени три становища от регионални парламенти. Парламентът на федерална провинция Бавария заяви, че тъй като Съюзът няма компетентност в областта на трудовите възнаграждения, всяко действие за хармонизация на уредбата за командироването на работници е недопустимо. Регионалната асамблея на Фриули-Венеция Джулия приветства прилагането на системата на заплащане в приемащата държава спрямо командированите работници. Регионалната асамблея на Марке в Италия изрази мнение, че колективните трудови правоотношения (включително приложното поле на колективните трудови договори) биха могли да се регулират най-добре на национално равнище, поради особеностите на националните системи за колективно договаряне. Тези позиции бяха отразени в доклада на Комитета на регионите от консултацията предвид становището на Комитета по предложението относно командироването на работници.</w:t>
      </w:r>
    </w:p>
    <w:p>
      <w:pPr>
        <w:spacing w:after="0" w:line="240" w:lineRule="auto"/>
        <w:rPr>
          <w:rFonts w:ascii="Times New Roman" w:hAnsi="Times New Roman" w:cs="Arial"/>
          <w:noProof/>
          <w:sz w:val="24"/>
          <w:szCs w:val="24"/>
          <w:lang w:val="bg-BG"/>
        </w:rPr>
      </w:pPr>
    </w:p>
    <w:p>
      <w:pPr>
        <w:autoSpaceDE w:val="0"/>
        <w:autoSpaceDN w:val="0"/>
        <w:adjustRightInd w:val="0"/>
        <w:spacing w:after="120" w:line="240" w:lineRule="auto"/>
        <w:jc w:val="both"/>
        <w:rPr>
          <w:rFonts w:ascii="Times New Roman" w:hAnsi="Times New Roman" w:cs="Times New Roman"/>
          <w:b/>
          <w:bCs/>
          <w:noProof/>
          <w:sz w:val="24"/>
          <w:szCs w:val="24"/>
          <w:lang w:val="bg-BG"/>
        </w:rPr>
      </w:pPr>
      <w:r>
        <w:rPr>
          <w:rFonts w:ascii="Times New Roman" w:hAnsi="Times New Roman"/>
          <w:b/>
          <w:noProof/>
          <w:sz w:val="24"/>
          <w:lang w:val="bg-BG"/>
        </w:rPr>
        <w:t>Конференция, посветена на субсидиарността, по-доброто регулиране и политическия диалог</w:t>
      </w:r>
    </w:p>
    <w:p>
      <w:pPr>
        <w:spacing w:after="240" w:line="240" w:lineRule="auto"/>
        <w:jc w:val="both"/>
        <w:rPr>
          <w:rFonts w:ascii="Times New Roman" w:hAnsi="Times New Roman"/>
          <w:iCs/>
          <w:noProof/>
          <w:sz w:val="24"/>
          <w:szCs w:val="24"/>
          <w:lang w:val="bg-BG"/>
        </w:rPr>
      </w:pPr>
      <w:r>
        <w:rPr>
          <w:rFonts w:ascii="Times New Roman" w:hAnsi="Times New Roman"/>
          <w:noProof/>
          <w:sz w:val="24"/>
          <w:lang w:val="bg-BG"/>
        </w:rPr>
        <w:t>На</w:t>
      </w:r>
      <w:r>
        <w:rPr>
          <w:noProof/>
          <w:sz w:val="24"/>
          <w:lang w:val="bg-BG"/>
        </w:rPr>
        <w:t xml:space="preserve"> </w:t>
      </w:r>
      <w:r>
        <w:rPr>
          <w:rFonts w:ascii="Times New Roman" w:hAnsi="Times New Roman"/>
          <w:noProof/>
          <w:sz w:val="24"/>
          <w:lang w:val="bg-BG"/>
        </w:rPr>
        <w:t xml:space="preserve">19 февруари 2016 г. в Рим се състоя конференция, посветена на субсидиарността, по-доброто регулиране и политическия диалог, организирана съвместно от Италианската конференция на регионалните парламенти, италианския </w:t>
      </w:r>
      <w:r>
        <w:rPr>
          <w:rFonts w:ascii="Times New Roman" w:hAnsi="Times New Roman"/>
          <w:i/>
          <w:noProof/>
          <w:sz w:val="24"/>
          <w:lang w:val="bg-BG"/>
        </w:rPr>
        <w:t>Senato della Repubblica</w:t>
      </w:r>
      <w:r>
        <w:rPr>
          <w:rFonts w:ascii="Times New Roman" w:hAnsi="Times New Roman"/>
          <w:noProof/>
          <w:sz w:val="24"/>
          <w:lang w:val="bg-BG"/>
        </w:rPr>
        <w:t xml:space="preserve"> и Комитета на регионите</w:t>
      </w:r>
      <w:r>
        <w:rPr>
          <w:noProof/>
          <w:lang w:val="bg-BG"/>
        </w:rPr>
        <w:t>.</w:t>
      </w:r>
      <w:r>
        <w:rPr>
          <w:rFonts w:ascii="Times New Roman" w:hAnsi="Times New Roman"/>
          <w:noProof/>
          <w:sz w:val="24"/>
          <w:lang w:val="bg-BG"/>
        </w:rPr>
        <w:t xml:space="preserve"> Този пилотен проект за повишаване на осведомеността относно субсидиарността и за обучение по темата беше разработен като част от новата концепция за посрещане на нуждите на местните и регионалните органи в контекста на планираната реформа на италианския </w:t>
      </w:r>
      <w:r>
        <w:rPr>
          <w:rFonts w:ascii="Times New Roman" w:hAnsi="Times New Roman"/>
          <w:i/>
          <w:noProof/>
          <w:sz w:val="24"/>
          <w:lang w:val="bg-BG"/>
        </w:rPr>
        <w:t>Senato della Repubblica</w:t>
      </w:r>
      <w:r>
        <w:rPr>
          <w:rFonts w:ascii="Times New Roman" w:hAnsi="Times New Roman"/>
          <w:noProof/>
          <w:sz w:val="24"/>
          <w:lang w:val="bg-BG"/>
        </w:rPr>
        <w:t>. На събитието присъстваха 150 участници. Бяха подчертани ролята на регионалните парламенти в процеса на вземане на решения в ЕС и значението на наблюдението на субсидиарността като конструктивно упражнение.</w:t>
      </w:r>
    </w:p>
    <w:p>
      <w:pPr>
        <w:spacing w:after="480" w:line="240" w:lineRule="auto"/>
        <w:jc w:val="both"/>
        <w:rPr>
          <w:rFonts w:ascii="Times New Roman" w:hAnsi="Times New Roman" w:cs="Arial"/>
          <w:noProof/>
          <w:sz w:val="24"/>
          <w:szCs w:val="24"/>
          <w:lang w:val="bg-BG"/>
        </w:rPr>
      </w:pPr>
      <w:r>
        <w:rPr>
          <w:rFonts w:ascii="Times New Roman" w:hAnsi="Times New Roman"/>
          <w:noProof/>
          <w:sz w:val="24"/>
          <w:lang w:val="bg-BG"/>
        </w:rPr>
        <w:t>По-подробно описание на дейностите, свързани със субсидиарността, се съдържа в Годишния доклад относно субсидиарността за 2016 г., изготвен от Комитета на регионите</w:t>
      </w:r>
      <w:r>
        <w:rPr>
          <w:rStyle w:val="FootnoteReference"/>
          <w:rFonts w:ascii="Times New Roman" w:hAnsi="Times New Roman"/>
          <w:noProof/>
          <w:sz w:val="24"/>
          <w:lang w:val="bg-BG"/>
        </w:rPr>
        <w:footnoteReference w:id="41"/>
      </w:r>
      <w:r>
        <w:rPr>
          <w:rFonts w:ascii="Times New Roman" w:hAnsi="Times New Roman"/>
          <w:noProof/>
          <w:sz w:val="24"/>
          <w:lang w:val="bg-BG"/>
        </w:rPr>
        <w:t>.</w:t>
      </w:r>
    </w:p>
    <w:p>
      <w:pPr>
        <w:spacing w:after="240" w:line="240" w:lineRule="auto"/>
        <w:rPr>
          <w:rFonts w:asciiTheme="majorBidi" w:hAnsiTheme="majorBidi" w:cstheme="majorBidi"/>
          <w:i/>
          <w:iCs/>
          <w:noProof/>
          <w:sz w:val="24"/>
          <w:szCs w:val="24"/>
          <w:lang w:val="bg-BG"/>
        </w:rPr>
      </w:pPr>
      <w:r>
        <w:rPr>
          <w:rFonts w:asciiTheme="majorBidi" w:hAnsiTheme="majorBidi" w:cstheme="majorBidi"/>
          <w:b/>
          <w:noProof/>
          <w:sz w:val="24"/>
          <w:lang w:val="bg-BG"/>
        </w:rPr>
        <w:t xml:space="preserve">2.5. </w:t>
      </w:r>
      <w:r>
        <w:rPr>
          <w:noProof/>
          <w:lang w:val="bg-BG"/>
        </w:rPr>
        <w:tab/>
      </w:r>
      <w:r>
        <w:rPr>
          <w:rFonts w:asciiTheme="majorBidi" w:hAnsiTheme="majorBidi" w:cstheme="majorBidi"/>
          <w:b/>
          <w:noProof/>
          <w:sz w:val="24"/>
          <w:lang w:val="bg-BG"/>
        </w:rPr>
        <w:t>Съдът на Европейския съюз</w:t>
      </w:r>
    </w:p>
    <w:p>
      <w:pPr>
        <w:spacing w:after="240" w:line="240" w:lineRule="auto"/>
        <w:jc w:val="both"/>
        <w:rPr>
          <w:rFonts w:ascii="Times New Roman" w:hAnsi="Times New Roman"/>
          <w:iCs/>
          <w:noProof/>
          <w:sz w:val="24"/>
          <w:szCs w:val="24"/>
          <w:lang w:val="bg-BG"/>
        </w:rPr>
      </w:pPr>
      <w:r>
        <w:rPr>
          <w:rFonts w:ascii="Times New Roman" w:hAnsi="Times New Roman"/>
          <w:noProof/>
          <w:sz w:val="24"/>
          <w:lang w:val="bg-BG"/>
        </w:rPr>
        <w:t>Основните решения на Съда, постановени през 2016 г. по отношение на принципа на субсидиарност, са тези от 4 май 2016 г.</w:t>
      </w:r>
      <w:r>
        <w:rPr>
          <w:rFonts w:ascii="Times New Roman" w:hAnsi="Times New Roman"/>
          <w:noProof/>
          <w:sz w:val="24"/>
          <w:vertAlign w:val="superscript"/>
          <w:lang w:val="bg-BG"/>
        </w:rPr>
        <w:footnoteReference w:id="42"/>
      </w:r>
      <w:r>
        <w:rPr>
          <w:rFonts w:ascii="Times New Roman" w:hAnsi="Times New Roman"/>
          <w:noProof/>
          <w:sz w:val="24"/>
          <w:lang w:val="bg-BG"/>
        </w:rPr>
        <w:t xml:space="preserve"> относно законосъобразността на Директивата за тютюневите изделия</w:t>
      </w:r>
      <w:r>
        <w:rPr>
          <w:rFonts w:ascii="Times New Roman" w:hAnsi="Times New Roman"/>
          <w:noProof/>
          <w:sz w:val="24"/>
          <w:vertAlign w:val="superscript"/>
          <w:lang w:val="bg-BG"/>
        </w:rPr>
        <w:footnoteReference w:id="43"/>
      </w:r>
      <w:r>
        <w:rPr>
          <w:rFonts w:ascii="Times New Roman" w:hAnsi="Times New Roman"/>
          <w:noProof/>
          <w:sz w:val="24"/>
          <w:lang w:val="bg-BG"/>
        </w:rPr>
        <w:t>.</w:t>
      </w:r>
      <w:r>
        <w:rPr>
          <w:rFonts w:ascii="Times New Roman" w:hAnsi="Times New Roman"/>
          <w:noProof/>
          <w:sz w:val="24"/>
          <w:vertAlign w:val="superscript"/>
          <w:lang w:val="bg-BG"/>
        </w:rPr>
        <w:t xml:space="preserve"> </w:t>
      </w:r>
      <w:r>
        <w:rPr>
          <w:rFonts w:ascii="Times New Roman" w:hAnsi="Times New Roman"/>
          <w:noProof/>
          <w:sz w:val="24"/>
          <w:lang w:val="bg-BG"/>
        </w:rPr>
        <w:t>Съдът счете, че законодателят на Съюза е спазил принципа на субсидиарност.</w:t>
      </w:r>
    </w:p>
    <w:p>
      <w:pPr>
        <w:spacing w:after="240" w:line="240" w:lineRule="auto"/>
        <w:jc w:val="both"/>
        <w:rPr>
          <w:rFonts w:ascii="Times New Roman" w:hAnsi="Times New Roman"/>
          <w:iCs/>
          <w:noProof/>
          <w:sz w:val="24"/>
          <w:szCs w:val="24"/>
          <w:lang w:val="bg-BG"/>
        </w:rPr>
      </w:pPr>
      <w:r>
        <w:rPr>
          <w:rFonts w:ascii="Times New Roman" w:hAnsi="Times New Roman"/>
          <w:noProof/>
          <w:sz w:val="24"/>
          <w:lang w:val="bg-BG"/>
        </w:rPr>
        <w:t>За да достигне до това заключение, Съдът разграничи предварителния контрол за спазването на принципа на субсидиарност, който „</w:t>
      </w:r>
      <w:r>
        <w:rPr>
          <w:rFonts w:ascii="Times New Roman" w:hAnsi="Times New Roman"/>
          <w:i/>
          <w:noProof/>
          <w:sz w:val="24"/>
          <w:lang w:val="bg-BG"/>
        </w:rPr>
        <w:t>се упражнява първо на политическо равнище — от националните парламенти съгласно процедурите, установени за тази цел в Протокол № 2</w:t>
      </w:r>
      <w:r>
        <w:rPr>
          <w:rFonts w:ascii="Times New Roman" w:hAnsi="Times New Roman"/>
          <w:noProof/>
          <w:sz w:val="24"/>
          <w:lang w:val="bg-BG"/>
        </w:rPr>
        <w:t>“, и последващия контрол, упражняван от Съда на ЕС, „</w:t>
      </w:r>
      <w:r>
        <w:rPr>
          <w:rFonts w:ascii="Times New Roman" w:hAnsi="Times New Roman"/>
          <w:i/>
          <w:noProof/>
          <w:sz w:val="24"/>
          <w:lang w:val="bg-BG"/>
        </w:rPr>
        <w:t>който трябва да следи както за спазването на материалноправните условия по член 5, параграф 3 ДЕС, така и за спазването на процесуалните гаранции, предвидени в посочения протокол</w:t>
      </w:r>
      <w:r>
        <w:rPr>
          <w:rFonts w:ascii="Times New Roman" w:hAnsi="Times New Roman"/>
          <w:noProof/>
          <w:sz w:val="24"/>
          <w:lang w:val="bg-BG"/>
        </w:rPr>
        <w:t>.“</w:t>
      </w:r>
      <w:r>
        <w:rPr>
          <w:rFonts w:ascii="Times New Roman" w:hAnsi="Times New Roman"/>
          <w:noProof/>
          <w:sz w:val="24"/>
          <w:vertAlign w:val="superscript"/>
          <w:lang w:val="bg-BG"/>
        </w:rPr>
        <w:footnoteReference w:id="44"/>
      </w:r>
    </w:p>
    <w:p>
      <w:pPr>
        <w:spacing w:after="240" w:line="240" w:lineRule="auto"/>
        <w:jc w:val="both"/>
        <w:rPr>
          <w:rFonts w:ascii="Times New Roman" w:hAnsi="Times New Roman"/>
          <w:iCs/>
          <w:noProof/>
          <w:sz w:val="24"/>
          <w:szCs w:val="24"/>
          <w:lang w:val="bg-BG"/>
        </w:rPr>
      </w:pPr>
      <w:r>
        <w:rPr>
          <w:rFonts w:ascii="Times New Roman" w:hAnsi="Times New Roman"/>
          <w:noProof/>
          <w:sz w:val="24"/>
          <w:lang w:val="bg-BG"/>
        </w:rPr>
        <w:t>По отношение на материалноправните условия Съдът приложи прост тест: той трябваше „</w:t>
      </w:r>
      <w:r>
        <w:rPr>
          <w:rFonts w:ascii="Times New Roman" w:hAnsi="Times New Roman"/>
          <w:i/>
          <w:noProof/>
          <w:sz w:val="24"/>
          <w:lang w:val="bg-BG"/>
        </w:rPr>
        <w:t>да провери дали въз основа на конкретни обстоятелства законодателят на Съюза е можел да приеме, че целите на предвиденото действие могат да бъдат по-добре постигнати на равнището на Съюза</w:t>
      </w:r>
      <w:r>
        <w:rPr>
          <w:rFonts w:ascii="Times New Roman" w:hAnsi="Times New Roman"/>
          <w:noProof/>
          <w:sz w:val="24"/>
          <w:lang w:val="bg-BG"/>
        </w:rPr>
        <w:t>“. Съдът припомни, че Директивата има две цели, а именно да се улесни „</w:t>
      </w:r>
      <w:r>
        <w:rPr>
          <w:rFonts w:ascii="Times New Roman" w:hAnsi="Times New Roman"/>
          <w:i/>
          <w:noProof/>
          <w:sz w:val="24"/>
          <w:lang w:val="bg-BG"/>
        </w:rPr>
        <w:t>безпрепятственото функциониране на вътрешния пазар [...], като същевременно се осигури високо равнище на защита на човешкото здраве, особено на младите хора</w:t>
      </w:r>
      <w:r>
        <w:rPr>
          <w:rFonts w:ascii="Times New Roman" w:hAnsi="Times New Roman"/>
          <w:noProof/>
          <w:sz w:val="24"/>
          <w:lang w:val="bg-BG"/>
        </w:rPr>
        <w:t>“. Дори и да се допусне, че втората цел може да бъде по-добре постигната на равнището на държавите членки, то „</w:t>
      </w:r>
      <w:r>
        <w:rPr>
          <w:rFonts w:ascii="Times New Roman" w:hAnsi="Times New Roman"/>
          <w:i/>
          <w:noProof/>
          <w:sz w:val="24"/>
          <w:lang w:val="bg-BG"/>
        </w:rPr>
        <w:t>работата за постигането на посочената цел на такова равнище вероятно би довела до затвърждаване, ако не и до увеличаване на ситуациите, при които едни държави членки разрешават пускането на пазара на тютюневи изделия с някои характерни вкусово-ароматни качества, докато други ги забраняват, което е точната противоположност на първата цел на Директива 2014/40, а именно подобряване на функционирането на вътрешния пазар на тютюневи и свързани с тях изделия</w:t>
      </w:r>
      <w:r>
        <w:rPr>
          <w:rFonts w:ascii="Times New Roman" w:hAnsi="Times New Roman"/>
          <w:noProof/>
          <w:sz w:val="24"/>
          <w:lang w:val="bg-BG"/>
        </w:rPr>
        <w:t>.“ Според Съда „</w:t>
      </w:r>
      <w:r>
        <w:rPr>
          <w:rFonts w:ascii="Times New Roman" w:hAnsi="Times New Roman"/>
          <w:i/>
          <w:noProof/>
          <w:sz w:val="24"/>
          <w:lang w:val="bg-BG"/>
        </w:rPr>
        <w:t>[в]заимозависимостта на двете цели […] сочи, че законодателят на Съюза е можел с право да приеме, че неговите действия трябва да включват установяването на режим за пускането на тютюневи изделия с характерни вкусово-ароматни качества на пазара в Съюза, както и че поради тази взаимозависимост двойната цел може да бъде по-добре постигната на равнището на Съюза“</w:t>
      </w:r>
      <w:r>
        <w:rPr>
          <w:rFonts w:ascii="Times New Roman" w:hAnsi="Times New Roman"/>
          <w:noProof/>
          <w:sz w:val="24"/>
          <w:lang w:val="bg-BG"/>
        </w:rPr>
        <w:t>. Освен това Съдът потвърди, че принципът на субсидиарност „</w:t>
      </w:r>
      <w:r>
        <w:rPr>
          <w:rFonts w:ascii="Times New Roman" w:hAnsi="Times New Roman"/>
          <w:i/>
          <w:noProof/>
          <w:sz w:val="24"/>
          <w:lang w:val="bg-BG"/>
        </w:rPr>
        <w:t>няма за предмет да ограничи компетентността на Съюза в зависимост от положението на тази или онази държава членка, взети поотделно“</w:t>
      </w:r>
      <w:r>
        <w:rPr>
          <w:rFonts w:ascii="Times New Roman" w:hAnsi="Times New Roman"/>
          <w:noProof/>
          <w:sz w:val="24"/>
          <w:lang w:val="bg-BG"/>
        </w:rPr>
        <w:t>.</w:t>
      </w:r>
      <w:r>
        <w:rPr>
          <w:rFonts w:ascii="Times New Roman" w:hAnsi="Times New Roman"/>
          <w:noProof/>
          <w:sz w:val="24"/>
          <w:vertAlign w:val="superscript"/>
          <w:lang w:val="bg-BG"/>
        </w:rPr>
        <w:footnoteReference w:id="45"/>
      </w:r>
    </w:p>
    <w:p>
      <w:pPr>
        <w:spacing w:after="240" w:line="240" w:lineRule="auto"/>
        <w:jc w:val="both"/>
        <w:rPr>
          <w:rFonts w:ascii="Times New Roman" w:hAnsi="Times New Roman"/>
          <w:iCs/>
          <w:noProof/>
          <w:sz w:val="24"/>
          <w:szCs w:val="24"/>
          <w:lang w:val="bg-BG"/>
        </w:rPr>
      </w:pPr>
      <w:r>
        <w:rPr>
          <w:rFonts w:ascii="Times New Roman" w:hAnsi="Times New Roman"/>
          <w:noProof/>
          <w:sz w:val="24"/>
          <w:lang w:val="bg-BG"/>
        </w:rPr>
        <w:t>Що се отнася до процесуалните гаранции, и по-специално на задължението за мотивиране по отношение на субсидиарността, Съдът припомня, че „</w:t>
      </w:r>
      <w:r>
        <w:rPr>
          <w:rFonts w:ascii="Times New Roman" w:hAnsi="Times New Roman"/>
          <w:i/>
          <w:noProof/>
          <w:sz w:val="24"/>
          <w:lang w:val="bg-BG"/>
        </w:rPr>
        <w:t>спазването на задължението за мотивиране трябва да се преценява с оглед не само на текста на оспорвания акт, но и на контекста му и обстоятелствата в конкретния случай</w:t>
      </w:r>
      <w:r>
        <w:rPr>
          <w:rFonts w:ascii="Times New Roman" w:hAnsi="Times New Roman"/>
          <w:noProof/>
          <w:sz w:val="24"/>
          <w:lang w:val="bg-BG"/>
        </w:rPr>
        <w:t>“. Съдът заключи, че предложението на Комисията и оценката на въздействието към него съдържат „</w:t>
      </w:r>
      <w:r>
        <w:rPr>
          <w:rFonts w:ascii="Times New Roman" w:hAnsi="Times New Roman"/>
          <w:i/>
          <w:noProof/>
          <w:sz w:val="24"/>
          <w:lang w:val="bg-BG"/>
        </w:rPr>
        <w:t>достатъчно данни, от които ясно и недвусмислено личат предимствата от предприемането на действия на равнището на Съюза вместо на равнището на държавите членки.</w:t>
      </w:r>
      <w:r>
        <w:rPr>
          <w:rFonts w:ascii="Times New Roman" w:hAnsi="Times New Roman"/>
          <w:noProof/>
          <w:sz w:val="24"/>
          <w:lang w:val="bg-BG"/>
        </w:rPr>
        <w:t>“ Тези данни „</w:t>
      </w:r>
      <w:r>
        <w:rPr>
          <w:rFonts w:ascii="Times New Roman" w:hAnsi="Times New Roman"/>
          <w:i/>
          <w:noProof/>
          <w:sz w:val="24"/>
          <w:lang w:val="bg-BG"/>
        </w:rPr>
        <w:t>са дали възможност както на законодателя на Съюза, така и на националните парламенти да преценят дали въпросното предложение е в съответствие с принципа на субсидиарност и същевременно позволяват на частноправните субекти да се запознаят с мотивите във връзка с посочения принцип, а на Съда — да упражни съответен контрол</w:t>
      </w:r>
      <w:r>
        <w:rPr>
          <w:rFonts w:ascii="Times New Roman" w:hAnsi="Times New Roman"/>
          <w:noProof/>
          <w:sz w:val="24"/>
          <w:lang w:val="bg-BG"/>
        </w:rPr>
        <w:t>“.</w:t>
      </w:r>
      <w:r>
        <w:rPr>
          <w:rFonts w:ascii="Times New Roman" w:hAnsi="Times New Roman"/>
          <w:noProof/>
          <w:sz w:val="24"/>
          <w:vertAlign w:val="superscript"/>
          <w:lang w:val="bg-BG"/>
        </w:rPr>
        <w:footnoteReference w:id="46"/>
      </w:r>
    </w:p>
    <w:p>
      <w:pPr>
        <w:spacing w:after="240" w:line="240" w:lineRule="auto"/>
        <w:jc w:val="both"/>
        <w:rPr>
          <w:rFonts w:ascii="Times New Roman" w:hAnsi="Times New Roman"/>
          <w:iCs/>
          <w:noProof/>
          <w:sz w:val="24"/>
          <w:szCs w:val="24"/>
          <w:lang w:val="bg-BG"/>
        </w:rPr>
      </w:pPr>
      <w:r>
        <w:rPr>
          <w:rFonts w:ascii="Times New Roman" w:hAnsi="Times New Roman"/>
          <w:noProof/>
          <w:sz w:val="24"/>
          <w:lang w:val="bg-BG"/>
        </w:rPr>
        <w:t>В решенията Съдът отхвърли също и основанията на жалбоподателите, с които се твърди, че редица разпоредби на Директивата за тютюневите изделия са в нарушение на принципа на пропорционалност. Съдът потвърди пропорционалността на решенията, взети от законодателя, който разполага с голяма свобода на преценка в областите, в които трябва да извършва сложни политически, икономически и социални оценки, като регулирането на пазара на тютюневи изделия. Според Съда приетите мерки не са явно неподходящи по отношение на своята цел и не изглежда, че по-малко ограничителни мерки биха били също толкова подходящи за постигането на тази цел</w:t>
      </w:r>
      <w:r>
        <w:rPr>
          <w:rFonts w:ascii="Times New Roman" w:hAnsi="Times New Roman"/>
          <w:noProof/>
          <w:sz w:val="24"/>
          <w:vertAlign w:val="superscript"/>
          <w:lang w:val="bg-BG"/>
        </w:rPr>
        <w:footnoteReference w:id="47"/>
      </w:r>
      <w:r>
        <w:rPr>
          <w:rFonts w:ascii="Times New Roman" w:hAnsi="Times New Roman"/>
          <w:noProof/>
          <w:sz w:val="24"/>
          <w:lang w:val="bg-BG"/>
        </w:rPr>
        <w:t>.</w:t>
      </w:r>
    </w:p>
    <w:p>
      <w:pPr>
        <w:spacing w:after="240" w:line="240" w:lineRule="auto"/>
        <w:rPr>
          <w:rFonts w:asciiTheme="majorBidi" w:hAnsiTheme="majorBidi" w:cstheme="majorBidi"/>
          <w:smallCaps/>
          <w:noProof/>
          <w:lang w:val="bg-BG"/>
        </w:rPr>
      </w:pPr>
      <w:r>
        <w:rPr>
          <w:rFonts w:asciiTheme="majorBidi" w:hAnsiTheme="majorBidi" w:cstheme="majorBidi"/>
          <w:smallCaps/>
          <w:noProof/>
          <w:lang w:val="bg-BG"/>
        </w:rPr>
        <w:t xml:space="preserve">3. </w:t>
      </w:r>
      <w:r>
        <w:rPr>
          <w:noProof/>
          <w:lang w:val="bg-BG"/>
        </w:rPr>
        <w:tab/>
      </w:r>
      <w:r>
        <w:rPr>
          <w:rFonts w:asciiTheme="majorBidi" w:hAnsiTheme="majorBidi" w:cstheme="majorBidi"/>
          <w:smallCaps/>
          <w:noProof/>
          <w:lang w:val="bg-BG"/>
        </w:rPr>
        <w:t>Основни случаи, в които бяха изразени опасения относно субсидиарността и пропорционалността</w:t>
      </w:r>
    </w:p>
    <w:p>
      <w:pPr>
        <w:numPr>
          <w:ilvl w:val="0"/>
          <w:numId w:val="19"/>
        </w:numPr>
        <w:spacing w:after="120" w:line="240" w:lineRule="auto"/>
        <w:contextualSpacing/>
        <w:jc w:val="both"/>
        <w:rPr>
          <w:rFonts w:ascii="Times New Roman" w:hAnsi="Times New Roman"/>
          <w:i/>
          <w:noProof/>
          <w:sz w:val="24"/>
          <w:lang w:val="bg-BG"/>
        </w:rPr>
      </w:pPr>
      <w:r>
        <w:rPr>
          <w:rFonts w:ascii="Times New Roman" w:hAnsi="Times New Roman"/>
          <w:i/>
          <w:noProof/>
          <w:sz w:val="24"/>
          <w:lang w:val="bg-BG"/>
        </w:rPr>
        <w:t>Предложение за преразглеждане на Директивата относно командироването на работници</w:t>
      </w:r>
    </w:p>
    <w:p>
      <w:pPr>
        <w:spacing w:after="120" w:line="240" w:lineRule="auto"/>
        <w:ind w:left="720"/>
        <w:contextualSpacing/>
        <w:jc w:val="both"/>
        <w:rPr>
          <w:rFonts w:ascii="Times New Roman" w:hAnsi="Times New Roman"/>
          <w:i/>
          <w:noProof/>
          <w:sz w:val="24"/>
          <w:lang w:val="bg-BG"/>
        </w:rPr>
      </w:pPr>
    </w:p>
    <w:p>
      <w:pPr>
        <w:spacing w:after="120" w:line="240" w:lineRule="auto"/>
        <w:jc w:val="both"/>
        <w:rPr>
          <w:rFonts w:ascii="Times New Roman" w:eastAsia="Times New Roman" w:hAnsi="Times New Roman" w:cs="Times New Roman"/>
          <w:noProof/>
          <w:sz w:val="24"/>
          <w:szCs w:val="20"/>
          <w:lang w:val="bg-BG"/>
        </w:rPr>
      </w:pPr>
      <w:r>
        <w:rPr>
          <w:rFonts w:ascii="Times New Roman" w:hAnsi="Times New Roman"/>
          <w:noProof/>
          <w:sz w:val="24"/>
          <w:lang w:val="bg-BG"/>
        </w:rPr>
        <w:t>В изпълнение на ангажимента, поет в Политическите насоки на Комисията за утвърждаване на принципа, че един и същи труд на едно и също място следва да бъде възнаграждаван по един и същи начин, на 8 март 2016 г. Комисията прие предложение</w:t>
      </w:r>
      <w:r>
        <w:rPr>
          <w:rFonts w:ascii="Times New Roman" w:hAnsi="Times New Roman"/>
          <w:noProof/>
          <w:sz w:val="24"/>
          <w:vertAlign w:val="superscript"/>
          <w:lang w:val="bg-BG"/>
        </w:rPr>
        <w:footnoteReference w:id="48"/>
      </w:r>
      <w:r>
        <w:rPr>
          <w:rFonts w:ascii="Times New Roman" w:hAnsi="Times New Roman"/>
          <w:noProof/>
          <w:sz w:val="24"/>
          <w:lang w:val="bg-BG"/>
        </w:rPr>
        <w:t xml:space="preserve"> за целево преразглеждане на Директивата от 1996 г. относно командироването на работници</w:t>
      </w:r>
      <w:r>
        <w:rPr>
          <w:rFonts w:ascii="Times New Roman" w:hAnsi="Times New Roman"/>
          <w:noProof/>
          <w:sz w:val="24"/>
          <w:vertAlign w:val="superscript"/>
          <w:lang w:val="bg-BG"/>
        </w:rPr>
        <w:footnoteReference w:id="49"/>
      </w:r>
      <w:r>
        <w:rPr>
          <w:rFonts w:ascii="Times New Roman" w:hAnsi="Times New Roman"/>
          <w:noProof/>
          <w:sz w:val="24"/>
          <w:lang w:val="bg-BG"/>
        </w:rPr>
        <w:t xml:space="preserve">. По същество целта на преразглеждането е да се гарантира, че упражняването на свободното предоставяне на услуги в Съюза се извършва при условия, които осигуряват равнопоставеност за предприятията и зачитане на правата на работниците. В тази връзка с предложението се въвеждат промени в три основни области: i) възнагражденията на командированите работници, включително при възлагане на дейности на подизпълнители, ii) правилата за наетите чрез агенции за временна заетост работници и iii) дългосрочните командировки. По-специално с предложението се урежда, че всички правила за заплащането, които са задължителни в приемащата държава членка, се прилагат и по отношение на работниците, командировани в тази държава членка. </w:t>
      </w:r>
    </w:p>
    <w:p>
      <w:pPr>
        <w:spacing w:line="240" w:lineRule="auto"/>
        <w:jc w:val="both"/>
        <w:rPr>
          <w:rFonts w:ascii="Times New Roman" w:eastAsia="Times New Roman" w:hAnsi="Times New Roman" w:cs="Times New Roman"/>
          <w:noProof/>
          <w:sz w:val="24"/>
          <w:szCs w:val="20"/>
          <w:lang w:val="bg-BG"/>
        </w:rPr>
      </w:pPr>
      <w:r>
        <w:rPr>
          <w:rFonts w:ascii="Times New Roman" w:hAnsi="Times New Roman"/>
          <w:noProof/>
          <w:sz w:val="24"/>
          <w:lang w:val="bg-BG"/>
        </w:rPr>
        <w:t>По предложението на Комисията бяха внесени 14 мотивирани становища</w:t>
      </w:r>
      <w:r>
        <w:rPr>
          <w:rFonts w:ascii="Times New Roman" w:hAnsi="Times New Roman"/>
          <w:noProof/>
          <w:sz w:val="24"/>
          <w:vertAlign w:val="superscript"/>
          <w:lang w:val="bg-BG"/>
        </w:rPr>
        <w:footnoteReference w:id="50"/>
      </w:r>
      <w:r>
        <w:rPr>
          <w:rFonts w:ascii="Times New Roman" w:hAnsi="Times New Roman"/>
          <w:noProof/>
          <w:sz w:val="24"/>
          <w:lang w:val="bg-BG"/>
        </w:rPr>
        <w:t xml:space="preserve"> от националните парламенти на 11 държави членки. Тези мотивирани становища представляват 22 от общо 56 гласа, поради което се задейства процедурата съгласно член 7, параграф 2 от Протокол № 2 към Договорите (т.нар. процедура „жълт картон“)</w:t>
      </w:r>
      <w:r>
        <w:rPr>
          <w:rStyle w:val="FootnoteReference"/>
          <w:rFonts w:ascii="Times New Roman" w:hAnsi="Times New Roman"/>
          <w:noProof/>
          <w:sz w:val="24"/>
          <w:lang w:val="bg-BG"/>
        </w:rPr>
        <w:footnoteReference w:id="51"/>
      </w:r>
      <w:r>
        <w:rPr>
          <w:noProof/>
          <w:lang w:val="bg-BG"/>
        </w:rPr>
        <w:t>.</w:t>
      </w:r>
      <w:r>
        <w:rPr>
          <w:rFonts w:ascii="Times New Roman" w:hAnsi="Times New Roman"/>
          <w:noProof/>
          <w:sz w:val="24"/>
          <w:lang w:val="bg-BG"/>
        </w:rPr>
        <w:t xml:space="preserve"> В мотивираните си становища националните парламенти заявяват по-конкретно, i) че действащите разпоредби са достатъчни и адекватни, ii) че Съюзът не е подходящото равнище на намеса, iii) че в предложението не се признава изрично компетентността на държавите членки по отношение на възнагражденията и условията за работа и iv) че обосновката на предложението по отношение на принципа на субсидиарност е твърде сбита.</w:t>
      </w:r>
    </w:p>
    <w:p>
      <w:pPr>
        <w:spacing w:line="240" w:lineRule="auto"/>
        <w:jc w:val="both"/>
        <w:rPr>
          <w:rFonts w:ascii="Times New Roman" w:eastAsia="Times New Roman" w:hAnsi="Times New Roman" w:cs="Times New Roman"/>
          <w:noProof/>
          <w:sz w:val="24"/>
          <w:szCs w:val="20"/>
          <w:lang w:val="bg-BG"/>
        </w:rPr>
      </w:pPr>
      <w:r>
        <w:rPr>
          <w:rFonts w:ascii="Times New Roman" w:hAnsi="Times New Roman"/>
          <w:noProof/>
          <w:sz w:val="24"/>
          <w:lang w:val="bg-BG"/>
        </w:rPr>
        <w:t>В съответствие с ангажимента на Комисията за подобряване на взаимодействието с националните парламенти, Комисията осъществи преки контакти с националните парламенти. По време на Конференцията на комисиите по европейски въпроси (КОСАК) на 13 юни 2016 г. предварителният обмен на мнения с първия заместник-председател на Комисията Франс Тимерманс бе съсредоточен върху процедурните аспекти, а на 11 юли 2016 г. се проведе дискусия по същество в рамките на по-широко обсъждане с комисар Мариан Тейсен относно социалното измерение на ЕС.</w:t>
      </w:r>
    </w:p>
    <w:p>
      <w:pPr>
        <w:spacing w:line="240" w:lineRule="auto"/>
        <w:jc w:val="both"/>
        <w:rPr>
          <w:rFonts w:ascii="Times New Roman" w:eastAsia="Times New Roman" w:hAnsi="Times New Roman" w:cs="Times New Roman"/>
          <w:noProof/>
          <w:sz w:val="24"/>
          <w:szCs w:val="20"/>
          <w:lang w:val="bg-BG"/>
        </w:rPr>
      </w:pPr>
      <w:r>
        <w:rPr>
          <w:rFonts w:ascii="Times New Roman" w:hAnsi="Times New Roman"/>
          <w:noProof/>
          <w:sz w:val="24"/>
          <w:lang w:val="bg-BG"/>
        </w:rPr>
        <w:t>След внимателен анализ на мотивираните становища на 20 юли 2016 г. Комисията прие съобщение, като заключи, че предложението не нарушава принципа на субсидиарност и следователно не се налага да бъде променяно</w:t>
      </w:r>
      <w:r>
        <w:rPr>
          <w:rFonts w:ascii="Times New Roman" w:hAnsi="Times New Roman"/>
          <w:noProof/>
          <w:sz w:val="24"/>
          <w:vertAlign w:val="superscript"/>
          <w:lang w:val="bg-BG"/>
        </w:rPr>
        <w:footnoteReference w:id="52"/>
      </w:r>
      <w:r>
        <w:rPr>
          <w:rFonts w:ascii="Times New Roman" w:hAnsi="Times New Roman"/>
          <w:noProof/>
          <w:sz w:val="24"/>
          <w:lang w:val="bg-BG"/>
        </w:rPr>
        <w:t>. В съобщението си Комисията припомни, че предложението се основава на правното основание за вътрешния пазар и че командироването по дефиниция има трансгранично естество. Тя подчерта, че предложението има за цел да се улесни упражняването на свободата на предоставяне на услуги, като същевременно се увеличи равнопоставеността между националните и трансграничните доставчици на услуги и като се гарантира, че работниците, извършващи трудова дейност на едно и също място, са защитени с едни и същи задължителни правила, независимо от това дали са местни или командировани работници. В съобщението се обяснява и причината, поради която съществуващите разпоредби не са достатъчни и подходящи за постигането на тази цел. Освен това в него се потвърждава, че предложението напълно зачита компетентността на държавите членки да определят възнагражденията и другите условия за работа в съответствие със своето национално законодателство и практика. Същото се отнася и за тяхната компетентност да определят реда и условията, които се прилагат по отношение на наетите чрез агенции за временна заетост работници. И накрая, в съобщението се разглежда въпросът за обосновката относно съответствието на предложението с принципа на субсидиарност, като се припомня съдебната практика на Съда и се препраща към обяснителния меморандум и доклада за оценка на въздействието.</w:t>
      </w:r>
    </w:p>
    <w:p>
      <w:pPr>
        <w:numPr>
          <w:ilvl w:val="0"/>
          <w:numId w:val="19"/>
        </w:numPr>
        <w:spacing w:after="120" w:line="240" w:lineRule="auto"/>
        <w:contextualSpacing/>
        <w:jc w:val="both"/>
        <w:rPr>
          <w:rFonts w:ascii="Times New Roman" w:hAnsi="Times New Roman"/>
          <w:b/>
          <w:noProof/>
          <w:sz w:val="24"/>
          <w:szCs w:val="24"/>
          <w:lang w:val="bg-BG"/>
        </w:rPr>
      </w:pPr>
      <w:r>
        <w:rPr>
          <w:rFonts w:ascii="Times New Roman" w:hAnsi="Times New Roman"/>
          <w:i/>
          <w:noProof/>
          <w:sz w:val="24"/>
          <w:lang w:val="bg-BG"/>
        </w:rPr>
        <w:t>Предложение за преразглеждане на Регламента „Дъблин“</w:t>
      </w:r>
    </w:p>
    <w:p>
      <w:pPr>
        <w:spacing w:after="120" w:line="240" w:lineRule="auto"/>
        <w:ind w:left="720"/>
        <w:contextualSpacing/>
        <w:jc w:val="both"/>
        <w:rPr>
          <w:rFonts w:ascii="Times New Roman" w:hAnsi="Times New Roman"/>
          <w:b/>
          <w:noProof/>
          <w:sz w:val="24"/>
          <w:szCs w:val="24"/>
          <w:lang w:val="bg-BG"/>
        </w:rPr>
      </w:pPr>
    </w:p>
    <w:p>
      <w:pPr>
        <w:spacing w:line="240" w:lineRule="auto"/>
        <w:jc w:val="both"/>
        <w:rPr>
          <w:rFonts w:ascii="Times New Roman" w:hAnsi="Times New Roman"/>
          <w:noProof/>
          <w:sz w:val="24"/>
          <w:szCs w:val="24"/>
          <w:lang w:val="bg-BG"/>
        </w:rPr>
      </w:pPr>
      <w:r>
        <w:rPr>
          <w:rFonts w:ascii="Times New Roman" w:hAnsi="Times New Roman"/>
          <w:noProof/>
          <w:sz w:val="24"/>
          <w:lang w:val="bg-BG"/>
        </w:rPr>
        <w:t>Първият пакет от законодателни мерки</w:t>
      </w:r>
      <w:r>
        <w:rPr>
          <w:rFonts w:ascii="Times New Roman" w:hAnsi="Times New Roman"/>
          <w:noProof/>
          <w:sz w:val="24"/>
          <w:vertAlign w:val="superscript"/>
          <w:lang w:val="bg-BG"/>
        </w:rPr>
        <w:footnoteReference w:id="53"/>
      </w:r>
      <w:r>
        <w:rPr>
          <w:rFonts w:ascii="Times New Roman" w:hAnsi="Times New Roman"/>
          <w:noProof/>
          <w:sz w:val="24"/>
          <w:lang w:val="bg-BG"/>
        </w:rPr>
        <w:t>, имащи за цел да направят общата европейска система за убежище по-справедлива и устойчива</w:t>
      </w:r>
      <w:r>
        <w:rPr>
          <w:rFonts w:ascii="Times New Roman" w:hAnsi="Times New Roman"/>
          <w:noProof/>
          <w:sz w:val="24"/>
          <w:vertAlign w:val="superscript"/>
          <w:lang w:val="bg-BG"/>
        </w:rPr>
        <w:footnoteReference w:id="54"/>
      </w:r>
      <w:r>
        <w:rPr>
          <w:rFonts w:ascii="Times New Roman" w:hAnsi="Times New Roman"/>
          <w:noProof/>
          <w:sz w:val="24"/>
          <w:lang w:val="bg-BG"/>
        </w:rPr>
        <w:t>, включва предложение за преразглеждане на Регламента „Дъблин“</w:t>
      </w:r>
      <w:r>
        <w:rPr>
          <w:rFonts w:ascii="Times New Roman" w:hAnsi="Times New Roman"/>
          <w:noProof/>
          <w:sz w:val="24"/>
          <w:vertAlign w:val="superscript"/>
          <w:lang w:val="bg-BG"/>
        </w:rPr>
        <w:footnoteReference w:id="55"/>
      </w:r>
      <w:r>
        <w:rPr>
          <w:rFonts w:ascii="Times New Roman" w:hAnsi="Times New Roman"/>
          <w:noProof/>
          <w:sz w:val="24"/>
          <w:lang w:val="bg-BG"/>
        </w:rPr>
        <w:t>. Предложението, което бе прието на 4 май 2016 г., е част от инициативата на Комисията за изчерпателен отговор на масовия, дезорганизиран приток от мигранти и търсещи убежище лица през 2015 г., който разкри структурните слабости в замисъла и изпълнението на съществуващата система „Дъблин“. Целта на предложението е да се разпределят справедливо отговорностите между държавите членки чрез въвеждането на нов „коригиращ механизъм за разпределение“, с който да се предотвратят злоупотребите с европейската система за убежище, както и вторичните движения.</w:t>
      </w:r>
    </w:p>
    <w:p>
      <w:pPr>
        <w:autoSpaceDE w:val="0"/>
        <w:autoSpaceDN w:val="0"/>
        <w:adjustRightInd w:val="0"/>
        <w:spacing w:after="240" w:line="240" w:lineRule="auto"/>
        <w:jc w:val="both"/>
        <w:rPr>
          <w:rFonts w:ascii="Times New Roman" w:hAnsi="Times New Roman" w:cs="Times New Roman"/>
          <w:noProof/>
          <w:color w:val="000000"/>
          <w:sz w:val="24"/>
          <w:szCs w:val="24"/>
          <w:lang w:val="bg-BG"/>
        </w:rPr>
      </w:pPr>
      <w:r>
        <w:rPr>
          <w:rFonts w:ascii="Times New Roman" w:hAnsi="Times New Roman"/>
          <w:noProof/>
          <w:color w:val="000000"/>
          <w:sz w:val="24"/>
          <w:lang w:val="bg-BG"/>
        </w:rPr>
        <w:t>Националните парламенти внесоха осем мотивирани становища</w:t>
      </w:r>
      <w:r>
        <w:rPr>
          <w:rFonts w:ascii="Times New Roman" w:hAnsi="Times New Roman"/>
          <w:noProof/>
          <w:sz w:val="24"/>
          <w:vertAlign w:val="superscript"/>
          <w:lang w:val="bg-BG"/>
        </w:rPr>
        <w:footnoteReference w:id="56"/>
      </w:r>
      <w:r>
        <w:rPr>
          <w:rFonts w:ascii="Times New Roman" w:hAnsi="Times New Roman"/>
          <w:noProof/>
          <w:color w:val="000000"/>
          <w:sz w:val="24"/>
          <w:lang w:val="bg-BG"/>
        </w:rPr>
        <w:t xml:space="preserve"> във връзка с предложението, твърдейки по-конкретно, че то не съответства на принципа на субсидиарност, тъй като коригиращият механизъм за разпределение е твърде широкообхватен, и че решенията относно преместванията следва да останат в рамките на изключителната компетентност на държавите членки.</w:t>
      </w:r>
      <w:r>
        <w:rPr>
          <w:rFonts w:ascii="Times New Roman" w:hAnsi="Times New Roman"/>
          <w:noProof/>
          <w:sz w:val="24"/>
          <w:lang w:val="bg-BG"/>
        </w:rPr>
        <w:t xml:space="preserve"> </w:t>
      </w:r>
    </w:p>
    <w:p>
      <w:pPr>
        <w:spacing w:line="240" w:lineRule="auto"/>
        <w:jc w:val="both"/>
        <w:rPr>
          <w:rFonts w:ascii="Times New Roman" w:hAnsi="Times New Roman"/>
          <w:noProof/>
          <w:sz w:val="24"/>
          <w:szCs w:val="24"/>
          <w:lang w:val="bg-BG"/>
        </w:rPr>
      </w:pPr>
      <w:r>
        <w:rPr>
          <w:rFonts w:ascii="Times New Roman" w:hAnsi="Times New Roman"/>
          <w:noProof/>
          <w:color w:val="000000"/>
          <w:sz w:val="24"/>
          <w:lang w:val="bg-BG"/>
        </w:rPr>
        <w:t>Комисията отговори на тези твърдения, посочвайки</w:t>
      </w:r>
      <w:r>
        <w:rPr>
          <w:rFonts w:ascii="Times New Roman" w:hAnsi="Times New Roman"/>
          <w:noProof/>
          <w:sz w:val="24"/>
          <w:lang w:val="bg-BG"/>
        </w:rPr>
        <w:t xml:space="preserve">, че предложението е необходимо и пропорционално, за да се гарантира, че общата европейска система за убежище е устойчива и справедлива. Комисията подчерта също така, че гарантирането на правилното прилагане на системата „Дъблин“ в период на криза и справянето с вторичните движения на граждани на трети държави между държавите членки са трансгранични проблеми, които не могат да бъдат решени чрез действия, предприети самостоятелно или на двустранна основа от държавите членки. Поради това Комисията счита, че предложението съответства на принципа на субсидиарност. Освен това Комисията обясни, че предложението би осигурило по-справедлива, ефикасна и устойчива система за определяне на държавата членка, компетентна за разглеждане на молбите за убежище, като същевременно се поддържа принципът, че освен ако лицата, търсещи убежище, имат семейство другаде, те трябва да кандидатстват за убежище в първата държава на влизане. Новият механизъм за справедливо разпределение ще гарантира солидарността, справедливото споделяне на отговорностите в рамките на Съюза и премахването на несъразмерно големия натиск върху системите за предоставяне на убежище на държавите членки с външна граница на Съюза. </w:t>
      </w:r>
    </w:p>
    <w:p>
      <w:pPr>
        <w:numPr>
          <w:ilvl w:val="0"/>
          <w:numId w:val="19"/>
        </w:numPr>
        <w:spacing w:after="120" w:line="240" w:lineRule="auto"/>
        <w:contextualSpacing/>
        <w:jc w:val="both"/>
        <w:rPr>
          <w:rFonts w:ascii="Times New Roman" w:hAnsi="Times New Roman"/>
          <w:i/>
          <w:noProof/>
          <w:sz w:val="24"/>
          <w:lang w:val="bg-BG"/>
        </w:rPr>
      </w:pPr>
      <w:r>
        <w:rPr>
          <w:rFonts w:ascii="Times New Roman" w:hAnsi="Times New Roman"/>
          <w:i/>
          <w:noProof/>
          <w:sz w:val="24"/>
          <w:lang w:val="bg-BG"/>
        </w:rPr>
        <w:t xml:space="preserve">Предложение за създаването на обща консолидирана основа за облагане с корпоративен данък  </w:t>
      </w:r>
    </w:p>
    <w:p>
      <w:pPr>
        <w:spacing w:after="120" w:line="240" w:lineRule="auto"/>
        <w:ind w:left="720"/>
        <w:contextualSpacing/>
        <w:jc w:val="both"/>
        <w:rPr>
          <w:rFonts w:ascii="Times New Roman" w:hAnsi="Times New Roman"/>
          <w:i/>
          <w:noProof/>
          <w:sz w:val="24"/>
          <w:lang w:val="bg-BG"/>
        </w:rPr>
      </w:pPr>
    </w:p>
    <w:p>
      <w:pPr>
        <w:spacing w:line="240" w:lineRule="auto"/>
        <w:jc w:val="both"/>
        <w:rPr>
          <w:rFonts w:ascii="Times New Roman" w:hAnsi="Times New Roman" w:cs="Times New Roman"/>
          <w:noProof/>
          <w:sz w:val="24"/>
          <w:lang w:val="bg-BG"/>
        </w:rPr>
      </w:pPr>
      <w:r>
        <w:rPr>
          <w:rFonts w:ascii="Times New Roman" w:hAnsi="Times New Roman"/>
          <w:noProof/>
          <w:sz w:val="24"/>
          <w:lang w:val="bg-BG"/>
        </w:rPr>
        <w:t>Целта на създаването на обща консолидирана основа за облагане с корпоративен данък е да се предостави на дружествата единен набор от правила за изчисляване на облагаемите им печалби в целия Европейски съюз. Внесено през 2011 г., първото предложение за директива за създаване на обща консолидирана основа за облагане с корпоративен данък</w:t>
      </w:r>
      <w:r>
        <w:rPr>
          <w:rStyle w:val="FootnoteReference"/>
          <w:rFonts w:ascii="Times New Roman" w:hAnsi="Times New Roman"/>
          <w:noProof/>
          <w:sz w:val="24"/>
          <w:lang w:val="bg-BG"/>
        </w:rPr>
        <w:footnoteReference w:id="57"/>
      </w:r>
      <w:r>
        <w:rPr>
          <w:rFonts w:ascii="Times New Roman" w:hAnsi="Times New Roman"/>
          <w:noProof/>
          <w:sz w:val="24"/>
          <w:lang w:val="bg-BG"/>
        </w:rPr>
        <w:t xml:space="preserve"> бе разработено с цел укрепване на единния пазар за предприятията. Въпреки че държавите членки постигнаха съгласие в Съвета по редица елементи от предложението, те не бяха в състояние да достигнат до окончателно споразумение. В своята работна програма за 2016 г. Комисията обяви, че ще оттегли предложението и че ще поднови работата си с нов, поетапен подход</w:t>
      </w:r>
      <w:r>
        <w:rPr>
          <w:rStyle w:val="FootnoteReference"/>
          <w:rFonts w:ascii="Times New Roman" w:hAnsi="Times New Roman"/>
          <w:noProof/>
          <w:sz w:val="24"/>
          <w:lang w:val="bg-BG"/>
        </w:rPr>
        <w:footnoteReference w:id="58"/>
      </w:r>
      <w:r>
        <w:rPr>
          <w:noProof/>
          <w:lang w:val="bg-BG"/>
        </w:rPr>
        <w:t>.</w:t>
      </w:r>
    </w:p>
    <w:p>
      <w:pPr>
        <w:spacing w:line="240" w:lineRule="auto"/>
        <w:jc w:val="both"/>
        <w:rPr>
          <w:rFonts w:ascii="Times New Roman" w:hAnsi="Times New Roman" w:cs="Times New Roman"/>
          <w:noProof/>
          <w:sz w:val="24"/>
          <w:lang w:val="bg-BG"/>
        </w:rPr>
      </w:pPr>
      <w:r>
        <w:rPr>
          <w:rFonts w:ascii="Times New Roman" w:hAnsi="Times New Roman"/>
          <w:noProof/>
          <w:sz w:val="24"/>
          <w:lang w:val="bg-BG"/>
        </w:rPr>
        <w:t>На 25 октомври 2016 г. Комисията даде отново ход на своята инициатива за обща консолидирана основа за облагане с корпоративен данък, като прие две нови законодателни предложения</w:t>
      </w:r>
      <w:r>
        <w:rPr>
          <w:rStyle w:val="FootnoteReference"/>
          <w:rFonts w:ascii="Times New Roman" w:hAnsi="Times New Roman"/>
          <w:noProof/>
          <w:sz w:val="24"/>
          <w:lang w:val="bg-BG"/>
        </w:rPr>
        <w:footnoteReference w:id="59"/>
      </w:r>
      <w:r>
        <w:rPr>
          <w:noProof/>
          <w:lang w:val="bg-BG"/>
        </w:rPr>
        <w:t>.</w:t>
      </w:r>
      <w:r>
        <w:rPr>
          <w:rFonts w:ascii="Times New Roman" w:hAnsi="Times New Roman"/>
          <w:noProof/>
          <w:sz w:val="24"/>
          <w:lang w:val="bg-BG"/>
        </w:rPr>
        <w:t xml:space="preserve"> С тези предложения Комисията възнамерява да подсили благоприятстващите предприятията елементи на предложението от 2011 г., за да помогне на трансграничните дружества да намалят разходите си, за да се премахне излишната бюрокрация и да се подкрепят иновациите. В същото време Комисията би искала да укрепи потенциала на общата консолидирана основа за облагане с корпоративен данък като инструмент за борба с избягването на данъци. Ставките на корпоративния данък не са обхванати от предложенията, тъй като те остават в сферата на националния суверенитет. </w:t>
      </w:r>
    </w:p>
    <w:p>
      <w:pPr>
        <w:spacing w:line="240" w:lineRule="auto"/>
        <w:jc w:val="both"/>
        <w:rPr>
          <w:rFonts w:ascii="Times New Roman" w:hAnsi="Times New Roman" w:cs="Times New Roman"/>
          <w:noProof/>
          <w:sz w:val="24"/>
          <w:lang w:val="bg-BG"/>
        </w:rPr>
      </w:pPr>
      <w:r>
        <w:rPr>
          <w:rFonts w:ascii="Times New Roman" w:hAnsi="Times New Roman"/>
          <w:noProof/>
          <w:sz w:val="24"/>
          <w:lang w:val="bg-BG"/>
        </w:rPr>
        <w:t>Комисията получи осем мотивирани становища</w:t>
      </w:r>
      <w:r>
        <w:rPr>
          <w:rFonts w:ascii="Times New Roman" w:hAnsi="Times New Roman"/>
          <w:noProof/>
          <w:sz w:val="24"/>
          <w:vertAlign w:val="superscript"/>
          <w:lang w:val="bg-BG"/>
        </w:rPr>
        <w:footnoteReference w:id="60"/>
      </w:r>
      <w:r>
        <w:rPr>
          <w:rFonts w:ascii="Times New Roman" w:hAnsi="Times New Roman"/>
          <w:noProof/>
          <w:sz w:val="24"/>
          <w:lang w:val="bg-BG"/>
        </w:rPr>
        <w:t xml:space="preserve"> във връзка с двете нови предложения</w:t>
      </w:r>
      <w:r>
        <w:rPr>
          <w:rFonts w:ascii="Times New Roman" w:hAnsi="Times New Roman"/>
          <w:noProof/>
          <w:sz w:val="24"/>
          <w:vertAlign w:val="superscript"/>
          <w:lang w:val="bg-BG"/>
        </w:rPr>
        <w:footnoteReference w:id="61"/>
      </w:r>
      <w:r>
        <w:rPr>
          <w:rFonts w:ascii="Times New Roman" w:hAnsi="Times New Roman"/>
          <w:noProof/>
          <w:sz w:val="24"/>
          <w:lang w:val="bg-BG"/>
        </w:rPr>
        <w:t>. В мотивираните становища изпъкваха опасенията, че държавите членки ще загубят контрол върху своите системи за корпоративно данъчно облагане. Националните парламенти заявиха, че предложенията са ненужни и че те могат дори да се окажат неефективни в борбата с избягването на данъци, а също и че съществуващата Директива срещу избягването на данъци</w:t>
      </w:r>
      <w:r>
        <w:rPr>
          <w:rFonts w:ascii="Times New Roman" w:hAnsi="Times New Roman"/>
          <w:noProof/>
          <w:sz w:val="24"/>
          <w:vertAlign w:val="superscript"/>
          <w:lang w:val="bg-BG"/>
        </w:rPr>
        <w:footnoteReference w:id="62"/>
      </w:r>
      <w:r>
        <w:rPr>
          <w:rFonts w:ascii="Times New Roman" w:hAnsi="Times New Roman"/>
          <w:noProof/>
          <w:sz w:val="24"/>
          <w:lang w:val="bg-BG"/>
        </w:rPr>
        <w:t>, в комбинация със съгласуваните действия в рамките на Организацията за икономическо сътрудничество и развитие (ОИСР), са достатъчни в това отношение.</w:t>
      </w:r>
    </w:p>
    <w:p>
      <w:pPr>
        <w:spacing w:after="240" w:line="240" w:lineRule="auto"/>
        <w:jc w:val="both"/>
        <w:rPr>
          <w:rFonts w:asciiTheme="majorBidi" w:hAnsiTheme="majorBidi" w:cstheme="majorBidi"/>
          <w:smallCaps/>
          <w:noProof/>
          <w:lang w:val="bg-BG"/>
        </w:rPr>
      </w:pPr>
      <w:r>
        <w:rPr>
          <w:rFonts w:ascii="Times New Roman" w:hAnsi="Times New Roman"/>
          <w:noProof/>
          <w:sz w:val="24"/>
          <w:lang w:val="bg-BG"/>
        </w:rPr>
        <w:t>В своите отговори до националните парламенти Комисията подчерта, че предложенията не се отнасят до нивата, на които следва да бъдат определени данъчните ставки на национално равнище, а че целта им е да се хармонизира основата за облагане с корпоративен данък, което е предпоставка за премахването на констатираните нарушения във вътрешния пазар. В това отношение Директивата срещу избягването на данъци предоставя възможност за незабавни действия за справяне с неотложните нужди. Нейните разпоредби предлагат варианти под формата на минимален стандарт, за да се попълнят пропуските в съществуващите 28 национални данъчни системи. Общата консолидирана основа за облагане с корпоративен данък би била пълноценна система за корпоративно данъчно облагане с трансгранично измерение и цели, които надхвърлят действията за борба с избягването на данъци.</w:t>
      </w:r>
      <w:r>
        <w:rPr>
          <w:noProof/>
          <w:lang w:val="bg-BG"/>
        </w:rPr>
        <w:t xml:space="preserve"> </w:t>
      </w:r>
      <w:r>
        <w:rPr>
          <w:rFonts w:ascii="Times New Roman" w:hAnsi="Times New Roman"/>
          <w:noProof/>
          <w:sz w:val="24"/>
          <w:lang w:val="bg-BG"/>
        </w:rPr>
        <w:t>Комисията също така припомни, че ОИСР не отчита специфичните характеристики, които са от значение за единния пазар на Европейския съюз. Комисията поясни, че си запазва правомощието да предлага законодателство — в рамките на предоставените ѝ от Договора правомощия — за да осигури по-доброто функциониране на вътрешния пазар. При все това Комисията потвърди, че принципите на трансферното ценообразуване, договорени в рамките на ОИСР, ще продължат да се прилагат за сделки със свързани предприятия извън данъчно консолидираната група в рамките на ЕС и в трети държави.</w:t>
      </w:r>
    </w:p>
    <w:p>
      <w:pPr>
        <w:spacing w:after="240" w:line="240" w:lineRule="auto"/>
        <w:rPr>
          <w:rFonts w:asciiTheme="majorBidi" w:hAnsiTheme="majorBidi" w:cstheme="majorBidi"/>
          <w:smallCaps/>
          <w:noProof/>
          <w:lang w:val="bg-BG"/>
        </w:rPr>
      </w:pPr>
      <w:r>
        <w:rPr>
          <w:rFonts w:asciiTheme="majorBidi" w:hAnsiTheme="majorBidi" w:cstheme="majorBidi"/>
          <w:smallCaps/>
          <w:noProof/>
          <w:lang w:val="bg-BG"/>
        </w:rPr>
        <w:t xml:space="preserve">4. </w:t>
      </w:r>
      <w:r>
        <w:rPr>
          <w:noProof/>
          <w:lang w:val="bg-BG"/>
        </w:rPr>
        <w:tab/>
      </w:r>
      <w:r>
        <w:rPr>
          <w:rFonts w:asciiTheme="majorBidi" w:hAnsiTheme="majorBidi" w:cstheme="majorBidi"/>
          <w:smallCaps/>
          <w:noProof/>
          <w:lang w:val="bg-BG"/>
        </w:rPr>
        <w:t>Заключение</w:t>
      </w:r>
    </w:p>
    <w:p>
      <w:pPr>
        <w:spacing w:line="240" w:lineRule="auto"/>
        <w:jc w:val="both"/>
        <w:rPr>
          <w:rFonts w:ascii="Times New Roman" w:hAnsi="Times New Roman" w:cs="Times New Roman"/>
          <w:noProof/>
          <w:sz w:val="24"/>
          <w:lang w:val="bg-BG"/>
        </w:rPr>
      </w:pPr>
      <w:r>
        <w:rPr>
          <w:rFonts w:ascii="Times New Roman" w:hAnsi="Times New Roman"/>
          <w:noProof/>
          <w:sz w:val="24"/>
          <w:lang w:val="bg-BG"/>
        </w:rPr>
        <w:t xml:space="preserve">С подписването на Междуинституционалното споразумение за по-добро законотворчество през 2016 г., Европейският парламент, Съветът и Комисията потвърдиха своя съвместен ангажимент да гарантират, че принципите на субсидиарност и пропорционалност ще продължават да са в основата на европейския процес на вземане на решения и че тези принципи да бъдат изцяло спазвани през целия законодателен процес. </w:t>
      </w:r>
    </w:p>
    <w:p>
      <w:pPr>
        <w:pStyle w:val="Default"/>
        <w:jc w:val="both"/>
        <w:rPr>
          <w:noProof/>
          <w:lang w:val="bg-BG"/>
        </w:rPr>
      </w:pPr>
      <w:r>
        <w:rPr>
          <w:noProof/>
          <w:lang w:val="bg-BG"/>
        </w:rPr>
        <w:t xml:space="preserve">През 2016 г. Европейският парламент продължи да упражнява контрол върху спазването на принципите на субсидиарност и пропорционалност в законодателните предложения чрез съответните парламентарни комисии, както и чрез Комисията по правни въпроси, която има хоризонталната отговорност да гарантира зачитането на принципа на субсидиарност. </w:t>
      </w:r>
    </w:p>
    <w:p>
      <w:pPr>
        <w:pStyle w:val="Default"/>
        <w:rPr>
          <w:noProof/>
          <w:lang w:val="bg-BG"/>
        </w:rPr>
      </w:pPr>
    </w:p>
    <w:p>
      <w:pPr>
        <w:spacing w:line="240" w:lineRule="auto"/>
        <w:jc w:val="both"/>
        <w:rPr>
          <w:rFonts w:ascii="Times New Roman" w:hAnsi="Times New Roman" w:cs="Times New Roman"/>
          <w:noProof/>
          <w:sz w:val="24"/>
          <w:lang w:val="bg-BG"/>
        </w:rPr>
      </w:pPr>
      <w:r>
        <w:rPr>
          <w:rFonts w:ascii="Times New Roman" w:hAnsi="Times New Roman"/>
          <w:noProof/>
          <w:sz w:val="24"/>
          <w:lang w:val="bg-BG"/>
        </w:rPr>
        <w:t xml:space="preserve">Комитетът на регионите също продължи своята работа за наблюдение на спазването на принципа на субсидиарност, по-специално чрез приемането и изпълнението на своята работна програма в областта на субсидиарността за 2016 г., включваща консултации с Експертната група за субсидиарността. В своите становища Комитетът на регионите взе под внимание опасенията относно субсидиарността, изразени от парламентите и органите на регионите със законодателни правомощия. През 2016 г. в сътрудничество с регионалните парламенти и италианския </w:t>
      </w:r>
      <w:r>
        <w:rPr>
          <w:rFonts w:ascii="Times New Roman" w:hAnsi="Times New Roman"/>
          <w:i/>
          <w:noProof/>
          <w:sz w:val="24"/>
          <w:lang w:val="bg-BG"/>
        </w:rPr>
        <w:t>Senato della Repubblica</w:t>
      </w:r>
      <w:r>
        <w:rPr>
          <w:rFonts w:ascii="Times New Roman" w:hAnsi="Times New Roman"/>
          <w:noProof/>
          <w:sz w:val="24"/>
          <w:lang w:val="bg-BG"/>
        </w:rPr>
        <w:t xml:space="preserve"> Комитетът организира конференция</w:t>
      </w:r>
      <w:r>
        <w:rPr>
          <w:noProof/>
          <w:lang w:val="bg-BG"/>
        </w:rPr>
        <w:t xml:space="preserve"> </w:t>
      </w:r>
      <w:r>
        <w:rPr>
          <w:rFonts w:ascii="Times New Roman" w:hAnsi="Times New Roman"/>
          <w:noProof/>
          <w:sz w:val="24"/>
          <w:lang w:val="bg-BG"/>
        </w:rPr>
        <w:t xml:space="preserve">в Рим, посветена на субсидиарността, по-доброто регулиране и политическия диалог. </w:t>
      </w:r>
    </w:p>
    <w:p>
      <w:pPr>
        <w:spacing w:line="240" w:lineRule="auto"/>
        <w:jc w:val="both"/>
        <w:rPr>
          <w:rFonts w:ascii="Times New Roman" w:hAnsi="Times New Roman" w:cs="Times New Roman"/>
          <w:noProof/>
          <w:sz w:val="24"/>
          <w:lang w:val="bg-BG"/>
        </w:rPr>
      </w:pPr>
      <w:r>
        <w:rPr>
          <w:rFonts w:ascii="Times New Roman" w:hAnsi="Times New Roman"/>
          <w:noProof/>
          <w:sz w:val="24"/>
          <w:lang w:val="bg-BG"/>
        </w:rPr>
        <w:t xml:space="preserve">Комисията продължи през 2016 г. да изпълнява своята усъвършенствана програма за по-добро регулиране от 2015 г., която включва по-подробни насоки за оценка на субсидиарността и пропорционалността в процеса на изготвяне на политиките. През 2016 г. Комитетът за регулаторен контрол разгледа 60 оценки на въздействието и в редица случаи поиска да се подобри аргументацията относно спазването на принципите на субсидиарност и пропорционалност. </w:t>
      </w:r>
    </w:p>
    <w:p>
      <w:pPr>
        <w:spacing w:line="240" w:lineRule="auto"/>
        <w:jc w:val="both"/>
        <w:rPr>
          <w:rFonts w:ascii="Times New Roman" w:hAnsi="Times New Roman" w:cs="Times New Roman"/>
          <w:noProof/>
          <w:sz w:val="24"/>
          <w:lang w:val="bg-BG"/>
        </w:rPr>
      </w:pPr>
      <w:r>
        <w:rPr>
          <w:rFonts w:ascii="Times New Roman" w:hAnsi="Times New Roman"/>
          <w:noProof/>
          <w:sz w:val="24"/>
          <w:lang w:val="bg-BG"/>
        </w:rPr>
        <w:t>Националните парламенти проявиха силен интерес към европейския процес на вземане на решения през 2016 г., по-специално по отношение на механизма за контрол на субсидиарността, за който свидетелства нарасналият брой на мотивираните становища — от 8 през 2015 г. до общо 65 през 2016 г. 14 от тези мотивирани становища се отнасяха до предложението за целенасочено преразглеждане на Директивата относно командироването на работници, поради което се задейства за трети път процедурата по член 7, параграф 2 от Протокол № 2 към Договорите. В съответствие с поетия от страна на Комисията „Юнкер“ ангажимент за диалог с националните парламенти в случай на горепосочената процедура, изложените от националните парламенти доводи бяха широко обсъдени, включително на заседанията на Конференцията на комисиите по европейски въпроси (КОСАК) и в Комисията по правни въпроси и Комисията по заетост и социални въпроси на Европейския парламент. Въпреки че след тези обсъждания и след извършения задълбочен преглед на всички получени становища Комисия реши да не променя първоначалното си предложение, тя отчита, че известен брой национални парламенти продължават да не са убедени в ползите от него. Понастоящем предложението се обсъжда в Европейския парламент и Съвета. И двата съзаконодателя, подобно на Комисията, са поели ангажимент да имат предвид становищата на националните парламенти по време на целия законодателен процес.</w:t>
      </w:r>
    </w:p>
    <w:p>
      <w:pPr>
        <w:spacing w:line="240" w:lineRule="auto"/>
        <w:jc w:val="both"/>
        <w:rPr>
          <w:rFonts w:ascii="Times New Roman" w:hAnsi="Times New Roman" w:cs="Times New Roman"/>
          <w:noProof/>
          <w:sz w:val="24"/>
          <w:lang w:val="bg-BG"/>
        </w:rPr>
      </w:pPr>
      <w:r>
        <w:rPr>
          <w:rFonts w:ascii="Times New Roman" w:hAnsi="Times New Roman"/>
          <w:noProof/>
          <w:sz w:val="24"/>
          <w:lang w:val="bg-BG"/>
        </w:rPr>
        <w:t xml:space="preserve">И докато Европейският съюз се стреми да определи визията за бъдещето си, в Римската декларация, подписана от лидерите на 27-те държави членки, Европейския парламент, Европейския съвет и Комисията на 25 март 2017 г. по повод отбелязването на 60-ата годишнина на Римските договори, се заявява отново, че принципите на субсидиарност и пропорционалност ще продължат да заемат централно място в оформянето на европейския процес на вземане на решения през идните години. </w:t>
      </w:r>
    </w:p>
    <w:p>
      <w:pPr>
        <w:spacing w:line="240" w:lineRule="auto"/>
        <w:jc w:val="center"/>
        <w:rPr>
          <w:rFonts w:ascii="Times New Roman" w:hAnsi="Times New Roman" w:cs="Times New Roman"/>
          <w:noProof/>
          <w:sz w:val="24"/>
          <w:lang w:val="bg-BG"/>
        </w:rPr>
      </w:pPr>
    </w:p>
    <w:sectPr>
      <w:headerReference w:type="even" r:id="rId16"/>
      <w:headerReference w:type="default" r:id="rId17"/>
      <w:footerReference w:type="even" r:id="rId18"/>
      <w:footerReference w:type="default" r:id="rId19"/>
      <w:headerReference w:type="first" r:id="rId20"/>
      <w:footerReference w:type="first" r:id="rId21"/>
      <w:pgSz w:w="11906" w:h="16838"/>
      <w:pgMar w:top="993" w:right="1133" w:bottom="1135" w:left="1417" w:header="708" w:footer="441"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BG</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BG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1666164"/>
      <w:docPartObj>
        <w:docPartGallery w:val="Page Numbers (Bottom of Page)"/>
        <w:docPartUnique/>
      </w:docPartObj>
    </w:sdtPr>
    <w:sdtEndPr>
      <w:rPr>
        <w:rFonts w:asciiTheme="majorBidi" w:hAnsiTheme="majorBidi" w:cstheme="majorBidi"/>
        <w:noProof/>
      </w:rPr>
    </w:sdtEndPr>
    <w:sdtContent>
      <w:p>
        <w:pPr>
          <w:pStyle w:val="Footer"/>
          <w:jc w:val="center"/>
          <w:rPr>
            <w:rFonts w:asciiTheme="majorBidi" w:hAnsiTheme="majorBidi" w:cstheme="majorBidi"/>
          </w:rPr>
        </w:pPr>
        <w:r>
          <w:rPr>
            <w:rFonts w:asciiTheme="majorBidi" w:hAnsiTheme="majorBidi" w:cstheme="majorBidi"/>
          </w:rPr>
          <w:fldChar w:fldCharType="begin"/>
        </w:r>
        <w:r>
          <w:rPr>
            <w:rFonts w:asciiTheme="majorBidi" w:hAnsiTheme="majorBidi" w:cstheme="majorBidi"/>
          </w:rPr>
          <w:instrText xml:space="preserve"> PAGE   \* MERGEFORMAT </w:instrText>
        </w:r>
        <w:r>
          <w:rPr>
            <w:rFonts w:asciiTheme="majorBidi" w:hAnsiTheme="majorBidi" w:cstheme="majorBidi"/>
          </w:rPr>
          <w:fldChar w:fldCharType="separate"/>
        </w:r>
        <w:r>
          <w:rPr>
            <w:rFonts w:asciiTheme="majorBidi" w:hAnsiTheme="majorBidi" w:cstheme="majorBidi"/>
            <w:noProof/>
          </w:rPr>
          <w:t>2</w:t>
        </w:r>
        <w:r>
          <w:rPr>
            <w:rFonts w:asciiTheme="majorBidi" w:hAnsiTheme="majorBidi" w:cstheme="majorBidi"/>
            <w:noProof/>
          </w:rP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 w:id="2">
    <w:p>
      <w:pPr>
        <w:pStyle w:val="FootnoteText"/>
        <w:tabs>
          <w:tab w:val="left" w:pos="284"/>
        </w:tabs>
        <w:jc w:val="both"/>
        <w:rPr>
          <w:rFonts w:asciiTheme="majorBidi" w:hAnsiTheme="majorBidi" w:cstheme="majorBidi"/>
          <w:lang w:val="pt-PT"/>
        </w:rPr>
      </w:pPr>
      <w:r>
        <w:rPr>
          <w:rStyle w:val="FootnoteReference"/>
          <w:rFonts w:asciiTheme="majorBidi" w:hAnsiTheme="majorBidi" w:cstheme="majorBidi"/>
        </w:rPr>
        <w:footnoteRef/>
      </w:r>
      <w:r>
        <w:rPr>
          <w:rFonts w:asciiTheme="majorBidi" w:hAnsiTheme="majorBidi" w:cstheme="majorBidi"/>
        </w:rPr>
        <w:t xml:space="preserve"> </w:t>
      </w:r>
      <w:r>
        <w:tab/>
      </w:r>
      <w:r>
        <w:rPr>
          <w:rFonts w:asciiTheme="majorBidi" w:hAnsiTheme="majorBidi" w:cstheme="majorBidi"/>
        </w:rPr>
        <w:t>СОМ(2017) 601 final.</w:t>
      </w:r>
    </w:p>
  </w:footnote>
  <w:footnote w:id="3">
    <w:p>
      <w:pPr>
        <w:pStyle w:val="FootnoteText"/>
        <w:tabs>
          <w:tab w:val="left" w:pos="284"/>
        </w:tabs>
        <w:rPr>
          <w:lang w:val="pt-PT"/>
        </w:rPr>
      </w:pPr>
      <w:r>
        <w:rPr>
          <w:rStyle w:val="FootnoteReference"/>
          <w:rFonts w:asciiTheme="majorBidi" w:hAnsiTheme="majorBidi" w:cstheme="majorBidi"/>
        </w:rPr>
        <w:footnoteRef/>
      </w:r>
      <w:r>
        <w:rPr>
          <w:rFonts w:asciiTheme="majorBidi" w:hAnsiTheme="majorBidi" w:cstheme="majorBidi"/>
        </w:rPr>
        <w:t xml:space="preserve"> </w:t>
      </w:r>
      <w:r>
        <w:tab/>
      </w:r>
      <w:r>
        <w:rPr>
          <w:rFonts w:asciiTheme="majorBidi" w:hAnsiTheme="majorBidi" w:cstheme="majorBidi"/>
        </w:rPr>
        <w:t>http://ec.europa.eu/smart-regulation/roadmaps/index_bg.htm</w:t>
      </w:r>
    </w:p>
  </w:footnote>
  <w:footnote w:id="4">
    <w:p>
      <w:pPr>
        <w:pStyle w:val="FootnoteText"/>
        <w:tabs>
          <w:tab w:val="left" w:pos="284"/>
        </w:tabs>
        <w:ind w:left="284" w:hanging="284"/>
        <w:jc w:val="both"/>
      </w:pPr>
      <w:r>
        <w:rPr>
          <w:rStyle w:val="FootnoteReference"/>
          <w:rFonts w:asciiTheme="majorBidi" w:hAnsiTheme="majorBidi" w:cstheme="majorBidi"/>
          <w:color w:val="000000"/>
        </w:rPr>
        <w:footnoteRef/>
      </w:r>
      <w:r>
        <w:t xml:space="preserve"> </w:t>
      </w:r>
      <w:r>
        <w:tab/>
      </w:r>
      <w:r>
        <w:rPr>
          <w:rFonts w:asciiTheme="majorBidi" w:hAnsiTheme="majorBidi" w:cstheme="majorBidi"/>
        </w:rPr>
        <w:t>Вж. също глава 2.2. относно последващите действия на Комисията във връзка с мотивираните становища на националните парламенти.</w:t>
      </w:r>
    </w:p>
  </w:footnote>
  <w:footnote w:id="5">
    <w:p>
      <w:pPr>
        <w:pStyle w:val="Default"/>
        <w:tabs>
          <w:tab w:val="left" w:pos="284"/>
        </w:tabs>
        <w:jc w:val="both"/>
        <w:rPr>
          <w:rFonts w:asciiTheme="majorBidi" w:hAnsiTheme="majorBidi" w:cstheme="majorBidi"/>
          <w:sz w:val="20"/>
          <w:szCs w:val="20"/>
        </w:rPr>
      </w:pPr>
      <w:r>
        <w:rPr>
          <w:rStyle w:val="FootnoteReference"/>
          <w:rFonts w:asciiTheme="majorBidi" w:hAnsiTheme="majorBidi" w:cstheme="majorBidi"/>
          <w:sz w:val="20"/>
        </w:rPr>
        <w:footnoteRef/>
      </w:r>
      <w:r>
        <w:rPr>
          <w:rFonts w:asciiTheme="majorBidi" w:hAnsiTheme="majorBidi" w:cstheme="majorBidi"/>
          <w:sz w:val="20"/>
        </w:rPr>
        <w:t xml:space="preserve"> </w:t>
      </w:r>
      <w:r>
        <w:tab/>
      </w:r>
      <w:r>
        <w:rPr>
          <w:rFonts w:asciiTheme="majorBidi" w:hAnsiTheme="majorBidi" w:cstheme="majorBidi"/>
          <w:sz w:val="20"/>
          <w:szCs w:val="20"/>
        </w:rPr>
        <w:t>http://ec.europa.eu/smart-regulation/refit/simplification/consultation/contributions_en.htm.</w:t>
      </w:r>
    </w:p>
  </w:footnote>
  <w:footnote w:id="6">
    <w:p>
      <w:pPr>
        <w:pStyle w:val="FootnoteText"/>
        <w:tabs>
          <w:tab w:val="left" w:pos="284"/>
        </w:tabs>
        <w:jc w:val="both"/>
        <w:rPr>
          <w:rFonts w:asciiTheme="majorBidi" w:hAnsiTheme="majorBidi" w:cstheme="majorBidi"/>
        </w:rPr>
      </w:pPr>
      <w:r>
        <w:rPr>
          <w:rStyle w:val="FootnoteReference"/>
          <w:rFonts w:asciiTheme="majorBidi" w:hAnsiTheme="majorBidi" w:cstheme="majorBidi"/>
          <w:color w:val="000000"/>
        </w:rPr>
        <w:footnoteRef/>
      </w:r>
      <w:r>
        <w:rPr>
          <w:rFonts w:asciiTheme="majorBidi" w:hAnsiTheme="majorBidi" w:cstheme="majorBidi"/>
        </w:rPr>
        <w:t xml:space="preserve"> </w:t>
      </w:r>
      <w:r>
        <w:tab/>
      </w:r>
      <w:r>
        <w:rPr>
          <w:rFonts w:asciiTheme="majorBidi" w:hAnsiTheme="majorBidi" w:cstheme="majorBidi"/>
        </w:rPr>
        <w:t>http://ec.europa.eu/info/better-regulation-guidelines-and-toolbox_en.</w:t>
      </w:r>
    </w:p>
  </w:footnote>
  <w:footnote w:id="7">
    <w:p>
      <w:pPr>
        <w:pStyle w:val="Default"/>
        <w:tabs>
          <w:tab w:val="left" w:pos="284"/>
        </w:tabs>
        <w:jc w:val="both"/>
        <w:rPr>
          <w:rFonts w:asciiTheme="majorBidi" w:hAnsiTheme="majorBidi" w:cstheme="majorBidi"/>
          <w:sz w:val="20"/>
          <w:szCs w:val="20"/>
        </w:rPr>
      </w:pPr>
      <w:r>
        <w:rPr>
          <w:rStyle w:val="FootnoteReference"/>
          <w:rFonts w:asciiTheme="majorBidi" w:hAnsiTheme="majorBidi" w:cstheme="majorBidi"/>
          <w:sz w:val="20"/>
        </w:rPr>
        <w:footnoteRef/>
      </w:r>
      <w:r>
        <w:rPr>
          <w:rFonts w:asciiTheme="majorBidi" w:hAnsiTheme="majorBidi" w:cstheme="majorBidi"/>
          <w:sz w:val="20"/>
        </w:rPr>
        <w:t xml:space="preserve"> </w:t>
      </w:r>
      <w:r>
        <w:tab/>
      </w:r>
      <w:r>
        <w:rPr>
          <w:rFonts w:asciiTheme="majorBidi" w:hAnsiTheme="majorBidi" w:cstheme="majorBidi"/>
          <w:sz w:val="20"/>
        </w:rPr>
        <w:t xml:space="preserve">Член 5, параграф 4 от Договора за Европейския съюз. </w:t>
      </w:r>
    </w:p>
  </w:footnote>
  <w:footnote w:id="8">
    <w:p>
      <w:pPr>
        <w:pStyle w:val="Default"/>
        <w:tabs>
          <w:tab w:val="left" w:pos="284"/>
        </w:tabs>
        <w:ind w:left="284" w:hanging="284"/>
        <w:jc w:val="both"/>
      </w:pPr>
      <w:r>
        <w:rPr>
          <w:rStyle w:val="FootnoteReference"/>
          <w:rFonts w:asciiTheme="majorBidi" w:hAnsiTheme="majorBidi" w:cstheme="majorBidi"/>
          <w:sz w:val="20"/>
        </w:rPr>
        <w:footnoteRef/>
      </w:r>
      <w:r>
        <w:rPr>
          <w:rFonts w:asciiTheme="majorBidi" w:hAnsiTheme="majorBidi" w:cstheme="majorBidi"/>
          <w:sz w:val="20"/>
        </w:rPr>
        <w:t xml:space="preserve"> </w:t>
      </w:r>
      <w:r>
        <w:tab/>
      </w:r>
      <w:r>
        <w:rPr>
          <w:rFonts w:asciiTheme="majorBidi" w:hAnsiTheme="majorBidi" w:cstheme="majorBidi"/>
          <w:sz w:val="20"/>
        </w:rPr>
        <w:t xml:space="preserve">В контекста на оценките на въздействието пропорционалността е ключов критерий, който се взема предвид при сравняването на вариантите на политиките. </w:t>
      </w:r>
    </w:p>
  </w:footnote>
  <w:footnote w:id="9">
    <w:p>
      <w:pPr>
        <w:pStyle w:val="FootnoteText"/>
        <w:tabs>
          <w:tab w:val="left" w:pos="284"/>
        </w:tabs>
        <w:rPr>
          <w:rFonts w:asciiTheme="majorBidi" w:hAnsiTheme="majorBidi" w:cstheme="majorBidi"/>
        </w:rPr>
      </w:pPr>
      <w:r>
        <w:rPr>
          <w:rStyle w:val="FootnoteReference"/>
          <w:rFonts w:asciiTheme="majorBidi" w:hAnsiTheme="majorBidi" w:cstheme="majorBidi"/>
        </w:rPr>
        <w:footnoteRef/>
      </w:r>
      <w:r>
        <w:rPr>
          <w:rFonts w:asciiTheme="majorBidi" w:hAnsiTheme="majorBidi" w:cstheme="majorBidi"/>
        </w:rPr>
        <w:t xml:space="preserve"> </w:t>
      </w:r>
      <w:r>
        <w:tab/>
      </w:r>
      <w:r>
        <w:rPr>
          <w:rFonts w:asciiTheme="majorBidi" w:hAnsiTheme="majorBidi" w:cstheme="majorBidi"/>
        </w:rPr>
        <w:t>SWD(2016) 52 final.</w:t>
      </w:r>
    </w:p>
  </w:footnote>
  <w:footnote w:id="10">
    <w:p>
      <w:pPr>
        <w:pStyle w:val="FootnoteText"/>
        <w:tabs>
          <w:tab w:val="left" w:pos="284"/>
        </w:tabs>
        <w:ind w:left="284" w:hanging="284"/>
        <w:jc w:val="both"/>
      </w:pPr>
      <w:r>
        <w:rPr>
          <w:rStyle w:val="FootnoteReference"/>
          <w:rFonts w:asciiTheme="majorBidi" w:hAnsiTheme="majorBidi" w:cstheme="majorBidi"/>
        </w:rPr>
        <w:footnoteRef/>
      </w:r>
      <w:r>
        <w:rPr>
          <w:rStyle w:val="FootnoteReference"/>
          <w:rFonts w:asciiTheme="majorBidi" w:hAnsiTheme="majorBidi" w:cstheme="majorBidi"/>
        </w:rPr>
        <w:t xml:space="preserve"> </w:t>
      </w:r>
      <w:r>
        <w:tab/>
      </w:r>
      <w:r>
        <w:rPr>
          <w:rFonts w:asciiTheme="majorBidi" w:hAnsiTheme="majorBidi" w:cstheme="majorBidi"/>
        </w:rPr>
        <w:t>Вж. също глава 3 относно последващите действия на Комисията във връзка с мотивираните становища на националните парламенти относно предложението за командироването на работници.</w:t>
      </w:r>
    </w:p>
  </w:footnote>
  <w:footnote w:id="11">
    <w:p>
      <w:pPr>
        <w:pStyle w:val="FootnoteText"/>
        <w:tabs>
          <w:tab w:val="left" w:pos="284"/>
        </w:tabs>
        <w:jc w:val="both"/>
      </w:pPr>
      <w:r>
        <w:rPr>
          <w:rStyle w:val="FootnoteReference"/>
          <w:rFonts w:asciiTheme="majorBidi" w:hAnsiTheme="majorBidi" w:cstheme="majorBidi"/>
        </w:rPr>
        <w:footnoteRef/>
      </w:r>
      <w:r>
        <w:rPr>
          <w:rFonts w:asciiTheme="majorBidi" w:hAnsiTheme="majorBidi" w:cstheme="majorBidi"/>
        </w:rPr>
        <w:t xml:space="preserve"> </w:t>
      </w:r>
      <w:r>
        <w:tab/>
      </w:r>
      <w:r>
        <w:rPr>
          <w:rFonts w:asciiTheme="majorBidi" w:hAnsiTheme="majorBidi" w:cstheme="majorBidi"/>
        </w:rPr>
        <w:t>SWD(2016) 457 final.</w:t>
      </w:r>
    </w:p>
  </w:footnote>
  <w:footnote w:id="12">
    <w:p>
      <w:pPr>
        <w:pStyle w:val="FootnoteText"/>
        <w:tabs>
          <w:tab w:val="left" w:pos="284"/>
        </w:tabs>
        <w:jc w:val="both"/>
        <w:rPr>
          <w:rFonts w:asciiTheme="majorBidi" w:hAnsiTheme="majorBidi" w:cstheme="majorBidi"/>
        </w:rPr>
      </w:pPr>
      <w:r>
        <w:rPr>
          <w:rStyle w:val="FootnoteReference"/>
          <w:rFonts w:asciiTheme="majorBidi" w:hAnsiTheme="majorBidi" w:cstheme="majorBidi"/>
        </w:rPr>
        <w:footnoteRef/>
      </w:r>
      <w:r>
        <w:rPr>
          <w:rFonts w:asciiTheme="majorBidi" w:hAnsiTheme="majorBidi" w:cstheme="majorBidi"/>
        </w:rPr>
        <w:t xml:space="preserve"> </w:t>
      </w:r>
      <w:r>
        <w:tab/>
      </w:r>
      <w:r>
        <w:rPr>
          <w:rFonts w:asciiTheme="majorBidi" w:hAnsiTheme="majorBidi" w:cstheme="majorBidi"/>
        </w:rPr>
        <w:t>COM(2016) 289 final.</w:t>
      </w:r>
    </w:p>
  </w:footnote>
  <w:footnote w:id="13">
    <w:p>
      <w:pPr>
        <w:pStyle w:val="FootnoteText"/>
        <w:tabs>
          <w:tab w:val="left" w:pos="284"/>
        </w:tabs>
        <w:ind w:left="284" w:hanging="284"/>
        <w:jc w:val="both"/>
      </w:pPr>
      <w:r>
        <w:rPr>
          <w:rStyle w:val="FootnoteReference"/>
          <w:rFonts w:asciiTheme="majorBidi" w:hAnsiTheme="majorBidi" w:cstheme="majorBidi"/>
        </w:rPr>
        <w:footnoteRef/>
      </w:r>
      <w:r>
        <w:rPr>
          <w:rFonts w:asciiTheme="majorBidi" w:hAnsiTheme="majorBidi" w:cstheme="majorBidi"/>
        </w:rPr>
        <w:t xml:space="preserve"> </w:t>
      </w:r>
      <w:r>
        <w:tab/>
      </w:r>
      <w:r>
        <w:rPr>
          <w:rFonts w:asciiTheme="majorBidi" w:hAnsiTheme="majorBidi" w:cstheme="majorBidi"/>
        </w:rPr>
        <w:t>Предложение за Регламент на Европейския парламент и на Съвета за установяване на правилата за упражняването на авторското право и сродните му права, приложими за някои онлайн предавания на излъчващите организации и за препредаването на телевизионни и радиопрограми, COM(2016) 594 final.</w:t>
      </w:r>
    </w:p>
  </w:footnote>
  <w:footnote w:id="14">
    <w:p>
      <w:pPr>
        <w:pStyle w:val="FootnoteText"/>
        <w:tabs>
          <w:tab w:val="left" w:pos="284"/>
        </w:tabs>
        <w:ind w:left="284" w:hanging="284"/>
        <w:jc w:val="both"/>
      </w:pPr>
      <w:r>
        <w:rPr>
          <w:rStyle w:val="FootnoteReference"/>
          <w:rFonts w:asciiTheme="majorBidi" w:hAnsiTheme="majorBidi" w:cstheme="majorBidi"/>
        </w:rPr>
        <w:footnoteRef/>
      </w:r>
      <w:r>
        <w:t xml:space="preserve"> </w:t>
      </w:r>
      <w:r>
        <w:tab/>
      </w:r>
      <w:r>
        <w:rPr>
          <w:rFonts w:asciiTheme="majorBidi" w:hAnsiTheme="majorBidi" w:cstheme="majorBidi"/>
        </w:rPr>
        <w:t>Предложение за Директива на Европейския парламент и на Съвета за насърчаване на използването на енергия от възобновяеми източници (преработен текст), COM(2016) 767 final.</w:t>
      </w:r>
    </w:p>
  </w:footnote>
  <w:footnote w:id="15">
    <w:p>
      <w:pPr>
        <w:pStyle w:val="FootnoteText"/>
        <w:tabs>
          <w:tab w:val="left" w:pos="284"/>
        </w:tabs>
        <w:ind w:left="284" w:hanging="284"/>
        <w:jc w:val="both"/>
      </w:pPr>
      <w:r>
        <w:rPr>
          <w:rStyle w:val="FootnoteReference"/>
          <w:rFonts w:asciiTheme="majorBidi" w:hAnsiTheme="majorBidi" w:cstheme="majorBidi"/>
        </w:rPr>
        <w:footnoteRef/>
      </w:r>
      <w:r>
        <w:t xml:space="preserve"> </w:t>
      </w:r>
      <w:r>
        <w:tab/>
      </w:r>
      <w:r>
        <w:rPr>
          <w:rFonts w:asciiTheme="majorBidi" w:hAnsiTheme="majorBidi" w:cstheme="majorBidi"/>
        </w:rPr>
        <w:t>С пакета от мерки за по-добро регулиране от май 2015 г. бе въведена нова политика на публикуване на работни документи на службите на Комисията с всяка оценка. Тъй като обаче 2016 година бе все още преходна година, редица оценки бяха публикувани без работен документ на службите на Комисията. През 2016 г. общият брой на работните документи на службите на Комисията за оценка и проверка за пригодност и на външните проучвания за оценка бе 111.</w:t>
      </w:r>
    </w:p>
  </w:footnote>
  <w:footnote w:id="16">
    <w:p>
      <w:pPr>
        <w:pStyle w:val="FootnoteText"/>
        <w:tabs>
          <w:tab w:val="left" w:pos="284"/>
        </w:tabs>
        <w:rPr>
          <w:rFonts w:asciiTheme="majorBidi" w:hAnsiTheme="majorBidi" w:cstheme="majorBidi"/>
        </w:rPr>
      </w:pPr>
      <w:r>
        <w:rPr>
          <w:rStyle w:val="FootnoteReference"/>
          <w:rFonts w:asciiTheme="majorBidi" w:hAnsiTheme="majorBidi" w:cstheme="majorBidi"/>
        </w:rPr>
        <w:footnoteRef/>
      </w:r>
      <w:r>
        <w:rPr>
          <w:rFonts w:asciiTheme="majorBidi" w:hAnsiTheme="majorBidi" w:cstheme="majorBidi"/>
        </w:rPr>
        <w:t xml:space="preserve"> </w:t>
      </w:r>
      <w:r>
        <w:tab/>
      </w:r>
      <w:r>
        <w:rPr>
          <w:rFonts w:ascii="Times New Roman" w:hAnsi="Times New Roman" w:cs="Times New Roman"/>
        </w:rPr>
        <w:t>https://ec.europa.eu/transport/modes/road/news/2016-06-17-evaluation-study-cross-border-enforcement_en</w:t>
      </w:r>
      <w:r>
        <w:rPr>
          <w:rFonts w:asciiTheme="majorBidi" w:hAnsiTheme="majorBidi" w:cstheme="majorBidi"/>
        </w:rPr>
        <w:t>.</w:t>
      </w:r>
    </w:p>
  </w:footnote>
  <w:footnote w:id="17">
    <w:p>
      <w:pPr>
        <w:pStyle w:val="FootnoteText"/>
        <w:tabs>
          <w:tab w:val="left" w:pos="284"/>
        </w:tabs>
      </w:pPr>
      <w:r>
        <w:rPr>
          <w:rStyle w:val="FootnoteReference"/>
          <w:rFonts w:asciiTheme="majorBidi" w:hAnsiTheme="majorBidi" w:cstheme="majorBidi"/>
        </w:rPr>
        <w:footnoteRef/>
      </w:r>
      <w:r>
        <w:rPr>
          <w:rFonts w:asciiTheme="majorBidi" w:hAnsiTheme="majorBidi" w:cstheme="majorBidi"/>
        </w:rPr>
        <w:t xml:space="preserve"> </w:t>
      </w:r>
      <w:r>
        <w:tab/>
      </w:r>
      <w:r>
        <w:rPr>
          <w:rFonts w:asciiTheme="majorBidi" w:hAnsiTheme="majorBidi" w:cstheme="majorBidi"/>
        </w:rPr>
        <w:t>SWD(2016) 347 final.</w:t>
      </w:r>
      <w:r>
        <w:t xml:space="preserve"> </w:t>
      </w:r>
    </w:p>
  </w:footnote>
  <w:footnote w:id="18">
    <w:p>
      <w:pPr>
        <w:pStyle w:val="FootnoteText"/>
        <w:ind w:left="284" w:hanging="284"/>
        <w:jc w:val="both"/>
      </w:pPr>
      <w:r>
        <w:rPr>
          <w:rStyle w:val="FootnoteReference"/>
          <w:rFonts w:asciiTheme="majorBidi" w:hAnsiTheme="majorBidi" w:cstheme="majorBidi"/>
        </w:rPr>
        <w:footnoteRef/>
      </w:r>
      <w:r>
        <w:t xml:space="preserve"> </w:t>
      </w:r>
      <w:r>
        <w:tab/>
      </w:r>
      <w:hyperlink w:history="1"/>
      <w:r>
        <w:rPr>
          <w:rFonts w:ascii="Times New Roman" w:hAnsi="Times New Roman" w:cs="Times New Roman"/>
        </w:rPr>
        <w:t>https://ec.europa.eu/research/evaluations/index_en.cfm?pg=fp7</w:t>
      </w:r>
      <w:r>
        <w:rPr>
          <w:rFonts w:asciiTheme="majorBidi" w:hAnsiTheme="majorBidi" w:cstheme="majorBidi"/>
        </w:rPr>
        <w:t>.</w:t>
      </w:r>
    </w:p>
  </w:footnote>
  <w:footnote w:id="19">
    <w:p>
      <w:pPr>
        <w:pStyle w:val="FootnoteText"/>
        <w:ind w:left="284" w:hanging="284"/>
        <w:jc w:val="both"/>
      </w:pPr>
      <w:r>
        <w:rPr>
          <w:rStyle w:val="FootnoteReference"/>
          <w:rFonts w:asciiTheme="majorBidi" w:hAnsiTheme="majorBidi" w:cstheme="majorBidi"/>
        </w:rPr>
        <w:footnoteRef/>
      </w:r>
      <w:r>
        <w:t xml:space="preserve"> </w:t>
      </w:r>
      <w:r>
        <w:tab/>
      </w:r>
      <w:r>
        <w:rPr>
          <w:rFonts w:asciiTheme="majorBidi" w:hAnsiTheme="majorBidi" w:cstheme="majorBidi"/>
        </w:rPr>
        <w:t>Тази цифра се отнася до общия брой на получените от парламентарните камари становища съгласно протокол № 2 към Договорите. Мотивираните становища, отнасящи се до повече от един документ на Комисията, следователно се броят само като едно мотивирано становище. За повече подробности вж. приложението към настоящия доклад.</w:t>
      </w:r>
    </w:p>
  </w:footnote>
  <w:footnote w:id="20">
    <w:p>
      <w:pPr>
        <w:pStyle w:val="FootnoteText"/>
        <w:ind w:left="284" w:hanging="284"/>
        <w:jc w:val="both"/>
      </w:pPr>
      <w:r>
        <w:rPr>
          <w:rStyle w:val="FootnoteReference"/>
          <w:rFonts w:asciiTheme="majorBidi" w:hAnsiTheme="majorBidi" w:cstheme="majorBidi"/>
        </w:rPr>
        <w:footnoteRef/>
      </w:r>
      <w:r>
        <w:rPr>
          <w:rFonts w:asciiTheme="majorBidi" w:hAnsiTheme="majorBidi" w:cstheme="majorBidi"/>
        </w:rPr>
        <w:t xml:space="preserve"> </w:t>
      </w:r>
      <w:r>
        <w:tab/>
      </w:r>
      <w:r>
        <w:rPr>
          <w:rFonts w:asciiTheme="majorBidi" w:hAnsiTheme="majorBidi" w:cstheme="majorBidi"/>
        </w:rPr>
        <w:t>Вж. приложението към настоящия доклад.</w:t>
      </w:r>
    </w:p>
  </w:footnote>
  <w:footnote w:id="21">
    <w:p>
      <w:pPr>
        <w:pStyle w:val="FootnoteText"/>
        <w:ind w:left="284" w:hanging="284"/>
        <w:jc w:val="both"/>
        <w:rPr>
          <w:rFonts w:asciiTheme="majorBidi" w:hAnsiTheme="majorBidi" w:cstheme="majorBidi"/>
        </w:rPr>
      </w:pPr>
      <w:r>
        <w:rPr>
          <w:rStyle w:val="FootnoteReference"/>
          <w:rFonts w:asciiTheme="majorBidi" w:hAnsiTheme="majorBidi" w:cstheme="majorBidi"/>
        </w:rPr>
        <w:footnoteRef/>
      </w:r>
      <w:r>
        <w:rPr>
          <w:rFonts w:asciiTheme="majorBidi" w:hAnsiTheme="majorBidi" w:cstheme="majorBidi"/>
        </w:rPr>
        <w:t xml:space="preserve"> </w:t>
      </w:r>
      <w:r>
        <w:tab/>
      </w:r>
      <w:r>
        <w:rPr>
          <w:rFonts w:asciiTheme="majorBidi" w:hAnsiTheme="majorBidi" w:cstheme="majorBidi"/>
        </w:rPr>
        <w:t>620 становища, получени в рамките на политическия диалог през 2016 г., в сравнение с получените през 2015 г. 350 становища.</w:t>
      </w:r>
    </w:p>
  </w:footnote>
  <w:footnote w:id="22">
    <w:p>
      <w:pPr>
        <w:pStyle w:val="FootnoteText"/>
        <w:ind w:left="284" w:hanging="284"/>
        <w:jc w:val="both"/>
        <w:rPr>
          <w:rFonts w:asciiTheme="majorBidi" w:hAnsiTheme="majorBidi" w:cstheme="majorBidi"/>
        </w:rPr>
      </w:pPr>
      <w:r>
        <w:rPr>
          <w:rStyle w:val="FootnoteReference"/>
          <w:rFonts w:asciiTheme="majorBidi" w:hAnsiTheme="majorBidi" w:cstheme="majorBidi"/>
        </w:rPr>
        <w:footnoteRef/>
      </w:r>
      <w:r>
        <w:rPr>
          <w:rFonts w:asciiTheme="majorBidi" w:hAnsiTheme="majorBidi" w:cstheme="majorBidi"/>
        </w:rPr>
        <w:t xml:space="preserve"> </w:t>
      </w:r>
      <w:r>
        <w:tab/>
      </w:r>
      <w:r>
        <w:rPr>
          <w:rFonts w:asciiTheme="majorBidi" w:hAnsiTheme="majorBidi" w:cstheme="majorBidi"/>
        </w:rPr>
        <w:t xml:space="preserve">Предложение за директива за изменение на Директива 96/71/ЕО на Европейския парламент и на Съвета от 16 декември 1996 г. относно командироването на работници в рамките на предоставянето на услуги, COM(2016) 128 final. </w:t>
      </w:r>
    </w:p>
  </w:footnote>
  <w:footnote w:id="23">
    <w:p>
      <w:pPr>
        <w:pStyle w:val="FootnoteText"/>
        <w:ind w:left="284" w:hanging="284"/>
        <w:jc w:val="both"/>
        <w:rPr>
          <w:rFonts w:ascii="Times New Roman" w:hAnsi="Times New Roman" w:cs="Times New Roman"/>
        </w:rPr>
      </w:pPr>
      <w:r>
        <w:rPr>
          <w:rStyle w:val="FootnoteReference"/>
          <w:rFonts w:ascii="Times New Roman" w:hAnsi="Times New Roman"/>
        </w:rPr>
        <w:footnoteRef/>
      </w:r>
      <w:r>
        <w:tab/>
      </w:r>
      <w:r>
        <w:rPr>
          <w:rFonts w:ascii="Times New Roman" w:hAnsi="Times New Roman"/>
        </w:rPr>
        <w:t>Предложение за регламент за установяване на критерии и механизми за определяне на държавата членка, компетентна за разглеждането на молба за международна закрила, която е подадена в една от държавите членки от гражданин на трета държава или от лице без гражданство (преработен текст), COM(2016) 270 final.</w:t>
      </w:r>
    </w:p>
  </w:footnote>
  <w:footnote w:id="24">
    <w:p>
      <w:pPr>
        <w:pStyle w:val="FootnoteText"/>
        <w:ind w:left="284" w:hanging="284"/>
        <w:jc w:val="both"/>
        <w:rPr>
          <w:rFonts w:ascii="Times New Roman" w:hAnsi="Times New Roman" w:cs="Times New Roman"/>
        </w:rPr>
      </w:pPr>
      <w:r>
        <w:rPr>
          <w:rStyle w:val="FootnoteReference"/>
          <w:rFonts w:asciiTheme="majorBidi" w:hAnsiTheme="majorBidi" w:cstheme="majorBidi"/>
        </w:rPr>
        <w:footnoteRef/>
      </w:r>
      <w:r>
        <w:t xml:space="preserve"> </w:t>
      </w:r>
      <w:r>
        <w:tab/>
      </w:r>
      <w:r>
        <w:rPr>
          <w:rFonts w:ascii="Times New Roman" w:hAnsi="Times New Roman"/>
        </w:rPr>
        <w:t>Предложения за директиви на Съвета относно обща консолидирана основа за облагане с корпоративен данък и относно обща основа за облагане с корпоративен данък, COM(2016) 683 final и COM(2016) 685 final.</w:t>
      </w:r>
    </w:p>
  </w:footnote>
  <w:footnote w:id="25">
    <w:p>
      <w:pPr>
        <w:pStyle w:val="FootnoteText"/>
        <w:ind w:left="284" w:hanging="284"/>
        <w:jc w:val="both"/>
        <w:rPr>
          <w:rFonts w:asciiTheme="majorBidi" w:hAnsiTheme="majorBidi" w:cstheme="majorBidi"/>
        </w:rPr>
      </w:pPr>
      <w:r>
        <w:rPr>
          <w:rStyle w:val="FootnoteReference"/>
          <w:rFonts w:asciiTheme="majorBidi" w:hAnsiTheme="majorBidi" w:cstheme="majorBidi"/>
        </w:rPr>
        <w:footnoteRef/>
      </w:r>
      <w:r>
        <w:rPr>
          <w:rFonts w:asciiTheme="majorBidi" w:hAnsiTheme="majorBidi" w:cstheme="majorBidi"/>
        </w:rPr>
        <w:t xml:space="preserve">  </w:t>
      </w:r>
      <w:r>
        <w:tab/>
      </w:r>
      <w:r>
        <w:rPr>
          <w:rFonts w:asciiTheme="majorBidi" w:hAnsiTheme="majorBidi" w:cstheme="majorBidi"/>
        </w:rPr>
        <w:t>Освен в неотложни случаи, както е посочено в член 4 на дял I от Протокол № 1 към Договорите относно ролята на националните парламенти в Европейския съюз.</w:t>
      </w:r>
    </w:p>
  </w:footnote>
  <w:footnote w:id="26">
    <w:p>
      <w:pPr>
        <w:pStyle w:val="FootnoteText"/>
        <w:ind w:left="284" w:hanging="284"/>
        <w:jc w:val="both"/>
        <w:rPr>
          <w:rFonts w:asciiTheme="majorBidi" w:hAnsiTheme="majorBidi" w:cstheme="majorBidi"/>
        </w:rPr>
      </w:pPr>
      <w:r>
        <w:rPr>
          <w:rStyle w:val="FootnoteReference"/>
          <w:rFonts w:asciiTheme="majorBidi" w:hAnsiTheme="majorBidi" w:cstheme="majorBidi"/>
        </w:rPr>
        <w:footnoteRef/>
      </w:r>
      <w:r>
        <w:rPr>
          <w:rFonts w:asciiTheme="majorBidi" w:hAnsiTheme="majorBidi" w:cstheme="majorBidi"/>
        </w:rPr>
        <w:t xml:space="preserve"> </w:t>
      </w:r>
      <w:r>
        <w:tab/>
      </w:r>
      <w:r>
        <w:rPr>
          <w:rFonts w:asciiTheme="majorBidi" w:hAnsiTheme="majorBidi" w:cstheme="majorBidi"/>
        </w:rPr>
        <w:t xml:space="preserve">Европейският парламент получи също така редица становища от националните парламенти относно предложението на Европейския парламент за реформа на избирателното право на Европейския съюз. За повече подробности вж. годишния доклад на Европейския парламент за 2014—2015 г. за отношенията между Европейския парламент и националните парламенти съгласно Договора от Лисабон: </w:t>
      </w:r>
      <w:r>
        <w:rPr>
          <w:rFonts w:ascii="Times New Roman" w:hAnsi="Times New Roman" w:cs="Times New Roman"/>
        </w:rPr>
        <w:t>http://www.europarl.europa.eu/relnatparl/en/about/annual-reports.html.</w:t>
      </w:r>
    </w:p>
  </w:footnote>
  <w:footnote w:id="27">
    <w:p>
      <w:pPr>
        <w:pStyle w:val="FootnoteText"/>
        <w:ind w:left="284" w:hanging="284"/>
        <w:jc w:val="both"/>
        <w:rPr>
          <w:rFonts w:asciiTheme="majorBidi" w:hAnsiTheme="majorBidi" w:cstheme="majorBidi"/>
        </w:rPr>
      </w:pPr>
      <w:r>
        <w:rPr>
          <w:rStyle w:val="FootnoteReference"/>
          <w:rFonts w:asciiTheme="majorBidi" w:hAnsiTheme="majorBidi" w:cstheme="majorBidi"/>
        </w:rPr>
        <w:footnoteRef/>
      </w:r>
      <w:r>
        <w:rPr>
          <w:rFonts w:asciiTheme="majorBidi" w:hAnsiTheme="majorBidi" w:cstheme="majorBidi"/>
        </w:rPr>
        <w:t xml:space="preserve"> </w:t>
      </w:r>
      <w:r>
        <w:tab/>
      </w:r>
      <w:r>
        <w:rPr>
          <w:rFonts w:asciiTheme="majorBidi" w:hAnsiTheme="majorBidi" w:cstheme="majorBidi"/>
        </w:rPr>
        <w:t>Броят на мотивираните становища, регистрирани от Европейския парламент, Съвета и Комисията, се разминава, защото не всички институции са получили всички мотивирани становища или защото институциите отчитат броя на получените мотивирани становища по различен начин.</w:t>
      </w:r>
    </w:p>
  </w:footnote>
  <w:footnote w:id="28">
    <w:p>
      <w:pPr>
        <w:pStyle w:val="FootnoteText"/>
        <w:ind w:left="284" w:hanging="284"/>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В този контекст се припомня, че в края на 2015 г. Съветът изпрати на националните парламенти предложението на Съда за регламент на Европейския парламент и на Съвета за прехвърляне на Общия съд на Европейския съюз на компетентността да разглежда като първа инстанция споровете между Съюза и неговите служители (документ 14306/15).</w:t>
      </w:r>
    </w:p>
  </w:footnote>
  <w:footnote w:id="29">
    <w:p>
      <w:pPr>
        <w:pStyle w:val="FootnoteText"/>
        <w:ind w:left="284" w:hanging="284"/>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Броят на мотивираните становища, регистрирани от Европейския парламент, Съвета и Комисията, се разминава, защото не всички институции са получили всички мотивирани становища или защото институциите отчитат броя на получените мотивирани становища по различен начин.</w:t>
      </w:r>
    </w:p>
  </w:footnote>
  <w:footnote w:id="30">
    <w:p>
      <w:pPr>
        <w:pStyle w:val="FootnoteText"/>
        <w:ind w:left="284" w:hanging="284"/>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Секретариатът на Съвета не получава системно всички становища от националните парламенти.</w:t>
      </w:r>
    </w:p>
  </w:footnote>
  <w:footnote w:id="31">
    <w:p>
      <w:pPr>
        <w:pStyle w:val="FootnoteText"/>
        <w:ind w:left="284" w:hanging="284"/>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Документ</w:t>
      </w:r>
      <w:r>
        <w:rPr>
          <w:lang w:val="bg-BG"/>
        </w:rPr>
        <w:t xml:space="preserve"> </w:t>
      </w:r>
      <w:r>
        <w:t>COR-2016-00911-09-00-NB</w:t>
      </w:r>
      <w:r>
        <w:rPr>
          <w:rFonts w:ascii="Times New Roman" w:hAnsi="Times New Roman"/>
        </w:rPr>
        <w:t>, приет от Бюрото на Комитета на регионите на 4 април 2016 г.</w:t>
      </w:r>
    </w:p>
  </w:footnote>
  <w:footnote w:id="32">
    <w:p>
      <w:pPr>
        <w:pStyle w:val="FootnoteText"/>
        <w:ind w:left="284" w:hanging="284"/>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Правило 55.2 от Процедурния правилник, ОВ L 65, 5.3.2014 г., стр. 41—64,</w:t>
      </w:r>
      <w:r>
        <w:t xml:space="preserve"> </w:t>
      </w:r>
      <w:hyperlink w:history="1"/>
      <w:r>
        <w:rPr>
          <w:rFonts w:ascii="Times New Roman" w:hAnsi="Times New Roman" w:cs="Times New Roman"/>
        </w:rPr>
        <w:t>http://cor.europa.eu/en/documentation/Documents/Rules-of-Procedure-of-the-Committee-of-the-Regions/EN.pdf.</w:t>
      </w:r>
    </w:p>
  </w:footnote>
  <w:footnote w:id="33">
    <w:p>
      <w:pPr>
        <w:pStyle w:val="FootnoteText"/>
        <w:tabs>
          <w:tab w:val="left" w:pos="284"/>
        </w:tabs>
        <w:jc w:val="both"/>
        <w:rPr>
          <w:rFonts w:asciiTheme="majorBidi" w:hAnsiTheme="majorBidi" w:cstheme="majorBidi"/>
          <w:lang w:val="pt-PT"/>
        </w:rPr>
      </w:pPr>
      <w:r>
        <w:rPr>
          <w:rStyle w:val="FootnoteReference"/>
          <w:rFonts w:ascii="Times New Roman" w:hAnsi="Times New Roman"/>
        </w:rPr>
        <w:footnoteRef/>
      </w:r>
      <w:r>
        <w:rPr>
          <w:rFonts w:ascii="Times New Roman" w:hAnsi="Times New Roman"/>
          <w:lang w:val="pt-PT"/>
        </w:rPr>
        <w:t xml:space="preserve"> </w:t>
      </w:r>
      <w:r>
        <w:rPr>
          <w:lang w:val="pt-PT"/>
        </w:rPr>
        <w:tab/>
      </w:r>
      <w:r>
        <w:rPr>
          <w:rFonts w:ascii="Times New Roman" w:hAnsi="Times New Roman"/>
          <w:lang w:val="pt-PT"/>
        </w:rPr>
        <w:t xml:space="preserve">COM(2015) 593 final, COM(2015) 594 final, COM(2015) 595 final </w:t>
      </w:r>
      <w:r>
        <w:rPr>
          <w:rFonts w:ascii="Times New Roman" w:hAnsi="Times New Roman"/>
        </w:rPr>
        <w:t>и</w:t>
      </w:r>
      <w:r>
        <w:rPr>
          <w:rFonts w:ascii="Times New Roman" w:hAnsi="Times New Roman"/>
          <w:lang w:val="pt-PT"/>
        </w:rPr>
        <w:t xml:space="preserve"> COM(2015) 596 final.</w:t>
      </w:r>
    </w:p>
  </w:footnote>
  <w:footnote w:id="34">
    <w:p>
      <w:pPr>
        <w:pStyle w:val="FootnoteText"/>
        <w:tabs>
          <w:tab w:val="left" w:pos="284"/>
        </w:tabs>
        <w:jc w:val="both"/>
        <w:rPr>
          <w:rFonts w:asciiTheme="majorBidi" w:hAnsiTheme="majorBidi" w:cstheme="majorBidi"/>
          <w:lang w:val="pt-PT"/>
        </w:rPr>
      </w:pPr>
      <w:r>
        <w:rPr>
          <w:rStyle w:val="FootnoteReference"/>
          <w:rFonts w:asciiTheme="majorBidi" w:hAnsiTheme="majorBidi" w:cstheme="majorBidi"/>
        </w:rPr>
        <w:footnoteRef/>
      </w:r>
      <w:r>
        <w:rPr>
          <w:rFonts w:asciiTheme="majorBidi" w:hAnsiTheme="majorBidi" w:cstheme="majorBidi"/>
          <w:lang w:val="pt-PT"/>
        </w:rPr>
        <w:t xml:space="preserve"> </w:t>
      </w:r>
      <w:r>
        <w:rPr>
          <w:lang w:val="pt-PT"/>
        </w:rPr>
        <w:tab/>
      </w:r>
      <w:r>
        <w:rPr>
          <w:rFonts w:asciiTheme="majorBidi" w:hAnsiTheme="majorBidi" w:cstheme="majorBidi"/>
          <w:lang w:val="pt-PT"/>
        </w:rPr>
        <w:t>COM(2016) 287 final.</w:t>
      </w:r>
    </w:p>
  </w:footnote>
  <w:footnote w:id="35">
    <w:p>
      <w:pPr>
        <w:pStyle w:val="FootnoteText"/>
        <w:tabs>
          <w:tab w:val="left" w:pos="284"/>
        </w:tabs>
        <w:jc w:val="both"/>
        <w:rPr>
          <w:rFonts w:asciiTheme="majorBidi" w:hAnsiTheme="majorBidi" w:cstheme="majorBidi"/>
          <w:lang w:val="pt-PT"/>
        </w:rPr>
      </w:pPr>
      <w:r>
        <w:rPr>
          <w:rStyle w:val="FootnoteReference"/>
          <w:rFonts w:asciiTheme="majorBidi" w:hAnsiTheme="majorBidi" w:cstheme="majorBidi"/>
        </w:rPr>
        <w:footnoteRef/>
      </w:r>
      <w:r>
        <w:rPr>
          <w:rFonts w:asciiTheme="majorBidi" w:hAnsiTheme="majorBidi" w:cstheme="majorBidi"/>
          <w:lang w:val="pt-PT"/>
        </w:rPr>
        <w:t xml:space="preserve"> </w:t>
      </w:r>
      <w:r>
        <w:rPr>
          <w:lang w:val="pt-PT"/>
        </w:rPr>
        <w:tab/>
      </w:r>
      <w:r>
        <w:rPr>
          <w:rFonts w:asciiTheme="majorBidi" w:hAnsiTheme="majorBidi" w:cstheme="majorBidi"/>
          <w:lang w:val="pt-PT"/>
        </w:rPr>
        <w:t>COM(2015) 586 final.</w:t>
      </w:r>
    </w:p>
  </w:footnote>
  <w:footnote w:id="36">
    <w:p>
      <w:pPr>
        <w:pStyle w:val="FootnoteText"/>
        <w:tabs>
          <w:tab w:val="left" w:pos="284"/>
        </w:tabs>
        <w:ind w:left="284" w:hanging="284"/>
        <w:jc w:val="both"/>
        <w:rPr>
          <w:rFonts w:asciiTheme="majorBidi" w:hAnsiTheme="majorBidi" w:cstheme="majorBidi"/>
          <w:lang w:val="pt-PT"/>
        </w:rPr>
      </w:pPr>
      <w:r>
        <w:rPr>
          <w:rStyle w:val="FootnoteReference"/>
          <w:rFonts w:asciiTheme="majorBidi" w:hAnsiTheme="majorBidi" w:cstheme="majorBidi"/>
        </w:rPr>
        <w:footnoteRef/>
      </w:r>
      <w:r>
        <w:rPr>
          <w:rFonts w:asciiTheme="majorBidi" w:hAnsiTheme="majorBidi" w:cstheme="majorBidi"/>
          <w:lang w:val="pt-PT"/>
        </w:rPr>
        <w:t xml:space="preserve"> </w:t>
      </w:r>
      <w:r>
        <w:rPr>
          <w:lang w:val="pt-PT"/>
        </w:rPr>
        <w:tab/>
      </w:r>
      <w:r>
        <w:rPr>
          <w:rFonts w:asciiTheme="majorBidi" w:hAnsiTheme="majorBidi" w:cstheme="majorBidi"/>
        </w:rPr>
        <w:t>Понастоящем</w:t>
      </w:r>
      <w:r>
        <w:rPr>
          <w:rFonts w:asciiTheme="majorBidi" w:hAnsiTheme="majorBidi" w:cstheme="majorBidi"/>
          <w:lang w:val="pt-PT"/>
        </w:rPr>
        <w:t xml:space="preserve"> </w:t>
      </w:r>
      <w:r>
        <w:rPr>
          <w:rFonts w:asciiTheme="majorBidi" w:hAnsiTheme="majorBidi" w:cstheme="majorBidi"/>
        </w:rPr>
        <w:t>Експертната</w:t>
      </w:r>
      <w:r>
        <w:rPr>
          <w:rFonts w:asciiTheme="majorBidi" w:hAnsiTheme="majorBidi" w:cstheme="majorBidi"/>
          <w:lang w:val="pt-PT"/>
        </w:rPr>
        <w:t xml:space="preserve"> </w:t>
      </w:r>
      <w:r>
        <w:rPr>
          <w:rFonts w:asciiTheme="majorBidi" w:hAnsiTheme="majorBidi" w:cstheme="majorBidi"/>
        </w:rPr>
        <w:t>група</w:t>
      </w:r>
      <w:r>
        <w:rPr>
          <w:rFonts w:asciiTheme="majorBidi" w:hAnsiTheme="majorBidi" w:cstheme="majorBidi"/>
          <w:lang w:val="pt-PT"/>
        </w:rPr>
        <w:t xml:space="preserve"> </w:t>
      </w:r>
      <w:r>
        <w:rPr>
          <w:rFonts w:asciiTheme="majorBidi" w:hAnsiTheme="majorBidi" w:cstheme="majorBidi"/>
        </w:rPr>
        <w:t>за</w:t>
      </w:r>
      <w:r>
        <w:rPr>
          <w:rFonts w:asciiTheme="majorBidi" w:hAnsiTheme="majorBidi" w:cstheme="majorBidi"/>
          <w:lang w:val="pt-PT"/>
        </w:rPr>
        <w:t xml:space="preserve"> </w:t>
      </w:r>
      <w:r>
        <w:rPr>
          <w:rFonts w:asciiTheme="majorBidi" w:hAnsiTheme="majorBidi" w:cstheme="majorBidi"/>
        </w:rPr>
        <w:t>субсидиарността</w:t>
      </w:r>
      <w:r>
        <w:rPr>
          <w:rFonts w:asciiTheme="majorBidi" w:hAnsiTheme="majorBidi" w:cstheme="majorBidi"/>
          <w:lang w:val="pt-PT"/>
        </w:rPr>
        <w:t xml:space="preserve">, </w:t>
      </w:r>
      <w:r>
        <w:rPr>
          <w:rFonts w:asciiTheme="majorBidi" w:hAnsiTheme="majorBidi" w:cstheme="majorBidi"/>
        </w:rPr>
        <w:t>която</w:t>
      </w:r>
      <w:r>
        <w:rPr>
          <w:rFonts w:asciiTheme="majorBidi" w:hAnsiTheme="majorBidi" w:cstheme="majorBidi"/>
          <w:lang w:val="pt-PT"/>
        </w:rPr>
        <w:t xml:space="preserve"> </w:t>
      </w:r>
      <w:r>
        <w:rPr>
          <w:rFonts w:asciiTheme="majorBidi" w:hAnsiTheme="majorBidi" w:cstheme="majorBidi"/>
        </w:rPr>
        <w:t>е</w:t>
      </w:r>
      <w:r>
        <w:rPr>
          <w:rFonts w:asciiTheme="majorBidi" w:hAnsiTheme="majorBidi" w:cstheme="majorBidi"/>
          <w:lang w:val="pt-PT"/>
        </w:rPr>
        <w:t xml:space="preserve"> </w:t>
      </w:r>
      <w:r>
        <w:rPr>
          <w:rFonts w:asciiTheme="majorBidi" w:hAnsiTheme="majorBidi" w:cstheme="majorBidi"/>
        </w:rPr>
        <w:t>част</w:t>
      </w:r>
      <w:r>
        <w:rPr>
          <w:rFonts w:asciiTheme="majorBidi" w:hAnsiTheme="majorBidi" w:cstheme="majorBidi"/>
          <w:lang w:val="pt-PT"/>
        </w:rPr>
        <w:t xml:space="preserve"> </w:t>
      </w:r>
      <w:r>
        <w:rPr>
          <w:rFonts w:asciiTheme="majorBidi" w:hAnsiTheme="majorBidi" w:cstheme="majorBidi"/>
        </w:rPr>
        <w:t>от</w:t>
      </w:r>
      <w:r>
        <w:rPr>
          <w:rFonts w:asciiTheme="majorBidi" w:hAnsiTheme="majorBidi" w:cstheme="majorBidi"/>
          <w:lang w:val="pt-PT"/>
        </w:rPr>
        <w:t xml:space="preserve"> </w:t>
      </w:r>
      <w:r>
        <w:rPr>
          <w:rFonts w:asciiTheme="majorBidi" w:hAnsiTheme="majorBidi" w:cstheme="majorBidi"/>
        </w:rPr>
        <w:t>мрежата</w:t>
      </w:r>
      <w:r>
        <w:rPr>
          <w:rFonts w:asciiTheme="majorBidi" w:hAnsiTheme="majorBidi" w:cstheme="majorBidi"/>
          <w:lang w:val="pt-PT"/>
        </w:rPr>
        <w:t xml:space="preserve"> </w:t>
      </w:r>
      <w:r>
        <w:rPr>
          <w:rFonts w:asciiTheme="majorBidi" w:hAnsiTheme="majorBidi" w:cstheme="majorBidi"/>
        </w:rPr>
        <w:t>за</w:t>
      </w:r>
      <w:r>
        <w:rPr>
          <w:rFonts w:asciiTheme="majorBidi" w:hAnsiTheme="majorBidi" w:cstheme="majorBidi"/>
          <w:lang w:val="pt-PT"/>
        </w:rPr>
        <w:t xml:space="preserve"> </w:t>
      </w:r>
      <w:r>
        <w:rPr>
          <w:rFonts w:asciiTheme="majorBidi" w:hAnsiTheme="majorBidi" w:cstheme="majorBidi"/>
        </w:rPr>
        <w:t>наблюдение</w:t>
      </w:r>
      <w:r>
        <w:rPr>
          <w:rFonts w:asciiTheme="majorBidi" w:hAnsiTheme="majorBidi" w:cstheme="majorBidi"/>
          <w:lang w:val="pt-PT"/>
        </w:rPr>
        <w:t xml:space="preserve"> </w:t>
      </w:r>
      <w:r>
        <w:rPr>
          <w:rFonts w:asciiTheme="majorBidi" w:hAnsiTheme="majorBidi" w:cstheme="majorBidi"/>
        </w:rPr>
        <w:t>на</w:t>
      </w:r>
      <w:r>
        <w:rPr>
          <w:rFonts w:asciiTheme="majorBidi" w:hAnsiTheme="majorBidi" w:cstheme="majorBidi"/>
          <w:lang w:val="pt-PT"/>
        </w:rPr>
        <w:t xml:space="preserve"> </w:t>
      </w:r>
      <w:r>
        <w:rPr>
          <w:rFonts w:asciiTheme="majorBidi" w:hAnsiTheme="majorBidi" w:cstheme="majorBidi"/>
        </w:rPr>
        <w:t>субсидиарността</w:t>
      </w:r>
      <w:r>
        <w:rPr>
          <w:rFonts w:asciiTheme="majorBidi" w:hAnsiTheme="majorBidi" w:cstheme="majorBidi"/>
          <w:lang w:val="pt-PT"/>
        </w:rPr>
        <w:t xml:space="preserve"> </w:t>
      </w:r>
      <w:r>
        <w:rPr>
          <w:rFonts w:asciiTheme="majorBidi" w:hAnsiTheme="majorBidi" w:cstheme="majorBidi"/>
        </w:rPr>
        <w:t>на</w:t>
      </w:r>
      <w:r>
        <w:rPr>
          <w:rFonts w:asciiTheme="majorBidi" w:hAnsiTheme="majorBidi" w:cstheme="majorBidi"/>
          <w:lang w:val="pt-PT"/>
        </w:rPr>
        <w:t xml:space="preserve"> </w:t>
      </w:r>
      <w:r>
        <w:rPr>
          <w:rFonts w:asciiTheme="majorBidi" w:hAnsiTheme="majorBidi" w:cstheme="majorBidi"/>
        </w:rPr>
        <w:t>Комитета</w:t>
      </w:r>
      <w:r>
        <w:rPr>
          <w:rFonts w:asciiTheme="majorBidi" w:hAnsiTheme="majorBidi" w:cstheme="majorBidi"/>
          <w:lang w:val="pt-PT"/>
        </w:rPr>
        <w:t xml:space="preserve"> </w:t>
      </w:r>
      <w:r>
        <w:rPr>
          <w:rFonts w:asciiTheme="majorBidi" w:hAnsiTheme="majorBidi" w:cstheme="majorBidi"/>
        </w:rPr>
        <w:t>на</w:t>
      </w:r>
      <w:r>
        <w:rPr>
          <w:rFonts w:asciiTheme="majorBidi" w:hAnsiTheme="majorBidi" w:cstheme="majorBidi"/>
          <w:lang w:val="pt-PT"/>
        </w:rPr>
        <w:t xml:space="preserve"> </w:t>
      </w:r>
      <w:r>
        <w:rPr>
          <w:rFonts w:asciiTheme="majorBidi" w:hAnsiTheme="majorBidi" w:cstheme="majorBidi"/>
        </w:rPr>
        <w:t>регионите</w:t>
      </w:r>
      <w:r>
        <w:rPr>
          <w:rFonts w:asciiTheme="majorBidi" w:hAnsiTheme="majorBidi" w:cstheme="majorBidi"/>
          <w:lang w:val="pt-PT"/>
        </w:rPr>
        <w:t xml:space="preserve">, </w:t>
      </w:r>
      <w:r>
        <w:rPr>
          <w:rFonts w:asciiTheme="majorBidi" w:hAnsiTheme="majorBidi" w:cstheme="majorBidi"/>
        </w:rPr>
        <w:t>се</w:t>
      </w:r>
      <w:r>
        <w:rPr>
          <w:rFonts w:asciiTheme="majorBidi" w:hAnsiTheme="majorBidi" w:cstheme="majorBidi"/>
          <w:lang w:val="pt-PT"/>
        </w:rPr>
        <w:t xml:space="preserve"> </w:t>
      </w:r>
      <w:r>
        <w:rPr>
          <w:rFonts w:asciiTheme="majorBidi" w:hAnsiTheme="majorBidi" w:cstheme="majorBidi"/>
        </w:rPr>
        <w:t>състои</w:t>
      </w:r>
      <w:r>
        <w:rPr>
          <w:rFonts w:asciiTheme="majorBidi" w:hAnsiTheme="majorBidi" w:cstheme="majorBidi"/>
          <w:lang w:val="pt-PT"/>
        </w:rPr>
        <w:t xml:space="preserve"> </w:t>
      </w:r>
      <w:r>
        <w:rPr>
          <w:rFonts w:asciiTheme="majorBidi" w:hAnsiTheme="majorBidi" w:cstheme="majorBidi"/>
        </w:rPr>
        <w:t>от</w:t>
      </w:r>
      <w:r>
        <w:rPr>
          <w:rFonts w:asciiTheme="majorBidi" w:hAnsiTheme="majorBidi" w:cstheme="majorBidi"/>
          <w:lang w:val="pt-PT"/>
        </w:rPr>
        <w:t xml:space="preserve"> 12 </w:t>
      </w:r>
      <w:r>
        <w:rPr>
          <w:rFonts w:asciiTheme="majorBidi" w:hAnsiTheme="majorBidi" w:cstheme="majorBidi"/>
        </w:rPr>
        <w:t>експерти</w:t>
      </w:r>
      <w:r>
        <w:rPr>
          <w:rFonts w:asciiTheme="majorBidi" w:hAnsiTheme="majorBidi" w:cstheme="majorBidi"/>
          <w:lang w:val="pt-PT"/>
        </w:rPr>
        <w:t xml:space="preserve">, </w:t>
      </w:r>
      <w:r>
        <w:rPr>
          <w:rFonts w:asciiTheme="majorBidi" w:hAnsiTheme="majorBidi" w:cstheme="majorBidi"/>
        </w:rPr>
        <w:t>които</w:t>
      </w:r>
      <w:r>
        <w:rPr>
          <w:rFonts w:asciiTheme="majorBidi" w:hAnsiTheme="majorBidi" w:cstheme="majorBidi"/>
          <w:lang w:val="pt-PT"/>
        </w:rPr>
        <w:t xml:space="preserve"> </w:t>
      </w:r>
      <w:r>
        <w:rPr>
          <w:rFonts w:asciiTheme="majorBidi" w:hAnsiTheme="majorBidi" w:cstheme="majorBidi"/>
        </w:rPr>
        <w:t>предоставят</w:t>
      </w:r>
      <w:r>
        <w:rPr>
          <w:rFonts w:asciiTheme="majorBidi" w:hAnsiTheme="majorBidi" w:cstheme="majorBidi"/>
          <w:lang w:val="pt-PT"/>
        </w:rPr>
        <w:t xml:space="preserve"> </w:t>
      </w:r>
      <w:r>
        <w:rPr>
          <w:rFonts w:asciiTheme="majorBidi" w:hAnsiTheme="majorBidi" w:cstheme="majorBidi"/>
        </w:rPr>
        <w:t>подкрепа</w:t>
      </w:r>
      <w:r>
        <w:rPr>
          <w:rFonts w:asciiTheme="majorBidi" w:hAnsiTheme="majorBidi" w:cstheme="majorBidi"/>
          <w:lang w:val="pt-PT"/>
        </w:rPr>
        <w:t xml:space="preserve"> </w:t>
      </w:r>
      <w:r>
        <w:rPr>
          <w:rFonts w:asciiTheme="majorBidi" w:hAnsiTheme="majorBidi" w:cstheme="majorBidi"/>
        </w:rPr>
        <w:t>на</w:t>
      </w:r>
      <w:r>
        <w:rPr>
          <w:rFonts w:asciiTheme="majorBidi" w:hAnsiTheme="majorBidi" w:cstheme="majorBidi"/>
          <w:lang w:val="pt-PT"/>
        </w:rPr>
        <w:t xml:space="preserve"> </w:t>
      </w:r>
      <w:r>
        <w:rPr>
          <w:rFonts w:asciiTheme="majorBidi" w:hAnsiTheme="majorBidi" w:cstheme="majorBidi"/>
        </w:rPr>
        <w:t>техническо</w:t>
      </w:r>
      <w:r>
        <w:rPr>
          <w:rFonts w:asciiTheme="majorBidi" w:hAnsiTheme="majorBidi" w:cstheme="majorBidi"/>
          <w:lang w:val="pt-PT"/>
        </w:rPr>
        <w:t xml:space="preserve"> </w:t>
      </w:r>
      <w:r>
        <w:rPr>
          <w:rFonts w:asciiTheme="majorBidi" w:hAnsiTheme="majorBidi" w:cstheme="majorBidi"/>
        </w:rPr>
        <w:t>равнище</w:t>
      </w:r>
      <w:r>
        <w:rPr>
          <w:rFonts w:asciiTheme="majorBidi" w:hAnsiTheme="majorBidi" w:cstheme="majorBidi"/>
          <w:lang w:val="pt-PT"/>
        </w:rPr>
        <w:t xml:space="preserve"> </w:t>
      </w:r>
      <w:r>
        <w:rPr>
          <w:rFonts w:asciiTheme="majorBidi" w:hAnsiTheme="majorBidi" w:cstheme="majorBidi"/>
        </w:rPr>
        <w:t>и</w:t>
      </w:r>
      <w:r>
        <w:rPr>
          <w:rFonts w:asciiTheme="majorBidi" w:hAnsiTheme="majorBidi" w:cstheme="majorBidi"/>
          <w:lang w:val="pt-PT"/>
        </w:rPr>
        <w:t xml:space="preserve"> </w:t>
      </w:r>
      <w:r>
        <w:rPr>
          <w:rFonts w:asciiTheme="majorBidi" w:hAnsiTheme="majorBidi" w:cstheme="majorBidi"/>
        </w:rPr>
        <w:t>са</w:t>
      </w:r>
      <w:r>
        <w:rPr>
          <w:rFonts w:asciiTheme="majorBidi" w:hAnsiTheme="majorBidi" w:cstheme="majorBidi"/>
          <w:lang w:val="pt-PT"/>
        </w:rPr>
        <w:t xml:space="preserve"> </w:t>
      </w:r>
      <w:r>
        <w:rPr>
          <w:rFonts w:asciiTheme="majorBidi" w:hAnsiTheme="majorBidi" w:cstheme="majorBidi"/>
        </w:rPr>
        <w:t>точки</w:t>
      </w:r>
      <w:r>
        <w:rPr>
          <w:rFonts w:asciiTheme="majorBidi" w:hAnsiTheme="majorBidi" w:cstheme="majorBidi"/>
          <w:lang w:val="pt-PT"/>
        </w:rPr>
        <w:t xml:space="preserve"> </w:t>
      </w:r>
      <w:r>
        <w:rPr>
          <w:rFonts w:asciiTheme="majorBidi" w:hAnsiTheme="majorBidi" w:cstheme="majorBidi"/>
        </w:rPr>
        <w:t>за</w:t>
      </w:r>
      <w:r>
        <w:rPr>
          <w:rFonts w:asciiTheme="majorBidi" w:hAnsiTheme="majorBidi" w:cstheme="majorBidi"/>
          <w:lang w:val="pt-PT"/>
        </w:rPr>
        <w:t xml:space="preserve"> </w:t>
      </w:r>
      <w:r>
        <w:rPr>
          <w:rFonts w:asciiTheme="majorBidi" w:hAnsiTheme="majorBidi" w:cstheme="majorBidi"/>
        </w:rPr>
        <w:t>контакт</w:t>
      </w:r>
      <w:r>
        <w:rPr>
          <w:rFonts w:asciiTheme="majorBidi" w:hAnsiTheme="majorBidi" w:cstheme="majorBidi"/>
          <w:lang w:val="pt-PT"/>
        </w:rPr>
        <w:t xml:space="preserve"> </w:t>
      </w:r>
      <w:r>
        <w:rPr>
          <w:rFonts w:asciiTheme="majorBidi" w:hAnsiTheme="majorBidi" w:cstheme="majorBidi"/>
        </w:rPr>
        <w:t>на</w:t>
      </w:r>
      <w:r>
        <w:rPr>
          <w:rFonts w:asciiTheme="majorBidi" w:hAnsiTheme="majorBidi" w:cstheme="majorBidi"/>
          <w:lang w:val="pt-PT"/>
        </w:rPr>
        <w:t xml:space="preserve"> </w:t>
      </w:r>
      <w:r>
        <w:rPr>
          <w:rFonts w:asciiTheme="majorBidi" w:hAnsiTheme="majorBidi" w:cstheme="majorBidi"/>
        </w:rPr>
        <w:t>Комитета</w:t>
      </w:r>
      <w:r>
        <w:rPr>
          <w:rFonts w:asciiTheme="majorBidi" w:hAnsiTheme="majorBidi" w:cstheme="majorBidi"/>
          <w:lang w:val="pt-PT"/>
        </w:rPr>
        <w:t xml:space="preserve"> </w:t>
      </w:r>
      <w:r>
        <w:rPr>
          <w:rFonts w:asciiTheme="majorBidi" w:hAnsiTheme="majorBidi" w:cstheme="majorBidi"/>
        </w:rPr>
        <w:t>на</w:t>
      </w:r>
      <w:r>
        <w:rPr>
          <w:rFonts w:asciiTheme="majorBidi" w:hAnsiTheme="majorBidi" w:cstheme="majorBidi"/>
          <w:lang w:val="pt-PT"/>
        </w:rPr>
        <w:t xml:space="preserve"> </w:t>
      </w:r>
      <w:r>
        <w:rPr>
          <w:rFonts w:asciiTheme="majorBidi" w:hAnsiTheme="majorBidi" w:cstheme="majorBidi"/>
        </w:rPr>
        <w:t>регионите</w:t>
      </w:r>
      <w:r>
        <w:rPr>
          <w:rFonts w:asciiTheme="majorBidi" w:hAnsiTheme="majorBidi" w:cstheme="majorBidi"/>
          <w:lang w:val="pt-PT"/>
        </w:rPr>
        <w:t xml:space="preserve"> </w:t>
      </w:r>
      <w:r>
        <w:rPr>
          <w:rFonts w:asciiTheme="majorBidi" w:hAnsiTheme="majorBidi" w:cstheme="majorBidi"/>
        </w:rPr>
        <w:t>в</w:t>
      </w:r>
      <w:r>
        <w:rPr>
          <w:rFonts w:asciiTheme="majorBidi" w:hAnsiTheme="majorBidi" w:cstheme="majorBidi"/>
          <w:lang w:val="pt-PT"/>
        </w:rPr>
        <w:t xml:space="preserve"> </w:t>
      </w:r>
      <w:r>
        <w:rPr>
          <w:rFonts w:asciiTheme="majorBidi" w:hAnsiTheme="majorBidi" w:cstheme="majorBidi"/>
        </w:rPr>
        <w:t>държавите</w:t>
      </w:r>
      <w:r>
        <w:rPr>
          <w:rFonts w:asciiTheme="majorBidi" w:hAnsiTheme="majorBidi" w:cstheme="majorBidi"/>
          <w:lang w:val="pt-PT"/>
        </w:rPr>
        <w:t xml:space="preserve"> </w:t>
      </w:r>
      <w:r>
        <w:rPr>
          <w:rFonts w:asciiTheme="majorBidi" w:hAnsiTheme="majorBidi" w:cstheme="majorBidi"/>
        </w:rPr>
        <w:t>членки</w:t>
      </w:r>
      <w:r>
        <w:rPr>
          <w:rFonts w:asciiTheme="majorBidi" w:hAnsiTheme="majorBidi" w:cstheme="majorBidi"/>
          <w:lang w:val="pt-PT"/>
        </w:rPr>
        <w:t xml:space="preserve"> </w:t>
      </w:r>
      <w:r>
        <w:rPr>
          <w:rFonts w:asciiTheme="majorBidi" w:hAnsiTheme="majorBidi" w:cstheme="majorBidi"/>
        </w:rPr>
        <w:t>за</w:t>
      </w:r>
      <w:r>
        <w:rPr>
          <w:rFonts w:asciiTheme="majorBidi" w:hAnsiTheme="majorBidi" w:cstheme="majorBidi"/>
          <w:lang w:val="pt-PT"/>
        </w:rPr>
        <w:t xml:space="preserve"> </w:t>
      </w:r>
      <w:r>
        <w:rPr>
          <w:rFonts w:asciiTheme="majorBidi" w:hAnsiTheme="majorBidi" w:cstheme="majorBidi"/>
        </w:rPr>
        <w:t>наблюдението</w:t>
      </w:r>
      <w:r>
        <w:rPr>
          <w:rFonts w:asciiTheme="majorBidi" w:hAnsiTheme="majorBidi" w:cstheme="majorBidi"/>
          <w:lang w:val="pt-PT"/>
        </w:rPr>
        <w:t xml:space="preserve"> </w:t>
      </w:r>
      <w:r>
        <w:rPr>
          <w:rFonts w:asciiTheme="majorBidi" w:hAnsiTheme="majorBidi" w:cstheme="majorBidi"/>
        </w:rPr>
        <w:t>на</w:t>
      </w:r>
      <w:r>
        <w:rPr>
          <w:rFonts w:asciiTheme="majorBidi" w:hAnsiTheme="majorBidi" w:cstheme="majorBidi"/>
          <w:lang w:val="pt-PT"/>
        </w:rPr>
        <w:t xml:space="preserve"> </w:t>
      </w:r>
      <w:r>
        <w:rPr>
          <w:rFonts w:asciiTheme="majorBidi" w:hAnsiTheme="majorBidi" w:cstheme="majorBidi"/>
        </w:rPr>
        <w:t>субсидиарността</w:t>
      </w:r>
      <w:r>
        <w:rPr>
          <w:rFonts w:asciiTheme="majorBidi" w:hAnsiTheme="majorBidi" w:cstheme="majorBidi"/>
          <w:lang w:val="pt-PT"/>
        </w:rPr>
        <w:t>.</w:t>
      </w:r>
    </w:p>
  </w:footnote>
  <w:footnote w:id="37">
    <w:p>
      <w:pPr>
        <w:pStyle w:val="FootnoteText"/>
        <w:tabs>
          <w:tab w:val="left" w:pos="284"/>
        </w:tabs>
        <w:jc w:val="both"/>
        <w:rPr>
          <w:rFonts w:asciiTheme="majorBidi" w:hAnsiTheme="majorBidi" w:cstheme="majorBidi"/>
          <w:lang w:val="pt-PT"/>
        </w:rPr>
      </w:pPr>
      <w:r>
        <w:rPr>
          <w:rStyle w:val="FootnoteReference"/>
          <w:rFonts w:asciiTheme="majorBidi" w:hAnsiTheme="majorBidi" w:cstheme="majorBidi"/>
        </w:rPr>
        <w:footnoteRef/>
      </w:r>
      <w:r>
        <w:rPr>
          <w:rFonts w:asciiTheme="majorBidi" w:hAnsiTheme="majorBidi" w:cstheme="majorBidi"/>
          <w:lang w:val="pt-PT"/>
        </w:rPr>
        <w:t xml:space="preserve"> </w:t>
      </w:r>
      <w:r>
        <w:rPr>
          <w:lang w:val="pt-PT"/>
        </w:rPr>
        <w:tab/>
      </w:r>
      <w:r>
        <w:rPr>
          <w:rFonts w:asciiTheme="majorBidi" w:hAnsiTheme="majorBidi" w:cstheme="majorBidi"/>
          <w:lang w:val="pt-PT"/>
        </w:rPr>
        <w:t>COR-2016-00585.</w:t>
      </w:r>
    </w:p>
  </w:footnote>
  <w:footnote w:id="38">
    <w:p>
      <w:pPr>
        <w:pStyle w:val="FootnoteText"/>
        <w:tabs>
          <w:tab w:val="left" w:pos="284"/>
        </w:tabs>
        <w:jc w:val="both"/>
        <w:rPr>
          <w:rFonts w:asciiTheme="majorBidi" w:hAnsiTheme="majorBidi" w:cstheme="majorBidi"/>
          <w:lang w:val="pt-PT"/>
        </w:rPr>
      </w:pPr>
      <w:r>
        <w:rPr>
          <w:rStyle w:val="FootnoteReference"/>
          <w:rFonts w:asciiTheme="majorBidi" w:hAnsiTheme="majorBidi" w:cstheme="majorBidi"/>
        </w:rPr>
        <w:footnoteRef/>
      </w:r>
      <w:r>
        <w:rPr>
          <w:rFonts w:asciiTheme="majorBidi" w:hAnsiTheme="majorBidi" w:cstheme="majorBidi"/>
          <w:lang w:val="pt-PT"/>
        </w:rPr>
        <w:t xml:space="preserve"> </w:t>
      </w:r>
      <w:r>
        <w:rPr>
          <w:lang w:val="pt-PT"/>
        </w:rPr>
        <w:tab/>
      </w:r>
      <w:r>
        <w:rPr>
          <w:rFonts w:asciiTheme="majorBidi" w:hAnsiTheme="majorBidi" w:cstheme="majorBidi"/>
          <w:lang w:val="pt-PT"/>
        </w:rPr>
        <w:t>COR-2016-02881.</w:t>
      </w:r>
    </w:p>
  </w:footnote>
  <w:footnote w:id="39">
    <w:p>
      <w:pPr>
        <w:pStyle w:val="FootnoteText"/>
        <w:tabs>
          <w:tab w:val="left" w:pos="284"/>
        </w:tabs>
        <w:jc w:val="both"/>
        <w:rPr>
          <w:lang w:val="pt-PT"/>
        </w:rPr>
      </w:pPr>
      <w:r>
        <w:rPr>
          <w:rStyle w:val="FootnoteReference"/>
          <w:rFonts w:asciiTheme="majorBidi" w:hAnsiTheme="majorBidi" w:cstheme="majorBidi"/>
        </w:rPr>
        <w:footnoteRef/>
      </w:r>
      <w:r>
        <w:rPr>
          <w:rFonts w:asciiTheme="majorBidi" w:hAnsiTheme="majorBidi" w:cstheme="majorBidi"/>
          <w:lang w:val="pt-PT"/>
        </w:rPr>
        <w:t xml:space="preserve"> </w:t>
      </w:r>
      <w:r>
        <w:rPr>
          <w:lang w:val="pt-PT"/>
        </w:rPr>
        <w:tab/>
      </w:r>
      <w:r>
        <w:rPr>
          <w:rFonts w:asciiTheme="majorBidi" w:hAnsiTheme="majorBidi" w:cstheme="majorBidi"/>
          <w:lang w:val="pt-PT"/>
        </w:rPr>
        <w:t>COR-2016-04093.</w:t>
      </w:r>
    </w:p>
  </w:footnote>
  <w:footnote w:id="40">
    <w:p>
      <w:pPr>
        <w:pStyle w:val="FootnoteText"/>
        <w:tabs>
          <w:tab w:val="left" w:pos="284"/>
        </w:tabs>
        <w:jc w:val="both"/>
        <w:rPr>
          <w:lang w:val="pt-PT"/>
        </w:rPr>
      </w:pPr>
      <w:r>
        <w:rPr>
          <w:rStyle w:val="FootnoteReference"/>
          <w:rFonts w:ascii="Times New Roman" w:hAnsi="Times New Roman"/>
        </w:rPr>
        <w:footnoteRef/>
      </w:r>
      <w:r>
        <w:rPr>
          <w:rFonts w:ascii="Times New Roman" w:hAnsi="Times New Roman"/>
          <w:lang w:val="pt-PT"/>
        </w:rPr>
        <w:t xml:space="preserve"> </w:t>
      </w:r>
      <w:r>
        <w:rPr>
          <w:lang w:val="pt-PT"/>
        </w:rPr>
        <w:tab/>
      </w:r>
      <w:r>
        <w:rPr>
          <w:rFonts w:ascii="Times New Roman" w:hAnsi="Times New Roman"/>
          <w:lang w:val="pt-PT"/>
        </w:rPr>
        <w:t>COR-2016-05114.</w:t>
      </w:r>
    </w:p>
  </w:footnote>
  <w:footnote w:id="41">
    <w:p>
      <w:pPr>
        <w:pStyle w:val="FootnoteText"/>
        <w:tabs>
          <w:tab w:val="left" w:pos="284"/>
        </w:tabs>
        <w:ind w:left="284" w:hanging="284"/>
        <w:rPr>
          <w:rFonts w:ascii="Times New Roman" w:hAnsi="Times New Roman" w:cs="Times New Roman"/>
          <w:lang w:val="pt-PT"/>
        </w:rPr>
      </w:pPr>
      <w:r>
        <w:rPr>
          <w:rStyle w:val="FootnoteReference"/>
          <w:rFonts w:ascii="Times New Roman" w:hAnsi="Times New Roman"/>
        </w:rPr>
        <w:footnoteRef/>
      </w:r>
      <w:r>
        <w:rPr>
          <w:rFonts w:ascii="Times New Roman" w:hAnsi="Times New Roman"/>
          <w:lang w:val="pt-PT"/>
        </w:rPr>
        <w:t xml:space="preserve"> </w:t>
      </w:r>
      <w:r>
        <w:rPr>
          <w:lang w:val="pt-PT"/>
        </w:rPr>
        <w:tab/>
      </w:r>
      <w:r>
        <w:rPr>
          <w:rFonts w:ascii="Times New Roman" w:hAnsi="Times New Roman"/>
        </w:rPr>
        <w:t>След</w:t>
      </w:r>
      <w:r>
        <w:rPr>
          <w:rFonts w:ascii="Times New Roman" w:hAnsi="Times New Roman"/>
          <w:lang w:val="pt-PT"/>
        </w:rPr>
        <w:t xml:space="preserve"> </w:t>
      </w:r>
      <w:r>
        <w:rPr>
          <w:rFonts w:ascii="Times New Roman" w:hAnsi="Times New Roman"/>
        </w:rPr>
        <w:t>приемането</w:t>
      </w:r>
      <w:r>
        <w:rPr>
          <w:rFonts w:ascii="Times New Roman" w:hAnsi="Times New Roman"/>
          <w:lang w:val="pt-PT"/>
        </w:rPr>
        <w:t xml:space="preserve"> </w:t>
      </w:r>
      <w:r>
        <w:rPr>
          <w:rFonts w:ascii="Times New Roman" w:hAnsi="Times New Roman"/>
        </w:rPr>
        <w:t>му</w:t>
      </w:r>
      <w:r>
        <w:rPr>
          <w:rFonts w:ascii="Times New Roman" w:hAnsi="Times New Roman"/>
          <w:lang w:val="pt-PT"/>
        </w:rPr>
        <w:t xml:space="preserve"> </w:t>
      </w:r>
      <w:r>
        <w:rPr>
          <w:rFonts w:ascii="Times New Roman" w:hAnsi="Times New Roman"/>
        </w:rPr>
        <w:t>Бюрото</w:t>
      </w:r>
      <w:r>
        <w:rPr>
          <w:rFonts w:ascii="Times New Roman" w:hAnsi="Times New Roman"/>
          <w:lang w:val="pt-PT"/>
        </w:rPr>
        <w:t xml:space="preserve"> </w:t>
      </w:r>
      <w:r>
        <w:rPr>
          <w:rFonts w:ascii="Times New Roman" w:hAnsi="Times New Roman"/>
        </w:rPr>
        <w:t>на</w:t>
      </w:r>
      <w:r>
        <w:rPr>
          <w:rFonts w:ascii="Times New Roman" w:hAnsi="Times New Roman"/>
          <w:lang w:val="pt-PT"/>
        </w:rPr>
        <w:t xml:space="preserve"> </w:t>
      </w:r>
      <w:r>
        <w:rPr>
          <w:rFonts w:ascii="Times New Roman" w:hAnsi="Times New Roman"/>
        </w:rPr>
        <w:t>Комитета</w:t>
      </w:r>
      <w:r>
        <w:rPr>
          <w:rFonts w:ascii="Times New Roman" w:hAnsi="Times New Roman"/>
          <w:lang w:val="pt-PT"/>
        </w:rPr>
        <w:t xml:space="preserve"> </w:t>
      </w:r>
      <w:r>
        <w:rPr>
          <w:rFonts w:ascii="Times New Roman" w:hAnsi="Times New Roman"/>
        </w:rPr>
        <w:t>на</w:t>
      </w:r>
      <w:r>
        <w:rPr>
          <w:rFonts w:ascii="Times New Roman" w:hAnsi="Times New Roman"/>
          <w:lang w:val="pt-PT"/>
        </w:rPr>
        <w:t xml:space="preserve"> </w:t>
      </w:r>
      <w:r>
        <w:rPr>
          <w:rFonts w:ascii="Times New Roman" w:hAnsi="Times New Roman"/>
        </w:rPr>
        <w:t>регионите</w:t>
      </w:r>
      <w:r>
        <w:rPr>
          <w:rFonts w:ascii="Times New Roman" w:hAnsi="Times New Roman"/>
          <w:lang w:val="pt-PT"/>
        </w:rPr>
        <w:t xml:space="preserve"> </w:t>
      </w:r>
      <w:r>
        <w:rPr>
          <w:rFonts w:ascii="Times New Roman" w:hAnsi="Times New Roman"/>
        </w:rPr>
        <w:t>ще</w:t>
      </w:r>
      <w:r>
        <w:rPr>
          <w:rFonts w:ascii="Times New Roman" w:hAnsi="Times New Roman"/>
          <w:lang w:val="pt-PT"/>
        </w:rPr>
        <w:t xml:space="preserve"> </w:t>
      </w:r>
      <w:r>
        <w:rPr>
          <w:rFonts w:ascii="Times New Roman" w:hAnsi="Times New Roman"/>
        </w:rPr>
        <w:t>го</w:t>
      </w:r>
      <w:r>
        <w:rPr>
          <w:rFonts w:ascii="Times New Roman" w:hAnsi="Times New Roman"/>
          <w:lang w:val="pt-PT"/>
        </w:rPr>
        <w:t xml:space="preserve"> </w:t>
      </w:r>
      <w:r>
        <w:rPr>
          <w:rFonts w:ascii="Times New Roman" w:hAnsi="Times New Roman"/>
        </w:rPr>
        <w:t>публикува</w:t>
      </w:r>
      <w:r>
        <w:rPr>
          <w:rFonts w:ascii="Times New Roman" w:hAnsi="Times New Roman"/>
          <w:lang w:val="pt-PT"/>
        </w:rPr>
        <w:t xml:space="preserve"> </w:t>
      </w:r>
      <w:r>
        <w:rPr>
          <w:rFonts w:ascii="Times New Roman" w:hAnsi="Times New Roman"/>
        </w:rPr>
        <w:t>на</w:t>
      </w:r>
      <w:r>
        <w:rPr>
          <w:rFonts w:ascii="Times New Roman" w:hAnsi="Times New Roman"/>
          <w:lang w:val="pt-PT"/>
        </w:rPr>
        <w:t xml:space="preserve"> </w:t>
      </w:r>
      <w:r>
        <w:rPr>
          <w:rFonts w:ascii="Times New Roman" w:hAnsi="Times New Roman"/>
        </w:rPr>
        <w:t>адрес</w:t>
      </w:r>
      <w:r>
        <w:rPr>
          <w:rFonts w:ascii="Times New Roman" w:hAnsi="Times New Roman"/>
          <w:lang w:val="pt-PT"/>
        </w:rPr>
        <w:t>: http://portal.cor.europa.eu/subsidiarity/Pages/default.aspx.</w:t>
      </w:r>
    </w:p>
  </w:footnote>
  <w:footnote w:id="42">
    <w:p>
      <w:pPr>
        <w:pStyle w:val="FootnoteText"/>
        <w:ind w:left="284" w:hanging="284"/>
        <w:jc w:val="both"/>
        <w:rPr>
          <w:rFonts w:ascii="Times New Roman" w:hAnsi="Times New Roman" w:cs="Times New Roman"/>
          <w:lang w:val="pt-PT"/>
        </w:rPr>
      </w:pPr>
      <w:r>
        <w:rPr>
          <w:rStyle w:val="FootnoteReference"/>
          <w:rFonts w:ascii="Times New Roman" w:hAnsi="Times New Roman"/>
        </w:rPr>
        <w:footnoteRef/>
      </w:r>
      <w:r>
        <w:rPr>
          <w:rFonts w:ascii="Times New Roman" w:hAnsi="Times New Roman"/>
          <w:lang w:val="pt-PT"/>
        </w:rPr>
        <w:t xml:space="preserve"> </w:t>
      </w:r>
      <w:r>
        <w:rPr>
          <w:lang w:val="pt-PT"/>
        </w:rPr>
        <w:tab/>
      </w:r>
      <w:r>
        <w:rPr>
          <w:rFonts w:ascii="Times New Roman" w:hAnsi="Times New Roman"/>
        </w:rPr>
        <w:t>Дело</w:t>
      </w:r>
      <w:r>
        <w:rPr>
          <w:rFonts w:ascii="Times New Roman" w:hAnsi="Times New Roman"/>
          <w:lang w:val="pt-PT"/>
        </w:rPr>
        <w:t xml:space="preserve"> </w:t>
      </w:r>
      <w:r>
        <w:rPr>
          <w:rFonts w:ascii="Times New Roman" w:hAnsi="Times New Roman"/>
        </w:rPr>
        <w:t>Полша</w:t>
      </w:r>
      <w:r>
        <w:rPr>
          <w:rFonts w:ascii="Times New Roman" w:hAnsi="Times New Roman"/>
          <w:lang w:val="pt-PT"/>
        </w:rPr>
        <w:t>/</w:t>
      </w:r>
      <w:r>
        <w:rPr>
          <w:rFonts w:ascii="Times New Roman" w:hAnsi="Times New Roman"/>
        </w:rPr>
        <w:t>Парламент</w:t>
      </w:r>
      <w:r>
        <w:rPr>
          <w:rFonts w:ascii="Times New Roman" w:hAnsi="Times New Roman"/>
          <w:lang w:val="pt-PT"/>
        </w:rPr>
        <w:t xml:space="preserve"> </w:t>
      </w:r>
      <w:r>
        <w:rPr>
          <w:rFonts w:ascii="Times New Roman" w:hAnsi="Times New Roman"/>
        </w:rPr>
        <w:t>и</w:t>
      </w:r>
      <w:r>
        <w:rPr>
          <w:rFonts w:ascii="Times New Roman" w:hAnsi="Times New Roman"/>
          <w:lang w:val="pt-PT"/>
        </w:rPr>
        <w:t xml:space="preserve"> </w:t>
      </w:r>
      <w:r>
        <w:rPr>
          <w:rFonts w:ascii="Times New Roman" w:hAnsi="Times New Roman"/>
        </w:rPr>
        <w:t>Съвет</w:t>
      </w:r>
      <w:r>
        <w:rPr>
          <w:rFonts w:ascii="Times New Roman" w:hAnsi="Times New Roman"/>
          <w:lang w:val="pt-PT"/>
        </w:rPr>
        <w:t xml:space="preserve"> (C-358/14), EU:C:2016:323, </w:t>
      </w:r>
      <w:r>
        <w:rPr>
          <w:rFonts w:ascii="Times New Roman" w:hAnsi="Times New Roman"/>
        </w:rPr>
        <w:t>дело</w:t>
      </w:r>
      <w:r>
        <w:rPr>
          <w:rFonts w:ascii="Times New Roman" w:hAnsi="Times New Roman"/>
          <w:lang w:val="pt-PT"/>
        </w:rPr>
        <w:t xml:space="preserve"> Pillbox 38 (C-477/14), EU:C:2016:324,  </w:t>
      </w:r>
      <w:r>
        <w:rPr>
          <w:rFonts w:ascii="Times New Roman" w:hAnsi="Times New Roman"/>
        </w:rPr>
        <w:t>и</w:t>
      </w:r>
      <w:r>
        <w:rPr>
          <w:rFonts w:ascii="Times New Roman" w:hAnsi="Times New Roman"/>
          <w:lang w:val="pt-PT"/>
        </w:rPr>
        <w:t xml:space="preserve"> </w:t>
      </w:r>
      <w:r>
        <w:rPr>
          <w:rFonts w:ascii="Times New Roman" w:hAnsi="Times New Roman"/>
        </w:rPr>
        <w:t>дело</w:t>
      </w:r>
      <w:r>
        <w:rPr>
          <w:rFonts w:ascii="Times New Roman" w:hAnsi="Times New Roman"/>
          <w:lang w:val="pt-PT"/>
        </w:rPr>
        <w:t xml:space="preserve"> Philip Morris (C-547/14), EU:C:2016:325.</w:t>
      </w:r>
    </w:p>
  </w:footnote>
  <w:footnote w:id="43">
    <w:p>
      <w:pPr>
        <w:pStyle w:val="FootnoteText"/>
        <w:ind w:left="284" w:hanging="284"/>
        <w:jc w:val="both"/>
        <w:rPr>
          <w:rFonts w:ascii="Times New Roman" w:hAnsi="Times New Roman" w:cs="Times New Roman"/>
          <w:lang w:val="pt-PT"/>
        </w:rPr>
      </w:pPr>
      <w:r>
        <w:rPr>
          <w:rStyle w:val="FootnoteReference"/>
          <w:rFonts w:ascii="Times New Roman" w:hAnsi="Times New Roman"/>
        </w:rPr>
        <w:footnoteRef/>
      </w:r>
      <w:r>
        <w:rPr>
          <w:rFonts w:ascii="Times New Roman" w:hAnsi="Times New Roman"/>
          <w:lang w:val="pt-PT"/>
        </w:rPr>
        <w:t xml:space="preserve">  </w:t>
      </w:r>
      <w:r>
        <w:rPr>
          <w:lang w:val="pt-PT"/>
        </w:rPr>
        <w:tab/>
      </w:r>
      <w:r>
        <w:rPr>
          <w:rFonts w:ascii="Times New Roman" w:hAnsi="Times New Roman"/>
        </w:rPr>
        <w:t>Директива</w:t>
      </w:r>
      <w:r>
        <w:rPr>
          <w:rFonts w:ascii="Times New Roman" w:hAnsi="Times New Roman"/>
          <w:lang w:val="pt-PT"/>
        </w:rPr>
        <w:t xml:space="preserve"> 2014/40/</w:t>
      </w:r>
      <w:r>
        <w:rPr>
          <w:rFonts w:ascii="Times New Roman" w:hAnsi="Times New Roman"/>
        </w:rPr>
        <w:t>ЕС</w:t>
      </w:r>
      <w:r>
        <w:rPr>
          <w:rFonts w:ascii="Times New Roman" w:hAnsi="Times New Roman"/>
          <w:lang w:val="pt-PT"/>
        </w:rPr>
        <w:t xml:space="preserve"> </w:t>
      </w:r>
      <w:r>
        <w:rPr>
          <w:rFonts w:ascii="Times New Roman" w:hAnsi="Times New Roman"/>
        </w:rPr>
        <w:t>на</w:t>
      </w:r>
      <w:r>
        <w:rPr>
          <w:rFonts w:ascii="Times New Roman" w:hAnsi="Times New Roman"/>
          <w:lang w:val="pt-PT"/>
        </w:rPr>
        <w:t xml:space="preserve"> </w:t>
      </w:r>
      <w:r>
        <w:rPr>
          <w:rFonts w:ascii="Times New Roman" w:hAnsi="Times New Roman"/>
        </w:rPr>
        <w:t>Европейския</w:t>
      </w:r>
      <w:r>
        <w:rPr>
          <w:rFonts w:ascii="Times New Roman" w:hAnsi="Times New Roman"/>
          <w:lang w:val="pt-PT"/>
        </w:rPr>
        <w:t xml:space="preserve"> </w:t>
      </w:r>
      <w:r>
        <w:rPr>
          <w:rFonts w:ascii="Times New Roman" w:hAnsi="Times New Roman"/>
        </w:rPr>
        <w:t>парламент</w:t>
      </w:r>
      <w:r>
        <w:rPr>
          <w:rFonts w:ascii="Times New Roman" w:hAnsi="Times New Roman"/>
          <w:lang w:val="pt-PT"/>
        </w:rPr>
        <w:t xml:space="preserve"> </w:t>
      </w:r>
      <w:r>
        <w:rPr>
          <w:rFonts w:ascii="Times New Roman" w:hAnsi="Times New Roman"/>
        </w:rPr>
        <w:t>и</w:t>
      </w:r>
      <w:r>
        <w:rPr>
          <w:rFonts w:ascii="Times New Roman" w:hAnsi="Times New Roman"/>
          <w:lang w:val="pt-PT"/>
        </w:rPr>
        <w:t xml:space="preserve"> </w:t>
      </w:r>
      <w:r>
        <w:rPr>
          <w:rFonts w:ascii="Times New Roman" w:hAnsi="Times New Roman"/>
        </w:rPr>
        <w:t>на</w:t>
      </w:r>
      <w:r>
        <w:rPr>
          <w:rFonts w:ascii="Times New Roman" w:hAnsi="Times New Roman"/>
          <w:lang w:val="pt-PT"/>
        </w:rPr>
        <w:t xml:space="preserve"> </w:t>
      </w:r>
      <w:r>
        <w:rPr>
          <w:rFonts w:ascii="Times New Roman" w:hAnsi="Times New Roman"/>
        </w:rPr>
        <w:t>Съвета</w:t>
      </w:r>
      <w:r>
        <w:rPr>
          <w:rFonts w:ascii="Times New Roman" w:hAnsi="Times New Roman"/>
          <w:lang w:val="pt-PT"/>
        </w:rPr>
        <w:t xml:space="preserve"> </w:t>
      </w:r>
      <w:r>
        <w:rPr>
          <w:rFonts w:ascii="Times New Roman" w:hAnsi="Times New Roman"/>
        </w:rPr>
        <w:t>от</w:t>
      </w:r>
      <w:r>
        <w:rPr>
          <w:rFonts w:ascii="Times New Roman" w:hAnsi="Times New Roman"/>
          <w:lang w:val="pt-PT"/>
        </w:rPr>
        <w:t xml:space="preserve"> 3 </w:t>
      </w:r>
      <w:r>
        <w:rPr>
          <w:rFonts w:ascii="Times New Roman" w:hAnsi="Times New Roman"/>
        </w:rPr>
        <w:t>април</w:t>
      </w:r>
      <w:r>
        <w:rPr>
          <w:rFonts w:ascii="Times New Roman" w:hAnsi="Times New Roman"/>
          <w:lang w:val="pt-PT"/>
        </w:rPr>
        <w:t xml:space="preserve"> 2014 </w:t>
      </w:r>
      <w:r>
        <w:rPr>
          <w:rFonts w:ascii="Times New Roman" w:hAnsi="Times New Roman"/>
        </w:rPr>
        <w:t>г</w:t>
      </w:r>
      <w:r>
        <w:rPr>
          <w:rFonts w:ascii="Times New Roman" w:hAnsi="Times New Roman"/>
          <w:lang w:val="pt-PT"/>
        </w:rPr>
        <w:t xml:space="preserve">. </w:t>
      </w:r>
      <w:r>
        <w:rPr>
          <w:rFonts w:ascii="Times New Roman" w:hAnsi="Times New Roman"/>
        </w:rPr>
        <w:t>за</w:t>
      </w:r>
      <w:r>
        <w:rPr>
          <w:rFonts w:ascii="Times New Roman" w:hAnsi="Times New Roman"/>
          <w:lang w:val="pt-PT"/>
        </w:rPr>
        <w:t xml:space="preserve"> </w:t>
      </w:r>
      <w:r>
        <w:rPr>
          <w:rFonts w:ascii="Times New Roman" w:hAnsi="Times New Roman"/>
        </w:rPr>
        <w:t>сближаване</w:t>
      </w:r>
      <w:r>
        <w:rPr>
          <w:rFonts w:ascii="Times New Roman" w:hAnsi="Times New Roman"/>
          <w:lang w:val="pt-PT"/>
        </w:rPr>
        <w:t xml:space="preserve"> </w:t>
      </w:r>
      <w:r>
        <w:rPr>
          <w:rFonts w:ascii="Times New Roman" w:hAnsi="Times New Roman"/>
        </w:rPr>
        <w:t>на</w:t>
      </w:r>
      <w:r>
        <w:rPr>
          <w:rFonts w:ascii="Times New Roman" w:hAnsi="Times New Roman"/>
          <w:lang w:val="pt-PT"/>
        </w:rPr>
        <w:t xml:space="preserve"> </w:t>
      </w:r>
      <w:r>
        <w:rPr>
          <w:rFonts w:ascii="Times New Roman" w:hAnsi="Times New Roman"/>
        </w:rPr>
        <w:t>законовите</w:t>
      </w:r>
      <w:r>
        <w:rPr>
          <w:rFonts w:ascii="Times New Roman" w:hAnsi="Times New Roman"/>
          <w:lang w:val="pt-PT"/>
        </w:rPr>
        <w:t xml:space="preserve">, </w:t>
      </w:r>
      <w:r>
        <w:rPr>
          <w:rFonts w:ascii="Times New Roman" w:hAnsi="Times New Roman"/>
        </w:rPr>
        <w:t>подзаконовите</w:t>
      </w:r>
      <w:r>
        <w:rPr>
          <w:rFonts w:ascii="Times New Roman" w:hAnsi="Times New Roman"/>
          <w:lang w:val="pt-PT"/>
        </w:rPr>
        <w:t xml:space="preserve"> </w:t>
      </w:r>
      <w:r>
        <w:rPr>
          <w:rFonts w:ascii="Times New Roman" w:hAnsi="Times New Roman"/>
        </w:rPr>
        <w:t>и</w:t>
      </w:r>
      <w:r>
        <w:rPr>
          <w:rFonts w:ascii="Times New Roman" w:hAnsi="Times New Roman"/>
          <w:lang w:val="pt-PT"/>
        </w:rPr>
        <w:t xml:space="preserve"> </w:t>
      </w:r>
      <w:r>
        <w:rPr>
          <w:rFonts w:ascii="Times New Roman" w:hAnsi="Times New Roman"/>
        </w:rPr>
        <w:t>административните</w:t>
      </w:r>
      <w:r>
        <w:rPr>
          <w:rFonts w:ascii="Times New Roman" w:hAnsi="Times New Roman"/>
          <w:lang w:val="pt-PT"/>
        </w:rPr>
        <w:t xml:space="preserve"> </w:t>
      </w:r>
      <w:r>
        <w:rPr>
          <w:rFonts w:ascii="Times New Roman" w:hAnsi="Times New Roman"/>
        </w:rPr>
        <w:t>разпоредби</w:t>
      </w:r>
      <w:r>
        <w:rPr>
          <w:rFonts w:ascii="Times New Roman" w:hAnsi="Times New Roman"/>
          <w:lang w:val="pt-PT"/>
        </w:rPr>
        <w:t xml:space="preserve"> </w:t>
      </w:r>
      <w:r>
        <w:rPr>
          <w:rFonts w:ascii="Times New Roman" w:hAnsi="Times New Roman"/>
        </w:rPr>
        <w:t>на</w:t>
      </w:r>
      <w:r>
        <w:rPr>
          <w:rFonts w:ascii="Times New Roman" w:hAnsi="Times New Roman"/>
          <w:lang w:val="pt-PT"/>
        </w:rPr>
        <w:t xml:space="preserve"> </w:t>
      </w:r>
      <w:r>
        <w:rPr>
          <w:rFonts w:ascii="Times New Roman" w:hAnsi="Times New Roman"/>
        </w:rPr>
        <w:t>държавите</w:t>
      </w:r>
      <w:r>
        <w:rPr>
          <w:rFonts w:ascii="Times New Roman" w:hAnsi="Times New Roman"/>
          <w:lang w:val="pt-PT"/>
        </w:rPr>
        <w:t xml:space="preserve"> </w:t>
      </w:r>
      <w:r>
        <w:rPr>
          <w:rFonts w:ascii="Times New Roman" w:hAnsi="Times New Roman"/>
        </w:rPr>
        <w:t>членки</w:t>
      </w:r>
      <w:r>
        <w:rPr>
          <w:rFonts w:ascii="Times New Roman" w:hAnsi="Times New Roman"/>
          <w:lang w:val="pt-PT"/>
        </w:rPr>
        <w:t xml:space="preserve"> </w:t>
      </w:r>
      <w:r>
        <w:rPr>
          <w:rFonts w:ascii="Times New Roman" w:hAnsi="Times New Roman"/>
        </w:rPr>
        <w:t>относно</w:t>
      </w:r>
      <w:r>
        <w:rPr>
          <w:rFonts w:ascii="Times New Roman" w:hAnsi="Times New Roman"/>
          <w:lang w:val="pt-PT"/>
        </w:rPr>
        <w:t xml:space="preserve"> </w:t>
      </w:r>
      <w:r>
        <w:rPr>
          <w:rFonts w:ascii="Times New Roman" w:hAnsi="Times New Roman"/>
        </w:rPr>
        <w:t>производството</w:t>
      </w:r>
      <w:r>
        <w:rPr>
          <w:rFonts w:ascii="Times New Roman" w:hAnsi="Times New Roman"/>
          <w:lang w:val="pt-PT"/>
        </w:rPr>
        <w:t xml:space="preserve">, </w:t>
      </w:r>
      <w:r>
        <w:rPr>
          <w:rFonts w:ascii="Times New Roman" w:hAnsi="Times New Roman"/>
        </w:rPr>
        <w:t>представянето</w:t>
      </w:r>
      <w:r>
        <w:rPr>
          <w:rFonts w:ascii="Times New Roman" w:hAnsi="Times New Roman"/>
          <w:lang w:val="pt-PT"/>
        </w:rPr>
        <w:t xml:space="preserve"> </w:t>
      </w:r>
      <w:r>
        <w:rPr>
          <w:rFonts w:ascii="Times New Roman" w:hAnsi="Times New Roman"/>
        </w:rPr>
        <w:t>и</w:t>
      </w:r>
      <w:r>
        <w:rPr>
          <w:rFonts w:ascii="Times New Roman" w:hAnsi="Times New Roman"/>
          <w:lang w:val="pt-PT"/>
        </w:rPr>
        <w:t xml:space="preserve"> </w:t>
      </w:r>
      <w:r>
        <w:rPr>
          <w:rFonts w:ascii="Times New Roman" w:hAnsi="Times New Roman"/>
        </w:rPr>
        <w:t>продажбата</w:t>
      </w:r>
      <w:r>
        <w:rPr>
          <w:rFonts w:ascii="Times New Roman" w:hAnsi="Times New Roman"/>
          <w:lang w:val="pt-PT"/>
        </w:rPr>
        <w:t xml:space="preserve"> </w:t>
      </w:r>
      <w:r>
        <w:rPr>
          <w:rFonts w:ascii="Times New Roman" w:hAnsi="Times New Roman"/>
        </w:rPr>
        <w:t>на</w:t>
      </w:r>
      <w:r>
        <w:rPr>
          <w:rFonts w:ascii="Times New Roman" w:hAnsi="Times New Roman"/>
          <w:lang w:val="pt-PT"/>
        </w:rPr>
        <w:t xml:space="preserve"> </w:t>
      </w:r>
      <w:r>
        <w:rPr>
          <w:rFonts w:ascii="Times New Roman" w:hAnsi="Times New Roman"/>
        </w:rPr>
        <w:t>тютюневи</w:t>
      </w:r>
      <w:r>
        <w:rPr>
          <w:rFonts w:ascii="Times New Roman" w:hAnsi="Times New Roman"/>
          <w:lang w:val="pt-PT"/>
        </w:rPr>
        <w:t xml:space="preserve"> </w:t>
      </w:r>
      <w:r>
        <w:rPr>
          <w:rFonts w:ascii="Times New Roman" w:hAnsi="Times New Roman"/>
        </w:rPr>
        <w:t>и</w:t>
      </w:r>
      <w:r>
        <w:rPr>
          <w:rFonts w:ascii="Times New Roman" w:hAnsi="Times New Roman"/>
          <w:lang w:val="pt-PT"/>
        </w:rPr>
        <w:t xml:space="preserve"> </w:t>
      </w:r>
      <w:r>
        <w:rPr>
          <w:rFonts w:ascii="Times New Roman" w:hAnsi="Times New Roman"/>
        </w:rPr>
        <w:t>свързани</w:t>
      </w:r>
      <w:r>
        <w:rPr>
          <w:rFonts w:ascii="Times New Roman" w:hAnsi="Times New Roman"/>
          <w:lang w:val="pt-PT"/>
        </w:rPr>
        <w:t xml:space="preserve"> </w:t>
      </w:r>
      <w:r>
        <w:rPr>
          <w:rFonts w:ascii="Times New Roman" w:hAnsi="Times New Roman"/>
        </w:rPr>
        <w:t>с</w:t>
      </w:r>
      <w:r>
        <w:rPr>
          <w:rFonts w:ascii="Times New Roman" w:hAnsi="Times New Roman"/>
          <w:lang w:val="pt-PT"/>
        </w:rPr>
        <w:t xml:space="preserve"> </w:t>
      </w:r>
      <w:r>
        <w:rPr>
          <w:rFonts w:ascii="Times New Roman" w:hAnsi="Times New Roman"/>
        </w:rPr>
        <w:t>тях</w:t>
      </w:r>
      <w:r>
        <w:rPr>
          <w:rFonts w:ascii="Times New Roman" w:hAnsi="Times New Roman"/>
          <w:lang w:val="pt-PT"/>
        </w:rPr>
        <w:t xml:space="preserve"> </w:t>
      </w:r>
      <w:r>
        <w:rPr>
          <w:rFonts w:ascii="Times New Roman" w:hAnsi="Times New Roman"/>
        </w:rPr>
        <w:t>изделия</w:t>
      </w:r>
      <w:r>
        <w:rPr>
          <w:rFonts w:ascii="Times New Roman" w:hAnsi="Times New Roman"/>
          <w:lang w:val="pt-PT"/>
        </w:rPr>
        <w:t xml:space="preserve"> (</w:t>
      </w:r>
      <w:r>
        <w:rPr>
          <w:rFonts w:ascii="Times New Roman" w:hAnsi="Times New Roman"/>
        </w:rPr>
        <w:t>ОВ</w:t>
      </w:r>
      <w:r>
        <w:rPr>
          <w:rFonts w:ascii="Times New Roman" w:hAnsi="Times New Roman"/>
          <w:lang w:val="pt-PT"/>
        </w:rPr>
        <w:t xml:space="preserve"> L 127, 29.4.2014 </w:t>
      </w:r>
      <w:r>
        <w:rPr>
          <w:rFonts w:ascii="Times New Roman" w:hAnsi="Times New Roman"/>
        </w:rPr>
        <w:t>г</w:t>
      </w:r>
      <w:r>
        <w:rPr>
          <w:rFonts w:ascii="Times New Roman" w:hAnsi="Times New Roman"/>
          <w:lang w:val="pt-PT"/>
        </w:rPr>
        <w:t xml:space="preserve">., </w:t>
      </w:r>
      <w:r>
        <w:rPr>
          <w:rFonts w:ascii="Times New Roman" w:hAnsi="Times New Roman"/>
        </w:rPr>
        <w:t>стр</w:t>
      </w:r>
      <w:r>
        <w:rPr>
          <w:rFonts w:ascii="Times New Roman" w:hAnsi="Times New Roman"/>
          <w:lang w:val="pt-PT"/>
        </w:rPr>
        <w:t>. 1—38).</w:t>
      </w:r>
    </w:p>
  </w:footnote>
  <w:footnote w:id="44">
    <w:p>
      <w:pPr>
        <w:pStyle w:val="FootnoteText"/>
        <w:ind w:left="284" w:hanging="284"/>
        <w:jc w:val="both"/>
        <w:rPr>
          <w:rFonts w:asciiTheme="majorBidi" w:hAnsiTheme="majorBidi" w:cstheme="majorBidi"/>
          <w:lang w:val="pt-PT"/>
        </w:rPr>
      </w:pPr>
      <w:r>
        <w:rPr>
          <w:rStyle w:val="FootnoteReference"/>
          <w:rFonts w:ascii="Times New Roman" w:hAnsi="Times New Roman"/>
        </w:rPr>
        <w:footnoteRef/>
      </w:r>
      <w:r>
        <w:rPr>
          <w:rFonts w:ascii="Times New Roman" w:hAnsi="Times New Roman"/>
          <w:lang w:val="pt-PT"/>
        </w:rPr>
        <w:t xml:space="preserve"> </w:t>
      </w:r>
      <w:r>
        <w:rPr>
          <w:lang w:val="pt-PT"/>
        </w:rPr>
        <w:tab/>
      </w:r>
      <w:r>
        <w:rPr>
          <w:rFonts w:ascii="Times New Roman" w:hAnsi="Times New Roman"/>
        </w:rPr>
        <w:t>Дело</w:t>
      </w:r>
      <w:r>
        <w:rPr>
          <w:rFonts w:ascii="Times New Roman" w:hAnsi="Times New Roman"/>
          <w:lang w:val="pt-PT"/>
        </w:rPr>
        <w:t xml:space="preserve"> </w:t>
      </w:r>
      <w:r>
        <w:rPr>
          <w:rFonts w:ascii="Times New Roman" w:hAnsi="Times New Roman"/>
        </w:rPr>
        <w:t>Полша</w:t>
      </w:r>
      <w:r>
        <w:rPr>
          <w:rFonts w:ascii="Times New Roman" w:hAnsi="Times New Roman"/>
          <w:lang w:val="pt-PT"/>
        </w:rPr>
        <w:t>/</w:t>
      </w:r>
      <w:r>
        <w:rPr>
          <w:rFonts w:ascii="Times New Roman" w:hAnsi="Times New Roman"/>
        </w:rPr>
        <w:t>Парламент</w:t>
      </w:r>
      <w:r>
        <w:rPr>
          <w:rFonts w:ascii="Times New Roman" w:hAnsi="Times New Roman"/>
          <w:lang w:val="pt-PT"/>
        </w:rPr>
        <w:t xml:space="preserve"> </w:t>
      </w:r>
      <w:r>
        <w:rPr>
          <w:rFonts w:ascii="Times New Roman" w:hAnsi="Times New Roman"/>
        </w:rPr>
        <w:t>и</w:t>
      </w:r>
      <w:r>
        <w:rPr>
          <w:rFonts w:ascii="Times New Roman" w:hAnsi="Times New Roman"/>
          <w:lang w:val="pt-PT"/>
        </w:rPr>
        <w:t xml:space="preserve"> </w:t>
      </w:r>
      <w:r>
        <w:rPr>
          <w:rFonts w:ascii="Times New Roman" w:hAnsi="Times New Roman"/>
        </w:rPr>
        <w:t>Съвет</w:t>
      </w:r>
      <w:r>
        <w:rPr>
          <w:rFonts w:ascii="Times New Roman" w:hAnsi="Times New Roman"/>
          <w:lang w:val="pt-PT"/>
        </w:rPr>
        <w:t xml:space="preserve">, </w:t>
      </w:r>
      <w:r>
        <w:rPr>
          <w:rFonts w:ascii="Times New Roman" w:hAnsi="Times New Roman"/>
        </w:rPr>
        <w:t>точки</w:t>
      </w:r>
      <w:r>
        <w:rPr>
          <w:rFonts w:ascii="Times New Roman" w:hAnsi="Times New Roman"/>
          <w:lang w:val="pt-PT"/>
        </w:rPr>
        <w:t xml:space="preserve"> 112 </w:t>
      </w:r>
      <w:r>
        <w:rPr>
          <w:rFonts w:ascii="Times New Roman" w:hAnsi="Times New Roman"/>
        </w:rPr>
        <w:t>и</w:t>
      </w:r>
      <w:r>
        <w:rPr>
          <w:rFonts w:ascii="Times New Roman" w:hAnsi="Times New Roman"/>
          <w:lang w:val="pt-PT"/>
        </w:rPr>
        <w:t xml:space="preserve"> 113, </w:t>
      </w:r>
      <w:r>
        <w:rPr>
          <w:rFonts w:ascii="Times New Roman" w:hAnsi="Times New Roman"/>
        </w:rPr>
        <w:t>дело</w:t>
      </w:r>
      <w:r>
        <w:rPr>
          <w:rFonts w:ascii="Times New Roman" w:hAnsi="Times New Roman"/>
          <w:lang w:val="pt-PT"/>
        </w:rPr>
        <w:t xml:space="preserve"> Pillbox 38, </w:t>
      </w:r>
      <w:r>
        <w:rPr>
          <w:rFonts w:ascii="Times New Roman" w:hAnsi="Times New Roman"/>
        </w:rPr>
        <w:t>точки</w:t>
      </w:r>
      <w:r>
        <w:rPr>
          <w:rFonts w:ascii="Times New Roman" w:hAnsi="Times New Roman"/>
          <w:lang w:val="pt-PT"/>
        </w:rPr>
        <w:t xml:space="preserve"> 145 </w:t>
      </w:r>
      <w:r>
        <w:rPr>
          <w:rFonts w:ascii="Times New Roman" w:hAnsi="Times New Roman"/>
        </w:rPr>
        <w:t>и</w:t>
      </w:r>
      <w:r>
        <w:rPr>
          <w:rFonts w:ascii="Times New Roman" w:hAnsi="Times New Roman"/>
          <w:lang w:val="pt-PT"/>
        </w:rPr>
        <w:t xml:space="preserve"> 146, </w:t>
      </w:r>
      <w:r>
        <w:rPr>
          <w:rFonts w:ascii="Times New Roman" w:hAnsi="Times New Roman"/>
        </w:rPr>
        <w:t>и</w:t>
      </w:r>
      <w:r>
        <w:rPr>
          <w:rFonts w:ascii="Times New Roman" w:hAnsi="Times New Roman"/>
          <w:lang w:val="pt-PT"/>
        </w:rPr>
        <w:t xml:space="preserve"> </w:t>
      </w:r>
      <w:r>
        <w:rPr>
          <w:rFonts w:ascii="Times New Roman" w:hAnsi="Times New Roman"/>
        </w:rPr>
        <w:t>дело</w:t>
      </w:r>
      <w:r>
        <w:rPr>
          <w:rFonts w:ascii="Times New Roman" w:hAnsi="Times New Roman"/>
          <w:lang w:val="pt-PT"/>
        </w:rPr>
        <w:t xml:space="preserve"> Philip Morris, </w:t>
      </w:r>
      <w:r>
        <w:rPr>
          <w:rFonts w:ascii="Times New Roman" w:hAnsi="Times New Roman"/>
        </w:rPr>
        <w:t>точки</w:t>
      </w:r>
      <w:r>
        <w:rPr>
          <w:rFonts w:ascii="Times New Roman" w:hAnsi="Times New Roman"/>
          <w:lang w:val="pt-PT"/>
        </w:rPr>
        <w:t xml:space="preserve"> 216 </w:t>
      </w:r>
      <w:r>
        <w:rPr>
          <w:rFonts w:ascii="Times New Roman" w:hAnsi="Times New Roman"/>
        </w:rPr>
        <w:t>и</w:t>
      </w:r>
      <w:r>
        <w:rPr>
          <w:rFonts w:ascii="Times New Roman" w:hAnsi="Times New Roman"/>
          <w:lang w:val="pt-PT"/>
        </w:rPr>
        <w:t xml:space="preserve"> 217.</w:t>
      </w:r>
    </w:p>
  </w:footnote>
  <w:footnote w:id="45">
    <w:p>
      <w:pPr>
        <w:pStyle w:val="FootnoteText"/>
        <w:ind w:left="284" w:hanging="284"/>
        <w:jc w:val="both"/>
        <w:rPr>
          <w:rFonts w:asciiTheme="majorBidi" w:hAnsiTheme="majorBidi" w:cstheme="majorBidi"/>
          <w:lang w:val="pt-PT"/>
        </w:rPr>
      </w:pPr>
      <w:r>
        <w:rPr>
          <w:rStyle w:val="FootnoteReference"/>
          <w:rFonts w:asciiTheme="majorBidi" w:hAnsiTheme="majorBidi" w:cstheme="majorBidi"/>
        </w:rPr>
        <w:footnoteRef/>
      </w:r>
      <w:r>
        <w:rPr>
          <w:rFonts w:asciiTheme="majorBidi" w:hAnsiTheme="majorBidi" w:cstheme="majorBidi"/>
          <w:lang w:val="pt-PT"/>
        </w:rPr>
        <w:t xml:space="preserve"> </w:t>
      </w:r>
      <w:r>
        <w:rPr>
          <w:lang w:val="pt-PT"/>
        </w:rPr>
        <w:tab/>
      </w:r>
      <w:r>
        <w:rPr>
          <w:rFonts w:asciiTheme="majorBidi" w:hAnsiTheme="majorBidi" w:cstheme="majorBidi"/>
        </w:rPr>
        <w:t>Дело</w:t>
      </w:r>
      <w:r>
        <w:rPr>
          <w:rFonts w:asciiTheme="majorBidi" w:hAnsiTheme="majorBidi" w:cstheme="majorBidi"/>
          <w:lang w:val="pt-PT"/>
        </w:rPr>
        <w:t xml:space="preserve"> </w:t>
      </w:r>
      <w:r>
        <w:rPr>
          <w:rFonts w:asciiTheme="majorBidi" w:hAnsiTheme="majorBidi" w:cstheme="majorBidi"/>
        </w:rPr>
        <w:t>Полша</w:t>
      </w:r>
      <w:r>
        <w:rPr>
          <w:rFonts w:asciiTheme="majorBidi" w:hAnsiTheme="majorBidi" w:cstheme="majorBidi"/>
          <w:lang w:val="pt-PT"/>
        </w:rPr>
        <w:t>/</w:t>
      </w:r>
      <w:r>
        <w:rPr>
          <w:rFonts w:asciiTheme="majorBidi" w:hAnsiTheme="majorBidi" w:cstheme="majorBidi"/>
        </w:rPr>
        <w:t>Парламент</w:t>
      </w:r>
      <w:r>
        <w:rPr>
          <w:rFonts w:asciiTheme="majorBidi" w:hAnsiTheme="majorBidi" w:cstheme="majorBidi"/>
          <w:lang w:val="pt-PT"/>
        </w:rPr>
        <w:t xml:space="preserve"> </w:t>
      </w:r>
      <w:r>
        <w:rPr>
          <w:rFonts w:asciiTheme="majorBidi" w:hAnsiTheme="majorBidi" w:cstheme="majorBidi"/>
        </w:rPr>
        <w:t>и</w:t>
      </w:r>
      <w:r>
        <w:rPr>
          <w:rFonts w:asciiTheme="majorBidi" w:hAnsiTheme="majorBidi" w:cstheme="majorBidi"/>
          <w:lang w:val="pt-PT"/>
        </w:rPr>
        <w:t xml:space="preserve"> </w:t>
      </w:r>
      <w:r>
        <w:rPr>
          <w:rFonts w:asciiTheme="majorBidi" w:hAnsiTheme="majorBidi" w:cstheme="majorBidi"/>
        </w:rPr>
        <w:t>Съвет</w:t>
      </w:r>
      <w:r>
        <w:rPr>
          <w:rFonts w:asciiTheme="majorBidi" w:hAnsiTheme="majorBidi" w:cstheme="majorBidi"/>
          <w:lang w:val="pt-PT"/>
        </w:rPr>
        <w:t xml:space="preserve">, </w:t>
      </w:r>
      <w:r>
        <w:rPr>
          <w:rFonts w:asciiTheme="majorBidi" w:hAnsiTheme="majorBidi" w:cstheme="majorBidi"/>
        </w:rPr>
        <w:t>точки</w:t>
      </w:r>
      <w:r>
        <w:rPr>
          <w:rFonts w:asciiTheme="majorBidi" w:hAnsiTheme="majorBidi" w:cstheme="majorBidi"/>
          <w:lang w:val="pt-PT"/>
        </w:rPr>
        <w:t xml:space="preserve"> 115—121 </w:t>
      </w:r>
      <w:r>
        <w:rPr>
          <w:rFonts w:asciiTheme="majorBidi" w:hAnsiTheme="majorBidi" w:cstheme="majorBidi"/>
        </w:rPr>
        <w:t>и</w:t>
      </w:r>
      <w:r>
        <w:rPr>
          <w:rFonts w:asciiTheme="majorBidi" w:hAnsiTheme="majorBidi" w:cstheme="majorBidi"/>
          <w:lang w:val="pt-PT"/>
        </w:rPr>
        <w:t xml:space="preserve"> </w:t>
      </w:r>
      <w:r>
        <w:rPr>
          <w:rFonts w:asciiTheme="majorBidi" w:hAnsiTheme="majorBidi" w:cstheme="majorBidi"/>
        </w:rPr>
        <w:t>дело</w:t>
      </w:r>
      <w:r>
        <w:rPr>
          <w:rFonts w:asciiTheme="majorBidi" w:hAnsiTheme="majorBidi" w:cstheme="majorBidi"/>
          <w:lang w:val="pt-PT"/>
        </w:rPr>
        <w:t xml:space="preserve"> Philip Morris, </w:t>
      </w:r>
      <w:r>
        <w:rPr>
          <w:rFonts w:asciiTheme="majorBidi" w:hAnsiTheme="majorBidi" w:cstheme="majorBidi"/>
        </w:rPr>
        <w:t>точки</w:t>
      </w:r>
      <w:r>
        <w:rPr>
          <w:rFonts w:asciiTheme="majorBidi" w:hAnsiTheme="majorBidi" w:cstheme="majorBidi"/>
          <w:lang w:val="pt-PT"/>
        </w:rPr>
        <w:t xml:space="preserve"> 219—224, </w:t>
      </w:r>
      <w:r>
        <w:rPr>
          <w:rFonts w:asciiTheme="majorBidi" w:hAnsiTheme="majorBidi" w:cstheme="majorBidi"/>
        </w:rPr>
        <w:t>с</w:t>
      </w:r>
      <w:r>
        <w:rPr>
          <w:rFonts w:asciiTheme="majorBidi" w:hAnsiTheme="majorBidi" w:cstheme="majorBidi"/>
          <w:lang w:val="pt-PT"/>
        </w:rPr>
        <w:t xml:space="preserve"> </w:t>
      </w:r>
      <w:r>
        <w:rPr>
          <w:rFonts w:asciiTheme="majorBidi" w:hAnsiTheme="majorBidi" w:cstheme="majorBidi"/>
        </w:rPr>
        <w:t>позоваване</w:t>
      </w:r>
      <w:r>
        <w:rPr>
          <w:rFonts w:asciiTheme="majorBidi" w:hAnsiTheme="majorBidi" w:cstheme="majorBidi"/>
          <w:lang w:val="pt-PT"/>
        </w:rPr>
        <w:t xml:space="preserve"> </w:t>
      </w:r>
      <w:r>
        <w:rPr>
          <w:rFonts w:asciiTheme="majorBidi" w:hAnsiTheme="majorBidi" w:cstheme="majorBidi"/>
        </w:rPr>
        <w:t>на</w:t>
      </w:r>
      <w:r>
        <w:rPr>
          <w:rFonts w:asciiTheme="majorBidi" w:hAnsiTheme="majorBidi" w:cstheme="majorBidi"/>
          <w:lang w:val="pt-PT"/>
        </w:rPr>
        <w:t xml:space="preserve"> </w:t>
      </w:r>
      <w:r>
        <w:rPr>
          <w:rFonts w:asciiTheme="majorBidi" w:hAnsiTheme="majorBidi" w:cstheme="majorBidi"/>
        </w:rPr>
        <w:t>дело</w:t>
      </w:r>
      <w:r>
        <w:rPr>
          <w:rFonts w:asciiTheme="majorBidi" w:hAnsiTheme="majorBidi" w:cstheme="majorBidi"/>
          <w:lang w:val="pt-PT"/>
        </w:rPr>
        <w:t xml:space="preserve"> </w:t>
      </w:r>
      <w:r>
        <w:rPr>
          <w:rFonts w:asciiTheme="majorBidi" w:hAnsiTheme="majorBidi" w:cstheme="majorBidi"/>
        </w:rPr>
        <w:t>Естония</w:t>
      </w:r>
      <w:r>
        <w:rPr>
          <w:rFonts w:asciiTheme="majorBidi" w:hAnsiTheme="majorBidi" w:cstheme="majorBidi"/>
          <w:lang w:val="pt-PT"/>
        </w:rPr>
        <w:t>/</w:t>
      </w:r>
      <w:r>
        <w:rPr>
          <w:rFonts w:asciiTheme="majorBidi" w:hAnsiTheme="majorBidi" w:cstheme="majorBidi"/>
        </w:rPr>
        <w:t>Парламент</w:t>
      </w:r>
      <w:r>
        <w:rPr>
          <w:rFonts w:asciiTheme="majorBidi" w:hAnsiTheme="majorBidi" w:cstheme="majorBidi"/>
          <w:lang w:val="pt-PT"/>
        </w:rPr>
        <w:t xml:space="preserve"> </w:t>
      </w:r>
      <w:r>
        <w:rPr>
          <w:rFonts w:asciiTheme="majorBidi" w:hAnsiTheme="majorBidi" w:cstheme="majorBidi"/>
        </w:rPr>
        <w:t>и</w:t>
      </w:r>
      <w:r>
        <w:rPr>
          <w:rFonts w:asciiTheme="majorBidi" w:hAnsiTheme="majorBidi" w:cstheme="majorBidi"/>
          <w:lang w:val="pt-PT"/>
        </w:rPr>
        <w:t xml:space="preserve"> </w:t>
      </w:r>
      <w:r>
        <w:rPr>
          <w:rFonts w:asciiTheme="majorBidi" w:hAnsiTheme="majorBidi" w:cstheme="majorBidi"/>
        </w:rPr>
        <w:t>Съвет</w:t>
      </w:r>
      <w:r>
        <w:rPr>
          <w:rFonts w:asciiTheme="majorBidi" w:hAnsiTheme="majorBidi" w:cstheme="majorBidi"/>
          <w:lang w:val="pt-PT"/>
        </w:rPr>
        <w:t xml:space="preserve"> (C-508/13), EU:C:2015:403, </w:t>
      </w:r>
      <w:r>
        <w:rPr>
          <w:rFonts w:asciiTheme="majorBidi" w:hAnsiTheme="majorBidi" w:cstheme="majorBidi"/>
        </w:rPr>
        <w:t>точки</w:t>
      </w:r>
      <w:r>
        <w:rPr>
          <w:rFonts w:asciiTheme="majorBidi" w:hAnsiTheme="majorBidi" w:cstheme="majorBidi"/>
          <w:lang w:val="pt-PT"/>
        </w:rPr>
        <w:t xml:space="preserve"> 48 </w:t>
      </w:r>
      <w:r>
        <w:rPr>
          <w:rFonts w:asciiTheme="majorBidi" w:hAnsiTheme="majorBidi" w:cstheme="majorBidi"/>
        </w:rPr>
        <w:t>и</w:t>
      </w:r>
      <w:r>
        <w:rPr>
          <w:rFonts w:asciiTheme="majorBidi" w:hAnsiTheme="majorBidi" w:cstheme="majorBidi"/>
          <w:lang w:val="pt-PT"/>
        </w:rPr>
        <w:t xml:space="preserve"> 53.</w:t>
      </w:r>
    </w:p>
  </w:footnote>
  <w:footnote w:id="46">
    <w:p>
      <w:pPr>
        <w:pStyle w:val="FootnoteText"/>
        <w:ind w:left="284" w:hanging="284"/>
        <w:jc w:val="both"/>
        <w:rPr>
          <w:lang w:val="pt-PT"/>
        </w:rPr>
      </w:pPr>
      <w:r>
        <w:rPr>
          <w:rStyle w:val="FootnoteReference"/>
          <w:rFonts w:asciiTheme="majorBidi" w:hAnsiTheme="majorBidi" w:cstheme="majorBidi"/>
        </w:rPr>
        <w:footnoteRef/>
      </w:r>
      <w:r>
        <w:rPr>
          <w:rFonts w:asciiTheme="majorBidi" w:hAnsiTheme="majorBidi" w:cstheme="majorBidi"/>
          <w:lang w:val="pt-PT"/>
        </w:rPr>
        <w:t xml:space="preserve"> </w:t>
      </w:r>
      <w:r>
        <w:rPr>
          <w:lang w:val="pt-PT"/>
        </w:rPr>
        <w:tab/>
      </w:r>
      <w:r>
        <w:rPr>
          <w:rFonts w:asciiTheme="majorBidi" w:hAnsiTheme="majorBidi" w:cstheme="majorBidi"/>
        </w:rPr>
        <w:t>Дело</w:t>
      </w:r>
      <w:r>
        <w:rPr>
          <w:rFonts w:asciiTheme="majorBidi" w:hAnsiTheme="majorBidi" w:cstheme="majorBidi"/>
          <w:lang w:val="pt-PT"/>
        </w:rPr>
        <w:t xml:space="preserve"> </w:t>
      </w:r>
      <w:r>
        <w:rPr>
          <w:rFonts w:asciiTheme="majorBidi" w:hAnsiTheme="majorBidi" w:cstheme="majorBidi"/>
        </w:rPr>
        <w:t>Полша</w:t>
      </w:r>
      <w:r>
        <w:rPr>
          <w:rFonts w:asciiTheme="majorBidi" w:hAnsiTheme="majorBidi" w:cstheme="majorBidi"/>
          <w:lang w:val="pt-PT"/>
        </w:rPr>
        <w:t>/</w:t>
      </w:r>
      <w:r>
        <w:rPr>
          <w:rFonts w:asciiTheme="majorBidi" w:hAnsiTheme="majorBidi" w:cstheme="majorBidi"/>
        </w:rPr>
        <w:t>Парламент</w:t>
      </w:r>
      <w:r>
        <w:rPr>
          <w:rFonts w:asciiTheme="majorBidi" w:hAnsiTheme="majorBidi" w:cstheme="majorBidi"/>
          <w:lang w:val="pt-PT"/>
        </w:rPr>
        <w:t xml:space="preserve"> </w:t>
      </w:r>
      <w:r>
        <w:rPr>
          <w:rFonts w:asciiTheme="majorBidi" w:hAnsiTheme="majorBidi" w:cstheme="majorBidi"/>
        </w:rPr>
        <w:t>и</w:t>
      </w:r>
      <w:r>
        <w:rPr>
          <w:rFonts w:asciiTheme="majorBidi" w:hAnsiTheme="majorBidi" w:cstheme="majorBidi"/>
          <w:lang w:val="pt-PT"/>
        </w:rPr>
        <w:t xml:space="preserve"> </w:t>
      </w:r>
      <w:r>
        <w:rPr>
          <w:rFonts w:asciiTheme="majorBidi" w:hAnsiTheme="majorBidi" w:cstheme="majorBidi"/>
        </w:rPr>
        <w:t>Съвет</w:t>
      </w:r>
      <w:r>
        <w:rPr>
          <w:rFonts w:asciiTheme="majorBidi" w:hAnsiTheme="majorBidi" w:cstheme="majorBidi"/>
          <w:lang w:val="pt-PT"/>
        </w:rPr>
        <w:t xml:space="preserve">, </w:t>
      </w:r>
      <w:r>
        <w:rPr>
          <w:rFonts w:asciiTheme="majorBidi" w:hAnsiTheme="majorBidi" w:cstheme="majorBidi"/>
        </w:rPr>
        <w:t>точки</w:t>
      </w:r>
      <w:r>
        <w:rPr>
          <w:rFonts w:asciiTheme="majorBidi" w:hAnsiTheme="majorBidi" w:cstheme="majorBidi"/>
          <w:lang w:val="pt-PT"/>
        </w:rPr>
        <w:t xml:space="preserve"> 122—125,</w:t>
      </w:r>
      <w:r>
        <w:rPr>
          <w:rFonts w:asciiTheme="majorBidi" w:hAnsiTheme="majorBidi" w:cstheme="majorBidi"/>
          <w:i/>
          <w:lang w:val="pt-PT"/>
        </w:rPr>
        <w:t xml:space="preserve"> </w:t>
      </w:r>
      <w:r>
        <w:rPr>
          <w:rFonts w:asciiTheme="majorBidi" w:hAnsiTheme="majorBidi" w:cstheme="majorBidi"/>
        </w:rPr>
        <w:t>дело</w:t>
      </w:r>
      <w:r>
        <w:rPr>
          <w:rFonts w:asciiTheme="majorBidi" w:hAnsiTheme="majorBidi" w:cstheme="majorBidi"/>
          <w:lang w:val="pt-PT"/>
        </w:rPr>
        <w:t xml:space="preserve"> Philip Morris, </w:t>
      </w:r>
      <w:r>
        <w:rPr>
          <w:rFonts w:asciiTheme="majorBidi" w:hAnsiTheme="majorBidi" w:cstheme="majorBidi"/>
        </w:rPr>
        <w:t>точки</w:t>
      </w:r>
      <w:r>
        <w:rPr>
          <w:rFonts w:asciiTheme="majorBidi" w:hAnsiTheme="majorBidi" w:cstheme="majorBidi"/>
          <w:lang w:val="pt-PT"/>
        </w:rPr>
        <w:t xml:space="preserve"> 225—227.</w:t>
      </w:r>
    </w:p>
  </w:footnote>
  <w:footnote w:id="47">
    <w:p>
      <w:pPr>
        <w:pStyle w:val="FootnoteText"/>
        <w:ind w:left="284" w:hanging="284"/>
        <w:jc w:val="both"/>
        <w:rPr>
          <w:rFonts w:asciiTheme="majorBidi" w:hAnsiTheme="majorBidi" w:cstheme="majorBidi"/>
          <w:lang w:val="pt-PT"/>
        </w:rPr>
      </w:pPr>
      <w:r>
        <w:rPr>
          <w:rStyle w:val="FootnoteReference"/>
          <w:rFonts w:asciiTheme="majorBidi" w:hAnsiTheme="majorBidi" w:cstheme="majorBidi"/>
        </w:rPr>
        <w:footnoteRef/>
      </w:r>
      <w:r>
        <w:rPr>
          <w:lang w:val="pt-PT"/>
        </w:rPr>
        <w:t xml:space="preserve"> </w:t>
      </w:r>
      <w:r>
        <w:rPr>
          <w:lang w:val="pt-PT"/>
        </w:rPr>
        <w:tab/>
      </w:r>
      <w:r>
        <w:rPr>
          <w:rFonts w:asciiTheme="majorBidi" w:hAnsiTheme="majorBidi" w:cstheme="majorBidi"/>
        </w:rPr>
        <w:t>Дело</w:t>
      </w:r>
      <w:r>
        <w:rPr>
          <w:rFonts w:asciiTheme="majorBidi" w:hAnsiTheme="majorBidi" w:cstheme="majorBidi"/>
          <w:lang w:val="pt-PT"/>
        </w:rPr>
        <w:t xml:space="preserve"> </w:t>
      </w:r>
      <w:r>
        <w:rPr>
          <w:rFonts w:asciiTheme="majorBidi" w:hAnsiTheme="majorBidi" w:cstheme="majorBidi"/>
        </w:rPr>
        <w:t>Полша</w:t>
      </w:r>
      <w:r>
        <w:rPr>
          <w:rFonts w:asciiTheme="majorBidi" w:hAnsiTheme="majorBidi" w:cstheme="majorBidi"/>
          <w:lang w:val="pt-PT"/>
        </w:rPr>
        <w:t>/</w:t>
      </w:r>
      <w:r>
        <w:rPr>
          <w:rFonts w:asciiTheme="majorBidi" w:hAnsiTheme="majorBidi" w:cstheme="majorBidi"/>
        </w:rPr>
        <w:t>Парламент</w:t>
      </w:r>
      <w:r>
        <w:rPr>
          <w:rFonts w:asciiTheme="majorBidi" w:hAnsiTheme="majorBidi" w:cstheme="majorBidi"/>
          <w:lang w:val="pt-PT"/>
        </w:rPr>
        <w:t xml:space="preserve"> </w:t>
      </w:r>
      <w:r>
        <w:rPr>
          <w:rFonts w:asciiTheme="majorBidi" w:hAnsiTheme="majorBidi" w:cstheme="majorBidi"/>
        </w:rPr>
        <w:t>и</w:t>
      </w:r>
      <w:r>
        <w:rPr>
          <w:rFonts w:asciiTheme="majorBidi" w:hAnsiTheme="majorBidi" w:cstheme="majorBidi"/>
          <w:lang w:val="pt-PT"/>
        </w:rPr>
        <w:t xml:space="preserve"> </w:t>
      </w:r>
      <w:r>
        <w:rPr>
          <w:rFonts w:asciiTheme="majorBidi" w:hAnsiTheme="majorBidi" w:cstheme="majorBidi"/>
        </w:rPr>
        <w:t>Съвет</w:t>
      </w:r>
      <w:r>
        <w:rPr>
          <w:rFonts w:asciiTheme="majorBidi" w:hAnsiTheme="majorBidi" w:cstheme="majorBidi"/>
          <w:lang w:val="pt-PT"/>
        </w:rPr>
        <w:t xml:space="preserve">, </w:t>
      </w:r>
      <w:r>
        <w:rPr>
          <w:rFonts w:asciiTheme="majorBidi" w:hAnsiTheme="majorBidi" w:cstheme="majorBidi"/>
        </w:rPr>
        <w:t>точки</w:t>
      </w:r>
      <w:r>
        <w:rPr>
          <w:rFonts w:asciiTheme="majorBidi" w:hAnsiTheme="majorBidi" w:cstheme="majorBidi"/>
          <w:lang w:val="pt-PT"/>
        </w:rPr>
        <w:t xml:space="preserve"> 78—104, </w:t>
      </w:r>
      <w:r>
        <w:rPr>
          <w:rFonts w:asciiTheme="majorBidi" w:hAnsiTheme="majorBidi" w:cstheme="majorBidi"/>
        </w:rPr>
        <w:t>дело</w:t>
      </w:r>
      <w:r>
        <w:rPr>
          <w:rFonts w:asciiTheme="majorBidi" w:hAnsiTheme="majorBidi" w:cstheme="majorBidi"/>
          <w:lang w:val="pt-PT"/>
        </w:rPr>
        <w:t xml:space="preserve"> Philip Morris, </w:t>
      </w:r>
      <w:r>
        <w:rPr>
          <w:rFonts w:asciiTheme="majorBidi" w:hAnsiTheme="majorBidi" w:cstheme="majorBidi"/>
        </w:rPr>
        <w:t>точки</w:t>
      </w:r>
      <w:r>
        <w:rPr>
          <w:rFonts w:asciiTheme="majorBidi" w:hAnsiTheme="majorBidi" w:cstheme="majorBidi"/>
          <w:lang w:val="pt-PT"/>
        </w:rPr>
        <w:t xml:space="preserve"> 164—212, </w:t>
      </w:r>
      <w:r>
        <w:rPr>
          <w:rFonts w:asciiTheme="majorBidi" w:hAnsiTheme="majorBidi" w:cstheme="majorBidi"/>
        </w:rPr>
        <w:t>дело</w:t>
      </w:r>
      <w:r>
        <w:rPr>
          <w:rFonts w:asciiTheme="majorBidi" w:hAnsiTheme="majorBidi" w:cstheme="majorBidi"/>
          <w:lang w:val="pt-PT"/>
        </w:rPr>
        <w:t xml:space="preserve"> Pillbox 38, </w:t>
      </w:r>
      <w:r>
        <w:rPr>
          <w:rFonts w:asciiTheme="majorBidi" w:hAnsiTheme="majorBidi" w:cstheme="majorBidi"/>
        </w:rPr>
        <w:t>точки</w:t>
      </w:r>
      <w:r>
        <w:rPr>
          <w:rFonts w:asciiTheme="majorBidi" w:hAnsiTheme="majorBidi" w:cstheme="majorBidi"/>
          <w:lang w:val="pt-PT"/>
        </w:rPr>
        <w:t xml:space="preserve"> 48—141.</w:t>
      </w:r>
    </w:p>
  </w:footnote>
  <w:footnote w:id="48">
    <w:p>
      <w:pPr>
        <w:pStyle w:val="FootnoteText"/>
        <w:ind w:left="284" w:hanging="284"/>
        <w:jc w:val="both"/>
        <w:rPr>
          <w:lang w:val="pt-PT"/>
        </w:rPr>
      </w:pPr>
      <w:r>
        <w:rPr>
          <w:rStyle w:val="FootnoteReference"/>
          <w:rFonts w:asciiTheme="majorBidi" w:hAnsiTheme="majorBidi" w:cstheme="majorBidi"/>
        </w:rPr>
        <w:footnoteRef/>
      </w:r>
      <w:r>
        <w:rPr>
          <w:rFonts w:asciiTheme="majorBidi" w:hAnsiTheme="majorBidi" w:cstheme="majorBidi"/>
          <w:lang w:val="pt-PT"/>
        </w:rPr>
        <w:t xml:space="preserve"> </w:t>
      </w:r>
      <w:r>
        <w:rPr>
          <w:lang w:val="pt-PT"/>
        </w:rPr>
        <w:tab/>
      </w:r>
      <w:r>
        <w:rPr>
          <w:rFonts w:asciiTheme="majorBidi" w:hAnsiTheme="majorBidi" w:cstheme="majorBidi"/>
          <w:lang w:val="pt-PT"/>
        </w:rPr>
        <w:t>COM(2016) 128 final.</w:t>
      </w:r>
    </w:p>
  </w:footnote>
  <w:footnote w:id="49">
    <w:p>
      <w:pPr>
        <w:pStyle w:val="FootnoteText"/>
        <w:ind w:left="284" w:hanging="284"/>
        <w:jc w:val="both"/>
        <w:rPr>
          <w:rFonts w:asciiTheme="majorBidi" w:hAnsiTheme="majorBidi" w:cstheme="majorBidi"/>
          <w:lang w:val="pt-PT"/>
        </w:rPr>
      </w:pPr>
      <w:r>
        <w:rPr>
          <w:rStyle w:val="FootnoteReference"/>
          <w:rFonts w:asciiTheme="majorBidi" w:hAnsiTheme="majorBidi" w:cstheme="majorBidi"/>
        </w:rPr>
        <w:footnoteRef/>
      </w:r>
      <w:r>
        <w:rPr>
          <w:rFonts w:asciiTheme="majorBidi" w:hAnsiTheme="majorBidi" w:cstheme="majorBidi"/>
          <w:lang w:val="pt-PT"/>
        </w:rPr>
        <w:t xml:space="preserve"> </w:t>
      </w:r>
      <w:r>
        <w:rPr>
          <w:lang w:val="pt-PT"/>
        </w:rPr>
        <w:tab/>
      </w:r>
      <w:r>
        <w:rPr>
          <w:rFonts w:asciiTheme="majorBidi" w:hAnsiTheme="majorBidi" w:cstheme="majorBidi"/>
        </w:rPr>
        <w:t>Директива</w:t>
      </w:r>
      <w:r>
        <w:rPr>
          <w:rFonts w:asciiTheme="majorBidi" w:hAnsiTheme="majorBidi" w:cstheme="majorBidi"/>
          <w:lang w:val="pt-PT"/>
        </w:rPr>
        <w:t xml:space="preserve"> 96/71/</w:t>
      </w:r>
      <w:r>
        <w:rPr>
          <w:rFonts w:asciiTheme="majorBidi" w:hAnsiTheme="majorBidi" w:cstheme="majorBidi"/>
        </w:rPr>
        <w:t>ЕО</w:t>
      </w:r>
      <w:r>
        <w:rPr>
          <w:rFonts w:asciiTheme="majorBidi" w:hAnsiTheme="majorBidi" w:cstheme="majorBidi"/>
          <w:lang w:val="pt-PT"/>
        </w:rPr>
        <w:t xml:space="preserve"> </w:t>
      </w:r>
      <w:r>
        <w:rPr>
          <w:rFonts w:asciiTheme="majorBidi" w:hAnsiTheme="majorBidi" w:cstheme="majorBidi"/>
        </w:rPr>
        <w:t>на</w:t>
      </w:r>
      <w:r>
        <w:rPr>
          <w:rFonts w:asciiTheme="majorBidi" w:hAnsiTheme="majorBidi" w:cstheme="majorBidi"/>
          <w:lang w:val="pt-PT"/>
        </w:rPr>
        <w:t xml:space="preserve"> </w:t>
      </w:r>
      <w:r>
        <w:rPr>
          <w:rFonts w:asciiTheme="majorBidi" w:hAnsiTheme="majorBidi" w:cstheme="majorBidi"/>
        </w:rPr>
        <w:t>Европейския</w:t>
      </w:r>
      <w:r>
        <w:rPr>
          <w:rFonts w:asciiTheme="majorBidi" w:hAnsiTheme="majorBidi" w:cstheme="majorBidi"/>
          <w:lang w:val="pt-PT"/>
        </w:rPr>
        <w:t xml:space="preserve"> </w:t>
      </w:r>
      <w:r>
        <w:rPr>
          <w:rFonts w:asciiTheme="majorBidi" w:hAnsiTheme="majorBidi" w:cstheme="majorBidi"/>
        </w:rPr>
        <w:t>парламент</w:t>
      </w:r>
      <w:r>
        <w:rPr>
          <w:rFonts w:asciiTheme="majorBidi" w:hAnsiTheme="majorBidi" w:cstheme="majorBidi"/>
          <w:lang w:val="pt-PT"/>
        </w:rPr>
        <w:t xml:space="preserve"> </w:t>
      </w:r>
      <w:r>
        <w:rPr>
          <w:rFonts w:asciiTheme="majorBidi" w:hAnsiTheme="majorBidi" w:cstheme="majorBidi"/>
        </w:rPr>
        <w:t>и</w:t>
      </w:r>
      <w:r>
        <w:rPr>
          <w:rFonts w:asciiTheme="majorBidi" w:hAnsiTheme="majorBidi" w:cstheme="majorBidi"/>
          <w:lang w:val="pt-PT"/>
        </w:rPr>
        <w:t xml:space="preserve"> </w:t>
      </w:r>
      <w:r>
        <w:rPr>
          <w:rFonts w:asciiTheme="majorBidi" w:hAnsiTheme="majorBidi" w:cstheme="majorBidi"/>
        </w:rPr>
        <w:t>на</w:t>
      </w:r>
      <w:r>
        <w:rPr>
          <w:rFonts w:asciiTheme="majorBidi" w:hAnsiTheme="majorBidi" w:cstheme="majorBidi"/>
          <w:lang w:val="pt-PT"/>
        </w:rPr>
        <w:t xml:space="preserve"> </w:t>
      </w:r>
      <w:r>
        <w:rPr>
          <w:rFonts w:asciiTheme="majorBidi" w:hAnsiTheme="majorBidi" w:cstheme="majorBidi"/>
        </w:rPr>
        <w:t>Съвета</w:t>
      </w:r>
      <w:r>
        <w:rPr>
          <w:rFonts w:asciiTheme="majorBidi" w:hAnsiTheme="majorBidi" w:cstheme="majorBidi"/>
          <w:lang w:val="pt-PT"/>
        </w:rPr>
        <w:t xml:space="preserve"> </w:t>
      </w:r>
      <w:r>
        <w:rPr>
          <w:rFonts w:asciiTheme="majorBidi" w:hAnsiTheme="majorBidi" w:cstheme="majorBidi"/>
        </w:rPr>
        <w:t>от</w:t>
      </w:r>
      <w:r>
        <w:rPr>
          <w:rFonts w:asciiTheme="majorBidi" w:hAnsiTheme="majorBidi" w:cstheme="majorBidi"/>
          <w:lang w:val="pt-PT"/>
        </w:rPr>
        <w:t xml:space="preserve"> 16 </w:t>
      </w:r>
      <w:r>
        <w:rPr>
          <w:rFonts w:asciiTheme="majorBidi" w:hAnsiTheme="majorBidi" w:cstheme="majorBidi"/>
        </w:rPr>
        <w:t>декември</w:t>
      </w:r>
      <w:r>
        <w:rPr>
          <w:rFonts w:asciiTheme="majorBidi" w:hAnsiTheme="majorBidi" w:cstheme="majorBidi"/>
          <w:lang w:val="pt-PT"/>
        </w:rPr>
        <w:t xml:space="preserve"> 1996 </w:t>
      </w:r>
      <w:r>
        <w:rPr>
          <w:rFonts w:asciiTheme="majorBidi" w:hAnsiTheme="majorBidi" w:cstheme="majorBidi"/>
        </w:rPr>
        <w:t>г</w:t>
      </w:r>
      <w:r>
        <w:rPr>
          <w:rFonts w:asciiTheme="majorBidi" w:hAnsiTheme="majorBidi" w:cstheme="majorBidi"/>
          <w:lang w:val="pt-PT"/>
        </w:rPr>
        <w:t xml:space="preserve">. </w:t>
      </w:r>
      <w:r>
        <w:rPr>
          <w:rFonts w:asciiTheme="majorBidi" w:hAnsiTheme="majorBidi" w:cstheme="majorBidi"/>
        </w:rPr>
        <w:t>относно</w:t>
      </w:r>
      <w:r>
        <w:rPr>
          <w:rFonts w:asciiTheme="majorBidi" w:hAnsiTheme="majorBidi" w:cstheme="majorBidi"/>
          <w:lang w:val="pt-PT"/>
        </w:rPr>
        <w:t xml:space="preserve"> </w:t>
      </w:r>
      <w:r>
        <w:rPr>
          <w:rFonts w:asciiTheme="majorBidi" w:hAnsiTheme="majorBidi" w:cstheme="majorBidi"/>
        </w:rPr>
        <w:t>командироването</w:t>
      </w:r>
      <w:r>
        <w:rPr>
          <w:rFonts w:asciiTheme="majorBidi" w:hAnsiTheme="majorBidi" w:cstheme="majorBidi"/>
          <w:lang w:val="pt-PT"/>
        </w:rPr>
        <w:t xml:space="preserve"> </w:t>
      </w:r>
      <w:r>
        <w:rPr>
          <w:rFonts w:asciiTheme="majorBidi" w:hAnsiTheme="majorBidi" w:cstheme="majorBidi"/>
        </w:rPr>
        <w:t>на</w:t>
      </w:r>
      <w:r>
        <w:rPr>
          <w:rFonts w:asciiTheme="majorBidi" w:hAnsiTheme="majorBidi" w:cstheme="majorBidi"/>
          <w:lang w:val="pt-PT"/>
        </w:rPr>
        <w:t xml:space="preserve"> </w:t>
      </w:r>
      <w:r>
        <w:rPr>
          <w:rFonts w:asciiTheme="majorBidi" w:hAnsiTheme="majorBidi" w:cstheme="majorBidi"/>
        </w:rPr>
        <w:t>работници</w:t>
      </w:r>
      <w:r>
        <w:rPr>
          <w:rFonts w:asciiTheme="majorBidi" w:hAnsiTheme="majorBidi" w:cstheme="majorBidi"/>
          <w:lang w:val="pt-PT"/>
        </w:rPr>
        <w:t xml:space="preserve"> </w:t>
      </w:r>
      <w:r>
        <w:rPr>
          <w:rFonts w:asciiTheme="majorBidi" w:hAnsiTheme="majorBidi" w:cstheme="majorBidi"/>
        </w:rPr>
        <w:t>в</w:t>
      </w:r>
      <w:r>
        <w:rPr>
          <w:rFonts w:asciiTheme="majorBidi" w:hAnsiTheme="majorBidi" w:cstheme="majorBidi"/>
          <w:lang w:val="pt-PT"/>
        </w:rPr>
        <w:t xml:space="preserve"> </w:t>
      </w:r>
      <w:r>
        <w:rPr>
          <w:rFonts w:asciiTheme="majorBidi" w:hAnsiTheme="majorBidi" w:cstheme="majorBidi"/>
        </w:rPr>
        <w:t>рамките</w:t>
      </w:r>
      <w:r>
        <w:rPr>
          <w:rFonts w:asciiTheme="majorBidi" w:hAnsiTheme="majorBidi" w:cstheme="majorBidi"/>
          <w:lang w:val="pt-PT"/>
        </w:rPr>
        <w:t xml:space="preserve"> </w:t>
      </w:r>
      <w:r>
        <w:rPr>
          <w:rFonts w:asciiTheme="majorBidi" w:hAnsiTheme="majorBidi" w:cstheme="majorBidi"/>
        </w:rPr>
        <w:t>на</w:t>
      </w:r>
      <w:r>
        <w:rPr>
          <w:rFonts w:asciiTheme="majorBidi" w:hAnsiTheme="majorBidi" w:cstheme="majorBidi"/>
          <w:lang w:val="pt-PT"/>
        </w:rPr>
        <w:t xml:space="preserve"> </w:t>
      </w:r>
      <w:r>
        <w:rPr>
          <w:rFonts w:asciiTheme="majorBidi" w:hAnsiTheme="majorBidi" w:cstheme="majorBidi"/>
        </w:rPr>
        <w:t>предоставянето</w:t>
      </w:r>
      <w:r>
        <w:rPr>
          <w:rFonts w:asciiTheme="majorBidi" w:hAnsiTheme="majorBidi" w:cstheme="majorBidi"/>
          <w:lang w:val="pt-PT"/>
        </w:rPr>
        <w:t xml:space="preserve"> </w:t>
      </w:r>
      <w:r>
        <w:rPr>
          <w:rFonts w:asciiTheme="majorBidi" w:hAnsiTheme="majorBidi" w:cstheme="majorBidi"/>
        </w:rPr>
        <w:t>на</w:t>
      </w:r>
      <w:r>
        <w:rPr>
          <w:rFonts w:asciiTheme="majorBidi" w:hAnsiTheme="majorBidi" w:cstheme="majorBidi"/>
          <w:lang w:val="pt-PT"/>
        </w:rPr>
        <w:t xml:space="preserve"> </w:t>
      </w:r>
      <w:r>
        <w:rPr>
          <w:rFonts w:asciiTheme="majorBidi" w:hAnsiTheme="majorBidi" w:cstheme="majorBidi"/>
        </w:rPr>
        <w:t>услуги</w:t>
      </w:r>
      <w:r>
        <w:rPr>
          <w:rFonts w:asciiTheme="majorBidi" w:hAnsiTheme="majorBidi" w:cstheme="majorBidi"/>
          <w:lang w:val="pt-PT"/>
        </w:rPr>
        <w:t xml:space="preserve"> (</w:t>
      </w:r>
      <w:r>
        <w:rPr>
          <w:rFonts w:asciiTheme="majorBidi" w:hAnsiTheme="majorBidi" w:cstheme="majorBidi"/>
        </w:rPr>
        <w:t>ОВ</w:t>
      </w:r>
      <w:r>
        <w:rPr>
          <w:rFonts w:asciiTheme="majorBidi" w:hAnsiTheme="majorBidi" w:cstheme="majorBidi"/>
          <w:lang w:val="pt-PT"/>
        </w:rPr>
        <w:t xml:space="preserve"> L 18, 21.1.1997 </w:t>
      </w:r>
      <w:r>
        <w:rPr>
          <w:rFonts w:asciiTheme="majorBidi" w:hAnsiTheme="majorBidi" w:cstheme="majorBidi"/>
        </w:rPr>
        <w:t>г</w:t>
      </w:r>
      <w:r>
        <w:rPr>
          <w:rFonts w:asciiTheme="majorBidi" w:hAnsiTheme="majorBidi" w:cstheme="majorBidi"/>
          <w:lang w:val="pt-PT"/>
        </w:rPr>
        <w:t xml:space="preserve">., </w:t>
      </w:r>
      <w:r>
        <w:rPr>
          <w:rFonts w:asciiTheme="majorBidi" w:hAnsiTheme="majorBidi" w:cstheme="majorBidi"/>
        </w:rPr>
        <w:t>стр</w:t>
      </w:r>
      <w:r>
        <w:rPr>
          <w:rFonts w:asciiTheme="majorBidi" w:hAnsiTheme="majorBidi" w:cstheme="majorBidi"/>
          <w:lang w:val="pt-PT"/>
        </w:rPr>
        <w:t>. 1).</w:t>
      </w:r>
    </w:p>
  </w:footnote>
  <w:footnote w:id="50">
    <w:p>
      <w:pPr>
        <w:pStyle w:val="FootnoteText"/>
        <w:ind w:left="284" w:hanging="284"/>
        <w:jc w:val="both"/>
        <w:rPr>
          <w:rFonts w:asciiTheme="majorBidi" w:hAnsiTheme="majorBidi" w:cstheme="majorBidi"/>
          <w:lang w:val="pt-PT"/>
        </w:rPr>
      </w:pPr>
      <w:r>
        <w:rPr>
          <w:rStyle w:val="FootnoteReference"/>
          <w:rFonts w:asciiTheme="majorBidi" w:hAnsiTheme="majorBidi" w:cstheme="majorBidi"/>
        </w:rPr>
        <w:footnoteRef/>
      </w:r>
      <w:r>
        <w:rPr>
          <w:rFonts w:asciiTheme="majorBidi" w:hAnsiTheme="majorBidi" w:cstheme="majorBidi"/>
          <w:lang w:val="pt-PT"/>
        </w:rPr>
        <w:t xml:space="preserve">  </w:t>
      </w:r>
      <w:r>
        <w:rPr>
          <w:lang w:val="pt-PT"/>
        </w:rPr>
        <w:tab/>
      </w:r>
      <w:r>
        <w:rPr>
          <w:rFonts w:asciiTheme="majorBidi" w:hAnsiTheme="majorBidi" w:cstheme="majorBidi"/>
        </w:rPr>
        <w:t>Българското</w:t>
      </w:r>
      <w:r>
        <w:rPr>
          <w:rFonts w:asciiTheme="majorBidi" w:hAnsiTheme="majorBidi" w:cstheme="majorBidi"/>
          <w:lang w:val="pt-PT"/>
        </w:rPr>
        <w:t xml:space="preserve"> </w:t>
      </w:r>
      <w:r>
        <w:rPr>
          <w:rFonts w:asciiTheme="majorBidi" w:hAnsiTheme="majorBidi" w:cstheme="majorBidi"/>
          <w:i/>
        </w:rPr>
        <w:t>Народно</w:t>
      </w:r>
      <w:r>
        <w:rPr>
          <w:rFonts w:asciiTheme="majorBidi" w:hAnsiTheme="majorBidi" w:cstheme="majorBidi"/>
          <w:i/>
          <w:lang w:val="pt-PT"/>
        </w:rPr>
        <w:t xml:space="preserve"> </w:t>
      </w:r>
      <w:r>
        <w:rPr>
          <w:rFonts w:asciiTheme="majorBidi" w:hAnsiTheme="majorBidi" w:cstheme="majorBidi"/>
          <w:i/>
        </w:rPr>
        <w:t>събрание</w:t>
      </w:r>
      <w:r>
        <w:rPr>
          <w:rFonts w:asciiTheme="majorBidi" w:hAnsiTheme="majorBidi" w:cstheme="majorBidi"/>
          <w:lang w:val="pt-PT"/>
        </w:rPr>
        <w:t xml:space="preserve">, </w:t>
      </w:r>
      <w:r>
        <w:rPr>
          <w:rFonts w:asciiTheme="majorBidi" w:hAnsiTheme="majorBidi" w:cstheme="majorBidi"/>
        </w:rPr>
        <w:t>чешката</w:t>
      </w:r>
      <w:r>
        <w:rPr>
          <w:rFonts w:asciiTheme="majorBidi" w:hAnsiTheme="majorBidi" w:cstheme="majorBidi"/>
          <w:lang w:val="pt-PT"/>
        </w:rPr>
        <w:t xml:space="preserve"> </w:t>
      </w:r>
      <w:r>
        <w:rPr>
          <w:rFonts w:asciiTheme="majorBidi" w:hAnsiTheme="majorBidi" w:cstheme="majorBidi"/>
          <w:i/>
          <w:lang w:val="pt-PT"/>
        </w:rPr>
        <w:t>Poslanecká sněmovna</w:t>
      </w:r>
      <w:r>
        <w:rPr>
          <w:rFonts w:asciiTheme="majorBidi" w:hAnsiTheme="majorBidi" w:cstheme="majorBidi"/>
          <w:lang w:val="pt-PT"/>
        </w:rPr>
        <w:t xml:space="preserve">, </w:t>
      </w:r>
      <w:r>
        <w:rPr>
          <w:rFonts w:asciiTheme="majorBidi" w:hAnsiTheme="majorBidi" w:cstheme="majorBidi"/>
        </w:rPr>
        <w:t>чешкият</w:t>
      </w:r>
      <w:r>
        <w:rPr>
          <w:rFonts w:asciiTheme="majorBidi" w:hAnsiTheme="majorBidi" w:cstheme="majorBidi"/>
          <w:lang w:val="pt-PT"/>
        </w:rPr>
        <w:t xml:space="preserve"> </w:t>
      </w:r>
      <w:r>
        <w:rPr>
          <w:rFonts w:asciiTheme="majorBidi" w:hAnsiTheme="majorBidi" w:cstheme="majorBidi"/>
          <w:i/>
          <w:lang w:val="pt-PT"/>
        </w:rPr>
        <w:t>Senát</w:t>
      </w:r>
      <w:r>
        <w:rPr>
          <w:rFonts w:asciiTheme="majorBidi" w:hAnsiTheme="majorBidi" w:cstheme="majorBidi"/>
          <w:lang w:val="pt-PT"/>
        </w:rPr>
        <w:t xml:space="preserve">, </w:t>
      </w:r>
      <w:r>
        <w:rPr>
          <w:rFonts w:asciiTheme="majorBidi" w:hAnsiTheme="majorBidi" w:cstheme="majorBidi"/>
        </w:rPr>
        <w:t>датският</w:t>
      </w:r>
      <w:r>
        <w:rPr>
          <w:rFonts w:asciiTheme="majorBidi" w:hAnsiTheme="majorBidi" w:cstheme="majorBidi"/>
          <w:lang w:val="pt-PT"/>
        </w:rPr>
        <w:t xml:space="preserve"> </w:t>
      </w:r>
      <w:r>
        <w:rPr>
          <w:rFonts w:asciiTheme="majorBidi" w:hAnsiTheme="majorBidi" w:cstheme="majorBidi"/>
          <w:i/>
          <w:lang w:val="pt-PT"/>
        </w:rPr>
        <w:t>Folketing</w:t>
      </w:r>
      <w:r>
        <w:rPr>
          <w:rFonts w:asciiTheme="majorBidi" w:hAnsiTheme="majorBidi" w:cstheme="majorBidi"/>
          <w:lang w:val="pt-PT"/>
        </w:rPr>
        <w:t xml:space="preserve">, </w:t>
      </w:r>
      <w:r>
        <w:rPr>
          <w:rFonts w:asciiTheme="majorBidi" w:hAnsiTheme="majorBidi" w:cstheme="majorBidi"/>
        </w:rPr>
        <w:t>естонският</w:t>
      </w:r>
      <w:r>
        <w:rPr>
          <w:rFonts w:asciiTheme="majorBidi" w:hAnsiTheme="majorBidi" w:cstheme="majorBidi"/>
          <w:lang w:val="pt-PT"/>
        </w:rPr>
        <w:t xml:space="preserve"> </w:t>
      </w:r>
      <w:r>
        <w:rPr>
          <w:rFonts w:asciiTheme="majorBidi" w:hAnsiTheme="majorBidi" w:cstheme="majorBidi"/>
          <w:i/>
          <w:lang w:val="pt-PT"/>
        </w:rPr>
        <w:t>Riigikogu</w:t>
      </w:r>
      <w:r>
        <w:rPr>
          <w:rFonts w:asciiTheme="majorBidi" w:hAnsiTheme="majorBidi" w:cstheme="majorBidi"/>
          <w:lang w:val="pt-PT"/>
        </w:rPr>
        <w:t xml:space="preserve">, </w:t>
      </w:r>
      <w:r>
        <w:rPr>
          <w:rFonts w:asciiTheme="majorBidi" w:hAnsiTheme="majorBidi" w:cstheme="majorBidi"/>
        </w:rPr>
        <w:t>хърватският</w:t>
      </w:r>
      <w:r>
        <w:rPr>
          <w:rFonts w:asciiTheme="majorBidi" w:hAnsiTheme="majorBidi" w:cstheme="majorBidi"/>
          <w:lang w:val="pt-PT"/>
        </w:rPr>
        <w:t xml:space="preserve"> </w:t>
      </w:r>
      <w:r>
        <w:rPr>
          <w:rFonts w:asciiTheme="majorBidi" w:hAnsiTheme="majorBidi" w:cstheme="majorBidi"/>
          <w:i/>
          <w:lang w:val="pt-PT"/>
        </w:rPr>
        <w:t>Hrvatski sabor</w:t>
      </w:r>
      <w:r>
        <w:rPr>
          <w:rFonts w:asciiTheme="majorBidi" w:hAnsiTheme="majorBidi" w:cstheme="majorBidi"/>
          <w:lang w:val="pt-PT"/>
        </w:rPr>
        <w:t xml:space="preserve">, </w:t>
      </w:r>
      <w:r>
        <w:rPr>
          <w:rFonts w:asciiTheme="majorBidi" w:hAnsiTheme="majorBidi" w:cstheme="majorBidi"/>
        </w:rPr>
        <w:t>латвийският</w:t>
      </w:r>
      <w:r>
        <w:rPr>
          <w:rFonts w:asciiTheme="majorBidi" w:hAnsiTheme="majorBidi" w:cstheme="majorBidi"/>
          <w:lang w:val="pt-PT"/>
        </w:rPr>
        <w:t xml:space="preserve"> </w:t>
      </w:r>
      <w:r>
        <w:rPr>
          <w:rFonts w:asciiTheme="majorBidi" w:hAnsiTheme="majorBidi" w:cstheme="majorBidi"/>
          <w:i/>
          <w:lang w:val="pt-PT"/>
        </w:rPr>
        <w:t>Saeima</w:t>
      </w:r>
      <w:r>
        <w:rPr>
          <w:rFonts w:asciiTheme="majorBidi" w:hAnsiTheme="majorBidi" w:cstheme="majorBidi"/>
          <w:lang w:val="pt-PT"/>
        </w:rPr>
        <w:t xml:space="preserve">, </w:t>
      </w:r>
      <w:r>
        <w:rPr>
          <w:rFonts w:asciiTheme="majorBidi" w:hAnsiTheme="majorBidi" w:cstheme="majorBidi"/>
        </w:rPr>
        <w:t>литовският</w:t>
      </w:r>
      <w:r>
        <w:rPr>
          <w:rFonts w:asciiTheme="majorBidi" w:hAnsiTheme="majorBidi" w:cstheme="majorBidi"/>
          <w:lang w:val="pt-PT"/>
        </w:rPr>
        <w:t xml:space="preserve"> </w:t>
      </w:r>
      <w:r>
        <w:rPr>
          <w:rFonts w:asciiTheme="majorBidi" w:hAnsiTheme="majorBidi" w:cstheme="majorBidi"/>
          <w:i/>
          <w:lang w:val="pt-PT"/>
        </w:rPr>
        <w:t>Seimas</w:t>
      </w:r>
      <w:r>
        <w:rPr>
          <w:rFonts w:asciiTheme="majorBidi" w:hAnsiTheme="majorBidi" w:cstheme="majorBidi"/>
          <w:lang w:val="pt-PT"/>
        </w:rPr>
        <w:t xml:space="preserve">, </w:t>
      </w:r>
      <w:r>
        <w:rPr>
          <w:rFonts w:asciiTheme="majorBidi" w:hAnsiTheme="majorBidi" w:cstheme="majorBidi"/>
        </w:rPr>
        <w:t>унгарският</w:t>
      </w:r>
      <w:r>
        <w:rPr>
          <w:rFonts w:asciiTheme="majorBidi" w:hAnsiTheme="majorBidi" w:cstheme="majorBidi"/>
          <w:lang w:val="pt-PT"/>
        </w:rPr>
        <w:t xml:space="preserve"> </w:t>
      </w:r>
      <w:r>
        <w:rPr>
          <w:rFonts w:asciiTheme="majorBidi" w:hAnsiTheme="majorBidi" w:cstheme="majorBidi"/>
          <w:i/>
          <w:lang w:val="pt-PT"/>
        </w:rPr>
        <w:t>Országgyűlés</w:t>
      </w:r>
      <w:r>
        <w:rPr>
          <w:rFonts w:asciiTheme="majorBidi" w:hAnsiTheme="majorBidi" w:cstheme="majorBidi"/>
          <w:lang w:val="pt-PT"/>
        </w:rPr>
        <w:t xml:space="preserve">, </w:t>
      </w:r>
      <w:r>
        <w:rPr>
          <w:rFonts w:asciiTheme="majorBidi" w:hAnsiTheme="majorBidi" w:cstheme="majorBidi"/>
        </w:rPr>
        <w:t>полският</w:t>
      </w:r>
      <w:r>
        <w:rPr>
          <w:rFonts w:asciiTheme="majorBidi" w:hAnsiTheme="majorBidi" w:cstheme="majorBidi"/>
          <w:lang w:val="pt-PT"/>
        </w:rPr>
        <w:t xml:space="preserve"> </w:t>
      </w:r>
      <w:r>
        <w:rPr>
          <w:rFonts w:asciiTheme="majorBidi" w:hAnsiTheme="majorBidi" w:cstheme="majorBidi"/>
          <w:i/>
          <w:lang w:val="pt-PT"/>
        </w:rPr>
        <w:t>Sejm</w:t>
      </w:r>
      <w:r>
        <w:rPr>
          <w:rFonts w:asciiTheme="majorBidi" w:hAnsiTheme="majorBidi" w:cstheme="majorBidi"/>
          <w:lang w:val="pt-PT"/>
        </w:rPr>
        <w:t xml:space="preserve">, </w:t>
      </w:r>
      <w:r>
        <w:rPr>
          <w:rFonts w:asciiTheme="majorBidi" w:hAnsiTheme="majorBidi" w:cstheme="majorBidi"/>
        </w:rPr>
        <w:t>полският</w:t>
      </w:r>
      <w:r>
        <w:rPr>
          <w:rFonts w:asciiTheme="majorBidi" w:hAnsiTheme="majorBidi" w:cstheme="majorBidi"/>
          <w:lang w:val="pt-PT"/>
        </w:rPr>
        <w:t xml:space="preserve"> </w:t>
      </w:r>
      <w:r>
        <w:rPr>
          <w:rFonts w:asciiTheme="majorBidi" w:hAnsiTheme="majorBidi" w:cstheme="majorBidi"/>
          <w:i/>
          <w:lang w:val="pt-PT"/>
        </w:rPr>
        <w:t>Senat</w:t>
      </w:r>
      <w:r>
        <w:rPr>
          <w:rFonts w:asciiTheme="majorBidi" w:hAnsiTheme="majorBidi" w:cstheme="majorBidi"/>
          <w:lang w:val="pt-PT"/>
        </w:rPr>
        <w:t xml:space="preserve"> (</w:t>
      </w:r>
      <w:r>
        <w:rPr>
          <w:rFonts w:asciiTheme="majorBidi" w:hAnsiTheme="majorBidi" w:cstheme="majorBidi"/>
        </w:rPr>
        <w:t>мотивирано</w:t>
      </w:r>
      <w:r>
        <w:rPr>
          <w:rFonts w:asciiTheme="majorBidi" w:hAnsiTheme="majorBidi" w:cstheme="majorBidi"/>
          <w:lang w:val="pt-PT"/>
        </w:rPr>
        <w:t xml:space="preserve"> </w:t>
      </w:r>
      <w:r>
        <w:rPr>
          <w:rFonts w:asciiTheme="majorBidi" w:hAnsiTheme="majorBidi" w:cstheme="majorBidi"/>
        </w:rPr>
        <w:t>становище</w:t>
      </w:r>
      <w:r>
        <w:rPr>
          <w:rFonts w:asciiTheme="majorBidi" w:hAnsiTheme="majorBidi" w:cstheme="majorBidi"/>
          <w:lang w:val="pt-PT"/>
        </w:rPr>
        <w:t xml:space="preserve"> </w:t>
      </w:r>
      <w:r>
        <w:rPr>
          <w:rFonts w:asciiTheme="majorBidi" w:hAnsiTheme="majorBidi" w:cstheme="majorBidi"/>
        </w:rPr>
        <w:t>и</w:t>
      </w:r>
      <w:r>
        <w:rPr>
          <w:rFonts w:asciiTheme="majorBidi" w:hAnsiTheme="majorBidi" w:cstheme="majorBidi"/>
          <w:lang w:val="pt-PT"/>
        </w:rPr>
        <w:t xml:space="preserve"> </w:t>
      </w:r>
      <w:r>
        <w:rPr>
          <w:rFonts w:asciiTheme="majorBidi" w:hAnsiTheme="majorBidi" w:cstheme="majorBidi"/>
        </w:rPr>
        <w:t>становище</w:t>
      </w:r>
      <w:r>
        <w:rPr>
          <w:rFonts w:asciiTheme="majorBidi" w:hAnsiTheme="majorBidi" w:cstheme="majorBidi"/>
          <w:lang w:val="pt-PT"/>
        </w:rPr>
        <w:t xml:space="preserve">), </w:t>
      </w:r>
      <w:r>
        <w:rPr>
          <w:rFonts w:asciiTheme="majorBidi" w:hAnsiTheme="majorBidi" w:cstheme="majorBidi"/>
        </w:rPr>
        <w:t>румънската</w:t>
      </w:r>
      <w:r>
        <w:rPr>
          <w:rFonts w:asciiTheme="majorBidi" w:hAnsiTheme="majorBidi" w:cstheme="majorBidi"/>
          <w:lang w:val="pt-PT"/>
        </w:rPr>
        <w:t xml:space="preserve"> </w:t>
      </w:r>
      <w:r>
        <w:rPr>
          <w:rFonts w:asciiTheme="majorBidi" w:hAnsiTheme="majorBidi" w:cstheme="majorBidi"/>
          <w:i/>
          <w:lang w:val="pt-PT"/>
        </w:rPr>
        <w:t>Camera Deputaților</w:t>
      </w:r>
      <w:r>
        <w:rPr>
          <w:rFonts w:asciiTheme="majorBidi" w:hAnsiTheme="majorBidi" w:cstheme="majorBidi"/>
          <w:lang w:val="pt-PT"/>
        </w:rPr>
        <w:t xml:space="preserve"> (</w:t>
      </w:r>
      <w:r>
        <w:rPr>
          <w:rFonts w:asciiTheme="majorBidi" w:hAnsiTheme="majorBidi" w:cstheme="majorBidi"/>
        </w:rPr>
        <w:t>мотивирано</w:t>
      </w:r>
      <w:r>
        <w:rPr>
          <w:rFonts w:asciiTheme="majorBidi" w:hAnsiTheme="majorBidi" w:cstheme="majorBidi"/>
          <w:lang w:val="pt-PT"/>
        </w:rPr>
        <w:t xml:space="preserve"> </w:t>
      </w:r>
      <w:r>
        <w:rPr>
          <w:rFonts w:asciiTheme="majorBidi" w:hAnsiTheme="majorBidi" w:cstheme="majorBidi"/>
        </w:rPr>
        <w:t>становище</w:t>
      </w:r>
      <w:r>
        <w:rPr>
          <w:rFonts w:asciiTheme="majorBidi" w:hAnsiTheme="majorBidi" w:cstheme="majorBidi"/>
          <w:lang w:val="pt-PT"/>
        </w:rPr>
        <w:t xml:space="preserve"> </w:t>
      </w:r>
      <w:r>
        <w:rPr>
          <w:rFonts w:asciiTheme="majorBidi" w:hAnsiTheme="majorBidi" w:cstheme="majorBidi"/>
        </w:rPr>
        <w:t>и</w:t>
      </w:r>
      <w:r>
        <w:rPr>
          <w:rFonts w:asciiTheme="majorBidi" w:hAnsiTheme="majorBidi" w:cstheme="majorBidi"/>
          <w:lang w:val="pt-PT"/>
        </w:rPr>
        <w:t xml:space="preserve"> </w:t>
      </w:r>
      <w:r>
        <w:rPr>
          <w:rFonts w:asciiTheme="majorBidi" w:hAnsiTheme="majorBidi" w:cstheme="majorBidi"/>
        </w:rPr>
        <w:t>становище</w:t>
      </w:r>
      <w:r>
        <w:rPr>
          <w:rFonts w:asciiTheme="majorBidi" w:hAnsiTheme="majorBidi" w:cstheme="majorBidi"/>
          <w:lang w:val="pt-PT"/>
        </w:rPr>
        <w:t xml:space="preserve">), </w:t>
      </w:r>
      <w:r>
        <w:rPr>
          <w:rFonts w:asciiTheme="majorBidi" w:hAnsiTheme="majorBidi" w:cstheme="majorBidi"/>
        </w:rPr>
        <w:t>румънският</w:t>
      </w:r>
      <w:r>
        <w:rPr>
          <w:rFonts w:asciiTheme="majorBidi" w:hAnsiTheme="majorBidi" w:cstheme="majorBidi"/>
          <w:lang w:val="pt-PT"/>
        </w:rPr>
        <w:t xml:space="preserve"> </w:t>
      </w:r>
      <w:r>
        <w:rPr>
          <w:rFonts w:asciiTheme="majorBidi" w:hAnsiTheme="majorBidi" w:cstheme="majorBidi"/>
          <w:i/>
          <w:lang w:val="pt-PT"/>
        </w:rPr>
        <w:t>Senat</w:t>
      </w:r>
      <w:r>
        <w:rPr>
          <w:rFonts w:asciiTheme="majorBidi" w:hAnsiTheme="majorBidi" w:cstheme="majorBidi"/>
          <w:lang w:val="pt-PT"/>
        </w:rPr>
        <w:t xml:space="preserve"> </w:t>
      </w:r>
      <w:r>
        <w:rPr>
          <w:rFonts w:asciiTheme="majorBidi" w:hAnsiTheme="majorBidi" w:cstheme="majorBidi"/>
        </w:rPr>
        <w:t>и</w:t>
      </w:r>
      <w:r>
        <w:rPr>
          <w:rFonts w:asciiTheme="majorBidi" w:hAnsiTheme="majorBidi" w:cstheme="majorBidi"/>
          <w:lang w:val="pt-PT"/>
        </w:rPr>
        <w:t xml:space="preserve"> </w:t>
      </w:r>
      <w:r>
        <w:rPr>
          <w:rFonts w:asciiTheme="majorBidi" w:hAnsiTheme="majorBidi" w:cstheme="majorBidi"/>
        </w:rPr>
        <w:t>словашкият</w:t>
      </w:r>
      <w:r>
        <w:rPr>
          <w:rFonts w:asciiTheme="majorBidi" w:hAnsiTheme="majorBidi" w:cstheme="majorBidi"/>
          <w:lang w:val="pt-PT"/>
        </w:rPr>
        <w:t xml:space="preserve"> </w:t>
      </w:r>
      <w:r>
        <w:rPr>
          <w:rFonts w:asciiTheme="majorBidi" w:hAnsiTheme="majorBidi" w:cstheme="majorBidi"/>
          <w:i/>
          <w:lang w:val="pt-PT"/>
        </w:rPr>
        <w:t>Národná rada</w:t>
      </w:r>
      <w:r>
        <w:rPr>
          <w:rFonts w:asciiTheme="majorBidi" w:hAnsiTheme="majorBidi" w:cstheme="majorBidi"/>
          <w:lang w:val="pt-PT"/>
        </w:rPr>
        <w:t>.</w:t>
      </w:r>
      <w:r>
        <w:rPr>
          <w:rFonts w:asciiTheme="majorBidi" w:hAnsiTheme="majorBidi" w:cstheme="majorBidi"/>
          <w:i/>
          <w:lang w:val="pt-PT"/>
        </w:rPr>
        <w:t xml:space="preserve"> </w:t>
      </w:r>
    </w:p>
  </w:footnote>
  <w:footnote w:id="51">
    <w:p>
      <w:pPr>
        <w:pStyle w:val="FootnoteText"/>
        <w:ind w:left="284" w:hanging="284"/>
        <w:jc w:val="both"/>
        <w:rPr>
          <w:rFonts w:asciiTheme="majorBidi" w:hAnsiTheme="majorBidi" w:cstheme="majorBidi"/>
          <w:lang w:val="pt-PT"/>
        </w:rPr>
      </w:pPr>
      <w:r>
        <w:rPr>
          <w:rStyle w:val="FootnoteReference"/>
          <w:rFonts w:asciiTheme="majorBidi" w:hAnsiTheme="majorBidi" w:cstheme="majorBidi"/>
        </w:rPr>
        <w:footnoteRef/>
      </w:r>
      <w:r>
        <w:rPr>
          <w:rFonts w:asciiTheme="majorBidi" w:hAnsiTheme="majorBidi" w:cstheme="majorBidi"/>
          <w:lang w:val="pt-PT"/>
        </w:rPr>
        <w:t xml:space="preserve"> </w:t>
      </w:r>
      <w:r>
        <w:rPr>
          <w:lang w:val="pt-PT"/>
        </w:rPr>
        <w:tab/>
      </w:r>
      <w:r>
        <w:rPr>
          <w:rFonts w:asciiTheme="majorBidi" w:hAnsiTheme="majorBidi" w:cstheme="majorBidi"/>
        </w:rPr>
        <w:t>Комисията</w:t>
      </w:r>
      <w:r>
        <w:rPr>
          <w:rFonts w:asciiTheme="majorBidi" w:hAnsiTheme="majorBidi" w:cstheme="majorBidi"/>
          <w:lang w:val="pt-PT"/>
        </w:rPr>
        <w:t xml:space="preserve"> </w:t>
      </w:r>
      <w:r>
        <w:rPr>
          <w:rFonts w:asciiTheme="majorBidi" w:hAnsiTheme="majorBidi" w:cstheme="majorBidi"/>
        </w:rPr>
        <w:t>получи</w:t>
      </w:r>
      <w:r>
        <w:rPr>
          <w:rFonts w:asciiTheme="majorBidi" w:hAnsiTheme="majorBidi" w:cstheme="majorBidi"/>
          <w:lang w:val="pt-PT"/>
        </w:rPr>
        <w:t xml:space="preserve"> </w:t>
      </w:r>
      <w:r>
        <w:rPr>
          <w:rFonts w:asciiTheme="majorBidi" w:hAnsiTheme="majorBidi" w:cstheme="majorBidi"/>
        </w:rPr>
        <w:t>освен</w:t>
      </w:r>
      <w:r>
        <w:rPr>
          <w:rFonts w:asciiTheme="majorBidi" w:hAnsiTheme="majorBidi" w:cstheme="majorBidi"/>
          <w:lang w:val="pt-PT"/>
        </w:rPr>
        <w:t xml:space="preserve"> </w:t>
      </w:r>
      <w:r>
        <w:rPr>
          <w:rFonts w:asciiTheme="majorBidi" w:hAnsiTheme="majorBidi" w:cstheme="majorBidi"/>
        </w:rPr>
        <w:t>това</w:t>
      </w:r>
      <w:r>
        <w:rPr>
          <w:rFonts w:asciiTheme="majorBidi" w:hAnsiTheme="majorBidi" w:cstheme="majorBidi"/>
          <w:lang w:val="pt-PT"/>
        </w:rPr>
        <w:t xml:space="preserve"> </w:t>
      </w:r>
      <w:r>
        <w:rPr>
          <w:rFonts w:asciiTheme="majorBidi" w:hAnsiTheme="majorBidi" w:cstheme="majorBidi"/>
        </w:rPr>
        <w:t>девет</w:t>
      </w:r>
      <w:r>
        <w:rPr>
          <w:rFonts w:asciiTheme="majorBidi" w:hAnsiTheme="majorBidi" w:cstheme="majorBidi"/>
          <w:lang w:val="pt-PT"/>
        </w:rPr>
        <w:t xml:space="preserve"> </w:t>
      </w:r>
      <w:r>
        <w:rPr>
          <w:rFonts w:asciiTheme="majorBidi" w:hAnsiTheme="majorBidi" w:cstheme="majorBidi"/>
        </w:rPr>
        <w:t>становища</w:t>
      </w:r>
      <w:r>
        <w:rPr>
          <w:rFonts w:asciiTheme="majorBidi" w:hAnsiTheme="majorBidi" w:cstheme="majorBidi"/>
          <w:lang w:val="pt-PT"/>
        </w:rPr>
        <w:t xml:space="preserve"> </w:t>
      </w:r>
      <w:r>
        <w:rPr>
          <w:rFonts w:asciiTheme="majorBidi" w:hAnsiTheme="majorBidi" w:cstheme="majorBidi"/>
        </w:rPr>
        <w:t>в</w:t>
      </w:r>
      <w:r>
        <w:rPr>
          <w:rFonts w:asciiTheme="majorBidi" w:hAnsiTheme="majorBidi" w:cstheme="majorBidi"/>
          <w:lang w:val="pt-PT"/>
        </w:rPr>
        <w:t xml:space="preserve"> </w:t>
      </w:r>
      <w:r>
        <w:rPr>
          <w:rFonts w:asciiTheme="majorBidi" w:hAnsiTheme="majorBidi" w:cstheme="majorBidi"/>
        </w:rPr>
        <w:t>рамките</w:t>
      </w:r>
      <w:r>
        <w:rPr>
          <w:rFonts w:asciiTheme="majorBidi" w:hAnsiTheme="majorBidi" w:cstheme="majorBidi"/>
          <w:lang w:val="pt-PT"/>
        </w:rPr>
        <w:t xml:space="preserve"> </w:t>
      </w:r>
      <w:r>
        <w:rPr>
          <w:rFonts w:asciiTheme="majorBidi" w:hAnsiTheme="majorBidi" w:cstheme="majorBidi"/>
        </w:rPr>
        <w:t>на</w:t>
      </w:r>
      <w:r>
        <w:rPr>
          <w:rFonts w:asciiTheme="majorBidi" w:hAnsiTheme="majorBidi" w:cstheme="majorBidi"/>
          <w:lang w:val="pt-PT"/>
        </w:rPr>
        <w:t xml:space="preserve"> </w:t>
      </w:r>
      <w:r>
        <w:rPr>
          <w:rFonts w:asciiTheme="majorBidi" w:hAnsiTheme="majorBidi" w:cstheme="majorBidi"/>
        </w:rPr>
        <w:t>политическия</w:t>
      </w:r>
      <w:r>
        <w:rPr>
          <w:rFonts w:asciiTheme="majorBidi" w:hAnsiTheme="majorBidi" w:cstheme="majorBidi"/>
          <w:lang w:val="pt-PT"/>
        </w:rPr>
        <w:t xml:space="preserve"> </w:t>
      </w:r>
      <w:r>
        <w:rPr>
          <w:rFonts w:asciiTheme="majorBidi" w:hAnsiTheme="majorBidi" w:cstheme="majorBidi"/>
        </w:rPr>
        <w:t>диалог</w:t>
      </w:r>
      <w:r>
        <w:rPr>
          <w:rFonts w:asciiTheme="majorBidi" w:hAnsiTheme="majorBidi" w:cstheme="majorBidi"/>
          <w:lang w:val="pt-PT"/>
        </w:rPr>
        <w:t xml:space="preserve">. </w:t>
      </w:r>
      <w:r>
        <w:rPr>
          <w:rFonts w:asciiTheme="majorBidi" w:hAnsiTheme="majorBidi" w:cstheme="majorBidi"/>
        </w:rPr>
        <w:t>Получените</w:t>
      </w:r>
      <w:r>
        <w:rPr>
          <w:rFonts w:asciiTheme="majorBidi" w:hAnsiTheme="majorBidi" w:cstheme="majorBidi"/>
          <w:lang w:val="pt-PT"/>
        </w:rPr>
        <w:t xml:space="preserve"> </w:t>
      </w:r>
      <w:r>
        <w:rPr>
          <w:rFonts w:asciiTheme="majorBidi" w:hAnsiTheme="majorBidi" w:cstheme="majorBidi"/>
        </w:rPr>
        <w:t>становища</w:t>
      </w:r>
      <w:r>
        <w:rPr>
          <w:rFonts w:asciiTheme="majorBidi" w:hAnsiTheme="majorBidi" w:cstheme="majorBidi"/>
          <w:lang w:val="pt-PT"/>
        </w:rPr>
        <w:t xml:space="preserve"> </w:t>
      </w:r>
      <w:r>
        <w:rPr>
          <w:rFonts w:asciiTheme="majorBidi" w:hAnsiTheme="majorBidi" w:cstheme="majorBidi"/>
        </w:rPr>
        <w:t>са</w:t>
      </w:r>
      <w:r>
        <w:rPr>
          <w:rFonts w:asciiTheme="majorBidi" w:hAnsiTheme="majorBidi" w:cstheme="majorBidi"/>
          <w:lang w:val="pt-PT"/>
        </w:rPr>
        <w:t xml:space="preserve"> </w:t>
      </w:r>
      <w:r>
        <w:rPr>
          <w:rFonts w:asciiTheme="majorBidi" w:hAnsiTheme="majorBidi" w:cstheme="majorBidi"/>
        </w:rPr>
        <w:t>разгледани</w:t>
      </w:r>
      <w:r>
        <w:rPr>
          <w:rFonts w:asciiTheme="majorBidi" w:hAnsiTheme="majorBidi" w:cstheme="majorBidi"/>
          <w:lang w:val="pt-PT"/>
        </w:rPr>
        <w:t xml:space="preserve"> </w:t>
      </w:r>
      <w:r>
        <w:rPr>
          <w:rFonts w:asciiTheme="majorBidi" w:hAnsiTheme="majorBidi" w:cstheme="majorBidi"/>
        </w:rPr>
        <w:t>в</w:t>
      </w:r>
      <w:r>
        <w:rPr>
          <w:rFonts w:asciiTheme="majorBidi" w:hAnsiTheme="majorBidi" w:cstheme="majorBidi"/>
          <w:lang w:val="pt-PT"/>
        </w:rPr>
        <w:t xml:space="preserve"> </w:t>
      </w:r>
      <w:r>
        <w:rPr>
          <w:rFonts w:asciiTheme="majorBidi" w:hAnsiTheme="majorBidi" w:cstheme="majorBidi"/>
        </w:rPr>
        <w:t>Годишния</w:t>
      </w:r>
      <w:r>
        <w:rPr>
          <w:rFonts w:asciiTheme="majorBidi" w:hAnsiTheme="majorBidi" w:cstheme="majorBidi"/>
          <w:lang w:val="pt-PT"/>
        </w:rPr>
        <w:t xml:space="preserve"> </w:t>
      </w:r>
      <w:r>
        <w:rPr>
          <w:rFonts w:asciiTheme="majorBidi" w:hAnsiTheme="majorBidi" w:cstheme="majorBidi"/>
        </w:rPr>
        <w:t>доклад</w:t>
      </w:r>
      <w:r>
        <w:rPr>
          <w:rFonts w:asciiTheme="majorBidi" w:hAnsiTheme="majorBidi" w:cstheme="majorBidi"/>
          <w:lang w:val="pt-PT"/>
        </w:rPr>
        <w:t xml:space="preserve"> </w:t>
      </w:r>
      <w:r>
        <w:rPr>
          <w:rFonts w:asciiTheme="majorBidi" w:hAnsiTheme="majorBidi" w:cstheme="majorBidi"/>
        </w:rPr>
        <w:t>за</w:t>
      </w:r>
      <w:r>
        <w:rPr>
          <w:rFonts w:asciiTheme="majorBidi" w:hAnsiTheme="majorBidi" w:cstheme="majorBidi"/>
          <w:lang w:val="pt-PT"/>
        </w:rPr>
        <w:t xml:space="preserve"> 2016 </w:t>
      </w:r>
      <w:r>
        <w:rPr>
          <w:rFonts w:asciiTheme="majorBidi" w:hAnsiTheme="majorBidi" w:cstheme="majorBidi"/>
        </w:rPr>
        <w:t>г</w:t>
      </w:r>
      <w:r>
        <w:rPr>
          <w:rFonts w:asciiTheme="majorBidi" w:hAnsiTheme="majorBidi" w:cstheme="majorBidi"/>
          <w:lang w:val="pt-PT"/>
        </w:rPr>
        <w:t xml:space="preserve">. </w:t>
      </w:r>
      <w:r>
        <w:rPr>
          <w:rFonts w:asciiTheme="majorBidi" w:hAnsiTheme="majorBidi" w:cstheme="majorBidi"/>
        </w:rPr>
        <w:t>относно</w:t>
      </w:r>
      <w:r>
        <w:rPr>
          <w:rFonts w:asciiTheme="majorBidi" w:hAnsiTheme="majorBidi" w:cstheme="majorBidi"/>
          <w:lang w:val="pt-PT"/>
        </w:rPr>
        <w:t xml:space="preserve"> </w:t>
      </w:r>
      <w:r>
        <w:rPr>
          <w:rFonts w:asciiTheme="majorBidi" w:hAnsiTheme="majorBidi" w:cstheme="majorBidi"/>
        </w:rPr>
        <w:t>отношенията</w:t>
      </w:r>
      <w:r>
        <w:rPr>
          <w:rFonts w:asciiTheme="majorBidi" w:hAnsiTheme="majorBidi" w:cstheme="majorBidi"/>
          <w:lang w:val="pt-PT"/>
        </w:rPr>
        <w:t xml:space="preserve"> </w:t>
      </w:r>
      <w:r>
        <w:rPr>
          <w:rFonts w:asciiTheme="majorBidi" w:hAnsiTheme="majorBidi" w:cstheme="majorBidi"/>
        </w:rPr>
        <w:t>между</w:t>
      </w:r>
      <w:r>
        <w:rPr>
          <w:rFonts w:asciiTheme="majorBidi" w:hAnsiTheme="majorBidi" w:cstheme="majorBidi"/>
          <w:lang w:val="pt-PT"/>
        </w:rPr>
        <w:t xml:space="preserve"> </w:t>
      </w:r>
      <w:r>
        <w:rPr>
          <w:rFonts w:asciiTheme="majorBidi" w:hAnsiTheme="majorBidi" w:cstheme="majorBidi"/>
        </w:rPr>
        <w:t>Комисията</w:t>
      </w:r>
      <w:r>
        <w:rPr>
          <w:rFonts w:asciiTheme="majorBidi" w:hAnsiTheme="majorBidi" w:cstheme="majorBidi"/>
          <w:lang w:val="pt-PT"/>
        </w:rPr>
        <w:t xml:space="preserve"> </w:t>
      </w:r>
      <w:r>
        <w:rPr>
          <w:rFonts w:asciiTheme="majorBidi" w:hAnsiTheme="majorBidi" w:cstheme="majorBidi"/>
        </w:rPr>
        <w:t>и</w:t>
      </w:r>
      <w:r>
        <w:rPr>
          <w:rFonts w:asciiTheme="majorBidi" w:hAnsiTheme="majorBidi" w:cstheme="majorBidi"/>
          <w:lang w:val="pt-PT"/>
        </w:rPr>
        <w:t xml:space="preserve"> </w:t>
      </w:r>
      <w:r>
        <w:rPr>
          <w:rFonts w:asciiTheme="majorBidi" w:hAnsiTheme="majorBidi" w:cstheme="majorBidi"/>
        </w:rPr>
        <w:t>националните</w:t>
      </w:r>
      <w:r>
        <w:rPr>
          <w:rFonts w:asciiTheme="majorBidi" w:hAnsiTheme="majorBidi" w:cstheme="majorBidi"/>
          <w:lang w:val="pt-PT"/>
        </w:rPr>
        <w:t xml:space="preserve"> </w:t>
      </w:r>
      <w:r>
        <w:rPr>
          <w:rFonts w:asciiTheme="majorBidi" w:hAnsiTheme="majorBidi" w:cstheme="majorBidi"/>
        </w:rPr>
        <w:t>парламенти</w:t>
      </w:r>
      <w:r>
        <w:rPr>
          <w:rFonts w:asciiTheme="majorBidi" w:hAnsiTheme="majorBidi" w:cstheme="majorBidi"/>
          <w:lang w:val="pt-PT"/>
        </w:rPr>
        <w:t xml:space="preserve"> (COM(2017) 601 final).  </w:t>
      </w:r>
    </w:p>
  </w:footnote>
  <w:footnote w:id="52">
    <w:p>
      <w:pPr>
        <w:pStyle w:val="FootnoteText"/>
        <w:ind w:left="284" w:hanging="284"/>
        <w:jc w:val="both"/>
        <w:rPr>
          <w:lang w:val="pt-PT"/>
        </w:rPr>
      </w:pPr>
      <w:r>
        <w:rPr>
          <w:rStyle w:val="FootnoteReference"/>
          <w:rFonts w:asciiTheme="majorBidi" w:hAnsiTheme="majorBidi" w:cstheme="majorBidi"/>
        </w:rPr>
        <w:footnoteRef/>
      </w:r>
      <w:r>
        <w:rPr>
          <w:rFonts w:asciiTheme="majorBidi" w:hAnsiTheme="majorBidi" w:cstheme="majorBidi"/>
          <w:lang w:val="pt-PT"/>
        </w:rPr>
        <w:t xml:space="preserve"> </w:t>
      </w:r>
      <w:r>
        <w:rPr>
          <w:lang w:val="pt-PT"/>
        </w:rPr>
        <w:tab/>
      </w:r>
      <w:r>
        <w:rPr>
          <w:rFonts w:asciiTheme="majorBidi" w:hAnsiTheme="majorBidi" w:cstheme="majorBidi"/>
          <w:lang w:val="pt-PT"/>
        </w:rPr>
        <w:t>COM(2016) 505 final.</w:t>
      </w:r>
      <w:r>
        <w:rPr>
          <w:lang w:val="pt-PT"/>
        </w:rPr>
        <w:t xml:space="preserve"> </w:t>
      </w:r>
    </w:p>
  </w:footnote>
  <w:footnote w:id="53">
    <w:p>
      <w:pPr>
        <w:pStyle w:val="FootnoteText"/>
        <w:ind w:left="284" w:hanging="284"/>
        <w:jc w:val="both"/>
        <w:rPr>
          <w:rFonts w:asciiTheme="majorBidi" w:hAnsiTheme="majorBidi" w:cstheme="majorBidi"/>
          <w:lang w:val="pt-PT"/>
        </w:rPr>
      </w:pPr>
      <w:r>
        <w:rPr>
          <w:rStyle w:val="FootnoteReference"/>
          <w:rFonts w:asciiTheme="majorBidi" w:hAnsiTheme="majorBidi" w:cstheme="majorBidi"/>
        </w:rPr>
        <w:footnoteRef/>
      </w:r>
      <w:r>
        <w:rPr>
          <w:rFonts w:asciiTheme="majorBidi" w:hAnsiTheme="majorBidi" w:cstheme="majorBidi"/>
          <w:lang w:val="pt-PT"/>
        </w:rPr>
        <w:t xml:space="preserve"> </w:t>
      </w:r>
      <w:r>
        <w:rPr>
          <w:lang w:val="pt-PT"/>
        </w:rPr>
        <w:tab/>
      </w:r>
      <w:r>
        <w:rPr>
          <w:rFonts w:asciiTheme="majorBidi" w:hAnsiTheme="majorBidi" w:cstheme="majorBidi"/>
          <w:lang w:val="pt-PT"/>
        </w:rPr>
        <w:t xml:space="preserve">COM(2016) 270 final, COM(2016) 271 final </w:t>
      </w:r>
      <w:r>
        <w:rPr>
          <w:rFonts w:asciiTheme="majorBidi" w:hAnsiTheme="majorBidi" w:cstheme="majorBidi"/>
        </w:rPr>
        <w:t>и</w:t>
      </w:r>
      <w:r>
        <w:rPr>
          <w:rFonts w:asciiTheme="majorBidi" w:hAnsiTheme="majorBidi" w:cstheme="majorBidi"/>
          <w:lang w:val="pt-PT"/>
        </w:rPr>
        <w:t xml:space="preserve"> COM(2016) 272 final.</w:t>
      </w:r>
    </w:p>
  </w:footnote>
  <w:footnote w:id="54">
    <w:p>
      <w:pPr>
        <w:pStyle w:val="FootnoteText"/>
        <w:tabs>
          <w:tab w:val="left" w:pos="284"/>
        </w:tabs>
        <w:ind w:left="284" w:hanging="284"/>
        <w:jc w:val="both"/>
        <w:rPr>
          <w:rFonts w:asciiTheme="majorBidi" w:hAnsiTheme="majorBidi" w:cstheme="majorBidi"/>
          <w:lang w:val="pt-PT"/>
        </w:rPr>
      </w:pPr>
      <w:r>
        <w:rPr>
          <w:rStyle w:val="FootnoteReference"/>
          <w:rFonts w:asciiTheme="majorBidi" w:hAnsiTheme="majorBidi" w:cstheme="majorBidi"/>
        </w:rPr>
        <w:footnoteRef/>
      </w:r>
      <w:r>
        <w:rPr>
          <w:rFonts w:asciiTheme="majorBidi" w:hAnsiTheme="majorBidi" w:cstheme="majorBidi"/>
          <w:lang w:val="pt-PT"/>
        </w:rPr>
        <w:t xml:space="preserve"> </w:t>
      </w:r>
      <w:r>
        <w:rPr>
          <w:lang w:val="pt-PT"/>
        </w:rPr>
        <w:tab/>
      </w:r>
      <w:r>
        <w:rPr>
          <w:rFonts w:asciiTheme="majorBidi" w:hAnsiTheme="majorBidi" w:cstheme="majorBidi"/>
          <w:i/>
        </w:rPr>
        <w:t>Съобщение</w:t>
      </w:r>
      <w:r>
        <w:rPr>
          <w:rFonts w:asciiTheme="majorBidi" w:hAnsiTheme="majorBidi" w:cstheme="majorBidi"/>
          <w:i/>
          <w:lang w:val="pt-PT"/>
        </w:rPr>
        <w:t xml:space="preserve"> „</w:t>
      </w:r>
      <w:r>
        <w:rPr>
          <w:rFonts w:asciiTheme="majorBidi" w:hAnsiTheme="majorBidi" w:cstheme="majorBidi"/>
          <w:i/>
        </w:rPr>
        <w:t>Към</w:t>
      </w:r>
      <w:r>
        <w:rPr>
          <w:rFonts w:asciiTheme="majorBidi" w:hAnsiTheme="majorBidi" w:cstheme="majorBidi"/>
          <w:i/>
          <w:lang w:val="pt-PT"/>
        </w:rPr>
        <w:t xml:space="preserve"> </w:t>
      </w:r>
      <w:r>
        <w:rPr>
          <w:rFonts w:asciiTheme="majorBidi" w:hAnsiTheme="majorBidi" w:cstheme="majorBidi"/>
          <w:i/>
        </w:rPr>
        <w:t>реформа</w:t>
      </w:r>
      <w:r>
        <w:rPr>
          <w:rFonts w:asciiTheme="majorBidi" w:hAnsiTheme="majorBidi" w:cstheme="majorBidi"/>
          <w:i/>
          <w:lang w:val="pt-PT"/>
        </w:rPr>
        <w:t xml:space="preserve"> </w:t>
      </w:r>
      <w:r>
        <w:rPr>
          <w:rFonts w:asciiTheme="majorBidi" w:hAnsiTheme="majorBidi" w:cstheme="majorBidi"/>
          <w:i/>
        </w:rPr>
        <w:t>на</w:t>
      </w:r>
      <w:r>
        <w:rPr>
          <w:rFonts w:asciiTheme="majorBidi" w:hAnsiTheme="majorBidi" w:cstheme="majorBidi"/>
          <w:i/>
          <w:lang w:val="pt-PT"/>
        </w:rPr>
        <w:t xml:space="preserve"> </w:t>
      </w:r>
      <w:r>
        <w:rPr>
          <w:rFonts w:asciiTheme="majorBidi" w:hAnsiTheme="majorBidi" w:cstheme="majorBidi"/>
          <w:i/>
        </w:rPr>
        <w:t>общата</w:t>
      </w:r>
      <w:r>
        <w:rPr>
          <w:rFonts w:asciiTheme="majorBidi" w:hAnsiTheme="majorBidi" w:cstheme="majorBidi"/>
          <w:i/>
          <w:lang w:val="pt-PT"/>
        </w:rPr>
        <w:t xml:space="preserve"> </w:t>
      </w:r>
      <w:r>
        <w:rPr>
          <w:rFonts w:asciiTheme="majorBidi" w:hAnsiTheme="majorBidi" w:cstheme="majorBidi"/>
          <w:i/>
        </w:rPr>
        <w:t>европейска</w:t>
      </w:r>
      <w:r>
        <w:rPr>
          <w:rFonts w:asciiTheme="majorBidi" w:hAnsiTheme="majorBidi" w:cstheme="majorBidi"/>
          <w:i/>
          <w:lang w:val="pt-PT"/>
        </w:rPr>
        <w:t xml:space="preserve"> </w:t>
      </w:r>
      <w:r>
        <w:rPr>
          <w:rFonts w:asciiTheme="majorBidi" w:hAnsiTheme="majorBidi" w:cstheme="majorBidi"/>
          <w:i/>
        </w:rPr>
        <w:t>система</w:t>
      </w:r>
      <w:r>
        <w:rPr>
          <w:rFonts w:asciiTheme="majorBidi" w:hAnsiTheme="majorBidi" w:cstheme="majorBidi"/>
          <w:i/>
          <w:lang w:val="pt-PT"/>
        </w:rPr>
        <w:t xml:space="preserve"> </w:t>
      </w:r>
      <w:r>
        <w:rPr>
          <w:rFonts w:asciiTheme="majorBidi" w:hAnsiTheme="majorBidi" w:cstheme="majorBidi"/>
          <w:i/>
        </w:rPr>
        <w:t>за</w:t>
      </w:r>
      <w:r>
        <w:rPr>
          <w:rFonts w:asciiTheme="majorBidi" w:hAnsiTheme="majorBidi" w:cstheme="majorBidi"/>
          <w:i/>
          <w:lang w:val="pt-PT"/>
        </w:rPr>
        <w:t xml:space="preserve"> </w:t>
      </w:r>
      <w:r>
        <w:rPr>
          <w:rFonts w:asciiTheme="majorBidi" w:hAnsiTheme="majorBidi" w:cstheme="majorBidi"/>
          <w:i/>
        </w:rPr>
        <w:t>убежище</w:t>
      </w:r>
      <w:r>
        <w:rPr>
          <w:rFonts w:asciiTheme="majorBidi" w:hAnsiTheme="majorBidi" w:cstheme="majorBidi"/>
          <w:i/>
          <w:lang w:val="pt-PT"/>
        </w:rPr>
        <w:t xml:space="preserve"> </w:t>
      </w:r>
      <w:r>
        <w:rPr>
          <w:rFonts w:asciiTheme="majorBidi" w:hAnsiTheme="majorBidi" w:cstheme="majorBidi"/>
          <w:i/>
        </w:rPr>
        <w:t>и</w:t>
      </w:r>
      <w:r>
        <w:rPr>
          <w:rFonts w:asciiTheme="majorBidi" w:hAnsiTheme="majorBidi" w:cstheme="majorBidi"/>
          <w:i/>
          <w:lang w:val="pt-PT"/>
        </w:rPr>
        <w:t xml:space="preserve"> </w:t>
      </w:r>
      <w:r>
        <w:rPr>
          <w:rFonts w:asciiTheme="majorBidi" w:hAnsiTheme="majorBidi" w:cstheme="majorBidi"/>
          <w:i/>
        </w:rPr>
        <w:t>укрепване</w:t>
      </w:r>
      <w:r>
        <w:rPr>
          <w:rFonts w:asciiTheme="majorBidi" w:hAnsiTheme="majorBidi" w:cstheme="majorBidi"/>
          <w:i/>
          <w:lang w:val="pt-PT"/>
        </w:rPr>
        <w:t xml:space="preserve"> </w:t>
      </w:r>
      <w:r>
        <w:rPr>
          <w:rFonts w:asciiTheme="majorBidi" w:hAnsiTheme="majorBidi" w:cstheme="majorBidi"/>
          <w:i/>
        </w:rPr>
        <w:t>на</w:t>
      </w:r>
      <w:r>
        <w:rPr>
          <w:rFonts w:asciiTheme="majorBidi" w:hAnsiTheme="majorBidi" w:cstheme="majorBidi"/>
          <w:i/>
          <w:lang w:val="pt-PT"/>
        </w:rPr>
        <w:t xml:space="preserve"> </w:t>
      </w:r>
      <w:r>
        <w:rPr>
          <w:rFonts w:asciiTheme="majorBidi" w:hAnsiTheme="majorBidi" w:cstheme="majorBidi"/>
          <w:i/>
        </w:rPr>
        <w:t>законни</w:t>
      </w:r>
      <w:r>
        <w:rPr>
          <w:rFonts w:asciiTheme="majorBidi" w:hAnsiTheme="majorBidi" w:cstheme="majorBidi"/>
          <w:i/>
          <w:lang w:val="pt-PT"/>
        </w:rPr>
        <w:t xml:space="preserve"> </w:t>
      </w:r>
      <w:r>
        <w:rPr>
          <w:rFonts w:asciiTheme="majorBidi" w:hAnsiTheme="majorBidi" w:cstheme="majorBidi"/>
          <w:i/>
        </w:rPr>
        <w:t>начини</w:t>
      </w:r>
      <w:r>
        <w:rPr>
          <w:rFonts w:asciiTheme="majorBidi" w:hAnsiTheme="majorBidi" w:cstheme="majorBidi"/>
          <w:i/>
          <w:lang w:val="pt-PT"/>
        </w:rPr>
        <w:t xml:space="preserve"> </w:t>
      </w:r>
      <w:r>
        <w:rPr>
          <w:rFonts w:asciiTheme="majorBidi" w:hAnsiTheme="majorBidi" w:cstheme="majorBidi"/>
          <w:i/>
        </w:rPr>
        <w:t>за</w:t>
      </w:r>
      <w:r>
        <w:rPr>
          <w:rFonts w:asciiTheme="majorBidi" w:hAnsiTheme="majorBidi" w:cstheme="majorBidi"/>
          <w:i/>
          <w:lang w:val="pt-PT"/>
        </w:rPr>
        <w:t xml:space="preserve"> </w:t>
      </w:r>
      <w:r>
        <w:rPr>
          <w:rFonts w:asciiTheme="majorBidi" w:hAnsiTheme="majorBidi" w:cstheme="majorBidi"/>
          <w:i/>
        </w:rPr>
        <w:t>достъп</w:t>
      </w:r>
      <w:r>
        <w:rPr>
          <w:rFonts w:asciiTheme="majorBidi" w:hAnsiTheme="majorBidi" w:cstheme="majorBidi"/>
          <w:i/>
          <w:lang w:val="pt-PT"/>
        </w:rPr>
        <w:t xml:space="preserve"> </w:t>
      </w:r>
      <w:r>
        <w:rPr>
          <w:rFonts w:asciiTheme="majorBidi" w:hAnsiTheme="majorBidi" w:cstheme="majorBidi"/>
          <w:i/>
        </w:rPr>
        <w:t>до</w:t>
      </w:r>
      <w:r>
        <w:rPr>
          <w:rFonts w:asciiTheme="majorBidi" w:hAnsiTheme="majorBidi" w:cstheme="majorBidi"/>
          <w:i/>
          <w:lang w:val="pt-PT"/>
        </w:rPr>
        <w:t xml:space="preserve"> </w:t>
      </w:r>
      <w:r>
        <w:rPr>
          <w:rFonts w:asciiTheme="majorBidi" w:hAnsiTheme="majorBidi" w:cstheme="majorBidi"/>
          <w:i/>
        </w:rPr>
        <w:t>Европа</w:t>
      </w:r>
      <w:r>
        <w:rPr>
          <w:rFonts w:asciiTheme="majorBidi" w:hAnsiTheme="majorBidi" w:cstheme="majorBidi"/>
          <w:i/>
          <w:lang w:val="pt-PT"/>
        </w:rPr>
        <w:t>“</w:t>
      </w:r>
      <w:r>
        <w:rPr>
          <w:rFonts w:asciiTheme="majorBidi" w:hAnsiTheme="majorBidi" w:cstheme="majorBidi"/>
          <w:lang w:val="pt-PT"/>
        </w:rPr>
        <w:t>, COM(2016) 197 final.</w:t>
      </w:r>
    </w:p>
  </w:footnote>
  <w:footnote w:id="55">
    <w:p>
      <w:pPr>
        <w:pStyle w:val="FootnoteText"/>
        <w:ind w:left="284" w:hanging="284"/>
        <w:jc w:val="both"/>
        <w:rPr>
          <w:rFonts w:asciiTheme="majorBidi" w:hAnsiTheme="majorBidi" w:cstheme="majorBidi"/>
          <w:lang w:val="pt-PT"/>
        </w:rPr>
      </w:pPr>
      <w:r>
        <w:rPr>
          <w:rStyle w:val="FootnoteReference"/>
          <w:rFonts w:asciiTheme="majorBidi" w:hAnsiTheme="majorBidi" w:cstheme="majorBidi"/>
        </w:rPr>
        <w:footnoteRef/>
      </w:r>
      <w:r>
        <w:rPr>
          <w:rFonts w:asciiTheme="majorBidi" w:hAnsiTheme="majorBidi" w:cstheme="majorBidi"/>
          <w:lang w:val="pt-PT"/>
        </w:rPr>
        <w:t xml:space="preserve"> </w:t>
      </w:r>
      <w:r>
        <w:rPr>
          <w:lang w:val="pt-PT"/>
        </w:rPr>
        <w:tab/>
      </w:r>
      <w:r>
        <w:rPr>
          <w:rFonts w:asciiTheme="majorBidi" w:hAnsiTheme="majorBidi" w:cstheme="majorBidi"/>
          <w:lang w:val="pt-PT"/>
        </w:rPr>
        <w:t>COM(2016) 270 final.</w:t>
      </w:r>
    </w:p>
  </w:footnote>
  <w:footnote w:id="56">
    <w:p>
      <w:pPr>
        <w:tabs>
          <w:tab w:val="left" w:pos="284"/>
        </w:tabs>
        <w:spacing w:after="0" w:line="240" w:lineRule="auto"/>
        <w:ind w:left="284" w:right="187" w:hanging="284"/>
        <w:jc w:val="both"/>
        <w:rPr>
          <w:rFonts w:asciiTheme="majorBidi" w:hAnsiTheme="majorBidi" w:cstheme="majorBidi"/>
          <w:sz w:val="20"/>
          <w:szCs w:val="20"/>
          <w:lang w:val="pt-PT"/>
        </w:rPr>
      </w:pPr>
      <w:r>
        <w:rPr>
          <w:rStyle w:val="FootnoteReference"/>
          <w:rFonts w:asciiTheme="majorBidi" w:hAnsiTheme="majorBidi" w:cstheme="majorBidi"/>
          <w:sz w:val="20"/>
        </w:rPr>
        <w:footnoteRef/>
      </w:r>
      <w:r>
        <w:rPr>
          <w:rFonts w:asciiTheme="majorBidi" w:hAnsiTheme="majorBidi" w:cstheme="majorBidi"/>
          <w:sz w:val="20"/>
          <w:lang w:val="pt-PT"/>
        </w:rPr>
        <w:t xml:space="preserve"> </w:t>
      </w:r>
      <w:r>
        <w:rPr>
          <w:lang w:val="pt-PT"/>
        </w:rPr>
        <w:tab/>
      </w:r>
      <w:r>
        <w:rPr>
          <w:rFonts w:asciiTheme="majorBidi" w:hAnsiTheme="majorBidi" w:cstheme="majorBidi"/>
          <w:sz w:val="20"/>
        </w:rPr>
        <w:t>Чешката</w:t>
      </w:r>
      <w:r>
        <w:rPr>
          <w:rFonts w:asciiTheme="majorBidi" w:hAnsiTheme="majorBidi" w:cstheme="majorBidi"/>
          <w:sz w:val="20"/>
          <w:lang w:val="pt-PT"/>
        </w:rPr>
        <w:t xml:space="preserve"> </w:t>
      </w:r>
      <w:r>
        <w:rPr>
          <w:rFonts w:asciiTheme="majorBidi" w:hAnsiTheme="majorBidi" w:cstheme="majorBidi"/>
          <w:i/>
          <w:sz w:val="20"/>
          <w:lang w:val="pt-PT"/>
        </w:rPr>
        <w:t xml:space="preserve">Poslanecká sněmovna, </w:t>
      </w:r>
      <w:r>
        <w:rPr>
          <w:rFonts w:asciiTheme="majorBidi" w:hAnsiTheme="majorBidi" w:cstheme="majorBidi"/>
          <w:sz w:val="20"/>
        </w:rPr>
        <w:t>чешкият</w:t>
      </w:r>
      <w:r>
        <w:rPr>
          <w:rFonts w:asciiTheme="majorBidi" w:hAnsiTheme="majorBidi" w:cstheme="majorBidi"/>
          <w:i/>
          <w:sz w:val="20"/>
          <w:lang w:val="pt-PT"/>
        </w:rPr>
        <w:t xml:space="preserve"> Senát</w:t>
      </w:r>
      <w:r>
        <w:rPr>
          <w:rFonts w:asciiTheme="majorBidi" w:hAnsiTheme="majorBidi" w:cstheme="majorBidi"/>
          <w:sz w:val="20"/>
          <w:lang w:val="pt-PT"/>
        </w:rPr>
        <w:t xml:space="preserve">, </w:t>
      </w:r>
      <w:r>
        <w:rPr>
          <w:rFonts w:asciiTheme="majorBidi" w:hAnsiTheme="majorBidi" w:cstheme="majorBidi"/>
          <w:sz w:val="20"/>
        </w:rPr>
        <w:t>италианският</w:t>
      </w:r>
      <w:r>
        <w:rPr>
          <w:rFonts w:asciiTheme="majorBidi" w:hAnsiTheme="majorBidi" w:cstheme="majorBidi"/>
          <w:sz w:val="20"/>
          <w:lang w:val="pt-PT"/>
        </w:rPr>
        <w:t xml:space="preserve"> </w:t>
      </w:r>
      <w:r>
        <w:rPr>
          <w:rFonts w:asciiTheme="majorBidi" w:hAnsiTheme="majorBidi" w:cstheme="majorBidi"/>
          <w:i/>
          <w:sz w:val="20"/>
          <w:lang w:val="pt-PT"/>
        </w:rPr>
        <w:t>Senato della Repubblica</w:t>
      </w:r>
      <w:r>
        <w:rPr>
          <w:rFonts w:asciiTheme="majorBidi" w:hAnsiTheme="majorBidi" w:cstheme="majorBidi"/>
          <w:sz w:val="20"/>
          <w:lang w:val="pt-PT"/>
        </w:rPr>
        <w:t xml:space="preserve">, </w:t>
      </w:r>
      <w:r>
        <w:rPr>
          <w:rFonts w:asciiTheme="majorBidi" w:hAnsiTheme="majorBidi" w:cstheme="majorBidi"/>
          <w:sz w:val="20"/>
        </w:rPr>
        <w:t>унгарският</w:t>
      </w:r>
      <w:r>
        <w:rPr>
          <w:rFonts w:asciiTheme="majorBidi" w:hAnsiTheme="majorBidi" w:cstheme="majorBidi"/>
          <w:sz w:val="20"/>
          <w:lang w:val="pt-PT"/>
        </w:rPr>
        <w:t xml:space="preserve"> </w:t>
      </w:r>
      <w:r>
        <w:rPr>
          <w:rFonts w:asciiTheme="majorBidi" w:hAnsiTheme="majorBidi" w:cstheme="majorBidi"/>
          <w:i/>
          <w:sz w:val="20"/>
          <w:lang w:val="pt-PT"/>
        </w:rPr>
        <w:t>Országgyűlés,</w:t>
      </w:r>
      <w:r>
        <w:rPr>
          <w:rFonts w:asciiTheme="majorBidi" w:hAnsiTheme="majorBidi" w:cstheme="majorBidi"/>
          <w:sz w:val="20"/>
          <w:lang w:val="pt-PT"/>
        </w:rPr>
        <w:t xml:space="preserve"> </w:t>
      </w:r>
      <w:r>
        <w:rPr>
          <w:rFonts w:asciiTheme="majorBidi" w:hAnsiTheme="majorBidi" w:cstheme="majorBidi"/>
          <w:sz w:val="20"/>
        </w:rPr>
        <w:t>полският</w:t>
      </w:r>
      <w:r>
        <w:rPr>
          <w:rFonts w:asciiTheme="majorBidi" w:hAnsiTheme="majorBidi" w:cstheme="majorBidi"/>
          <w:sz w:val="20"/>
          <w:lang w:val="pt-PT"/>
        </w:rPr>
        <w:t xml:space="preserve"> </w:t>
      </w:r>
      <w:r>
        <w:rPr>
          <w:rFonts w:asciiTheme="majorBidi" w:hAnsiTheme="majorBidi" w:cstheme="majorBidi"/>
          <w:i/>
          <w:sz w:val="20"/>
          <w:lang w:val="pt-PT"/>
        </w:rPr>
        <w:t xml:space="preserve">Sejm, </w:t>
      </w:r>
      <w:r>
        <w:rPr>
          <w:rFonts w:asciiTheme="majorBidi" w:hAnsiTheme="majorBidi" w:cstheme="majorBidi"/>
          <w:sz w:val="20"/>
        </w:rPr>
        <w:t>полският</w:t>
      </w:r>
      <w:r>
        <w:rPr>
          <w:rFonts w:asciiTheme="majorBidi" w:hAnsiTheme="majorBidi" w:cstheme="majorBidi"/>
          <w:i/>
          <w:sz w:val="20"/>
          <w:lang w:val="pt-PT"/>
        </w:rPr>
        <w:t xml:space="preserve"> Senat</w:t>
      </w:r>
      <w:r>
        <w:rPr>
          <w:rFonts w:asciiTheme="majorBidi" w:hAnsiTheme="majorBidi" w:cstheme="majorBidi"/>
          <w:sz w:val="20"/>
          <w:lang w:val="pt-PT"/>
        </w:rPr>
        <w:t xml:space="preserve">, </w:t>
      </w:r>
      <w:r>
        <w:rPr>
          <w:rFonts w:asciiTheme="majorBidi" w:hAnsiTheme="majorBidi" w:cstheme="majorBidi"/>
          <w:sz w:val="20"/>
        </w:rPr>
        <w:t>румънската</w:t>
      </w:r>
      <w:r>
        <w:rPr>
          <w:rFonts w:asciiTheme="majorBidi" w:hAnsiTheme="majorBidi" w:cstheme="majorBidi"/>
          <w:sz w:val="20"/>
          <w:lang w:val="pt-PT"/>
        </w:rPr>
        <w:t xml:space="preserve"> </w:t>
      </w:r>
      <w:r>
        <w:rPr>
          <w:rFonts w:asciiTheme="majorBidi" w:hAnsiTheme="majorBidi" w:cstheme="majorBidi"/>
          <w:i/>
          <w:sz w:val="20"/>
          <w:lang w:val="pt-PT"/>
        </w:rPr>
        <w:t xml:space="preserve">Camera Deputaților </w:t>
      </w:r>
      <w:r>
        <w:rPr>
          <w:rFonts w:asciiTheme="majorBidi" w:hAnsiTheme="majorBidi" w:cstheme="majorBidi"/>
          <w:sz w:val="20"/>
        </w:rPr>
        <w:t>и</w:t>
      </w:r>
      <w:r>
        <w:rPr>
          <w:rFonts w:asciiTheme="majorBidi" w:hAnsiTheme="majorBidi" w:cstheme="majorBidi"/>
          <w:i/>
          <w:sz w:val="20"/>
          <w:lang w:val="pt-PT"/>
        </w:rPr>
        <w:t xml:space="preserve"> </w:t>
      </w:r>
      <w:r>
        <w:rPr>
          <w:rFonts w:asciiTheme="majorBidi" w:hAnsiTheme="majorBidi" w:cstheme="majorBidi"/>
          <w:sz w:val="20"/>
        </w:rPr>
        <w:t>словашкият</w:t>
      </w:r>
      <w:r>
        <w:rPr>
          <w:rFonts w:asciiTheme="majorBidi" w:hAnsiTheme="majorBidi" w:cstheme="majorBidi"/>
          <w:sz w:val="20"/>
          <w:lang w:val="pt-PT"/>
        </w:rPr>
        <w:t xml:space="preserve"> </w:t>
      </w:r>
      <w:r>
        <w:rPr>
          <w:rFonts w:asciiTheme="majorBidi" w:hAnsiTheme="majorBidi" w:cstheme="majorBidi"/>
          <w:i/>
          <w:sz w:val="20"/>
          <w:lang w:val="pt-PT"/>
        </w:rPr>
        <w:t>Národna rada.</w:t>
      </w:r>
    </w:p>
  </w:footnote>
  <w:footnote w:id="57">
    <w:p>
      <w:pPr>
        <w:pStyle w:val="FootnoteText"/>
        <w:tabs>
          <w:tab w:val="left" w:pos="284"/>
        </w:tabs>
        <w:ind w:left="284" w:hanging="284"/>
        <w:rPr>
          <w:lang w:val="pt-PT"/>
        </w:rPr>
      </w:pPr>
      <w:r>
        <w:rPr>
          <w:rStyle w:val="FootnoteReference"/>
          <w:rFonts w:asciiTheme="majorBidi" w:hAnsiTheme="majorBidi" w:cstheme="majorBidi"/>
        </w:rPr>
        <w:footnoteRef/>
      </w:r>
      <w:r>
        <w:rPr>
          <w:lang w:val="pt-PT"/>
        </w:rPr>
        <w:t xml:space="preserve"> </w:t>
      </w:r>
      <w:r>
        <w:rPr>
          <w:lang w:val="pt-PT"/>
        </w:rPr>
        <w:tab/>
      </w:r>
      <w:r>
        <w:rPr>
          <w:rFonts w:asciiTheme="majorBidi" w:hAnsiTheme="majorBidi" w:cstheme="majorBidi"/>
          <w:lang w:val="pt-PT"/>
        </w:rPr>
        <w:t xml:space="preserve">COM(2011) 121 </w:t>
      </w:r>
      <w:r>
        <w:rPr>
          <w:rFonts w:asciiTheme="majorBidi" w:hAnsiTheme="majorBidi" w:cstheme="majorBidi"/>
        </w:rPr>
        <w:t>окончателен</w:t>
      </w:r>
      <w:r>
        <w:rPr>
          <w:rFonts w:asciiTheme="majorBidi" w:hAnsiTheme="majorBidi" w:cstheme="majorBidi"/>
          <w:lang w:val="pt-PT"/>
        </w:rPr>
        <w:t>.</w:t>
      </w:r>
    </w:p>
  </w:footnote>
  <w:footnote w:id="58">
    <w:p>
      <w:pPr>
        <w:pStyle w:val="FootnoteText"/>
        <w:tabs>
          <w:tab w:val="left" w:pos="284"/>
        </w:tabs>
        <w:jc w:val="both"/>
        <w:rPr>
          <w:rFonts w:ascii="Times New Roman" w:hAnsi="Times New Roman" w:cs="Times New Roman"/>
          <w:lang w:val="pt-PT"/>
        </w:rPr>
      </w:pPr>
      <w:r>
        <w:rPr>
          <w:rStyle w:val="FootnoteReference"/>
          <w:rFonts w:ascii="Times New Roman" w:hAnsi="Times New Roman"/>
        </w:rPr>
        <w:footnoteRef/>
      </w:r>
      <w:r>
        <w:rPr>
          <w:rFonts w:ascii="Times New Roman" w:hAnsi="Times New Roman"/>
          <w:lang w:val="pt-PT"/>
        </w:rPr>
        <w:t xml:space="preserve"> </w:t>
      </w:r>
      <w:r>
        <w:rPr>
          <w:lang w:val="pt-PT"/>
        </w:rPr>
        <w:tab/>
      </w:r>
      <w:r>
        <w:rPr>
          <w:rFonts w:ascii="Times New Roman" w:hAnsi="Times New Roman"/>
        </w:rPr>
        <w:t>Приложение</w:t>
      </w:r>
      <w:r>
        <w:rPr>
          <w:rFonts w:ascii="Times New Roman" w:hAnsi="Times New Roman"/>
          <w:lang w:val="pt-PT"/>
        </w:rPr>
        <w:t xml:space="preserve"> 4 </w:t>
      </w:r>
      <w:r>
        <w:rPr>
          <w:rFonts w:ascii="Times New Roman" w:hAnsi="Times New Roman"/>
        </w:rPr>
        <w:t>към</w:t>
      </w:r>
      <w:r>
        <w:rPr>
          <w:rFonts w:ascii="Times New Roman" w:hAnsi="Times New Roman"/>
          <w:lang w:val="pt-PT"/>
        </w:rPr>
        <w:t xml:space="preserve"> </w:t>
      </w:r>
      <w:r>
        <w:rPr>
          <w:rFonts w:ascii="Times New Roman" w:hAnsi="Times New Roman"/>
        </w:rPr>
        <w:t>Работната</w:t>
      </w:r>
      <w:r>
        <w:rPr>
          <w:rFonts w:ascii="Times New Roman" w:hAnsi="Times New Roman"/>
          <w:lang w:val="pt-PT"/>
        </w:rPr>
        <w:t xml:space="preserve"> </w:t>
      </w:r>
      <w:r>
        <w:rPr>
          <w:rFonts w:ascii="Times New Roman" w:hAnsi="Times New Roman"/>
        </w:rPr>
        <w:t>програма</w:t>
      </w:r>
      <w:r>
        <w:rPr>
          <w:rFonts w:ascii="Times New Roman" w:hAnsi="Times New Roman"/>
          <w:lang w:val="pt-PT"/>
        </w:rPr>
        <w:t xml:space="preserve"> </w:t>
      </w:r>
      <w:r>
        <w:rPr>
          <w:rFonts w:ascii="Times New Roman" w:hAnsi="Times New Roman"/>
        </w:rPr>
        <w:t>на</w:t>
      </w:r>
      <w:r>
        <w:rPr>
          <w:rFonts w:ascii="Times New Roman" w:hAnsi="Times New Roman"/>
          <w:lang w:val="pt-PT"/>
        </w:rPr>
        <w:t xml:space="preserve"> </w:t>
      </w:r>
      <w:r>
        <w:rPr>
          <w:rFonts w:ascii="Times New Roman" w:hAnsi="Times New Roman"/>
        </w:rPr>
        <w:t>Комисията</w:t>
      </w:r>
      <w:r>
        <w:rPr>
          <w:rFonts w:ascii="Times New Roman" w:hAnsi="Times New Roman"/>
          <w:lang w:val="pt-PT"/>
        </w:rPr>
        <w:t xml:space="preserve"> </w:t>
      </w:r>
      <w:r>
        <w:rPr>
          <w:rFonts w:ascii="Times New Roman" w:hAnsi="Times New Roman"/>
        </w:rPr>
        <w:t>за</w:t>
      </w:r>
      <w:r>
        <w:rPr>
          <w:rFonts w:ascii="Times New Roman" w:hAnsi="Times New Roman"/>
          <w:lang w:val="pt-PT"/>
        </w:rPr>
        <w:t xml:space="preserve"> 2016 </w:t>
      </w:r>
      <w:r>
        <w:rPr>
          <w:rFonts w:ascii="Times New Roman" w:hAnsi="Times New Roman"/>
        </w:rPr>
        <w:t>г</w:t>
      </w:r>
      <w:r>
        <w:rPr>
          <w:rFonts w:ascii="Times New Roman" w:hAnsi="Times New Roman"/>
          <w:lang w:val="pt-PT"/>
        </w:rPr>
        <w:t>. — COM(2015) 610 final.</w:t>
      </w:r>
    </w:p>
  </w:footnote>
  <w:footnote w:id="59">
    <w:p>
      <w:pPr>
        <w:pStyle w:val="FootnoteText"/>
        <w:tabs>
          <w:tab w:val="left" w:pos="284"/>
        </w:tabs>
        <w:rPr>
          <w:lang w:val="pt-PT"/>
        </w:rPr>
      </w:pPr>
      <w:r>
        <w:rPr>
          <w:rStyle w:val="FootnoteReference"/>
          <w:rFonts w:asciiTheme="majorBidi" w:hAnsiTheme="majorBidi" w:cstheme="majorBidi"/>
        </w:rPr>
        <w:footnoteRef/>
      </w:r>
      <w:r>
        <w:rPr>
          <w:lang w:val="pt-PT"/>
        </w:rPr>
        <w:t xml:space="preserve"> </w:t>
      </w:r>
      <w:r>
        <w:rPr>
          <w:lang w:val="pt-PT"/>
        </w:rPr>
        <w:tab/>
      </w:r>
      <w:r>
        <w:rPr>
          <w:rFonts w:asciiTheme="majorBidi" w:hAnsiTheme="majorBidi" w:cstheme="majorBidi"/>
          <w:lang w:val="pt-PT"/>
        </w:rPr>
        <w:t xml:space="preserve">COM(2016) 683 final </w:t>
      </w:r>
      <w:r>
        <w:rPr>
          <w:rFonts w:asciiTheme="majorBidi" w:hAnsiTheme="majorBidi" w:cstheme="majorBidi"/>
        </w:rPr>
        <w:t>и</w:t>
      </w:r>
      <w:r>
        <w:rPr>
          <w:rFonts w:asciiTheme="majorBidi" w:hAnsiTheme="majorBidi" w:cstheme="majorBidi"/>
          <w:lang w:val="pt-PT"/>
        </w:rPr>
        <w:t xml:space="preserve"> COM(2016) 685 final.</w:t>
      </w:r>
    </w:p>
  </w:footnote>
  <w:footnote w:id="60">
    <w:p>
      <w:pPr>
        <w:pStyle w:val="FootnoteText"/>
        <w:tabs>
          <w:tab w:val="left" w:pos="284"/>
        </w:tabs>
        <w:ind w:left="284" w:hanging="284"/>
        <w:jc w:val="both"/>
        <w:rPr>
          <w:rFonts w:ascii="Times New Roman" w:hAnsi="Times New Roman" w:cs="Times New Roman"/>
          <w:lang w:val="pt-PT"/>
        </w:rPr>
      </w:pPr>
      <w:r>
        <w:rPr>
          <w:rStyle w:val="FootnoteReference"/>
          <w:rFonts w:ascii="Times New Roman" w:hAnsi="Times New Roman"/>
        </w:rPr>
        <w:footnoteRef/>
      </w:r>
      <w:r>
        <w:rPr>
          <w:rFonts w:ascii="Times New Roman" w:hAnsi="Times New Roman"/>
          <w:lang w:val="pt-PT"/>
        </w:rPr>
        <w:t xml:space="preserve"> </w:t>
      </w:r>
      <w:r>
        <w:rPr>
          <w:lang w:val="pt-PT"/>
        </w:rPr>
        <w:tab/>
      </w:r>
      <w:r>
        <w:rPr>
          <w:rFonts w:ascii="Times New Roman" w:hAnsi="Times New Roman"/>
        </w:rPr>
        <w:t>Датският</w:t>
      </w:r>
      <w:r>
        <w:rPr>
          <w:rFonts w:ascii="Times New Roman" w:hAnsi="Times New Roman"/>
          <w:lang w:val="pt-PT"/>
        </w:rPr>
        <w:t xml:space="preserve"> </w:t>
      </w:r>
      <w:r>
        <w:rPr>
          <w:rFonts w:ascii="Times New Roman" w:hAnsi="Times New Roman"/>
          <w:i/>
          <w:lang w:val="pt-PT"/>
        </w:rPr>
        <w:t>Folketing</w:t>
      </w:r>
      <w:r>
        <w:rPr>
          <w:rFonts w:ascii="Times New Roman" w:hAnsi="Times New Roman"/>
          <w:lang w:val="pt-PT"/>
        </w:rPr>
        <w:t xml:space="preserve">, </w:t>
      </w:r>
      <w:r>
        <w:rPr>
          <w:rFonts w:ascii="Times New Roman" w:hAnsi="Times New Roman"/>
        </w:rPr>
        <w:t>ирландският</w:t>
      </w:r>
      <w:r>
        <w:rPr>
          <w:rFonts w:ascii="Times New Roman" w:hAnsi="Times New Roman"/>
          <w:lang w:val="pt-PT"/>
        </w:rPr>
        <w:t xml:space="preserve"> </w:t>
      </w:r>
      <w:r>
        <w:rPr>
          <w:rFonts w:ascii="Times New Roman" w:hAnsi="Times New Roman"/>
          <w:i/>
          <w:lang w:val="pt-PT"/>
        </w:rPr>
        <w:t xml:space="preserve">Dáil Éireann, </w:t>
      </w:r>
      <w:r>
        <w:rPr>
          <w:rFonts w:ascii="Times New Roman" w:hAnsi="Times New Roman"/>
        </w:rPr>
        <w:t>ирландският</w:t>
      </w:r>
      <w:r>
        <w:rPr>
          <w:rFonts w:ascii="Times New Roman" w:hAnsi="Times New Roman"/>
          <w:lang w:val="pt-PT"/>
        </w:rPr>
        <w:t xml:space="preserve"> </w:t>
      </w:r>
      <w:r>
        <w:rPr>
          <w:rFonts w:ascii="Times New Roman" w:hAnsi="Times New Roman"/>
          <w:i/>
          <w:lang w:val="pt-PT"/>
        </w:rPr>
        <w:t>Seanad Éireann</w:t>
      </w:r>
      <w:r>
        <w:rPr>
          <w:rFonts w:ascii="Times New Roman" w:hAnsi="Times New Roman"/>
          <w:lang w:val="pt-PT"/>
        </w:rPr>
        <w:t>,</w:t>
      </w:r>
      <w:r>
        <w:rPr>
          <w:rFonts w:ascii="Times New Roman" w:hAnsi="Times New Roman"/>
          <w:i/>
          <w:lang w:val="pt-PT"/>
        </w:rPr>
        <w:t xml:space="preserve"> </w:t>
      </w:r>
      <w:r>
        <w:rPr>
          <w:rFonts w:ascii="Times New Roman" w:hAnsi="Times New Roman"/>
        </w:rPr>
        <w:t>люксембургската</w:t>
      </w:r>
      <w:r>
        <w:rPr>
          <w:rFonts w:ascii="Times New Roman" w:hAnsi="Times New Roman"/>
          <w:lang w:val="pt-PT"/>
        </w:rPr>
        <w:t xml:space="preserve"> </w:t>
      </w:r>
      <w:r>
        <w:rPr>
          <w:rFonts w:ascii="Times New Roman" w:hAnsi="Times New Roman"/>
          <w:i/>
          <w:lang w:val="pt-PT"/>
        </w:rPr>
        <w:t>Chambre des Députés</w:t>
      </w:r>
      <w:r>
        <w:rPr>
          <w:rFonts w:ascii="Times New Roman" w:hAnsi="Times New Roman"/>
          <w:lang w:val="pt-PT"/>
        </w:rPr>
        <w:t xml:space="preserve">, </w:t>
      </w:r>
      <w:r>
        <w:rPr>
          <w:rFonts w:ascii="Times New Roman" w:hAnsi="Times New Roman"/>
        </w:rPr>
        <w:t>малтийската</w:t>
      </w:r>
      <w:r>
        <w:rPr>
          <w:rFonts w:ascii="Times New Roman" w:hAnsi="Times New Roman"/>
          <w:lang w:val="pt-PT"/>
        </w:rPr>
        <w:t xml:space="preserve"> </w:t>
      </w:r>
      <w:r>
        <w:rPr>
          <w:rFonts w:ascii="Times New Roman" w:hAnsi="Times New Roman"/>
          <w:i/>
          <w:lang w:val="pt-PT"/>
        </w:rPr>
        <w:t>Kamra tad-Deputati</w:t>
      </w:r>
      <w:r>
        <w:rPr>
          <w:rFonts w:ascii="Times New Roman" w:hAnsi="Times New Roman"/>
          <w:lang w:val="pt-PT"/>
        </w:rPr>
        <w:t xml:space="preserve">, </w:t>
      </w:r>
      <w:r>
        <w:rPr>
          <w:rFonts w:ascii="Times New Roman" w:hAnsi="Times New Roman"/>
        </w:rPr>
        <w:t>нидерландската</w:t>
      </w:r>
      <w:r>
        <w:rPr>
          <w:rFonts w:ascii="Times New Roman" w:hAnsi="Times New Roman"/>
          <w:lang w:val="pt-PT"/>
        </w:rPr>
        <w:t xml:space="preserve"> </w:t>
      </w:r>
      <w:r>
        <w:rPr>
          <w:rFonts w:ascii="Times New Roman" w:hAnsi="Times New Roman"/>
          <w:i/>
          <w:lang w:val="pt-PT"/>
        </w:rPr>
        <w:t>Eerste Kamer</w:t>
      </w:r>
      <w:r>
        <w:rPr>
          <w:rFonts w:ascii="Times New Roman" w:hAnsi="Times New Roman"/>
          <w:lang w:val="pt-PT"/>
        </w:rPr>
        <w:t xml:space="preserve">, </w:t>
      </w:r>
      <w:r>
        <w:rPr>
          <w:rFonts w:ascii="Times New Roman" w:hAnsi="Times New Roman"/>
        </w:rPr>
        <w:t>нидерландската</w:t>
      </w:r>
      <w:r>
        <w:rPr>
          <w:rFonts w:ascii="Times New Roman" w:hAnsi="Times New Roman"/>
          <w:lang w:val="pt-PT"/>
        </w:rPr>
        <w:t xml:space="preserve"> </w:t>
      </w:r>
      <w:r>
        <w:rPr>
          <w:rFonts w:ascii="Times New Roman" w:hAnsi="Times New Roman"/>
          <w:i/>
          <w:lang w:val="pt-PT"/>
        </w:rPr>
        <w:t>Tweede Kamer</w:t>
      </w:r>
      <w:r>
        <w:rPr>
          <w:rFonts w:ascii="Times New Roman" w:hAnsi="Times New Roman"/>
          <w:lang w:val="pt-PT"/>
        </w:rPr>
        <w:t xml:space="preserve"> </w:t>
      </w:r>
      <w:r>
        <w:rPr>
          <w:rFonts w:ascii="Times New Roman" w:hAnsi="Times New Roman"/>
        </w:rPr>
        <w:t>и</w:t>
      </w:r>
      <w:r>
        <w:rPr>
          <w:rFonts w:ascii="Times New Roman" w:hAnsi="Times New Roman"/>
          <w:lang w:val="pt-PT"/>
        </w:rPr>
        <w:t xml:space="preserve"> </w:t>
      </w:r>
      <w:r>
        <w:rPr>
          <w:rFonts w:ascii="Times New Roman" w:hAnsi="Times New Roman"/>
        </w:rPr>
        <w:t>шведският</w:t>
      </w:r>
      <w:r>
        <w:rPr>
          <w:rFonts w:ascii="Times New Roman" w:hAnsi="Times New Roman"/>
          <w:lang w:val="pt-PT"/>
        </w:rPr>
        <w:t xml:space="preserve"> </w:t>
      </w:r>
      <w:r>
        <w:rPr>
          <w:rFonts w:ascii="Times New Roman" w:hAnsi="Times New Roman"/>
          <w:i/>
          <w:lang w:val="pt-PT"/>
        </w:rPr>
        <w:t>Riksdag</w:t>
      </w:r>
      <w:r>
        <w:rPr>
          <w:rFonts w:ascii="Times New Roman" w:hAnsi="Times New Roman"/>
          <w:lang w:val="pt-PT"/>
        </w:rPr>
        <w:t xml:space="preserve">. </w:t>
      </w:r>
      <w:r>
        <w:rPr>
          <w:rFonts w:ascii="Times New Roman" w:hAnsi="Times New Roman"/>
        </w:rPr>
        <w:t>Освен</w:t>
      </w:r>
      <w:r>
        <w:rPr>
          <w:rFonts w:ascii="Times New Roman" w:hAnsi="Times New Roman"/>
          <w:lang w:val="pt-PT"/>
        </w:rPr>
        <w:t xml:space="preserve"> </w:t>
      </w:r>
      <w:r>
        <w:rPr>
          <w:rFonts w:ascii="Times New Roman" w:hAnsi="Times New Roman"/>
        </w:rPr>
        <w:t>това</w:t>
      </w:r>
      <w:r>
        <w:rPr>
          <w:rFonts w:ascii="Times New Roman" w:hAnsi="Times New Roman"/>
          <w:lang w:val="pt-PT"/>
        </w:rPr>
        <w:t xml:space="preserve"> </w:t>
      </w:r>
      <w:r>
        <w:rPr>
          <w:rFonts w:ascii="Times New Roman" w:hAnsi="Times New Roman"/>
        </w:rPr>
        <w:t>Комисията</w:t>
      </w:r>
      <w:r>
        <w:rPr>
          <w:rFonts w:ascii="Times New Roman" w:hAnsi="Times New Roman"/>
          <w:lang w:val="pt-PT"/>
        </w:rPr>
        <w:t xml:space="preserve"> </w:t>
      </w:r>
      <w:r>
        <w:rPr>
          <w:rFonts w:ascii="Times New Roman" w:hAnsi="Times New Roman"/>
        </w:rPr>
        <w:t>получи</w:t>
      </w:r>
      <w:r>
        <w:rPr>
          <w:rFonts w:ascii="Times New Roman" w:hAnsi="Times New Roman"/>
          <w:lang w:val="pt-PT"/>
        </w:rPr>
        <w:t xml:space="preserve"> </w:t>
      </w:r>
      <w:r>
        <w:rPr>
          <w:rFonts w:ascii="Times New Roman" w:hAnsi="Times New Roman"/>
        </w:rPr>
        <w:t>становище</w:t>
      </w:r>
      <w:r>
        <w:rPr>
          <w:rFonts w:ascii="Times New Roman" w:hAnsi="Times New Roman"/>
          <w:lang w:val="pt-PT"/>
        </w:rPr>
        <w:t xml:space="preserve"> </w:t>
      </w:r>
      <w:r>
        <w:rPr>
          <w:rFonts w:ascii="Times New Roman" w:hAnsi="Times New Roman"/>
        </w:rPr>
        <w:t>от</w:t>
      </w:r>
      <w:r>
        <w:rPr>
          <w:rFonts w:ascii="Times New Roman" w:hAnsi="Times New Roman"/>
          <w:lang w:val="pt-PT"/>
        </w:rPr>
        <w:t xml:space="preserve"> House of Commons </w:t>
      </w:r>
      <w:r>
        <w:rPr>
          <w:rFonts w:ascii="Times New Roman" w:hAnsi="Times New Roman"/>
        </w:rPr>
        <w:t>на</w:t>
      </w:r>
      <w:r>
        <w:rPr>
          <w:rFonts w:ascii="Times New Roman" w:hAnsi="Times New Roman"/>
          <w:lang w:val="pt-PT"/>
        </w:rPr>
        <w:t xml:space="preserve"> </w:t>
      </w:r>
      <w:r>
        <w:rPr>
          <w:rFonts w:ascii="Times New Roman" w:hAnsi="Times New Roman"/>
        </w:rPr>
        <w:t>Обединеното</w:t>
      </w:r>
      <w:r>
        <w:rPr>
          <w:rFonts w:ascii="Times New Roman" w:hAnsi="Times New Roman"/>
          <w:lang w:val="pt-PT"/>
        </w:rPr>
        <w:t xml:space="preserve"> </w:t>
      </w:r>
      <w:r>
        <w:rPr>
          <w:rFonts w:ascii="Times New Roman" w:hAnsi="Times New Roman"/>
        </w:rPr>
        <w:t>кралство</w:t>
      </w:r>
      <w:r>
        <w:rPr>
          <w:rFonts w:ascii="Times New Roman" w:hAnsi="Times New Roman"/>
          <w:lang w:val="pt-PT"/>
        </w:rPr>
        <w:t xml:space="preserve">, </w:t>
      </w:r>
      <w:r>
        <w:rPr>
          <w:rFonts w:ascii="Times New Roman" w:hAnsi="Times New Roman"/>
        </w:rPr>
        <w:t>в</w:t>
      </w:r>
      <w:r>
        <w:rPr>
          <w:rFonts w:ascii="Times New Roman" w:hAnsi="Times New Roman"/>
          <w:lang w:val="pt-PT"/>
        </w:rPr>
        <w:t xml:space="preserve"> </w:t>
      </w:r>
      <w:r>
        <w:rPr>
          <w:rFonts w:ascii="Times New Roman" w:hAnsi="Times New Roman"/>
        </w:rPr>
        <w:t>което</w:t>
      </w:r>
      <w:r>
        <w:rPr>
          <w:rFonts w:ascii="Times New Roman" w:hAnsi="Times New Roman"/>
          <w:lang w:val="pt-PT"/>
        </w:rPr>
        <w:t xml:space="preserve"> </w:t>
      </w:r>
      <w:r>
        <w:rPr>
          <w:rFonts w:ascii="Times New Roman" w:hAnsi="Times New Roman"/>
        </w:rPr>
        <w:t>се</w:t>
      </w:r>
      <w:r>
        <w:rPr>
          <w:rFonts w:ascii="Times New Roman" w:hAnsi="Times New Roman"/>
          <w:lang w:val="pt-PT"/>
        </w:rPr>
        <w:t xml:space="preserve"> </w:t>
      </w:r>
      <w:r>
        <w:rPr>
          <w:rFonts w:ascii="Times New Roman" w:hAnsi="Times New Roman"/>
        </w:rPr>
        <w:t>повдигаха</w:t>
      </w:r>
      <w:r>
        <w:rPr>
          <w:rFonts w:ascii="Times New Roman" w:hAnsi="Times New Roman"/>
          <w:lang w:val="pt-PT"/>
        </w:rPr>
        <w:t xml:space="preserve"> </w:t>
      </w:r>
      <w:r>
        <w:rPr>
          <w:rFonts w:ascii="Times New Roman" w:hAnsi="Times New Roman"/>
        </w:rPr>
        <w:t>опасения</w:t>
      </w:r>
      <w:r>
        <w:rPr>
          <w:rFonts w:ascii="Times New Roman" w:hAnsi="Times New Roman"/>
          <w:lang w:val="pt-PT"/>
        </w:rPr>
        <w:t xml:space="preserve"> </w:t>
      </w:r>
      <w:r>
        <w:rPr>
          <w:rFonts w:ascii="Times New Roman" w:hAnsi="Times New Roman"/>
        </w:rPr>
        <w:t>във</w:t>
      </w:r>
      <w:r>
        <w:rPr>
          <w:rFonts w:ascii="Times New Roman" w:hAnsi="Times New Roman"/>
          <w:lang w:val="pt-PT"/>
        </w:rPr>
        <w:t xml:space="preserve"> </w:t>
      </w:r>
      <w:r>
        <w:rPr>
          <w:rFonts w:ascii="Times New Roman" w:hAnsi="Times New Roman"/>
        </w:rPr>
        <w:t>връзка</w:t>
      </w:r>
      <w:r>
        <w:rPr>
          <w:rFonts w:ascii="Times New Roman" w:hAnsi="Times New Roman"/>
          <w:lang w:val="pt-PT"/>
        </w:rPr>
        <w:t xml:space="preserve"> </w:t>
      </w:r>
      <w:r>
        <w:rPr>
          <w:rFonts w:ascii="Times New Roman" w:hAnsi="Times New Roman"/>
        </w:rPr>
        <w:t>със</w:t>
      </w:r>
      <w:r>
        <w:rPr>
          <w:rFonts w:ascii="Times New Roman" w:hAnsi="Times New Roman"/>
          <w:lang w:val="pt-PT"/>
        </w:rPr>
        <w:t xml:space="preserve"> </w:t>
      </w:r>
      <w:r>
        <w:rPr>
          <w:rFonts w:ascii="Times New Roman" w:hAnsi="Times New Roman"/>
        </w:rPr>
        <w:t>субсидиарността</w:t>
      </w:r>
      <w:r>
        <w:rPr>
          <w:rFonts w:ascii="Times New Roman" w:hAnsi="Times New Roman"/>
          <w:lang w:val="pt-PT"/>
        </w:rPr>
        <w:t xml:space="preserve">. </w:t>
      </w:r>
      <w:r>
        <w:rPr>
          <w:rFonts w:ascii="Times New Roman" w:hAnsi="Times New Roman"/>
        </w:rPr>
        <w:t>Това</w:t>
      </w:r>
      <w:r>
        <w:rPr>
          <w:rFonts w:ascii="Times New Roman" w:hAnsi="Times New Roman"/>
          <w:lang w:val="pt-PT"/>
        </w:rPr>
        <w:t xml:space="preserve"> </w:t>
      </w:r>
      <w:r>
        <w:rPr>
          <w:rFonts w:ascii="Times New Roman" w:hAnsi="Times New Roman"/>
        </w:rPr>
        <w:t>становище</w:t>
      </w:r>
      <w:r>
        <w:rPr>
          <w:rFonts w:ascii="Times New Roman" w:hAnsi="Times New Roman"/>
          <w:lang w:val="pt-PT"/>
        </w:rPr>
        <w:t xml:space="preserve"> </w:t>
      </w:r>
      <w:r>
        <w:rPr>
          <w:rFonts w:ascii="Times New Roman" w:hAnsi="Times New Roman"/>
        </w:rPr>
        <w:t>обаче</w:t>
      </w:r>
      <w:r>
        <w:rPr>
          <w:rFonts w:ascii="Times New Roman" w:hAnsi="Times New Roman"/>
          <w:lang w:val="pt-PT"/>
        </w:rPr>
        <w:t xml:space="preserve"> </w:t>
      </w:r>
      <w:r>
        <w:rPr>
          <w:rFonts w:ascii="Times New Roman" w:hAnsi="Times New Roman"/>
        </w:rPr>
        <w:t>бе</w:t>
      </w:r>
      <w:r>
        <w:rPr>
          <w:rFonts w:ascii="Times New Roman" w:hAnsi="Times New Roman"/>
          <w:lang w:val="pt-PT"/>
        </w:rPr>
        <w:t xml:space="preserve"> </w:t>
      </w:r>
      <w:r>
        <w:rPr>
          <w:rFonts w:ascii="Times New Roman" w:hAnsi="Times New Roman"/>
        </w:rPr>
        <w:t>получено</w:t>
      </w:r>
      <w:r>
        <w:rPr>
          <w:rFonts w:ascii="Times New Roman" w:hAnsi="Times New Roman"/>
          <w:lang w:val="pt-PT"/>
        </w:rPr>
        <w:t xml:space="preserve"> </w:t>
      </w:r>
      <w:r>
        <w:rPr>
          <w:rFonts w:ascii="Times New Roman" w:hAnsi="Times New Roman"/>
        </w:rPr>
        <w:t>след</w:t>
      </w:r>
      <w:r>
        <w:rPr>
          <w:rFonts w:ascii="Times New Roman" w:hAnsi="Times New Roman"/>
          <w:lang w:val="pt-PT"/>
        </w:rPr>
        <w:t xml:space="preserve"> </w:t>
      </w:r>
      <w:r>
        <w:rPr>
          <w:rFonts w:ascii="Times New Roman" w:hAnsi="Times New Roman"/>
        </w:rPr>
        <w:t>изтичането</w:t>
      </w:r>
      <w:r>
        <w:rPr>
          <w:rFonts w:ascii="Times New Roman" w:hAnsi="Times New Roman"/>
          <w:lang w:val="pt-PT"/>
        </w:rPr>
        <w:t xml:space="preserve"> </w:t>
      </w:r>
      <w:r>
        <w:rPr>
          <w:rFonts w:ascii="Times New Roman" w:hAnsi="Times New Roman"/>
        </w:rPr>
        <w:t>на</w:t>
      </w:r>
      <w:r>
        <w:rPr>
          <w:rFonts w:ascii="Times New Roman" w:hAnsi="Times New Roman"/>
          <w:lang w:val="pt-PT"/>
        </w:rPr>
        <w:t xml:space="preserve"> </w:t>
      </w:r>
      <w:r>
        <w:rPr>
          <w:rFonts w:ascii="Times New Roman" w:hAnsi="Times New Roman"/>
        </w:rPr>
        <w:t>предвидения</w:t>
      </w:r>
      <w:r>
        <w:rPr>
          <w:rFonts w:ascii="Times New Roman" w:hAnsi="Times New Roman"/>
          <w:lang w:val="pt-PT"/>
        </w:rPr>
        <w:t xml:space="preserve"> </w:t>
      </w:r>
      <w:r>
        <w:rPr>
          <w:rFonts w:ascii="Times New Roman" w:hAnsi="Times New Roman"/>
        </w:rPr>
        <w:t>срок</w:t>
      </w:r>
      <w:r>
        <w:rPr>
          <w:rFonts w:ascii="Times New Roman" w:hAnsi="Times New Roman"/>
          <w:lang w:val="pt-PT"/>
        </w:rPr>
        <w:t xml:space="preserve"> </w:t>
      </w:r>
      <w:r>
        <w:rPr>
          <w:rFonts w:ascii="Times New Roman" w:hAnsi="Times New Roman"/>
        </w:rPr>
        <w:t>от</w:t>
      </w:r>
      <w:r>
        <w:rPr>
          <w:rFonts w:ascii="Times New Roman" w:hAnsi="Times New Roman"/>
          <w:lang w:val="pt-PT"/>
        </w:rPr>
        <w:t xml:space="preserve"> </w:t>
      </w:r>
      <w:r>
        <w:rPr>
          <w:rFonts w:ascii="Times New Roman" w:hAnsi="Times New Roman"/>
        </w:rPr>
        <w:t>осем</w:t>
      </w:r>
      <w:r>
        <w:rPr>
          <w:rFonts w:ascii="Times New Roman" w:hAnsi="Times New Roman"/>
          <w:lang w:val="pt-PT"/>
        </w:rPr>
        <w:t xml:space="preserve"> </w:t>
      </w:r>
      <w:r>
        <w:rPr>
          <w:rFonts w:ascii="Times New Roman" w:hAnsi="Times New Roman"/>
        </w:rPr>
        <w:t>седмици</w:t>
      </w:r>
      <w:r>
        <w:rPr>
          <w:rFonts w:ascii="Times New Roman" w:hAnsi="Times New Roman"/>
          <w:lang w:val="pt-PT"/>
        </w:rPr>
        <w:t xml:space="preserve"> </w:t>
      </w:r>
      <w:r>
        <w:rPr>
          <w:rFonts w:ascii="Times New Roman" w:hAnsi="Times New Roman"/>
        </w:rPr>
        <w:t>за</w:t>
      </w:r>
      <w:r>
        <w:rPr>
          <w:rFonts w:ascii="Times New Roman" w:hAnsi="Times New Roman"/>
          <w:lang w:val="pt-PT"/>
        </w:rPr>
        <w:t xml:space="preserve"> </w:t>
      </w:r>
      <w:r>
        <w:rPr>
          <w:rFonts w:ascii="Times New Roman" w:hAnsi="Times New Roman"/>
        </w:rPr>
        <w:t>предоставяне</w:t>
      </w:r>
      <w:r>
        <w:rPr>
          <w:rFonts w:ascii="Times New Roman" w:hAnsi="Times New Roman"/>
          <w:lang w:val="pt-PT"/>
        </w:rPr>
        <w:t xml:space="preserve"> </w:t>
      </w:r>
      <w:r>
        <w:rPr>
          <w:rFonts w:ascii="Times New Roman" w:hAnsi="Times New Roman"/>
        </w:rPr>
        <w:t>на</w:t>
      </w:r>
      <w:r>
        <w:rPr>
          <w:rFonts w:ascii="Times New Roman" w:hAnsi="Times New Roman"/>
          <w:lang w:val="pt-PT"/>
        </w:rPr>
        <w:t xml:space="preserve"> </w:t>
      </w:r>
      <w:r>
        <w:rPr>
          <w:rFonts w:ascii="Times New Roman" w:hAnsi="Times New Roman"/>
        </w:rPr>
        <w:t>мотивирани</w:t>
      </w:r>
      <w:r>
        <w:rPr>
          <w:rFonts w:ascii="Times New Roman" w:hAnsi="Times New Roman"/>
          <w:lang w:val="pt-PT"/>
        </w:rPr>
        <w:t xml:space="preserve"> </w:t>
      </w:r>
      <w:r>
        <w:rPr>
          <w:rFonts w:ascii="Times New Roman" w:hAnsi="Times New Roman"/>
        </w:rPr>
        <w:t>становища</w:t>
      </w:r>
      <w:r>
        <w:rPr>
          <w:rFonts w:ascii="Times New Roman" w:hAnsi="Times New Roman"/>
          <w:lang w:val="pt-PT"/>
        </w:rPr>
        <w:t>.</w:t>
      </w:r>
    </w:p>
  </w:footnote>
  <w:footnote w:id="61">
    <w:p>
      <w:pPr>
        <w:pStyle w:val="FootnoteText"/>
        <w:tabs>
          <w:tab w:val="left" w:pos="284"/>
        </w:tabs>
        <w:ind w:left="284" w:hanging="284"/>
        <w:jc w:val="both"/>
        <w:rPr>
          <w:rFonts w:ascii="Times New Roman" w:hAnsi="Times New Roman" w:cs="Times New Roman"/>
          <w:lang w:val="pt-PT"/>
        </w:rPr>
      </w:pPr>
      <w:r>
        <w:rPr>
          <w:rStyle w:val="FootnoteReference"/>
          <w:rFonts w:ascii="Times New Roman" w:hAnsi="Times New Roman"/>
        </w:rPr>
        <w:footnoteRef/>
      </w:r>
      <w:r>
        <w:rPr>
          <w:rFonts w:ascii="Times New Roman" w:hAnsi="Times New Roman"/>
          <w:lang w:val="pt-PT"/>
        </w:rPr>
        <w:t xml:space="preserve"> </w:t>
      </w:r>
      <w:r>
        <w:rPr>
          <w:lang w:val="pt-PT"/>
        </w:rPr>
        <w:tab/>
      </w:r>
      <w:r>
        <w:rPr>
          <w:rFonts w:ascii="Times New Roman" w:hAnsi="Times New Roman"/>
        </w:rPr>
        <w:t>Комисията</w:t>
      </w:r>
      <w:r>
        <w:rPr>
          <w:rFonts w:ascii="Times New Roman" w:hAnsi="Times New Roman"/>
          <w:lang w:val="pt-PT"/>
        </w:rPr>
        <w:t xml:space="preserve"> </w:t>
      </w:r>
      <w:r>
        <w:rPr>
          <w:rFonts w:ascii="Times New Roman" w:hAnsi="Times New Roman"/>
        </w:rPr>
        <w:t>получи</w:t>
      </w:r>
      <w:r>
        <w:rPr>
          <w:rFonts w:ascii="Times New Roman" w:hAnsi="Times New Roman"/>
          <w:lang w:val="pt-PT"/>
        </w:rPr>
        <w:t xml:space="preserve"> </w:t>
      </w:r>
      <w:r>
        <w:rPr>
          <w:rFonts w:ascii="Times New Roman" w:hAnsi="Times New Roman"/>
        </w:rPr>
        <w:t>също</w:t>
      </w:r>
      <w:r>
        <w:rPr>
          <w:rFonts w:ascii="Times New Roman" w:hAnsi="Times New Roman"/>
          <w:lang w:val="pt-PT"/>
        </w:rPr>
        <w:t xml:space="preserve"> </w:t>
      </w:r>
      <w:r>
        <w:rPr>
          <w:rFonts w:ascii="Times New Roman" w:hAnsi="Times New Roman"/>
        </w:rPr>
        <w:t>така</w:t>
      </w:r>
      <w:r>
        <w:rPr>
          <w:rFonts w:ascii="Times New Roman" w:hAnsi="Times New Roman"/>
          <w:lang w:val="pt-PT"/>
        </w:rPr>
        <w:t xml:space="preserve"> </w:t>
      </w:r>
      <w:r>
        <w:rPr>
          <w:rFonts w:ascii="Times New Roman" w:hAnsi="Times New Roman"/>
        </w:rPr>
        <w:t>четири</w:t>
      </w:r>
      <w:r>
        <w:rPr>
          <w:rFonts w:ascii="Times New Roman" w:hAnsi="Times New Roman"/>
          <w:lang w:val="pt-PT"/>
        </w:rPr>
        <w:t xml:space="preserve"> </w:t>
      </w:r>
      <w:r>
        <w:rPr>
          <w:rFonts w:ascii="Times New Roman" w:hAnsi="Times New Roman"/>
        </w:rPr>
        <w:t>становища</w:t>
      </w:r>
      <w:r>
        <w:rPr>
          <w:rFonts w:ascii="Times New Roman" w:hAnsi="Times New Roman"/>
          <w:lang w:val="pt-PT"/>
        </w:rPr>
        <w:t xml:space="preserve"> </w:t>
      </w:r>
      <w:r>
        <w:rPr>
          <w:rFonts w:ascii="Times New Roman" w:hAnsi="Times New Roman"/>
        </w:rPr>
        <w:t>в</w:t>
      </w:r>
      <w:r>
        <w:rPr>
          <w:rFonts w:ascii="Times New Roman" w:hAnsi="Times New Roman"/>
          <w:lang w:val="pt-PT"/>
        </w:rPr>
        <w:t xml:space="preserve"> </w:t>
      </w:r>
      <w:r>
        <w:rPr>
          <w:rFonts w:ascii="Times New Roman" w:hAnsi="Times New Roman"/>
        </w:rPr>
        <w:t>контекста</w:t>
      </w:r>
      <w:r>
        <w:rPr>
          <w:rFonts w:ascii="Times New Roman" w:hAnsi="Times New Roman"/>
          <w:lang w:val="pt-PT"/>
        </w:rPr>
        <w:t xml:space="preserve"> </w:t>
      </w:r>
      <w:r>
        <w:rPr>
          <w:rFonts w:ascii="Times New Roman" w:hAnsi="Times New Roman"/>
        </w:rPr>
        <w:t>на</w:t>
      </w:r>
      <w:r>
        <w:rPr>
          <w:rFonts w:ascii="Times New Roman" w:hAnsi="Times New Roman"/>
          <w:lang w:val="pt-PT"/>
        </w:rPr>
        <w:t xml:space="preserve"> </w:t>
      </w:r>
      <w:r>
        <w:rPr>
          <w:rFonts w:ascii="Times New Roman" w:hAnsi="Times New Roman"/>
        </w:rPr>
        <w:t>политическия</w:t>
      </w:r>
      <w:r>
        <w:rPr>
          <w:rFonts w:ascii="Times New Roman" w:hAnsi="Times New Roman"/>
          <w:lang w:val="pt-PT"/>
        </w:rPr>
        <w:t xml:space="preserve"> </w:t>
      </w:r>
      <w:r>
        <w:rPr>
          <w:rFonts w:ascii="Times New Roman" w:hAnsi="Times New Roman"/>
        </w:rPr>
        <w:t>диалог</w:t>
      </w:r>
      <w:r>
        <w:rPr>
          <w:rFonts w:ascii="Times New Roman" w:hAnsi="Times New Roman"/>
          <w:lang w:val="pt-PT"/>
        </w:rPr>
        <w:t xml:space="preserve">, </w:t>
      </w:r>
      <w:r>
        <w:rPr>
          <w:rFonts w:ascii="Times New Roman" w:hAnsi="Times New Roman"/>
        </w:rPr>
        <w:t>а</w:t>
      </w:r>
      <w:r>
        <w:rPr>
          <w:rFonts w:ascii="Times New Roman" w:hAnsi="Times New Roman"/>
          <w:lang w:val="pt-PT"/>
        </w:rPr>
        <w:t xml:space="preserve"> </w:t>
      </w:r>
      <w:r>
        <w:rPr>
          <w:rFonts w:ascii="Times New Roman" w:hAnsi="Times New Roman"/>
        </w:rPr>
        <w:t>именно</w:t>
      </w:r>
      <w:r>
        <w:rPr>
          <w:rFonts w:ascii="Times New Roman" w:hAnsi="Times New Roman"/>
          <w:lang w:val="pt-PT"/>
        </w:rPr>
        <w:t xml:space="preserve"> </w:t>
      </w:r>
      <w:r>
        <w:rPr>
          <w:rFonts w:ascii="Times New Roman" w:hAnsi="Times New Roman"/>
        </w:rPr>
        <w:t>от</w:t>
      </w:r>
      <w:r>
        <w:rPr>
          <w:rFonts w:ascii="Times New Roman" w:hAnsi="Times New Roman"/>
          <w:lang w:val="pt-PT"/>
        </w:rPr>
        <w:t xml:space="preserve"> </w:t>
      </w:r>
      <w:r>
        <w:rPr>
          <w:rFonts w:ascii="Times New Roman" w:hAnsi="Times New Roman"/>
        </w:rPr>
        <w:t>германския</w:t>
      </w:r>
      <w:r>
        <w:rPr>
          <w:rFonts w:ascii="Times New Roman" w:hAnsi="Times New Roman"/>
          <w:lang w:val="pt-PT"/>
        </w:rPr>
        <w:t xml:space="preserve"> </w:t>
      </w:r>
      <w:r>
        <w:rPr>
          <w:rFonts w:ascii="Times New Roman" w:hAnsi="Times New Roman"/>
          <w:i/>
          <w:lang w:val="pt-PT"/>
        </w:rPr>
        <w:t>Bundesrat</w:t>
      </w:r>
      <w:r>
        <w:rPr>
          <w:rFonts w:ascii="Times New Roman" w:hAnsi="Times New Roman"/>
          <w:lang w:val="pt-PT"/>
        </w:rPr>
        <w:t xml:space="preserve">, </w:t>
      </w:r>
      <w:r>
        <w:rPr>
          <w:rFonts w:ascii="Times New Roman" w:hAnsi="Times New Roman"/>
        </w:rPr>
        <w:t>испанските</w:t>
      </w:r>
      <w:r>
        <w:rPr>
          <w:rFonts w:ascii="Times New Roman" w:hAnsi="Times New Roman"/>
          <w:lang w:val="pt-PT"/>
        </w:rPr>
        <w:t xml:space="preserve"> </w:t>
      </w:r>
      <w:r>
        <w:rPr>
          <w:rFonts w:ascii="Times New Roman" w:hAnsi="Times New Roman"/>
          <w:i/>
          <w:lang w:val="pt-PT"/>
        </w:rPr>
        <w:t>Cortes Generales,</w:t>
      </w:r>
      <w:r>
        <w:rPr>
          <w:rFonts w:ascii="Times New Roman" w:hAnsi="Times New Roman"/>
          <w:lang w:val="pt-PT"/>
        </w:rPr>
        <w:t xml:space="preserve"> </w:t>
      </w:r>
      <w:r>
        <w:rPr>
          <w:rFonts w:ascii="Times New Roman" w:hAnsi="Times New Roman"/>
        </w:rPr>
        <w:t>австрийския</w:t>
      </w:r>
      <w:r>
        <w:rPr>
          <w:rFonts w:ascii="Times New Roman" w:hAnsi="Times New Roman"/>
          <w:lang w:val="pt-PT"/>
        </w:rPr>
        <w:t xml:space="preserve"> </w:t>
      </w:r>
      <w:r>
        <w:rPr>
          <w:rFonts w:ascii="Times New Roman" w:hAnsi="Times New Roman"/>
          <w:i/>
          <w:lang w:val="pt-PT"/>
        </w:rPr>
        <w:t>Bundesrat</w:t>
      </w:r>
      <w:r>
        <w:rPr>
          <w:rFonts w:ascii="Times New Roman" w:hAnsi="Times New Roman"/>
          <w:lang w:val="pt-PT"/>
        </w:rPr>
        <w:t xml:space="preserve"> (</w:t>
      </w:r>
      <w:r>
        <w:rPr>
          <w:rFonts w:ascii="Times New Roman" w:hAnsi="Times New Roman"/>
        </w:rPr>
        <w:t>получено</w:t>
      </w:r>
      <w:r>
        <w:rPr>
          <w:rFonts w:ascii="Times New Roman" w:hAnsi="Times New Roman"/>
          <w:lang w:val="pt-PT"/>
        </w:rPr>
        <w:t xml:space="preserve"> </w:t>
      </w:r>
      <w:r>
        <w:rPr>
          <w:rFonts w:ascii="Times New Roman" w:hAnsi="Times New Roman"/>
        </w:rPr>
        <w:t>през</w:t>
      </w:r>
      <w:r>
        <w:rPr>
          <w:rFonts w:ascii="Times New Roman" w:hAnsi="Times New Roman"/>
          <w:lang w:val="pt-PT"/>
        </w:rPr>
        <w:t xml:space="preserve"> 2017 </w:t>
      </w:r>
      <w:r>
        <w:rPr>
          <w:rFonts w:ascii="Times New Roman" w:hAnsi="Times New Roman"/>
        </w:rPr>
        <w:t>г</w:t>
      </w:r>
      <w:r>
        <w:rPr>
          <w:rFonts w:ascii="Times New Roman" w:hAnsi="Times New Roman"/>
          <w:lang w:val="pt-PT"/>
        </w:rPr>
        <w:t xml:space="preserve">.) </w:t>
      </w:r>
      <w:r>
        <w:rPr>
          <w:rFonts w:ascii="Times New Roman" w:hAnsi="Times New Roman"/>
        </w:rPr>
        <w:t>и</w:t>
      </w:r>
      <w:r>
        <w:rPr>
          <w:rFonts w:ascii="Times New Roman" w:hAnsi="Times New Roman"/>
          <w:lang w:val="pt-PT"/>
        </w:rPr>
        <w:t xml:space="preserve"> </w:t>
      </w:r>
      <w:r>
        <w:rPr>
          <w:rFonts w:ascii="Times New Roman" w:hAnsi="Times New Roman"/>
        </w:rPr>
        <w:t>португалската</w:t>
      </w:r>
      <w:r>
        <w:rPr>
          <w:rFonts w:ascii="Times New Roman" w:hAnsi="Times New Roman"/>
          <w:lang w:val="pt-PT"/>
        </w:rPr>
        <w:t xml:space="preserve"> </w:t>
      </w:r>
      <w:r>
        <w:rPr>
          <w:rFonts w:ascii="Times New Roman" w:hAnsi="Times New Roman"/>
          <w:i/>
          <w:lang w:val="pt-PT"/>
        </w:rPr>
        <w:t>Assembleia da República</w:t>
      </w:r>
      <w:r>
        <w:rPr>
          <w:rFonts w:ascii="Times New Roman" w:hAnsi="Times New Roman"/>
          <w:lang w:val="pt-PT"/>
        </w:rPr>
        <w:t xml:space="preserve">. </w:t>
      </w:r>
    </w:p>
  </w:footnote>
  <w:footnote w:id="62">
    <w:p>
      <w:pPr>
        <w:pStyle w:val="FootnoteText"/>
        <w:tabs>
          <w:tab w:val="left" w:pos="284"/>
        </w:tabs>
        <w:ind w:left="284" w:hanging="284"/>
        <w:jc w:val="both"/>
        <w:rPr>
          <w:rFonts w:ascii="Times New Roman" w:hAnsi="Times New Roman" w:cs="Times New Roman"/>
          <w:lang w:val="pt-PT"/>
        </w:rPr>
      </w:pPr>
      <w:r>
        <w:rPr>
          <w:rStyle w:val="FootnoteReference"/>
          <w:rFonts w:ascii="Times New Roman" w:hAnsi="Times New Roman"/>
        </w:rPr>
        <w:footnoteRef/>
      </w:r>
      <w:r>
        <w:rPr>
          <w:rFonts w:ascii="Times New Roman" w:hAnsi="Times New Roman"/>
          <w:lang w:val="pt-PT"/>
        </w:rPr>
        <w:t xml:space="preserve"> </w:t>
      </w:r>
      <w:r>
        <w:rPr>
          <w:lang w:val="pt-PT"/>
        </w:rPr>
        <w:tab/>
      </w:r>
      <w:r>
        <w:rPr>
          <w:rFonts w:ascii="Times New Roman" w:hAnsi="Times New Roman"/>
        </w:rPr>
        <w:t>Директива</w:t>
      </w:r>
      <w:r>
        <w:rPr>
          <w:rFonts w:ascii="Times New Roman" w:hAnsi="Times New Roman"/>
          <w:lang w:val="pt-PT"/>
        </w:rPr>
        <w:t xml:space="preserve"> (</w:t>
      </w:r>
      <w:r>
        <w:rPr>
          <w:rFonts w:ascii="Times New Roman" w:hAnsi="Times New Roman"/>
        </w:rPr>
        <w:t>ЕС</w:t>
      </w:r>
      <w:r>
        <w:rPr>
          <w:rFonts w:ascii="Times New Roman" w:hAnsi="Times New Roman"/>
          <w:lang w:val="pt-PT"/>
        </w:rPr>
        <w:t xml:space="preserve">) 2016/1164 </w:t>
      </w:r>
      <w:r>
        <w:rPr>
          <w:rFonts w:ascii="Times New Roman" w:hAnsi="Times New Roman"/>
        </w:rPr>
        <w:t>на</w:t>
      </w:r>
      <w:r>
        <w:rPr>
          <w:rFonts w:ascii="Times New Roman" w:hAnsi="Times New Roman"/>
          <w:lang w:val="pt-PT"/>
        </w:rPr>
        <w:t xml:space="preserve"> </w:t>
      </w:r>
      <w:r>
        <w:rPr>
          <w:rFonts w:ascii="Times New Roman" w:hAnsi="Times New Roman"/>
        </w:rPr>
        <w:t>Съвета</w:t>
      </w:r>
      <w:r>
        <w:rPr>
          <w:rFonts w:ascii="Times New Roman" w:hAnsi="Times New Roman"/>
          <w:lang w:val="pt-PT"/>
        </w:rPr>
        <w:t xml:space="preserve"> </w:t>
      </w:r>
      <w:r>
        <w:rPr>
          <w:rFonts w:ascii="Times New Roman" w:hAnsi="Times New Roman"/>
        </w:rPr>
        <w:t>от</w:t>
      </w:r>
      <w:r>
        <w:rPr>
          <w:rFonts w:ascii="Times New Roman" w:hAnsi="Times New Roman"/>
          <w:lang w:val="pt-PT"/>
        </w:rPr>
        <w:t xml:space="preserve"> 12 </w:t>
      </w:r>
      <w:r>
        <w:rPr>
          <w:rFonts w:ascii="Times New Roman" w:hAnsi="Times New Roman"/>
        </w:rPr>
        <w:t>юли</w:t>
      </w:r>
      <w:r>
        <w:rPr>
          <w:rFonts w:ascii="Times New Roman" w:hAnsi="Times New Roman"/>
          <w:lang w:val="pt-PT"/>
        </w:rPr>
        <w:t xml:space="preserve"> 2016 </w:t>
      </w:r>
      <w:r>
        <w:rPr>
          <w:rFonts w:ascii="Times New Roman" w:hAnsi="Times New Roman"/>
        </w:rPr>
        <w:t>г</w:t>
      </w:r>
      <w:r>
        <w:rPr>
          <w:rFonts w:ascii="Times New Roman" w:hAnsi="Times New Roman"/>
          <w:lang w:val="pt-PT"/>
        </w:rPr>
        <w:t xml:space="preserve">. </w:t>
      </w:r>
      <w:r>
        <w:rPr>
          <w:rFonts w:ascii="Times New Roman" w:hAnsi="Times New Roman"/>
        </w:rPr>
        <w:t>за</w:t>
      </w:r>
      <w:r>
        <w:rPr>
          <w:rFonts w:ascii="Times New Roman" w:hAnsi="Times New Roman"/>
          <w:lang w:val="pt-PT"/>
        </w:rPr>
        <w:t xml:space="preserve"> </w:t>
      </w:r>
      <w:r>
        <w:rPr>
          <w:rFonts w:ascii="Times New Roman" w:hAnsi="Times New Roman"/>
        </w:rPr>
        <w:t>установяване</w:t>
      </w:r>
      <w:r>
        <w:rPr>
          <w:rFonts w:ascii="Times New Roman" w:hAnsi="Times New Roman"/>
          <w:lang w:val="pt-PT"/>
        </w:rPr>
        <w:t xml:space="preserve"> </w:t>
      </w:r>
      <w:r>
        <w:rPr>
          <w:rFonts w:ascii="Times New Roman" w:hAnsi="Times New Roman"/>
        </w:rPr>
        <w:t>на</w:t>
      </w:r>
      <w:r>
        <w:rPr>
          <w:rFonts w:ascii="Times New Roman" w:hAnsi="Times New Roman"/>
          <w:lang w:val="pt-PT"/>
        </w:rPr>
        <w:t xml:space="preserve"> </w:t>
      </w:r>
      <w:r>
        <w:rPr>
          <w:rFonts w:ascii="Times New Roman" w:hAnsi="Times New Roman"/>
        </w:rPr>
        <w:t>правила</w:t>
      </w:r>
      <w:r>
        <w:rPr>
          <w:rFonts w:ascii="Times New Roman" w:hAnsi="Times New Roman"/>
          <w:lang w:val="pt-PT"/>
        </w:rPr>
        <w:t xml:space="preserve"> </w:t>
      </w:r>
      <w:r>
        <w:rPr>
          <w:rFonts w:ascii="Times New Roman" w:hAnsi="Times New Roman"/>
        </w:rPr>
        <w:t>срещу</w:t>
      </w:r>
      <w:r>
        <w:rPr>
          <w:rFonts w:ascii="Times New Roman" w:hAnsi="Times New Roman"/>
          <w:lang w:val="pt-PT"/>
        </w:rPr>
        <w:t xml:space="preserve"> </w:t>
      </w:r>
      <w:r>
        <w:rPr>
          <w:rFonts w:ascii="Times New Roman" w:hAnsi="Times New Roman"/>
        </w:rPr>
        <w:t>практиките</w:t>
      </w:r>
      <w:r>
        <w:rPr>
          <w:rFonts w:ascii="Times New Roman" w:hAnsi="Times New Roman"/>
          <w:lang w:val="pt-PT"/>
        </w:rPr>
        <w:t xml:space="preserve"> </w:t>
      </w:r>
      <w:r>
        <w:rPr>
          <w:rFonts w:ascii="Times New Roman" w:hAnsi="Times New Roman"/>
        </w:rPr>
        <w:t>за</w:t>
      </w:r>
      <w:r>
        <w:rPr>
          <w:rFonts w:ascii="Times New Roman" w:hAnsi="Times New Roman"/>
          <w:lang w:val="pt-PT"/>
        </w:rPr>
        <w:t xml:space="preserve"> </w:t>
      </w:r>
      <w:r>
        <w:rPr>
          <w:rFonts w:ascii="Times New Roman" w:hAnsi="Times New Roman"/>
        </w:rPr>
        <w:t>избягване</w:t>
      </w:r>
      <w:r>
        <w:rPr>
          <w:rFonts w:ascii="Times New Roman" w:hAnsi="Times New Roman"/>
          <w:lang w:val="pt-PT"/>
        </w:rPr>
        <w:t xml:space="preserve"> </w:t>
      </w:r>
      <w:r>
        <w:rPr>
          <w:rFonts w:ascii="Times New Roman" w:hAnsi="Times New Roman"/>
        </w:rPr>
        <w:t>на</w:t>
      </w:r>
      <w:r>
        <w:rPr>
          <w:rFonts w:ascii="Times New Roman" w:hAnsi="Times New Roman"/>
          <w:lang w:val="pt-PT"/>
        </w:rPr>
        <w:t xml:space="preserve"> </w:t>
      </w:r>
      <w:r>
        <w:rPr>
          <w:rFonts w:ascii="Times New Roman" w:hAnsi="Times New Roman"/>
        </w:rPr>
        <w:t>данъци</w:t>
      </w:r>
      <w:r>
        <w:rPr>
          <w:rFonts w:ascii="Times New Roman" w:hAnsi="Times New Roman"/>
          <w:lang w:val="pt-PT"/>
        </w:rPr>
        <w:t xml:space="preserve">, </w:t>
      </w:r>
      <w:r>
        <w:rPr>
          <w:rFonts w:ascii="Times New Roman" w:hAnsi="Times New Roman"/>
        </w:rPr>
        <w:t>които</w:t>
      </w:r>
      <w:r>
        <w:rPr>
          <w:rFonts w:ascii="Times New Roman" w:hAnsi="Times New Roman"/>
          <w:lang w:val="pt-PT"/>
        </w:rPr>
        <w:t xml:space="preserve"> </w:t>
      </w:r>
      <w:r>
        <w:rPr>
          <w:rFonts w:ascii="Times New Roman" w:hAnsi="Times New Roman"/>
        </w:rPr>
        <w:t>пряко</w:t>
      </w:r>
      <w:r>
        <w:rPr>
          <w:rFonts w:ascii="Times New Roman" w:hAnsi="Times New Roman"/>
          <w:lang w:val="pt-PT"/>
        </w:rPr>
        <w:t xml:space="preserve"> </w:t>
      </w:r>
      <w:r>
        <w:rPr>
          <w:rFonts w:ascii="Times New Roman" w:hAnsi="Times New Roman"/>
        </w:rPr>
        <w:t>засягат</w:t>
      </w:r>
      <w:r>
        <w:rPr>
          <w:rFonts w:ascii="Times New Roman" w:hAnsi="Times New Roman"/>
          <w:lang w:val="pt-PT"/>
        </w:rPr>
        <w:t xml:space="preserve"> </w:t>
      </w:r>
      <w:r>
        <w:rPr>
          <w:rFonts w:ascii="Times New Roman" w:hAnsi="Times New Roman"/>
        </w:rPr>
        <w:t>функционирането</w:t>
      </w:r>
      <w:r>
        <w:rPr>
          <w:rFonts w:ascii="Times New Roman" w:hAnsi="Times New Roman"/>
          <w:lang w:val="pt-PT"/>
        </w:rPr>
        <w:t xml:space="preserve"> </w:t>
      </w:r>
      <w:r>
        <w:rPr>
          <w:rFonts w:ascii="Times New Roman" w:hAnsi="Times New Roman"/>
        </w:rPr>
        <w:t>на</w:t>
      </w:r>
      <w:r>
        <w:rPr>
          <w:rFonts w:ascii="Times New Roman" w:hAnsi="Times New Roman"/>
          <w:lang w:val="pt-PT"/>
        </w:rPr>
        <w:t xml:space="preserve"> </w:t>
      </w:r>
      <w:r>
        <w:rPr>
          <w:rFonts w:ascii="Times New Roman" w:hAnsi="Times New Roman"/>
        </w:rPr>
        <w:t>вътрешния</w:t>
      </w:r>
      <w:r>
        <w:rPr>
          <w:rFonts w:ascii="Times New Roman" w:hAnsi="Times New Roman"/>
          <w:lang w:val="pt-PT"/>
        </w:rPr>
        <w:t xml:space="preserve"> </w:t>
      </w:r>
      <w:r>
        <w:rPr>
          <w:rFonts w:ascii="Times New Roman" w:hAnsi="Times New Roman"/>
        </w:rPr>
        <w:t>пазар</w:t>
      </w:r>
      <w:r>
        <w:rPr>
          <w:rFonts w:ascii="Times New Roman" w:hAnsi="Times New Roman"/>
          <w:lang w:val="pt-PT"/>
        </w:rPr>
        <w:t xml:space="preserve"> (</w:t>
      </w:r>
      <w:r>
        <w:rPr>
          <w:rFonts w:ascii="Times New Roman" w:hAnsi="Times New Roman"/>
        </w:rPr>
        <w:t>ОВ</w:t>
      </w:r>
      <w:r>
        <w:rPr>
          <w:rFonts w:ascii="Times New Roman" w:hAnsi="Times New Roman"/>
          <w:lang w:val="pt-PT"/>
        </w:rPr>
        <w:t xml:space="preserve"> L 193, 19.7.2016 </w:t>
      </w:r>
      <w:r>
        <w:rPr>
          <w:rFonts w:ascii="Times New Roman" w:hAnsi="Times New Roman"/>
        </w:rPr>
        <w:t>г</w:t>
      </w:r>
      <w:r>
        <w:rPr>
          <w:rFonts w:ascii="Times New Roman" w:hAnsi="Times New Roman"/>
          <w:lang w:val="pt-PT"/>
        </w:rPr>
        <w:t xml:space="preserve">., </w:t>
      </w:r>
      <w:r>
        <w:rPr>
          <w:rFonts w:ascii="Times New Roman" w:hAnsi="Times New Roman"/>
        </w:rPr>
        <w:t>стр</w:t>
      </w:r>
      <w:r>
        <w:rPr>
          <w:rFonts w:ascii="Times New Roman" w:hAnsi="Times New Roman"/>
          <w:lang w:val="pt-PT"/>
        </w:rPr>
        <w:t>.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73B95"/>
    <w:multiLevelType w:val="hybridMultilevel"/>
    <w:tmpl w:val="51B28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3950DBD"/>
    <w:multiLevelType w:val="hybridMultilevel"/>
    <w:tmpl w:val="9B8A9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9F52AE4"/>
    <w:multiLevelType w:val="hybridMultilevel"/>
    <w:tmpl w:val="68142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A006241"/>
    <w:multiLevelType w:val="hybridMultilevel"/>
    <w:tmpl w:val="D65AC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6C820A6"/>
    <w:multiLevelType w:val="hybridMultilevel"/>
    <w:tmpl w:val="59185F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871554A"/>
    <w:multiLevelType w:val="hybridMultilevel"/>
    <w:tmpl w:val="6C487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B007B60"/>
    <w:multiLevelType w:val="hybridMultilevel"/>
    <w:tmpl w:val="DB04CB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nsid w:val="1E9D374B"/>
    <w:multiLevelType w:val="hybridMultilevel"/>
    <w:tmpl w:val="D38A0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1D03FD8"/>
    <w:multiLevelType w:val="hybridMultilevel"/>
    <w:tmpl w:val="23083F58"/>
    <w:lvl w:ilvl="0" w:tplc="0809000F">
      <w:start w:val="1"/>
      <w:numFmt w:val="decimal"/>
      <w:lvlText w:val="%1."/>
      <w:lvlJc w:val="left"/>
      <w:pPr>
        <w:ind w:left="720" w:hanging="360"/>
      </w:p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9">
    <w:nsid w:val="32325CB9"/>
    <w:multiLevelType w:val="hybridMultilevel"/>
    <w:tmpl w:val="FA02AB8A"/>
    <w:lvl w:ilvl="0" w:tplc="0809000B">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0">
    <w:nsid w:val="36A4754A"/>
    <w:multiLevelType w:val="hybridMultilevel"/>
    <w:tmpl w:val="ADDEC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A493FE1"/>
    <w:multiLevelType w:val="hybridMultilevel"/>
    <w:tmpl w:val="B36EF8B4"/>
    <w:lvl w:ilvl="0" w:tplc="A614DF3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6A6227C"/>
    <w:multiLevelType w:val="hybridMultilevel"/>
    <w:tmpl w:val="470CF6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4">
    <w:nsid w:val="493A77BD"/>
    <w:multiLevelType w:val="hybridMultilevel"/>
    <w:tmpl w:val="BA9EBCF8"/>
    <w:lvl w:ilvl="0" w:tplc="08090001">
      <w:start w:val="1"/>
      <w:numFmt w:val="bullet"/>
      <w:lvlText w:val=""/>
      <w:lvlJc w:val="left"/>
      <w:pPr>
        <w:ind w:left="779" w:hanging="360"/>
      </w:pPr>
      <w:rPr>
        <w:rFonts w:ascii="Symbol" w:hAnsi="Symbol" w:hint="default"/>
      </w:rPr>
    </w:lvl>
    <w:lvl w:ilvl="1" w:tplc="08090003" w:tentative="1">
      <w:start w:val="1"/>
      <w:numFmt w:val="bullet"/>
      <w:lvlText w:val="o"/>
      <w:lvlJc w:val="left"/>
      <w:pPr>
        <w:ind w:left="1499" w:hanging="360"/>
      </w:pPr>
      <w:rPr>
        <w:rFonts w:ascii="Courier New" w:hAnsi="Courier New" w:cs="Courier New" w:hint="default"/>
      </w:rPr>
    </w:lvl>
    <w:lvl w:ilvl="2" w:tplc="08090005" w:tentative="1">
      <w:start w:val="1"/>
      <w:numFmt w:val="bullet"/>
      <w:lvlText w:val=""/>
      <w:lvlJc w:val="left"/>
      <w:pPr>
        <w:ind w:left="2219" w:hanging="360"/>
      </w:pPr>
      <w:rPr>
        <w:rFonts w:ascii="Wingdings" w:hAnsi="Wingdings" w:hint="default"/>
      </w:rPr>
    </w:lvl>
    <w:lvl w:ilvl="3" w:tplc="08090001" w:tentative="1">
      <w:start w:val="1"/>
      <w:numFmt w:val="bullet"/>
      <w:lvlText w:val=""/>
      <w:lvlJc w:val="left"/>
      <w:pPr>
        <w:ind w:left="2939" w:hanging="360"/>
      </w:pPr>
      <w:rPr>
        <w:rFonts w:ascii="Symbol" w:hAnsi="Symbol" w:hint="default"/>
      </w:rPr>
    </w:lvl>
    <w:lvl w:ilvl="4" w:tplc="08090003" w:tentative="1">
      <w:start w:val="1"/>
      <w:numFmt w:val="bullet"/>
      <w:lvlText w:val="o"/>
      <w:lvlJc w:val="left"/>
      <w:pPr>
        <w:ind w:left="3659" w:hanging="360"/>
      </w:pPr>
      <w:rPr>
        <w:rFonts w:ascii="Courier New" w:hAnsi="Courier New" w:cs="Courier New" w:hint="default"/>
      </w:rPr>
    </w:lvl>
    <w:lvl w:ilvl="5" w:tplc="08090005" w:tentative="1">
      <w:start w:val="1"/>
      <w:numFmt w:val="bullet"/>
      <w:lvlText w:val=""/>
      <w:lvlJc w:val="left"/>
      <w:pPr>
        <w:ind w:left="4379" w:hanging="360"/>
      </w:pPr>
      <w:rPr>
        <w:rFonts w:ascii="Wingdings" w:hAnsi="Wingdings" w:hint="default"/>
      </w:rPr>
    </w:lvl>
    <w:lvl w:ilvl="6" w:tplc="08090001" w:tentative="1">
      <w:start w:val="1"/>
      <w:numFmt w:val="bullet"/>
      <w:lvlText w:val=""/>
      <w:lvlJc w:val="left"/>
      <w:pPr>
        <w:ind w:left="5099" w:hanging="360"/>
      </w:pPr>
      <w:rPr>
        <w:rFonts w:ascii="Symbol" w:hAnsi="Symbol" w:hint="default"/>
      </w:rPr>
    </w:lvl>
    <w:lvl w:ilvl="7" w:tplc="08090003" w:tentative="1">
      <w:start w:val="1"/>
      <w:numFmt w:val="bullet"/>
      <w:lvlText w:val="o"/>
      <w:lvlJc w:val="left"/>
      <w:pPr>
        <w:ind w:left="5819" w:hanging="360"/>
      </w:pPr>
      <w:rPr>
        <w:rFonts w:ascii="Courier New" w:hAnsi="Courier New" w:cs="Courier New" w:hint="default"/>
      </w:rPr>
    </w:lvl>
    <w:lvl w:ilvl="8" w:tplc="08090005" w:tentative="1">
      <w:start w:val="1"/>
      <w:numFmt w:val="bullet"/>
      <w:lvlText w:val=""/>
      <w:lvlJc w:val="left"/>
      <w:pPr>
        <w:ind w:left="6539" w:hanging="360"/>
      </w:pPr>
      <w:rPr>
        <w:rFonts w:ascii="Wingdings" w:hAnsi="Wingdings" w:hint="default"/>
      </w:rPr>
    </w:lvl>
  </w:abstractNum>
  <w:abstractNum w:abstractNumId="15">
    <w:nsid w:val="4ECE051F"/>
    <w:multiLevelType w:val="hybridMultilevel"/>
    <w:tmpl w:val="E640DD46"/>
    <w:lvl w:ilvl="0" w:tplc="2BACBB4C">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nsid w:val="51736ABC"/>
    <w:multiLevelType w:val="hybridMultilevel"/>
    <w:tmpl w:val="E640D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6327610"/>
    <w:multiLevelType w:val="hybridMultilevel"/>
    <w:tmpl w:val="0624E9B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972EA2"/>
    <w:multiLevelType w:val="hybridMultilevel"/>
    <w:tmpl w:val="D08066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71B90DD8"/>
    <w:multiLevelType w:val="hybridMultilevel"/>
    <w:tmpl w:val="86584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8"/>
  </w:num>
  <w:num w:numId="3">
    <w:abstractNumId w:val="6"/>
  </w:num>
  <w:num w:numId="4">
    <w:abstractNumId w:val="13"/>
  </w:num>
  <w:num w:numId="5">
    <w:abstractNumId w:val="0"/>
  </w:num>
  <w:num w:numId="6">
    <w:abstractNumId w:val="7"/>
  </w:num>
  <w:num w:numId="7">
    <w:abstractNumId w:val="14"/>
  </w:num>
  <w:num w:numId="8">
    <w:abstractNumId w:val="11"/>
  </w:num>
  <w:num w:numId="9">
    <w:abstractNumId w:val="4"/>
  </w:num>
  <w:num w:numId="10">
    <w:abstractNumId w:val="9"/>
  </w:num>
  <w:num w:numId="11">
    <w:abstractNumId w:val="5"/>
  </w:num>
  <w:num w:numId="12">
    <w:abstractNumId w:val="16"/>
  </w:num>
  <w:num w:numId="13">
    <w:abstractNumId w:val="3"/>
  </w:num>
  <w:num w:numId="14">
    <w:abstractNumId w:val="17"/>
  </w:num>
  <w:num w:numId="15">
    <w:abstractNumId w:val="15"/>
  </w:num>
  <w:num w:numId="16">
    <w:abstractNumId w:val="20"/>
  </w:num>
  <w:num w:numId="17">
    <w:abstractNumId w:val="2"/>
  </w:num>
  <w:num w:numId="18">
    <w:abstractNumId w:val="1"/>
  </w:num>
  <w:num w:numId="19">
    <w:abstractNumId w:val="10"/>
  </w:num>
  <w:num w:numId="20">
    <w:abstractNumId w:val="18"/>
  </w:num>
  <w:num w:numId="21">
    <w:abstractNumId w:val="12"/>
    <w:lvlOverride w:ilvl="0">
      <w:startOverride w:val="1"/>
    </w:lvlOverride>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revisionView w:markup="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CONFIDENCE" w:val=" "/>
    <w:docVar w:name="LW_CONST_RESTREINT_UE" w:val="RESTREINT UE"/>
    <w:docVar w:name="LW_CORRIGENDUM" w:val="&lt;UNUSED&gt;"/>
    <w:docVar w:name="LW_COVERPAGE_GUID" w:val="C38DEA5260E7430484723A5073F67687"/>
    <w:docVar w:name="LW_CROSSREFERENCE" w:val="&lt;UNUSED&gt;"/>
    <w:docVar w:name="LW_DocType" w:val="NORMAL"/>
    <w:docVar w:name="LW_EMISSION" w:val="30.6.2017"/>
    <w:docVar w:name="LW_EMISSION_ISODATE" w:val="2017-06-30"/>
    <w:docVar w:name="LW_EMISSION_LOCATION" w:val="BRX"/>
    <w:docVar w:name="LW_EMISSION_PREFIX" w:val="Брюксел, "/>
    <w:docVar w:name="LW_EMISSION_SUFFIX" w:val=" \u1075?."/>
    <w:docVar w:name="LW_ID_DOCTYPE_NONLW" w:val="CP-003"/>
    <w:docVar w:name="LW_LANGUE" w:val="BG"/>
    <w:docVar w:name="LW_MARKING" w:val="&lt;UNUSED&gt;"/>
    <w:docVar w:name="LW_NOM.INST" w:val="\u1045?\u1042?\u1056?\u1054?\u1055?\u1045?\u1049?\u1057?\u1050?\u1040? \u1050?\u1054?\u1052?\u1048?\u1057?\u1048?\u1071?"/>
    <w:docVar w:name="LW_NOM.INST_JOINTDOC" w:val="&lt;EMPTY&gt;"/>
    <w:docVar w:name="LW_PART_NBR" w:val="1"/>
    <w:docVar w:name="LW_PART_NBR_TOTAL" w:val="1"/>
    <w:docVar w:name="LW_REF.INST.NEW" w:val="COM"/>
    <w:docVar w:name="LW_REF.INST.NEW_ADOPTED" w:val="final"/>
    <w:docVar w:name="LW_REF.INST.NEW_TEXT" w:val="(2017) 600"/>
    <w:docVar w:name="LW_REF.INTERNE" w:val="&lt;UNUSED&gt;"/>
    <w:docVar w:name="LW_SOUS.TITRE.OBJ.CP" w:val="&lt;UNUSED&gt;"/>
    <w:docVar w:name="LW_SUPERTITRE" w:val="&lt;UNUSED&gt;"/>
    <w:docVar w:name="LW_TITRE.OBJ.CP" w:val="\u1043?\u1054?\u1044?\u1048?\u1064?\u1045?\u1053? \u1044?\u1054?\u1050?\u1051?\u1040?\u1044? \u1047?\u1040? 2016 \u1043?\u1054?\u1044?\u1048?\u1053?\u1040?_x000b_\u1054?\u1058?\u1053?\u1054?\u1057?\u1053?\u1054? \u1057?\u1059?\u1041?\u1057?\u1048?\u1044?\u1048?\u1040?\u1056?\u1053?\u1054?\u1057?\u1058?\u1058?\u1040? \u1048? \u1055?\u1056?\u1054?\u1055?\u1054?\u1056?\u1062?\u1048?\u1054?\u1053?\u1040?\u1051?\u1053?\u1054?\u1057?\u1058?\u1058?\u1040?"/>
    <w:docVar w:name="LW_TYPE.DOC.CP" w:val="\u1044?\u1054?\u1050?\u1051?\u1040?\u1044? \u1053?\u1040? \u1050?\u1054?\u1052?\u1048?\u1057?\u1048?\u1071?\u1058?\u1040?"/>
  </w:docVar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paragraph" w:styleId="FootnoteText">
    <w:name w:val="footnote text"/>
    <w:basedOn w:val="Normal"/>
    <w:link w:val="FootnoteTextChar"/>
    <w:uiPriority w:val="99"/>
    <w:unhideWhenUsed/>
    <w:pPr>
      <w:spacing w:after="0" w:line="240" w:lineRule="auto"/>
    </w:pPr>
    <w:rPr>
      <w:sz w:val="20"/>
      <w:szCs w:val="20"/>
    </w:rPr>
  </w:style>
  <w:style w:type="character" w:customStyle="1" w:styleId="FootnoteTextChar">
    <w:name w:val="Footnote Text Char"/>
    <w:basedOn w:val="DefaultParagraphFont"/>
    <w:link w:val="FootnoteText"/>
    <w:uiPriority w:val="99"/>
    <w:rPr>
      <w:sz w:val="20"/>
      <w:szCs w:val="20"/>
    </w:rPr>
  </w:style>
  <w:style w:type="character" w:styleId="FootnoteReference">
    <w:name w:val="footnote reference"/>
    <w:aliases w:val="number,SUPERS,Footnote Reference Superscript,JFR-Fuﬂnotenzeichen,Ref,de nota al pie,BVI fnr,Footnote Reference/,Footnote symbol,Footnote Reference Number,Odwołanie przypisu,EN Footnote Reference,-E Fußnotenzeichen,note TESI"/>
    <w:uiPriority w:val="99"/>
    <w:semiHidden/>
    <w:rPr>
      <w:shd w:val="clear" w:color="auto" w:fill="auto"/>
      <w:vertAlign w:val="superscript"/>
    </w:rPr>
  </w:style>
  <w:style w:type="character" w:styleId="Hyperlink">
    <w:name w:val="Hyperlink"/>
    <w:rPr>
      <w:color w:val="0000FF"/>
      <w:u w:val="single"/>
      <w:shd w:val="clear" w:color="auto" w:fill="auto"/>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FollowedHyperlink">
    <w:name w:val="FollowedHyperlink"/>
    <w:basedOn w:val="DefaultParagraphFont"/>
    <w:uiPriority w:val="99"/>
    <w:semiHidden/>
    <w:unhideWhenUsed/>
    <w:rPr>
      <w:color w:val="800080" w:themeColor="followedHyperlink"/>
      <w:u w:val="single"/>
    </w:rPr>
  </w:style>
  <w:style w:type="character" w:styleId="Strong">
    <w:name w:val="Strong"/>
    <w:basedOn w:val="DefaultParagraphFont"/>
    <w:uiPriority w:val="22"/>
    <w:qFormat/>
    <w:rPr>
      <w:b/>
      <w:bCs/>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autoSpaceDE w:val="0"/>
      <w:autoSpaceDN w:val="0"/>
      <w:adjustRightInd w:val="0"/>
      <w:spacing w:before="360" w:after="0" w:line="240" w:lineRule="auto"/>
      <w:ind w:left="-850" w:right="-850"/>
    </w:pPr>
    <w:rPr>
      <w:rFonts w:asciiTheme="majorBidi" w:hAnsiTheme="majorBidi" w:cstheme="majorBidi"/>
      <w:sz w:val="24"/>
      <w:szCs w:val="24"/>
    </w:rPr>
  </w:style>
  <w:style w:type="character" w:customStyle="1" w:styleId="FooterCoverPageChar">
    <w:name w:val="Footer Cover Page Char"/>
    <w:basedOn w:val="DefaultParagraphFont"/>
    <w:link w:val="FooterCoverPage"/>
    <w:rPr>
      <w:rFonts w:asciiTheme="majorBidi" w:hAnsiTheme="majorBidi" w:cstheme="majorBidi"/>
      <w:sz w:val="24"/>
      <w:szCs w:val="24"/>
    </w:rPr>
  </w:style>
  <w:style w:type="paragraph" w:customStyle="1" w:styleId="HeaderCoverPage">
    <w:name w:val="Header Cover Page"/>
    <w:basedOn w:val="Normal"/>
    <w:link w:val="HeaderCoverPageChar"/>
    <w:pPr>
      <w:tabs>
        <w:tab w:val="center" w:pos="4535"/>
        <w:tab w:val="right" w:pos="9071"/>
      </w:tabs>
      <w:autoSpaceDE w:val="0"/>
      <w:autoSpaceDN w:val="0"/>
      <w:adjustRightInd w:val="0"/>
      <w:spacing w:after="120" w:line="240" w:lineRule="auto"/>
      <w:jc w:val="both"/>
    </w:pPr>
    <w:rPr>
      <w:rFonts w:asciiTheme="majorBidi" w:hAnsiTheme="majorBidi" w:cstheme="majorBidi"/>
      <w:sz w:val="24"/>
      <w:szCs w:val="24"/>
    </w:rPr>
  </w:style>
  <w:style w:type="character" w:customStyle="1" w:styleId="HeaderCoverPageChar">
    <w:name w:val="Header Cover Page Char"/>
    <w:basedOn w:val="DefaultParagraphFont"/>
    <w:link w:val="HeaderCoverPage"/>
    <w:rPr>
      <w:rFonts w:asciiTheme="majorBidi" w:hAnsiTheme="majorBidi" w:cstheme="majorBidi"/>
      <w:sz w:val="24"/>
      <w:szCs w:val="24"/>
    </w:rPr>
  </w:style>
  <w:style w:type="paragraph" w:styleId="Revision">
    <w:name w:val="Revision"/>
    <w:hidden/>
    <w:uiPriority w:val="99"/>
    <w:semiHidden/>
    <w:pPr>
      <w:spacing w:after="0" w:line="240" w:lineRule="auto"/>
    </w:p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iret0">
    <w:name w:val="Tiret 0"/>
    <w:basedOn w:val="Normal"/>
    <w:pPr>
      <w:numPr>
        <w:numId w:val="20"/>
      </w:numPr>
      <w:spacing w:before="120" w:after="120" w:line="240" w:lineRule="auto"/>
      <w:jc w:val="both"/>
    </w:pPr>
    <w:rPr>
      <w:rFonts w:ascii="Times New Roman" w:hAnsi="Times New Roman" w:cs="Times New Roman"/>
      <w:sz w:val="24"/>
    </w:rPr>
  </w:style>
  <w:style w:type="paragraph" w:customStyle="1" w:styleId="Tiret1">
    <w:name w:val="Tiret 1"/>
    <w:basedOn w:val="Normal"/>
    <w:pPr>
      <w:numPr>
        <w:numId w:val="21"/>
      </w:numPr>
      <w:spacing w:before="120" w:after="120" w:line="240" w:lineRule="auto"/>
      <w:jc w:val="both"/>
    </w:pPr>
    <w:rPr>
      <w:rFonts w:ascii="Times New Roman" w:hAnsi="Times New Roman" w:cs="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paragraph" w:styleId="FootnoteText">
    <w:name w:val="footnote text"/>
    <w:basedOn w:val="Normal"/>
    <w:link w:val="FootnoteTextChar"/>
    <w:uiPriority w:val="99"/>
    <w:unhideWhenUsed/>
    <w:pPr>
      <w:spacing w:after="0" w:line="240" w:lineRule="auto"/>
    </w:pPr>
    <w:rPr>
      <w:sz w:val="20"/>
      <w:szCs w:val="20"/>
    </w:rPr>
  </w:style>
  <w:style w:type="character" w:customStyle="1" w:styleId="FootnoteTextChar">
    <w:name w:val="Footnote Text Char"/>
    <w:basedOn w:val="DefaultParagraphFont"/>
    <w:link w:val="FootnoteText"/>
    <w:uiPriority w:val="99"/>
    <w:rPr>
      <w:sz w:val="20"/>
      <w:szCs w:val="20"/>
    </w:rPr>
  </w:style>
  <w:style w:type="character" w:styleId="FootnoteReference">
    <w:name w:val="footnote reference"/>
    <w:aliases w:val="number,SUPERS,Footnote Reference Superscript,JFR-Fuﬂnotenzeichen,Ref,de nota al pie,BVI fnr,Footnote Reference/,Footnote symbol,Footnote Reference Number,Odwołanie przypisu,EN Footnote Reference,-E Fußnotenzeichen,note TESI"/>
    <w:uiPriority w:val="99"/>
    <w:semiHidden/>
    <w:rPr>
      <w:shd w:val="clear" w:color="auto" w:fill="auto"/>
      <w:vertAlign w:val="superscript"/>
    </w:rPr>
  </w:style>
  <w:style w:type="character" w:styleId="Hyperlink">
    <w:name w:val="Hyperlink"/>
    <w:rPr>
      <w:color w:val="0000FF"/>
      <w:u w:val="single"/>
      <w:shd w:val="clear" w:color="auto" w:fill="auto"/>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FollowedHyperlink">
    <w:name w:val="FollowedHyperlink"/>
    <w:basedOn w:val="DefaultParagraphFont"/>
    <w:uiPriority w:val="99"/>
    <w:semiHidden/>
    <w:unhideWhenUsed/>
    <w:rPr>
      <w:color w:val="800080" w:themeColor="followedHyperlink"/>
      <w:u w:val="single"/>
    </w:rPr>
  </w:style>
  <w:style w:type="character" w:styleId="Strong">
    <w:name w:val="Strong"/>
    <w:basedOn w:val="DefaultParagraphFont"/>
    <w:uiPriority w:val="22"/>
    <w:qFormat/>
    <w:rPr>
      <w:b/>
      <w:bCs/>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autoSpaceDE w:val="0"/>
      <w:autoSpaceDN w:val="0"/>
      <w:adjustRightInd w:val="0"/>
      <w:spacing w:before="360" w:after="0" w:line="240" w:lineRule="auto"/>
      <w:ind w:left="-850" w:right="-850"/>
    </w:pPr>
    <w:rPr>
      <w:rFonts w:asciiTheme="majorBidi" w:hAnsiTheme="majorBidi" w:cstheme="majorBidi"/>
      <w:sz w:val="24"/>
      <w:szCs w:val="24"/>
    </w:rPr>
  </w:style>
  <w:style w:type="character" w:customStyle="1" w:styleId="FooterCoverPageChar">
    <w:name w:val="Footer Cover Page Char"/>
    <w:basedOn w:val="DefaultParagraphFont"/>
    <w:link w:val="FooterCoverPage"/>
    <w:rPr>
      <w:rFonts w:asciiTheme="majorBidi" w:hAnsiTheme="majorBidi" w:cstheme="majorBidi"/>
      <w:sz w:val="24"/>
      <w:szCs w:val="24"/>
    </w:rPr>
  </w:style>
  <w:style w:type="paragraph" w:customStyle="1" w:styleId="HeaderCoverPage">
    <w:name w:val="Header Cover Page"/>
    <w:basedOn w:val="Normal"/>
    <w:link w:val="HeaderCoverPageChar"/>
    <w:pPr>
      <w:tabs>
        <w:tab w:val="center" w:pos="4535"/>
        <w:tab w:val="right" w:pos="9071"/>
      </w:tabs>
      <w:autoSpaceDE w:val="0"/>
      <w:autoSpaceDN w:val="0"/>
      <w:adjustRightInd w:val="0"/>
      <w:spacing w:after="120" w:line="240" w:lineRule="auto"/>
      <w:jc w:val="both"/>
    </w:pPr>
    <w:rPr>
      <w:rFonts w:asciiTheme="majorBidi" w:hAnsiTheme="majorBidi" w:cstheme="majorBidi"/>
      <w:sz w:val="24"/>
      <w:szCs w:val="24"/>
    </w:rPr>
  </w:style>
  <w:style w:type="character" w:customStyle="1" w:styleId="HeaderCoverPageChar">
    <w:name w:val="Header Cover Page Char"/>
    <w:basedOn w:val="DefaultParagraphFont"/>
    <w:link w:val="HeaderCoverPage"/>
    <w:rPr>
      <w:rFonts w:asciiTheme="majorBidi" w:hAnsiTheme="majorBidi" w:cstheme="majorBidi"/>
      <w:sz w:val="24"/>
      <w:szCs w:val="24"/>
    </w:rPr>
  </w:style>
  <w:style w:type="paragraph" w:styleId="Revision">
    <w:name w:val="Revision"/>
    <w:hidden/>
    <w:uiPriority w:val="99"/>
    <w:semiHidden/>
    <w:pPr>
      <w:spacing w:after="0" w:line="240" w:lineRule="auto"/>
    </w:p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iret0">
    <w:name w:val="Tiret 0"/>
    <w:basedOn w:val="Normal"/>
    <w:pPr>
      <w:numPr>
        <w:numId w:val="20"/>
      </w:numPr>
      <w:spacing w:before="120" w:after="120" w:line="240" w:lineRule="auto"/>
      <w:jc w:val="both"/>
    </w:pPr>
    <w:rPr>
      <w:rFonts w:ascii="Times New Roman" w:hAnsi="Times New Roman" w:cs="Times New Roman"/>
      <w:sz w:val="24"/>
    </w:rPr>
  </w:style>
  <w:style w:type="paragraph" w:customStyle="1" w:styleId="Tiret1">
    <w:name w:val="Tiret 1"/>
    <w:basedOn w:val="Normal"/>
    <w:pPr>
      <w:numPr>
        <w:numId w:val="21"/>
      </w:numPr>
      <w:spacing w:before="120" w:after="120" w:line="240" w:lineRule="auto"/>
      <w:jc w:val="both"/>
    </w:pPr>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5668163">
      <w:bodyDiv w:val="1"/>
      <w:marLeft w:val="0"/>
      <w:marRight w:val="0"/>
      <w:marTop w:val="0"/>
      <w:marBottom w:val="0"/>
      <w:divBdr>
        <w:top w:val="none" w:sz="0" w:space="0" w:color="auto"/>
        <w:left w:val="none" w:sz="0" w:space="0" w:color="auto"/>
        <w:bottom w:val="none" w:sz="0" w:space="0" w:color="auto"/>
        <w:right w:val="none" w:sz="0" w:space="0" w:color="auto"/>
      </w:divBdr>
      <w:divsChild>
        <w:div w:id="1518040080">
          <w:marLeft w:val="0"/>
          <w:marRight w:val="0"/>
          <w:marTop w:val="0"/>
          <w:marBottom w:val="0"/>
          <w:divBdr>
            <w:top w:val="none" w:sz="0" w:space="0" w:color="auto"/>
            <w:left w:val="none" w:sz="0" w:space="0" w:color="auto"/>
            <w:bottom w:val="none" w:sz="0" w:space="0" w:color="auto"/>
            <w:right w:val="none" w:sz="0" w:space="0" w:color="auto"/>
          </w:divBdr>
          <w:divsChild>
            <w:div w:id="344675339">
              <w:marLeft w:val="0"/>
              <w:marRight w:val="0"/>
              <w:marTop w:val="0"/>
              <w:marBottom w:val="150"/>
              <w:divBdr>
                <w:top w:val="none" w:sz="0" w:space="0" w:color="auto"/>
                <w:left w:val="none" w:sz="0" w:space="0" w:color="auto"/>
                <w:bottom w:val="none" w:sz="0" w:space="0" w:color="auto"/>
                <w:right w:val="none" w:sz="0" w:space="0" w:color="auto"/>
              </w:divBdr>
              <w:divsChild>
                <w:div w:id="507720318">
                  <w:marLeft w:val="0"/>
                  <w:marRight w:val="0"/>
                  <w:marTop w:val="0"/>
                  <w:marBottom w:val="0"/>
                  <w:divBdr>
                    <w:top w:val="none" w:sz="0" w:space="0" w:color="auto"/>
                    <w:left w:val="none" w:sz="0" w:space="0" w:color="auto"/>
                    <w:bottom w:val="none" w:sz="0" w:space="0" w:color="auto"/>
                    <w:right w:val="none" w:sz="0" w:space="0" w:color="auto"/>
                  </w:divBdr>
                  <w:divsChild>
                    <w:div w:id="235210810">
                      <w:marLeft w:val="0"/>
                      <w:marRight w:val="0"/>
                      <w:marTop w:val="0"/>
                      <w:marBottom w:val="0"/>
                      <w:divBdr>
                        <w:top w:val="none" w:sz="0" w:space="0" w:color="auto"/>
                        <w:left w:val="none" w:sz="0" w:space="0" w:color="auto"/>
                        <w:bottom w:val="none" w:sz="0" w:space="0" w:color="auto"/>
                        <w:right w:val="none" w:sz="0" w:space="0" w:color="auto"/>
                      </w:divBdr>
                      <w:divsChild>
                        <w:div w:id="1620331022">
                          <w:marLeft w:val="0"/>
                          <w:marRight w:val="0"/>
                          <w:marTop w:val="0"/>
                          <w:marBottom w:val="0"/>
                          <w:divBdr>
                            <w:top w:val="none" w:sz="0" w:space="0" w:color="auto"/>
                            <w:left w:val="none" w:sz="0" w:space="0" w:color="auto"/>
                            <w:bottom w:val="none" w:sz="0" w:space="0" w:color="auto"/>
                            <w:right w:val="none" w:sz="0" w:space="0" w:color="auto"/>
                          </w:divBdr>
                          <w:divsChild>
                            <w:div w:id="1681664893">
                              <w:marLeft w:val="0"/>
                              <w:marRight w:val="0"/>
                              <w:marTop w:val="0"/>
                              <w:marBottom w:val="0"/>
                              <w:divBdr>
                                <w:top w:val="none" w:sz="0" w:space="0" w:color="auto"/>
                                <w:left w:val="none" w:sz="0" w:space="0" w:color="auto"/>
                                <w:bottom w:val="none" w:sz="0" w:space="0" w:color="auto"/>
                                <w:right w:val="none" w:sz="0" w:space="0" w:color="auto"/>
                              </w:divBdr>
                              <w:divsChild>
                                <w:div w:id="685182276">
                                  <w:marLeft w:val="0"/>
                                  <w:marRight w:val="-3600"/>
                                  <w:marTop w:val="150"/>
                                  <w:marBottom w:val="0"/>
                                  <w:divBdr>
                                    <w:top w:val="none" w:sz="0" w:space="0" w:color="auto"/>
                                    <w:left w:val="none" w:sz="0" w:space="0" w:color="auto"/>
                                    <w:bottom w:val="none" w:sz="0" w:space="0" w:color="auto"/>
                                    <w:right w:val="none" w:sz="0" w:space="0" w:color="auto"/>
                                  </w:divBdr>
                                  <w:divsChild>
                                    <w:div w:id="933053736">
                                      <w:marLeft w:val="0"/>
                                      <w:marRight w:val="3600"/>
                                      <w:marTop w:val="0"/>
                                      <w:marBottom w:val="0"/>
                                      <w:divBdr>
                                        <w:top w:val="none" w:sz="0" w:space="0" w:color="auto"/>
                                        <w:left w:val="none" w:sz="0" w:space="0" w:color="auto"/>
                                        <w:bottom w:val="none" w:sz="0" w:space="0" w:color="auto"/>
                                        <w:right w:val="none" w:sz="0" w:space="0" w:color="auto"/>
                                      </w:divBdr>
                                      <w:divsChild>
                                        <w:div w:id="1823814357">
                                          <w:marLeft w:val="0"/>
                                          <w:marRight w:val="0"/>
                                          <w:marTop w:val="0"/>
                                          <w:marBottom w:val="0"/>
                                          <w:divBdr>
                                            <w:top w:val="none" w:sz="0" w:space="0" w:color="auto"/>
                                            <w:left w:val="none" w:sz="0" w:space="0" w:color="auto"/>
                                            <w:bottom w:val="none" w:sz="0" w:space="0" w:color="auto"/>
                                            <w:right w:val="none" w:sz="0" w:space="0" w:color="auto"/>
                                          </w:divBdr>
                                          <w:divsChild>
                                            <w:div w:id="1460952187">
                                              <w:marLeft w:val="0"/>
                                              <w:marRight w:val="0"/>
                                              <w:marTop w:val="0"/>
                                              <w:marBottom w:val="0"/>
                                              <w:divBdr>
                                                <w:top w:val="none" w:sz="0" w:space="0" w:color="auto"/>
                                                <w:left w:val="none" w:sz="0" w:space="0" w:color="auto"/>
                                                <w:bottom w:val="none" w:sz="0" w:space="0" w:color="auto"/>
                                                <w:right w:val="none" w:sz="0" w:space="0" w:color="auto"/>
                                              </w:divBdr>
                                              <w:divsChild>
                                                <w:div w:id="1819303504">
                                                  <w:marLeft w:val="0"/>
                                                  <w:marRight w:val="0"/>
                                                  <w:marTop w:val="0"/>
                                                  <w:marBottom w:val="0"/>
                                                  <w:divBdr>
                                                    <w:top w:val="none" w:sz="0" w:space="0" w:color="auto"/>
                                                    <w:left w:val="none" w:sz="0" w:space="0" w:color="auto"/>
                                                    <w:bottom w:val="none" w:sz="0" w:space="0" w:color="auto"/>
                                                    <w:right w:val="none" w:sz="0" w:space="0" w:color="auto"/>
                                                  </w:divBdr>
                                                  <w:divsChild>
                                                    <w:div w:id="1913351185">
                                                      <w:marLeft w:val="0"/>
                                                      <w:marRight w:val="0"/>
                                                      <w:marTop w:val="0"/>
                                                      <w:marBottom w:val="0"/>
                                                      <w:divBdr>
                                                        <w:top w:val="none" w:sz="0" w:space="0" w:color="auto"/>
                                                        <w:left w:val="none" w:sz="0" w:space="0" w:color="auto"/>
                                                        <w:bottom w:val="none" w:sz="0" w:space="0" w:color="auto"/>
                                                        <w:right w:val="none" w:sz="0" w:space="0" w:color="auto"/>
                                                      </w:divBdr>
                                                      <w:divsChild>
                                                        <w:div w:id="41212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76351827">
      <w:bodyDiv w:val="1"/>
      <w:marLeft w:val="0"/>
      <w:marRight w:val="0"/>
      <w:marTop w:val="0"/>
      <w:marBottom w:val="0"/>
      <w:divBdr>
        <w:top w:val="none" w:sz="0" w:space="0" w:color="auto"/>
        <w:left w:val="none" w:sz="0" w:space="0" w:color="auto"/>
        <w:bottom w:val="none" w:sz="0" w:space="0" w:color="auto"/>
        <w:right w:val="none" w:sz="0" w:space="0" w:color="auto"/>
      </w:divBdr>
    </w:div>
    <w:div w:id="1058092020">
      <w:bodyDiv w:val="1"/>
      <w:marLeft w:val="0"/>
      <w:marRight w:val="0"/>
      <w:marTop w:val="0"/>
      <w:marBottom w:val="0"/>
      <w:divBdr>
        <w:top w:val="none" w:sz="0" w:space="0" w:color="auto"/>
        <w:left w:val="none" w:sz="0" w:space="0" w:color="auto"/>
        <w:bottom w:val="none" w:sz="0" w:space="0" w:color="auto"/>
        <w:right w:val="none" w:sz="0" w:space="0" w:color="auto"/>
      </w:divBdr>
    </w:div>
    <w:div w:id="1308441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2C0F3C-144E-4F3C-871D-C7B3E31C2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20</Pages>
  <Words>7629</Words>
  <Characters>47071</Characters>
  <Application>Microsoft Office Word</Application>
  <DocSecurity>0</DocSecurity>
  <Lines>784</Lines>
  <Paragraphs>126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54574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33</cp:revision>
  <cp:lastPrinted>2017-06-02T13:11:00Z</cp:lastPrinted>
  <dcterms:created xsi:type="dcterms:W3CDTF">2017-06-29T12:08:00Z</dcterms:created>
  <dcterms:modified xsi:type="dcterms:W3CDTF">2017-07-03T08:51:00Z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Classification">
    <vt:lpwstr> </vt:lpwstr>
  </property>
  <property fmtid="{D5CDD505-2E9C-101B-9397-08002B2CF9AE}" pid="5" name="DocStatus">
    <vt:lpwstr>Green</vt:lpwstr>
  </property>
</Properties>
</file>