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6C0FF0DA12E4D0398ED82C93903D614" style="width:450.75pt;height:379.5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INDOKOLÁS</w:t>
      </w:r>
    </w:p>
    <w:p>
      <w:pPr>
        <w:pStyle w:val="ManualHeading1"/>
        <w:rPr>
          <w:noProof/>
        </w:rPr>
      </w:pPr>
      <w:r>
        <w:rPr>
          <w:noProof/>
        </w:rPr>
        <w:t>1.</w:t>
      </w:r>
      <w:r>
        <w:rPr>
          <w:noProof/>
        </w:rPr>
        <w:tab/>
        <w:t>A JAVASLAT HÁTTERE</w:t>
      </w:r>
    </w:p>
    <w:p>
      <w:pPr>
        <w:pStyle w:val="ManualHeading2"/>
        <w:rPr>
          <w:rFonts w:eastAsia="Arial Unicode MS"/>
          <w:noProof/>
        </w:rPr>
      </w:pPr>
      <w:r>
        <w:rPr>
          <w:noProof/>
          <w:color w:val="000000"/>
          <w:u w:color="000000"/>
          <w:bdr w:val="nil"/>
        </w:rPr>
        <w:t>•</w:t>
      </w:r>
      <w:r>
        <w:rPr>
          <w:noProof/>
        </w:rPr>
        <w:tab/>
        <w:t>A javaslat indokai és céljai</w:t>
      </w:r>
    </w:p>
    <w:p>
      <w:pPr>
        <w:rPr>
          <w:noProof/>
        </w:rPr>
      </w:pPr>
      <w:r>
        <w:rPr>
          <w:noProof/>
        </w:rPr>
        <w:t>A gyermekek jogellenes külföldre vitelének polgári jogi vonatkozásairól szóló, 1980. október 25-i Hágai Egyezményt (a továbbiakban: az 1980. évi egyezmény) eddig az összes uniós tagállammal együtt 97 ország erősítette meg. Az egyezmény a status quót kívánja helyreállítani a jogellenesen elvitt vagy visszatartott gyermekek mihamarabbi visszajuttatása révén, a Szerződő Felek által kijelölt központi hatóságok közötti együttműködési rendszer keretében.</w:t>
      </w:r>
    </w:p>
    <w:p>
      <w:pPr>
        <w:rPr>
          <w:noProof/>
        </w:rPr>
      </w:pPr>
      <w:r>
        <w:rPr>
          <w:noProof/>
        </w:rPr>
        <w:t xml:space="preserve">Mivel a gyermek jogellenes elvitelének megelőzése a gyermekek jogainak előmozdítását célzó uniós politika fontos része, az Európai Unió nemzetközi szinten tevékenyen fellép az 1980. évi egyezmény alkalmazásának javítása érdekében, és a harmadik államokat az egyezményhez való csatlakozásra ösztönzi. </w:t>
      </w:r>
    </w:p>
    <w:p>
      <w:pPr>
        <w:rPr>
          <w:bCs/>
          <w:noProof/>
        </w:rPr>
      </w:pPr>
      <w:r>
        <w:rPr>
          <w:noProof/>
        </w:rPr>
        <w:t xml:space="preserve">Chile 1994. február 23-án letétbe helyezte az 1980. évi egyezményhez való csatlakozásáról szóló okiratot. Az egyezmény 1994. május 1-jén lépett hatályba Chilében.  </w:t>
      </w:r>
    </w:p>
    <w:p>
      <w:pPr>
        <w:rPr>
          <w:bCs/>
          <w:noProof/>
        </w:rPr>
      </w:pPr>
      <w:r>
        <w:rPr>
          <w:noProof/>
        </w:rPr>
        <w:t>Az 1980. évi egyezmény Chile és 27 uniós tagállam között már hatályban van. Csupán Románia nem fogadta még el Chile csatlakozását az egyezményhez.</w:t>
      </w:r>
    </w:p>
    <w:p>
      <w:pPr>
        <w:rPr>
          <w:bCs/>
          <w:noProof/>
        </w:rPr>
      </w:pPr>
      <w:r>
        <w:rPr>
          <w:noProof/>
        </w:rPr>
        <w:t xml:space="preserve">Izland 1996. augusztus 14-én letétbe helyezte az 1980. évi egyezményhez való csatlakozásáról szóló okiratot. Az egyezmény 1996. szeptember 1-jén lépett hatályba Izlandon.  </w:t>
      </w:r>
    </w:p>
    <w:p>
      <w:pPr>
        <w:rPr>
          <w:bCs/>
          <w:noProof/>
        </w:rPr>
      </w:pPr>
      <w:r>
        <w:rPr>
          <w:noProof/>
        </w:rPr>
        <w:t>Az 1980. évi egyezmény Izland és 27 uniós tagállam között már hatályban van. Csupán Románia nem fogadta még el Izland csatlakozását az egyezményhez.</w:t>
      </w:r>
    </w:p>
    <w:p>
      <w:pPr>
        <w:rPr>
          <w:bCs/>
          <w:noProof/>
        </w:rPr>
      </w:pPr>
      <w:r>
        <w:rPr>
          <w:noProof/>
        </w:rPr>
        <w:t xml:space="preserve">A Bahamai Közösség 1993. október 1-jén letétbe helyezte az 1980. évi egyezményhez való csatlakozásáról szóló okiratot. Az egyezmény 1994. január 1-jén lépett hatályba a Bahamai Közösségben.  </w:t>
      </w:r>
    </w:p>
    <w:p>
      <w:pPr>
        <w:rPr>
          <w:bCs/>
          <w:noProof/>
        </w:rPr>
      </w:pPr>
      <w:r>
        <w:rPr>
          <w:noProof/>
        </w:rPr>
        <w:t>Az 1980. évi egyezmény a Bahamai Közösség és 26 uniós tagállam között már hatályban van. Csupán Dánia és Románia nem fogadta még el a Bahamai Közösség csatlakozását az egyezményhez.</w:t>
      </w:r>
    </w:p>
    <w:p>
      <w:pPr>
        <w:rPr>
          <w:noProof/>
        </w:rPr>
      </w:pPr>
      <w:r>
        <w:rPr>
          <w:noProof/>
        </w:rPr>
        <w:t xml:space="preserve">Az 1980. évi egyezmény 38. cikkének (4) bekezdése kimondja, hogy az egyezmény a csatlakozó ország és azon Szerződő Államok között alkalmazandó, amelyek nyilatkozatot tettek a csatlakozás elfogadásáról. </w:t>
      </w:r>
    </w:p>
    <w:p>
      <w:pPr>
        <w:rPr>
          <w:bCs/>
          <w:noProof/>
        </w:rPr>
      </w:pPr>
      <w:r>
        <w:rPr>
          <w:noProof/>
        </w:rPr>
        <w:t xml:space="preserve">A Bizottság kezdeményezésére konzultáltak az Európai Unió Bíróságával, amely megerősítette, hogy valamely harmadik állam 1980. évi egyezményhez való csatlakozásának elfogadása az Európai Unió kizárólagos hatáskörébe tartozik. </w:t>
      </w:r>
    </w:p>
    <w:p>
      <w:pPr>
        <w:rPr>
          <w:bCs/>
          <w:noProof/>
        </w:rPr>
      </w:pPr>
      <w:r>
        <w:rPr>
          <w:noProof/>
        </w:rPr>
        <w:t xml:space="preserve">Az Európai Unió Bírósága 2014. október 14-i 1/13. sz. véleményében kimondta, hogy az Európai Unió kizárólagos hatáskörébe tartozik annak elfogadása, hogy valamely harmadik állam csatlakozzon a gyermekek jogellenes külföldre vitelének polgári jogi vonatkozásairól szóló, 1980. évi Hágai Egyezményhez. </w:t>
      </w:r>
    </w:p>
    <w:p>
      <w:pPr>
        <w:rPr>
          <w:bCs/>
          <w:noProof/>
        </w:rPr>
      </w:pPr>
      <w:r>
        <w:rPr>
          <w:noProof/>
        </w:rPr>
        <w:t xml:space="preserve">A Bíróság nyomatékosította, hogy – a tagállamok közötti változó geometriát elkerülendő – a kérdést uniós szinten egységesen kell kezelni. </w:t>
      </w:r>
    </w:p>
    <w:p>
      <w:pPr>
        <w:rPr>
          <w:bCs/>
          <w:noProof/>
        </w:rPr>
      </w:pPr>
      <w:r>
        <w:rPr>
          <w:noProof/>
        </w:rPr>
        <w:lastRenderedPageBreak/>
        <w:t>Mivel a gyermekek jogellenes külföldre vitelének kérdése az Európai Unió kizárólagos külső hatáskörébe tartozik, Chile, Izland és a Bahamai Közösség csatlakozásának elfogadásáról uniós szinten, tanácsi határozat útján kell dönteni. Romániának ezért az Európai Unió érdekében nyilatkozatot kell tennie Chile, Izland és a Bahamai Közösség csatlakozásának elfogadásáról.</w:t>
      </w:r>
    </w:p>
    <w:p>
      <w:pPr>
        <w:rPr>
          <w:bCs/>
          <w:noProof/>
        </w:rPr>
      </w:pPr>
      <w:r>
        <w:rPr>
          <w:noProof/>
        </w:rPr>
        <w:t>A Románia általi elfogadás nyomán az 1980. évi egyezmény a Bahamai Közösség és – Dánia kivételével – valamennyi uniós tagállam között alkalmazandóvá válna. Chilét és Izlandot illetően az 1980. évi egyezmény valamennyi uniós tagállammal alkalmazandóvá válna.</w:t>
      </w:r>
    </w:p>
    <w:p>
      <w:pPr>
        <w:pStyle w:val="ManualHeading2"/>
        <w:rPr>
          <w:rFonts w:eastAsia="Arial Unicode MS"/>
          <w:noProof/>
          <w:color w:val="000000"/>
          <w:u w:color="000000"/>
          <w:bdr w:val="nil"/>
        </w:rPr>
      </w:pPr>
      <w:r>
        <w:rPr>
          <w:noProof/>
          <w:color w:val="000000"/>
          <w:u w:color="000000"/>
          <w:bdr w:val="nil"/>
        </w:rPr>
        <w:t>•</w:t>
      </w:r>
      <w:r>
        <w:rPr>
          <w:noProof/>
        </w:rPr>
        <w:tab/>
        <w:t>Összhang a szabályozási terület jelenlegi rendelkezéseivel</w:t>
      </w:r>
    </w:p>
    <w:p>
      <w:pPr>
        <w:pBdr>
          <w:top w:val="nil"/>
          <w:left w:val="nil"/>
          <w:bottom w:val="nil"/>
          <w:right w:val="nil"/>
          <w:between w:val="nil"/>
          <w:bar w:val="nil"/>
        </w:pBdr>
        <w:spacing w:before="0" w:after="240"/>
        <w:rPr>
          <w:rFonts w:eastAsia="Arial Unicode MS"/>
          <w:bCs/>
          <w:noProof/>
        </w:rPr>
      </w:pPr>
      <w:r>
        <w:rPr>
          <w:noProof/>
        </w:rPr>
        <w:t>Ami a gyermekek szülő általi jogellenes elvitelét illeti, az 1980. évi Hágai Egyezmény a házassági ügyekben és a szülői felelősségre vonatkozó ügyekben folytatott uniós igazságügyi együttműködés sarokkövének számító, Brüsszel IIa. rendelet néven ismert 2201/2003/EK tanácsi rendelet</w:t>
      </w:r>
      <w:r>
        <w:rPr>
          <w:rStyle w:val="FootnoteReference"/>
          <w:noProof/>
        </w:rPr>
        <w:footnoteReference w:id="1"/>
      </w:r>
      <w:r>
        <w:rPr>
          <w:noProof/>
        </w:rPr>
        <w:t xml:space="preserve"> nemzetközi megfelelője. </w:t>
      </w:r>
    </w:p>
    <w:p>
      <w:pPr>
        <w:pBdr>
          <w:top w:val="nil"/>
          <w:left w:val="nil"/>
          <w:bottom w:val="nil"/>
          <w:right w:val="nil"/>
          <w:between w:val="nil"/>
          <w:bar w:val="nil"/>
        </w:pBdr>
        <w:spacing w:before="0" w:after="240"/>
        <w:rPr>
          <w:rFonts w:eastAsia="Arial Unicode MS"/>
          <w:bCs/>
          <w:noProof/>
        </w:rPr>
      </w:pPr>
      <w:r>
        <w:rPr>
          <w:noProof/>
        </w:rPr>
        <w:t>A rendelet egyik fő célkitűzése az, hogy a gyermekek szokásos tartózkodási helyük szerinti tagállamba történő gyors visszavitelét biztosító eljárások megállapításával visszaszorítsa a gyermekek tagállamok közötti jogellenes külföldre vitelét. E célból a Brüsszel IIa. rendelet 11. cikkében magában foglalja az 1980. évi Hágai Egyezményben megállapított eljárást, és kiegészíti azt bizonyos vonatkozások egyértelműsítése révén, különös tekintettel a kiskorú meghallgatására, a határozat meghozatalának a visszavitel iránti kérelem benyújtásától számított időtartamára és a gyermek visszavitele elutasításának indokaira. A rendelet emellett rendelkezéseket vezet be a különböző tagállamokban hozott, visszavitelt elrendelő vagy a visszavitel elrendelését megtagadó, egymásnak ellentmondó határozatokra vonatkozóan.</w:t>
      </w:r>
    </w:p>
    <w:p>
      <w:pPr>
        <w:pBdr>
          <w:top w:val="nil"/>
          <w:left w:val="nil"/>
          <w:bottom w:val="nil"/>
          <w:right w:val="nil"/>
          <w:between w:val="nil"/>
          <w:bar w:val="nil"/>
        </w:pBdr>
        <w:spacing w:before="0" w:after="240"/>
        <w:rPr>
          <w:rFonts w:eastAsia="Arial Unicode MS"/>
          <w:bCs/>
          <w:noProof/>
        </w:rPr>
      </w:pPr>
      <w:r>
        <w:rPr>
          <w:noProof/>
        </w:rPr>
        <w:t xml:space="preserve">Nemzetközi szinten az Európai Unió támogatja a harmadik országok csatlakozását az 1980. évi egyezményhez, hogy az uniós tagállamok közös jogi keretre támaszkodhassanak a gyermekek jogellenes külföldre vitelét érintő esetekben. </w:t>
      </w:r>
    </w:p>
    <w:p>
      <w:pPr>
        <w:pBdr>
          <w:top w:val="nil"/>
          <w:left w:val="nil"/>
          <w:bottom w:val="nil"/>
          <w:right w:val="nil"/>
          <w:between w:val="nil"/>
          <w:bar w:val="nil"/>
        </w:pBdr>
        <w:spacing w:before="0" w:after="240"/>
        <w:rPr>
          <w:rFonts w:eastAsia="Arial Unicode MS"/>
          <w:bCs/>
          <w:noProof/>
        </w:rPr>
      </w:pPr>
      <w:r>
        <w:rPr>
          <w:noProof/>
        </w:rPr>
        <w:t>2015 júniusa és 2016 decembere között tíz tanácsi határozatot hoztak annak érdekében, hogy elfogadják 10 harmadik ország (Marokkó, Szingapúr, Oroszországi Föderáció, Albánia, Andorra, Seychelle-szigetek, Örményország, Koreai Köztársaság, Kazahsztán és Peru) csatlakozását a gyermekek jogellenes külföldre viteléről szóló 1980. évi Hágai Egyezményhez</w:t>
      </w:r>
      <w:r>
        <w:rPr>
          <w:rStyle w:val="FootnoteReference"/>
          <w:noProof/>
        </w:rPr>
        <w:footnoteReference w:id="2"/>
      </w:r>
      <w:r>
        <w:rPr>
          <w:noProof/>
        </w:rPr>
        <w:t>.</w:t>
      </w:r>
    </w:p>
    <w:p>
      <w:pPr>
        <w:pStyle w:val="ManualHeading2"/>
        <w:rPr>
          <w:rFonts w:eastAsia="Arial Unicode MS"/>
          <w:noProof/>
        </w:rPr>
      </w:pPr>
      <w:r>
        <w:rPr>
          <w:noProof/>
          <w:color w:val="000000"/>
          <w:u w:color="000000"/>
          <w:bdr w:val="nil"/>
        </w:rPr>
        <w:t>•</w:t>
      </w:r>
      <w:r>
        <w:rPr>
          <w:noProof/>
        </w:rPr>
        <w:tab/>
        <w:t>Összhang az Unió egyéb szakpolitikáival</w:t>
      </w:r>
    </w:p>
    <w:p>
      <w:pPr>
        <w:rPr>
          <w:noProof/>
        </w:rPr>
      </w:pPr>
      <w:r>
        <w:rPr>
          <w:noProof/>
        </w:rPr>
        <w:t xml:space="preserve">A mostani javaslat egyértelműen kapcsolódik az Európai Unióról szóló szerződés 3. cikkében foglalt, a gyermekek jogainak védelmére vonatkozó általános célkitűzéssel. Az 1980. évi </w:t>
      </w:r>
      <w:r>
        <w:rPr>
          <w:noProof/>
        </w:rPr>
        <w:lastRenderedPageBreak/>
        <w:t>Hágai Egyezmény célja, hogy védelmezze a gyermekeket a szülő általi jogellenes elvitel káros hatásaitól, valamint garantálja, hogy a gyermekek kapcsolatot tarthassanak mindkét szülőjükkel, például a kapcsolattartási jogok hatékony gyakorlásának biztosítása révén.</w:t>
      </w:r>
    </w:p>
    <w:p>
      <w:pPr>
        <w:rPr>
          <w:noProof/>
        </w:rPr>
      </w:pPr>
      <w:r>
        <w:rPr>
          <w:noProof/>
        </w:rPr>
        <w:t>Ugyancsak említésre méltó, hogy a javaslat a közvetítés határon átnyúló családi viták rendezésében történő alkalmazásának előmozdításához is kapcsolódik. A polgári és kereskedelmi ügyekben végzett közvetítés egyes szempontjairól szóló irányelv</w:t>
      </w:r>
      <w:r>
        <w:rPr>
          <w:rStyle w:val="FootnoteReference"/>
          <w:noProof/>
        </w:rPr>
        <w:footnoteReference w:id="3"/>
      </w:r>
      <w:r>
        <w:rPr>
          <w:noProof/>
        </w:rPr>
        <w:t xml:space="preserve"> a családjogra is vonatkozik a jog érvényesülésén alapuló közös európai térségen belül. Az 1980. évi Hágai Egyezmény a családi viták békés rendezését is ösztönzi. Az 1980. évi Hágai Egyezmény alapján a Hágai Nemzetközi Magánjogi Konferencia által kiadott, bevált gyakorlatokról szóló útmutatók egyikének témája a közvetítés igénybevétele az egyezmény alkalmazási körébe tartozó, gyermekeket érintő nemzetközi családi viták rendezésében. Az Európai Bizottság kezdeményezésére ezt az útmutatót angolon és francián kívül az összes uniós nyelvre, valamint arabra is lefordították, hogy megkönnyítsék a párbeszédet azokkal az államokkal, amelyek még nem erősítették meg az egyezményt, továbbá hogy az egyezményt meg nem erősítő országokkal konkrét megoldásokat találjanak a gyermekek jogellenes külföldre viteléből fakadó problémákra</w:t>
      </w:r>
      <w:r>
        <w:rPr>
          <w:rStyle w:val="FootnoteReference"/>
          <w:noProof/>
        </w:rPr>
        <w:footnoteReference w:id="4"/>
      </w:r>
      <w:r>
        <w:rPr>
          <w:noProof/>
        </w:rPr>
        <w:t>.</w:t>
      </w:r>
    </w:p>
    <w:p>
      <w:pPr>
        <w:pStyle w:val="ManualHeading1"/>
        <w:rPr>
          <w:noProof/>
        </w:rPr>
      </w:pPr>
      <w:r>
        <w:rPr>
          <w:noProof/>
        </w:rPr>
        <w:t>2.</w:t>
      </w:r>
      <w:r>
        <w:rPr>
          <w:noProof/>
        </w:rPr>
        <w:tab/>
        <w:t>JOGALAP, SZUBSZIDIARITÁS ÉS ARÁNYOSSÁG</w:t>
      </w:r>
    </w:p>
    <w:p>
      <w:pPr>
        <w:pStyle w:val="ManualHeading2"/>
        <w:rPr>
          <w:rFonts w:eastAsia="Arial Unicode MS"/>
          <w:noProof/>
          <w:u w:color="000000"/>
          <w:bdr w:val="nil"/>
        </w:rPr>
      </w:pPr>
      <w:r>
        <w:rPr>
          <w:noProof/>
        </w:rPr>
        <w:t>•</w:t>
      </w:r>
      <w:r>
        <w:rPr>
          <w:noProof/>
        </w:rPr>
        <w:tab/>
        <w:t>Jogalap</w:t>
      </w:r>
    </w:p>
    <w:p>
      <w:pPr>
        <w:pBdr>
          <w:top w:val="nil"/>
          <w:left w:val="nil"/>
          <w:bottom w:val="nil"/>
          <w:right w:val="nil"/>
          <w:between w:val="nil"/>
          <w:bar w:val="nil"/>
        </w:pBdr>
        <w:spacing w:before="0" w:after="240"/>
        <w:rPr>
          <w:rFonts w:eastAsia="Arial Unicode MS"/>
          <w:noProof/>
        </w:rPr>
      </w:pPr>
      <w:r>
        <w:rPr>
          <w:noProof/>
        </w:rPr>
        <w:t>Mivel a határozat nemzetközi megállapodásra vonatkozik, az alkalmazandó jogalap az Európai Unió működéséről szóló szerződés 218. cikke, valamint 81. cikkének (3) bekezdése. A Tanács az Európai Parlamenttel folytatott konzultációt követően egyhangúlag határoz.</w:t>
      </w:r>
    </w:p>
    <w:p>
      <w:pPr>
        <w:pBdr>
          <w:top w:val="nil"/>
          <w:left w:val="nil"/>
          <w:bottom w:val="nil"/>
          <w:right w:val="nil"/>
          <w:between w:val="nil"/>
          <w:bar w:val="nil"/>
        </w:pBdr>
        <w:spacing w:before="0" w:after="240"/>
        <w:rPr>
          <w:rFonts w:eastAsia="Arial Unicode MS"/>
          <w:noProof/>
        </w:rPr>
      </w:pPr>
      <w:r>
        <w:rPr>
          <w:noProof/>
        </w:rPr>
        <w:t>A 2201/2003/EK rendelet az Egyesült Királyságra és Írországra nézve kötelező, így azok részt vesznek e határozat elfogadásában és alkalmazásában.</w:t>
      </w:r>
    </w:p>
    <w:p>
      <w:pPr>
        <w:pBdr>
          <w:top w:val="nil"/>
          <w:left w:val="nil"/>
          <w:bottom w:val="nil"/>
          <w:right w:val="nil"/>
          <w:between w:val="nil"/>
          <w:bar w:val="nil"/>
        </w:pBdr>
        <w:spacing w:before="0" w:after="240"/>
        <w:rPr>
          <w:rFonts w:eastAsia="Arial Unicode MS"/>
          <w:noProof/>
        </w:rPr>
      </w:pPr>
      <w:r>
        <w:rPr>
          <w:noProof/>
        </w:rPr>
        <w:t>Az Európai Unióról szóló szerződéshez és az Európai Unió működéséről szóló szerződéshez csatolt, Dánia helyzetéről szóló 22. jegyzőkönyv 1. és 2. cikke értelmében Dánia nem vesz részt ennek a határozatnak az elfogadásában, az rá nézve nem kötelező és nem alkalmazandó.</w:t>
      </w:r>
    </w:p>
    <w:p>
      <w:pPr>
        <w:pStyle w:val="ManualHeading2"/>
        <w:rPr>
          <w:rFonts w:eastAsia="Arial Unicode MS"/>
          <w:noProof/>
          <w:u w:color="000000"/>
          <w:bdr w:val="nil"/>
        </w:rPr>
      </w:pPr>
      <w:r>
        <w:rPr>
          <w:noProof/>
        </w:rPr>
        <w:t>•</w:t>
      </w:r>
      <w:r>
        <w:rPr>
          <w:noProof/>
        </w:rPr>
        <w:tab/>
        <w:t>Arányosság</w:t>
      </w:r>
    </w:p>
    <w:p>
      <w:pPr>
        <w:pBdr>
          <w:top w:val="nil"/>
          <w:left w:val="nil"/>
          <w:bottom w:val="nil"/>
          <w:right w:val="nil"/>
          <w:between w:val="nil"/>
          <w:bar w:val="nil"/>
        </w:pBdr>
        <w:spacing w:before="0" w:after="240"/>
        <w:rPr>
          <w:rFonts w:eastAsia="Arial Unicode MS"/>
          <w:noProof/>
        </w:rPr>
      </w:pPr>
      <w:r>
        <w:rPr>
          <w:noProof/>
        </w:rPr>
        <w:t>E javaslatot az ugyanebben a kérdésben már elfogadott tanácsi határozatok alapján szövegezték meg, és az nem lépi túl az arra vonatkozó célkitűzés eléréséhez szükséges mértéket, hogy a gyermekek jogellenes külföldre vitelének tárgyában következetessé váljon az uniós fellépés annak biztosítása révén, hogy Románia meghatározott időkereten belül elfogadja Chile, Izland és a Bahamai Közösség csatlakozását az 1980. évi Hágai Egyezményhez.</w:t>
      </w:r>
    </w:p>
    <w:p>
      <w:pPr>
        <w:pStyle w:val="ManualHeading2"/>
        <w:rPr>
          <w:noProof/>
        </w:rPr>
      </w:pPr>
      <w:r>
        <w:rPr>
          <w:noProof/>
        </w:rPr>
        <w:lastRenderedPageBreak/>
        <w:t>•</w:t>
      </w:r>
      <w:r>
        <w:rPr>
          <w:noProof/>
        </w:rPr>
        <w:tab/>
        <w:t>3.</w:t>
      </w:r>
      <w:r>
        <w:rPr>
          <w:noProof/>
        </w:rPr>
        <w:tab/>
        <w:t>AZ UTÓLAGOS ÉRTÉKELÉSEK, AZ ÉRDEKELT FELEKKEL FOLYTATOTT KONZULTÁCIÓK ÉS A HATÁSVIZSGÁLATOK EREDMÉNYEI</w:t>
      </w:r>
    </w:p>
    <w:p>
      <w:pPr>
        <w:pStyle w:val="ManualHeading2"/>
        <w:rPr>
          <w:rFonts w:eastAsia="Arial Unicode MS"/>
          <w:noProof/>
          <w:u w:color="000000"/>
          <w:bdr w:val="nil"/>
        </w:rPr>
      </w:pPr>
      <w:r>
        <w:rPr>
          <w:noProof/>
        </w:rPr>
        <w:t>•</w:t>
      </w:r>
      <w:r>
        <w:rPr>
          <w:noProof/>
        </w:rPr>
        <w:tab/>
        <w:t>Az érdekelt felekkel folytatott konzultációk</w:t>
      </w:r>
    </w:p>
    <w:p>
      <w:pPr>
        <w:pBdr>
          <w:top w:val="nil"/>
          <w:left w:val="nil"/>
          <w:bottom w:val="nil"/>
          <w:right w:val="nil"/>
          <w:between w:val="nil"/>
          <w:bar w:val="nil"/>
        </w:pBdr>
        <w:spacing w:before="0" w:after="240"/>
        <w:rPr>
          <w:rFonts w:eastAsia="Arial Unicode MS"/>
          <w:noProof/>
        </w:rPr>
      </w:pPr>
      <w:r>
        <w:rPr>
          <w:noProof/>
        </w:rPr>
        <w:t xml:space="preserve">A Bizottság konzultált Romániával arról, hogy készen áll-e elfogadni Chile, Izland és a Bahamai Közösség csatlakozását az 1980. évi egyezményhez, és a tagállam kedvező választ adott. </w:t>
      </w:r>
    </w:p>
    <w:p>
      <w:pPr>
        <w:pBdr>
          <w:top w:val="nil"/>
          <w:left w:val="nil"/>
          <w:bottom w:val="nil"/>
          <w:right w:val="nil"/>
          <w:between w:val="nil"/>
          <w:bar w:val="nil"/>
        </w:pBdr>
        <w:spacing w:before="0" w:after="240"/>
        <w:rPr>
          <w:rFonts w:eastAsia="Arial Unicode MS"/>
          <w:noProof/>
        </w:rPr>
      </w:pPr>
      <w:r>
        <w:rPr>
          <w:noProof/>
        </w:rPr>
        <w:t>A 2017. április 24-i szakértői találkozó keretében tartott megbeszélések tanúsága szerint ebben a szakaszban a tagállamoknak nincs ellenvetésük azzal kapcsolatban, hogy Románia elfogadja Chile, Izland és a Bahamai Közösség csatlakozását az 1980. évi egyezményhez.</w:t>
      </w:r>
    </w:p>
    <w:p>
      <w:pPr>
        <w:pStyle w:val="ManualHeading2"/>
        <w:rPr>
          <w:rFonts w:eastAsia="Arial Unicode MS"/>
          <w:noProof/>
          <w:u w:color="000000"/>
          <w:bdr w:val="nil"/>
        </w:rPr>
      </w:pPr>
      <w:r>
        <w:rPr>
          <w:noProof/>
        </w:rPr>
        <w:t>•</w:t>
      </w:r>
      <w:r>
        <w:rPr>
          <w:noProof/>
        </w:rPr>
        <w:tab/>
        <w:t>Szakértői vélemények beszerzése és felhasználása</w:t>
      </w:r>
    </w:p>
    <w:p>
      <w:pPr>
        <w:pBdr>
          <w:top w:val="nil"/>
          <w:left w:val="nil"/>
          <w:bottom w:val="nil"/>
          <w:right w:val="nil"/>
          <w:between w:val="nil"/>
          <w:bar w:val="nil"/>
        </w:pBdr>
        <w:spacing w:before="0" w:after="240"/>
        <w:rPr>
          <w:rFonts w:eastAsia="Arial Unicode MS"/>
          <w:noProof/>
        </w:rPr>
      </w:pPr>
      <w:r>
        <w:rPr>
          <w:noProof/>
        </w:rPr>
        <w:t xml:space="preserve">Mivel az egyezmény Chile és Izland tekintetében 27 tagállamban, a Bahamai Közösség tekintetében pedig 26 tagállamban már jelenleg is hatályban van, a Bizottság és a tagállami szakértők úgy vélték, hogy ilyen esetekben nincs szükség a harmadik ország helyzetének külön értékelésére. </w:t>
      </w:r>
    </w:p>
    <w:p>
      <w:pPr>
        <w:pBdr>
          <w:top w:val="nil"/>
          <w:left w:val="nil"/>
          <w:bottom w:val="nil"/>
          <w:right w:val="nil"/>
          <w:between w:val="nil"/>
          <w:bar w:val="nil"/>
        </w:pBdr>
        <w:spacing w:before="0" w:after="240"/>
        <w:rPr>
          <w:rFonts w:eastAsia="Arial Unicode MS"/>
          <w:noProof/>
        </w:rPr>
      </w:pPr>
      <w:r>
        <w:rPr>
          <w:noProof/>
        </w:rPr>
        <w:t>A tagállami szakértők semmilyen problémáról nem számoltak be az 1980. évi egyezmény Chile, Izland és a Bahamai Közösség tekintetében történő alkalmazásával kapcsolatban.</w:t>
      </w:r>
    </w:p>
    <w:p>
      <w:pPr>
        <w:pStyle w:val="ManualHeading2"/>
        <w:rPr>
          <w:rFonts w:eastAsia="Arial Unicode MS"/>
          <w:noProof/>
          <w:u w:color="000000"/>
          <w:bdr w:val="nil"/>
        </w:rPr>
      </w:pPr>
      <w:r>
        <w:rPr>
          <w:noProof/>
        </w:rPr>
        <w:t>•</w:t>
      </w:r>
      <w:r>
        <w:rPr>
          <w:noProof/>
        </w:rPr>
        <w:tab/>
        <w:t>Hatásvizsgálat</w:t>
      </w:r>
    </w:p>
    <w:p>
      <w:pPr>
        <w:pBdr>
          <w:top w:val="nil"/>
          <w:left w:val="nil"/>
          <w:bottom w:val="nil"/>
          <w:right w:val="nil"/>
          <w:between w:val="nil"/>
          <w:bar w:val="nil"/>
        </w:pBdr>
        <w:spacing w:before="0" w:after="240"/>
        <w:rPr>
          <w:rFonts w:eastAsia="Arial Unicode MS"/>
          <w:noProof/>
        </w:rPr>
      </w:pPr>
      <w:r>
        <w:rPr>
          <w:noProof/>
        </w:rPr>
        <w:t>A 2015-ben és 2016-ban már elfogadott, több harmadik államnak az 1980. évi Hágai Egyezményhez való csatlakozásáról szóló tíz tanácsi határozathoz hasonlóan – a jogalkotási aktus jellegére való tekintettel – nem készült külön hatásvizsgálat. Chile, Izland és a Bahamai Közösség helyzetének külön értékelését feleslegesnek találták, figyelembe véve egyrészt azt, hogy az egyezmény 27, illetve 26 tagállamban már jelenleg is hatályban van, másrészt pedig azt, hogy Románia készen áll elfogadni Chile, Izland és a Bahamai Közösség csatlakozását.</w:t>
      </w:r>
    </w:p>
    <w:p>
      <w:pPr>
        <w:pStyle w:val="ManualHeading2"/>
        <w:rPr>
          <w:noProof/>
        </w:rPr>
      </w:pPr>
      <w:r>
        <w:rPr>
          <w:noProof/>
        </w:rPr>
        <w:t>•</w:t>
      </w:r>
      <w:r>
        <w:rPr>
          <w:noProof/>
        </w:rPr>
        <w:tab/>
        <w:t>4.</w:t>
      </w:r>
      <w:r>
        <w:rPr>
          <w:noProof/>
        </w:rPr>
        <w:tab/>
        <w:t>KÖLTSÉGVETÉSI VONZATOK</w:t>
      </w:r>
    </w:p>
    <w:p>
      <w:pPr>
        <w:pBdr>
          <w:top w:val="nil"/>
          <w:left w:val="nil"/>
          <w:bottom w:val="nil"/>
          <w:right w:val="nil"/>
          <w:between w:val="nil"/>
          <w:bar w:val="nil"/>
        </w:pBdr>
        <w:spacing w:before="0" w:after="240"/>
        <w:rPr>
          <w:rFonts w:eastAsia="Arial Unicode MS"/>
          <w:noProof/>
        </w:rPr>
      </w:pPr>
      <w:r>
        <w:rPr>
          <w:noProof/>
        </w:rPr>
        <w:t>A javasolt megállapodásnak nincsenek költségvetési vonzatai.</w:t>
      </w:r>
    </w:p>
    <w:p>
      <w:pPr>
        <w:pStyle w:val="ManualHeading1"/>
        <w:rPr>
          <w:noProof/>
        </w:rPr>
      </w:pPr>
      <w:r>
        <w:rPr>
          <w:noProof/>
        </w:rPr>
        <w:t>5.</w:t>
      </w:r>
      <w:r>
        <w:rPr>
          <w:noProof/>
        </w:rPr>
        <w:tab/>
        <w:t>EGYÉB ELEMEK</w:t>
      </w:r>
    </w:p>
    <w:p>
      <w:pPr>
        <w:pStyle w:val="ManualHeading2"/>
        <w:rPr>
          <w:rFonts w:eastAsia="Arial Unicode MS"/>
          <w:noProof/>
          <w:u w:color="000000"/>
          <w:bdr w:val="nil"/>
        </w:rPr>
      </w:pPr>
      <w:r>
        <w:rPr>
          <w:noProof/>
        </w:rPr>
        <w:t>•</w:t>
      </w:r>
      <w:r>
        <w:rPr>
          <w:noProof/>
        </w:rPr>
        <w:tab/>
        <w:t>Végrehajtási tervek, valamint a nyomon követés, az értékelés és a jelentéstétel szabályai</w:t>
      </w:r>
    </w:p>
    <w:p>
      <w:pPr>
        <w:pBdr>
          <w:top w:val="nil"/>
          <w:left w:val="nil"/>
          <w:bottom w:val="nil"/>
          <w:right w:val="nil"/>
          <w:between w:val="nil"/>
          <w:bar w:val="nil"/>
        </w:pBdr>
        <w:spacing w:before="0" w:after="240"/>
        <w:rPr>
          <w:rFonts w:eastAsia="Arial Unicode MS"/>
          <w:noProof/>
        </w:rPr>
      </w:pPr>
      <w:r>
        <w:rPr>
          <w:noProof/>
        </w:rPr>
        <w:t>Mivel a javaslat csupán Romániának a Chile, Izland és a Bahamai Közösség 1980. évi egyezményhez való csatlakozásának elfogadására való felhatalmazását érinti, végrehajtásának figyelemmel kísérése arra korlátozódik, hogy Románia tiszteletben tartja-e a nyilatkozat szövegét, valamint az annak letétbe helyezésére és a Bizottság letétbe helyezésről való tájékoztatására vonatkozóan a tanácsi határozatban megállapított időkeretet.</w:t>
      </w:r>
    </w:p>
    <w:p>
      <w:pPr>
        <w:pStyle w:val="ManualHeading2"/>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2017/0150 (NLE)</w:t>
      </w:r>
    </w:p>
    <w:p>
      <w:pPr>
        <w:pStyle w:val="Statut"/>
        <w:rPr>
          <w:noProof/>
        </w:rPr>
      </w:pPr>
      <w:r>
        <w:rPr>
          <w:noProof/>
        </w:rPr>
        <w:t>Javaslat</w:t>
      </w:r>
    </w:p>
    <w:p>
      <w:pPr>
        <w:pStyle w:val="Typedudocument"/>
        <w:rPr>
          <w:noProof/>
        </w:rPr>
      </w:pPr>
      <w:r>
        <w:rPr>
          <w:noProof/>
        </w:rPr>
        <w:t>A TANÁCS HATÁROZATA</w:t>
      </w:r>
    </w:p>
    <w:p>
      <w:pPr>
        <w:pStyle w:val="Titreobjet"/>
        <w:rPr>
          <w:noProof/>
        </w:rPr>
      </w:pPr>
      <w:r>
        <w:rPr>
          <w:noProof/>
        </w:rPr>
        <w:t>Romániának a Chile, Izland és a Bahamai Közösség a gyermekek jogellenes külföldre vitelének polgári jogi vonatkozásairól szóló, 1980. évi Hágai Egyezményhez való csatlakozásának az Európai Unió érdekében való elfogadására történő felhatalmazásáról</w:t>
      </w:r>
    </w:p>
    <w:p>
      <w:pPr>
        <w:pStyle w:val="Institutionquiagit"/>
        <w:rPr>
          <w:noProof/>
        </w:rPr>
      </w:pPr>
      <w:r>
        <w:rPr>
          <w:noProof/>
        </w:rPr>
        <w:t>AZ EURÓPAI UNIÓ TANÁCSA,</w:t>
      </w:r>
    </w:p>
    <w:p>
      <w:pPr>
        <w:rPr>
          <w:noProof/>
        </w:rPr>
      </w:pPr>
      <w:r>
        <w:rPr>
          <w:noProof/>
        </w:rPr>
        <w:t>tekintettel az Európai Unió működéséről szóló szerződésre és különösen annak 81. cikke (3) bekezdésére, összefüggésben 218. cikkével,</w:t>
      </w:r>
    </w:p>
    <w:p>
      <w:pPr>
        <w:rPr>
          <w:noProof/>
        </w:rPr>
      </w:pPr>
      <w:r>
        <w:rPr>
          <w:noProof/>
        </w:rPr>
        <w:t>tekintettel az Európai Bizottság javaslatára,</w:t>
      </w:r>
    </w:p>
    <w:p>
      <w:pPr>
        <w:rPr>
          <w:noProof/>
        </w:rPr>
      </w:pPr>
      <w:r>
        <w:rPr>
          <w:noProof/>
        </w:rPr>
        <w:t>tekintettel az Európai Parlament véleményére</w:t>
      </w:r>
      <w:r>
        <w:rPr>
          <w:rStyle w:val="FootnoteReference"/>
          <w:noProof/>
        </w:rPr>
        <w:footnoteReference w:id="5"/>
      </w:r>
      <w:r>
        <w:rPr>
          <w:noProof/>
        </w:rPr>
        <w:t xml:space="preserve">, </w:t>
      </w:r>
    </w:p>
    <w:p>
      <w:pPr>
        <w:rPr>
          <w:noProof/>
        </w:rPr>
      </w:pPr>
      <w:r>
        <w:rPr>
          <w:noProof/>
        </w:rPr>
        <w:t>mivel:</w:t>
      </w:r>
    </w:p>
    <w:p>
      <w:pPr>
        <w:pStyle w:val="ManualConsidrant"/>
        <w:rPr>
          <w:noProof/>
        </w:rPr>
      </w:pPr>
      <w:r>
        <w:t>(1)</w:t>
      </w:r>
      <w:r>
        <w:tab/>
      </w:r>
      <w:r>
        <w:rPr>
          <w:noProof/>
        </w:rPr>
        <w:t>Az Európai Unióról szóló szerződés 3. cikkében foglaltak szerint az Európai Unió egyik célja, hogy előmozdítsa a gyermekek jogainak védelmét. A gyermekek jogellenes elvitellel vagy visszatartással szembeni védelmét szolgáló intézkedések e politika fontos részét képezik.</w:t>
      </w:r>
    </w:p>
    <w:p>
      <w:pPr>
        <w:pStyle w:val="ManualConsidrant"/>
        <w:rPr>
          <w:noProof/>
        </w:rPr>
      </w:pPr>
      <w:r>
        <w:t>(2)</w:t>
      </w:r>
      <w:r>
        <w:tab/>
      </w:r>
      <w:r>
        <w:rPr>
          <w:noProof/>
        </w:rPr>
        <w:t>A Tanács elfogadta a 2201/2003/EK rendeletet</w:t>
      </w:r>
      <w:r>
        <w:rPr>
          <w:rStyle w:val="FootnoteReference"/>
          <w:noProof/>
        </w:rPr>
        <w:footnoteReference w:id="6"/>
      </w:r>
      <w:r>
        <w:rPr>
          <w:noProof/>
        </w:rPr>
        <w:t xml:space="preserve"> (a továbbiakban: Brüsszel IIa. rendelet), amelynek célja, hogy megvédje a gyermekeket a jogellenes elvitel vagy visszatartás káros hatásaitól, és eljárásokat állapítson meg a szokásos tartózkodási helyük szerinti államba történő gyors visszatérésük biztosítására, valamint garantálja a kapcsolattartási jogok és a felügyeleti jogok védelmét.</w:t>
      </w:r>
    </w:p>
    <w:p>
      <w:pPr>
        <w:pStyle w:val="ManualConsidrant"/>
        <w:rPr>
          <w:noProof/>
        </w:rPr>
      </w:pPr>
      <w:r>
        <w:t>(3)</w:t>
      </w:r>
      <w:r>
        <w:tab/>
      </w:r>
      <w:r>
        <w:rPr>
          <w:noProof/>
        </w:rPr>
        <w:t>A Brüsszel IIa. rendelet kiegészíti és megerősíti a gyermekek jogellenes külföldre vitelének polgári jogi vonatkozásairól szóló, 1980. október 25-i Hágai Egyezményt (a továbbiakban: az 1980. évi Hágai Egyezmény), amely nemzetközi szintű kötelezettségi és együttműködési rendszert hoz létre a szerződő államok, illetve a központi hatóságok között, és célja a jogellenesen elvitt vagy visszatartott gyermekek gyors visszatérésének biztosítása.</w:t>
      </w:r>
    </w:p>
    <w:p>
      <w:pPr>
        <w:pStyle w:val="ManualConsidrant"/>
        <w:rPr>
          <w:noProof/>
        </w:rPr>
      </w:pPr>
      <w:r>
        <w:t>(4)</w:t>
      </w:r>
      <w:r>
        <w:tab/>
      </w:r>
      <w:r>
        <w:rPr>
          <w:noProof/>
        </w:rPr>
        <w:t>Az Unió valamennyi tagállama részes fele az 1980. évi Hágai Egyezménynek.</w:t>
      </w:r>
    </w:p>
    <w:p>
      <w:pPr>
        <w:pStyle w:val="ManualConsidrant"/>
        <w:rPr>
          <w:noProof/>
        </w:rPr>
      </w:pPr>
      <w:r>
        <w:t>(5)</w:t>
      </w:r>
      <w:r>
        <w:tab/>
      </w:r>
      <w:r>
        <w:rPr>
          <w:noProof/>
        </w:rPr>
        <w:t>Az Unió arra ösztönzi a harmadik államokat, hogy csatlakozzanak az 1980. évi Hágai Egyezményhez, és támogatja az 1980. évi Hágai Egyezmény helyes végrehajtását, többek között azáltal, hogy a tagállamokkal együtt részt vesz a Hágai Nemzetközi Magánjogi Konferencia által rendszeresen szervezett különbizottságokban.</w:t>
      </w:r>
    </w:p>
    <w:p>
      <w:pPr>
        <w:pStyle w:val="ManualConsidrant"/>
        <w:rPr>
          <w:noProof/>
        </w:rPr>
      </w:pPr>
      <w:r>
        <w:lastRenderedPageBreak/>
        <w:t>(6)</w:t>
      </w:r>
      <w:r>
        <w:tab/>
      </w:r>
      <w:r>
        <w:rPr>
          <w:noProof/>
        </w:rPr>
        <w:t>Az uniós tagállamok és a harmadik államok között alkalmazandó közös jogi keret lehet a legjobb megoldás az érzékeny természetű, a gyermekek jogellenes elvitelét érintő nemzetközi esetekre.</w:t>
      </w:r>
    </w:p>
    <w:p>
      <w:pPr>
        <w:pStyle w:val="ManualConsidrant"/>
        <w:rPr>
          <w:noProof/>
        </w:rPr>
      </w:pPr>
      <w:r>
        <w:t>(7)</w:t>
      </w:r>
      <w:r>
        <w:tab/>
      </w:r>
      <w:r>
        <w:rPr>
          <w:noProof/>
        </w:rPr>
        <w:t>Az 1980. évi Hágai Egyezmény kimondja, hogy az egyezmény a csatlakozó állam és azon szerződő államok között alkalmazandó, amelyek nyilatkozatot tettek a csatlakozás elfogadásáról.</w:t>
      </w:r>
    </w:p>
    <w:p>
      <w:pPr>
        <w:pStyle w:val="ManualConsidrant"/>
        <w:rPr>
          <w:noProof/>
        </w:rPr>
      </w:pPr>
      <w:r>
        <w:t>(8)</w:t>
      </w:r>
      <w:r>
        <w:tab/>
      </w:r>
      <w:r>
        <w:rPr>
          <w:noProof/>
        </w:rPr>
        <w:t>Az 1980. évi Hágai Egyezmény nem teszi lehetővé, hogy az olyan regionális gazdasági integrációs szervezetek, mint az Unió, annak szerződő feleivé váljanak. Az Unió ezért nem csatlakozhat az egyezményhez, és nem helyezhet letétbe valamely állam csatlakozásának elfogadásáról szóló nyilatkozatot sem.</w:t>
      </w:r>
    </w:p>
    <w:p>
      <w:pPr>
        <w:pStyle w:val="ManualConsidrant"/>
        <w:rPr>
          <w:noProof/>
        </w:rPr>
      </w:pPr>
      <w:r>
        <w:t>(9)</w:t>
      </w:r>
      <w:r>
        <w:tab/>
      </w:r>
      <w:r>
        <w:rPr>
          <w:noProof/>
        </w:rPr>
        <w:t>Az Európai Unió Bíróságának 1/13. sz. véleménye értelmében az 1980. évi Hágai Egyezmény alapján tett, elfogadásról szóló nyilatkozatok az Unió kizárólagos külső hatáskörébe tartoznak.</w:t>
      </w:r>
    </w:p>
    <w:p>
      <w:pPr>
        <w:pStyle w:val="ManualConsidrant"/>
        <w:rPr>
          <w:noProof/>
        </w:rPr>
      </w:pPr>
      <w:r>
        <w:t>(10)</w:t>
      </w:r>
      <w:r>
        <w:tab/>
      </w:r>
      <w:r>
        <w:rPr>
          <w:noProof/>
        </w:rPr>
        <w:t>Chile 1994. február 23-án letétbe helyezte az 1980. évi egyezményhez való csatlakozásáról szóló okiratot. Az egyezmény 1994. május 1-jén lépett hatályba Chilében.</w:t>
      </w:r>
    </w:p>
    <w:p>
      <w:pPr>
        <w:pStyle w:val="ManualConsidrant"/>
        <w:rPr>
          <w:noProof/>
        </w:rPr>
      </w:pPr>
      <w:r>
        <w:t>(11)</w:t>
      </w:r>
      <w:r>
        <w:tab/>
      </w:r>
      <w:r>
        <w:rPr>
          <w:noProof/>
        </w:rPr>
        <w:t>Romániát kivéve már valamennyi érintett tagállam elfogadta Chile 1980. évi Hágai Egyezményhez való csatlakozását. Chile elfogadta Ciprus, Szlovénia, Bulgária, Észtország, Lettország, Litvánia és Málta csatlakozását. A Chilében fennálló helyzet értékelése nyomán megállapítást nyert, hogy Románia az 1980. évi Hágai Egyezményben foglalt feltételek alapján az Unió érdekében el tudja fogadni Chile csatlakozását.</w:t>
      </w:r>
    </w:p>
    <w:p>
      <w:pPr>
        <w:pStyle w:val="ManualConsidrant"/>
        <w:rPr>
          <w:noProof/>
        </w:rPr>
      </w:pPr>
      <w:r>
        <w:t>(12)</w:t>
      </w:r>
      <w:r>
        <w:tab/>
      </w:r>
      <w:r>
        <w:rPr>
          <w:noProof/>
        </w:rPr>
        <w:t xml:space="preserve">Izland 1996. augusztus 14-én letétbe helyezte az 1980. évi egyezményhez való csatlakozásáról szóló okiratot. Az egyezmény 1996. szeptember 1-jén lépett hatályba Izlandon.  </w:t>
      </w:r>
    </w:p>
    <w:p>
      <w:pPr>
        <w:pStyle w:val="ManualConsidrant"/>
        <w:rPr>
          <w:noProof/>
        </w:rPr>
      </w:pPr>
      <w:r>
        <w:t>(13)</w:t>
      </w:r>
      <w:r>
        <w:tab/>
      </w:r>
      <w:r>
        <w:rPr>
          <w:noProof/>
        </w:rPr>
        <w:t>Romániát kivéve már valamennyi érintett tagállam elfogadta Izland 1980. évi Hágai Egyezményhez való csatlakozását. Izland elfogadta Bulgária, Észtország, Lettország, Litvánia és Málta csatlakozását. Az Izlandon fennálló helyzet értékelése nyomán megállapítást nyert, hogy Románia az 1980. évi Hágai Egyezményben foglalt feltételek alapján az Unió érdekében el tudja fogadni Izland csatlakozását.</w:t>
      </w:r>
    </w:p>
    <w:p>
      <w:pPr>
        <w:pStyle w:val="ManualConsidrant"/>
        <w:rPr>
          <w:noProof/>
        </w:rPr>
      </w:pPr>
      <w:r>
        <w:t>(14)</w:t>
      </w:r>
      <w:r>
        <w:tab/>
      </w:r>
      <w:r>
        <w:rPr>
          <w:noProof/>
        </w:rPr>
        <w:t xml:space="preserve">A Bahamai Közösség 1993. október 1-jén letétbe helyezte az 1980. évi egyezményhez való csatlakozásáról szóló okiratot. Az egyezmény 1994. január 1-jén lépett hatályba a Bahamai Közösségben.  </w:t>
      </w:r>
    </w:p>
    <w:p>
      <w:pPr>
        <w:pStyle w:val="ManualConsidrant"/>
        <w:rPr>
          <w:noProof/>
        </w:rPr>
      </w:pPr>
      <w:r>
        <w:t>(15)</w:t>
      </w:r>
      <w:r>
        <w:tab/>
      </w:r>
      <w:r>
        <w:rPr>
          <w:noProof/>
        </w:rPr>
        <w:t>Romániát kivéve már valamennyi érintett tagállam elfogadta a Bahamai Közösség 1980. évi Hágai Egyezményhez való csatlakozását. A Bahamai Közösség elfogadta Bulgária, Ciprus, Észtország, Lettország, Litvánia, Málta és Szlovénia csatlakozását. A Bahamai Közösségben fennálló helyzet értékelése nyomán megállapítást nyert, hogy Románia az 1980. évi Hágai Egyezményben foglalt feltételek alapján az Unió érdekében el tudja fogadni a Bahamai Közösség csatlakozását.</w:t>
      </w:r>
    </w:p>
    <w:p>
      <w:pPr>
        <w:pStyle w:val="ManualConsidrant"/>
        <w:rPr>
          <w:noProof/>
        </w:rPr>
      </w:pPr>
      <w:r>
        <w:t>(16)</w:t>
      </w:r>
      <w:r>
        <w:tab/>
      </w:r>
      <w:r>
        <w:rPr>
          <w:noProof/>
        </w:rPr>
        <w:t xml:space="preserve">Romániát ezért fel kell hatalmazni arra, hogy az e határozatban foglalt feltételeknek megfelelően az Unió érdekében letétbe helyezze a Chile, Izland és a Bahamai Közösség csatlakozásának elfogadásáról szóló nyilatkozatát. A Chilének, Izlandnak és a Bahamai Közösségnek az 1980. évi Hágai Egyezményhez való csatlakozását már korábban elfogadó többi uniós tagállamnak nem kell új elfogadási nyilatkozatot letétbe </w:t>
      </w:r>
      <w:r>
        <w:rPr>
          <w:noProof/>
        </w:rPr>
        <w:lastRenderedPageBreak/>
        <w:t>helyeznie, mivel a nemzetközi közjog értelmében a már megtett nyilatkozatok továbbra is érvényesek.</w:t>
      </w:r>
    </w:p>
    <w:p>
      <w:pPr>
        <w:pStyle w:val="ManualConsidrant"/>
        <w:rPr>
          <w:noProof/>
        </w:rPr>
      </w:pPr>
      <w:r>
        <w:t>(17)</w:t>
      </w:r>
      <w:r>
        <w:tab/>
      </w:r>
      <w:r>
        <w:rPr>
          <w:noProof/>
        </w:rPr>
        <w:t>A Brüsszel IIa. rendelet az Egyesült Királyságra és Írországra nézve kötelező, így azok részt vesznek e határozat elfogadásában és alkalmazásában.</w:t>
      </w:r>
    </w:p>
    <w:p>
      <w:pPr>
        <w:pStyle w:val="ManualConsidrant"/>
        <w:rPr>
          <w:noProof/>
        </w:rPr>
      </w:pPr>
      <w:r>
        <w:t>(18)</w:t>
      </w:r>
      <w:r>
        <w:tab/>
      </w:r>
      <w:r>
        <w:rPr>
          <w:noProof/>
        </w:rPr>
        <w:t>Az Európai Unióról szóló szerződéshez és az Európai Unió működéséről szóló szerződéshez csatolt, Dánia helyzetéről szóló 22. jegyzőkönyv 1. és 2. cikke értelmében Dánia nem vesz részt ennek a határozatnak az elfogadásában, az rá nézve nem kötelező és nem alkalmazandó,</w:t>
      </w:r>
    </w:p>
    <w:p>
      <w:pPr>
        <w:pStyle w:val="Formuledadoption"/>
        <w:rPr>
          <w:noProof/>
        </w:rPr>
      </w:pPr>
      <w:r>
        <w:rPr>
          <w:noProof/>
        </w:rPr>
        <w:t xml:space="preserve">ELFOGADTA EZT A HATÁROZATOT: </w:t>
      </w:r>
    </w:p>
    <w:p>
      <w:pPr>
        <w:pStyle w:val="Titrearticle"/>
        <w:rPr>
          <w:noProof/>
        </w:rPr>
      </w:pPr>
      <w:r>
        <w:rPr>
          <w:noProof/>
        </w:rPr>
        <w:t>1. cikk</w:t>
      </w:r>
    </w:p>
    <w:p>
      <w:pPr>
        <w:ind w:left="850" w:hanging="850"/>
        <w:outlineLvl w:val="0"/>
        <w:rPr>
          <w:rFonts w:eastAsia="Times New Roman"/>
          <w:noProof/>
          <w:szCs w:val="24"/>
        </w:rPr>
      </w:pPr>
      <w:r>
        <w:rPr>
          <w:noProof/>
        </w:rPr>
        <w:t>(1)</w:t>
      </w:r>
      <w:r>
        <w:rPr>
          <w:noProof/>
        </w:rPr>
        <w:tab/>
        <w:t>Románia felhatalmazást kap arra, hogy az Unió érdekében elfogadja Chile, Izland és a Bahamai Közösség csatlakozását a gyermekek jogellenes külföldre vitelének polgári jogi vonatkozásairól szóló, 1980. október 25-i Hágai Egyezményhez (a továbbiakban: az 1980. évi Hágai Egyezmény).</w:t>
      </w:r>
    </w:p>
    <w:p>
      <w:pPr>
        <w:ind w:left="850" w:hanging="850"/>
        <w:outlineLvl w:val="0"/>
        <w:rPr>
          <w:rFonts w:eastAsia="Times New Roman"/>
          <w:noProof/>
          <w:szCs w:val="24"/>
        </w:rPr>
      </w:pPr>
      <w:r>
        <w:rPr>
          <w:noProof/>
        </w:rPr>
        <w:t>(2)</w:t>
      </w:r>
      <w:r>
        <w:rPr>
          <w:noProof/>
        </w:rPr>
        <w:tab/>
        <w:t>Románia legkésőbb [tizenkét hónappal e határozat elfogadása után] nyilatkozatot helyez letétbe az alábbi formában arról, hogy az Európai Unió érdekében elfogadja Chile, Izland és a Bahamai Közösség csatlakozását az 1980. évi Hágai Egyezményhez:</w:t>
      </w:r>
    </w:p>
    <w:p>
      <w:pPr>
        <w:outlineLvl w:val="0"/>
        <w:rPr>
          <w:rFonts w:eastAsia="Times New Roman"/>
          <w:i/>
          <w:noProof/>
          <w:szCs w:val="24"/>
        </w:rPr>
      </w:pPr>
      <w:r>
        <w:rPr>
          <w:noProof/>
        </w:rPr>
        <w:t>„[</w:t>
      </w:r>
      <w:r>
        <w:rPr>
          <w:i/>
          <w:noProof/>
        </w:rPr>
        <w:t>TAGÁLLAM teljes neve] kijelenti, hogy az (EU) 2017/...</w:t>
      </w:r>
      <w:r>
        <w:rPr>
          <w:rFonts w:eastAsia="Times New Roman"/>
          <w:b/>
          <w:i/>
          <w:noProof/>
          <w:szCs w:val="24"/>
          <w:vertAlign w:val="superscript"/>
        </w:rPr>
        <w:sym w:font="Symbol" w:char="F02A"/>
      </w:r>
      <w:r>
        <w:rPr>
          <w:i/>
          <w:noProof/>
        </w:rPr>
        <w:t xml:space="preserve"> tanácsi határozattal összhangban elfogadja Chile, Izland és a Bahamai Közösség csatlakozását a gyermekek jogellenes külföldre vitelének polgári jogi vonatkozásairól szóló, 1980. október 25-i Hágai Egyezményhez”.</w:t>
      </w:r>
    </w:p>
    <w:p>
      <w:pPr>
        <w:ind w:left="850" w:hanging="850"/>
        <w:outlineLvl w:val="0"/>
        <w:rPr>
          <w:rFonts w:eastAsia="Times New Roman"/>
          <w:noProof/>
          <w:szCs w:val="24"/>
        </w:rPr>
      </w:pPr>
      <w:r>
        <w:rPr>
          <w:noProof/>
        </w:rPr>
        <w:footnoteReference w:customMarkFollows="1" w:id="7"/>
        <w:t>(3)</w:t>
      </w:r>
      <w:r>
        <w:rPr>
          <w:noProof/>
        </w:rPr>
        <w:tab/>
        <w:t>Románia tájékoztatja a Tanácsot és a Bizottságot a Chile, Izland és a Bahamai Közösség csatlakozásának elfogadásáról szóló nyilatkozata letétbe helyezéséről, és a letétbe helyezést követően két hónapon belül közli a Bizottsággal a nyilatkozat szövegét.</w:t>
      </w:r>
    </w:p>
    <w:p>
      <w:pPr>
        <w:keepNext/>
        <w:spacing w:before="360"/>
        <w:jc w:val="center"/>
        <w:rPr>
          <w:rFonts w:eastAsia="Times New Roman"/>
          <w:i/>
          <w:noProof/>
          <w:szCs w:val="24"/>
        </w:rPr>
      </w:pPr>
      <w:r>
        <w:rPr>
          <w:i/>
          <w:noProof/>
        </w:rPr>
        <w:t>2. cikk</w:t>
      </w:r>
    </w:p>
    <w:p>
      <w:pPr>
        <w:rPr>
          <w:rFonts w:eastAsia="Times New Roman"/>
          <w:noProof/>
          <w:szCs w:val="24"/>
        </w:rPr>
      </w:pPr>
      <w:r>
        <w:rPr>
          <w:noProof/>
        </w:rPr>
        <w:t>Azon tagállamok, amelyek már ezen határozat elfogadásának napja előtt letétbe helyezték a Chile, Izland és a Bahamai Közösség 1980. évi Hágai Egyezményhez való csatlakozásának elfogadásáról szóló nyilatkozatot, nem helyeznek letétbe újabb nyilatkozatot.</w:t>
      </w:r>
    </w:p>
    <w:p>
      <w:pPr>
        <w:keepNext/>
        <w:spacing w:before="360"/>
        <w:jc w:val="center"/>
        <w:rPr>
          <w:rFonts w:eastAsia="Times New Roman"/>
          <w:i/>
          <w:noProof/>
          <w:szCs w:val="24"/>
        </w:rPr>
      </w:pPr>
      <w:r>
        <w:rPr>
          <w:i/>
          <w:noProof/>
        </w:rPr>
        <w:t>3. cikk</w:t>
      </w:r>
    </w:p>
    <w:p>
      <w:pPr>
        <w:jc w:val="left"/>
        <w:rPr>
          <w:rFonts w:eastAsia="Times New Roman"/>
          <w:noProof/>
          <w:szCs w:val="24"/>
        </w:rPr>
      </w:pPr>
      <w:r>
        <w:rPr>
          <w:noProof/>
        </w:rPr>
        <w:t xml:space="preserve">Ez a határozat az </w:t>
      </w:r>
      <w:r>
        <w:rPr>
          <w:i/>
          <w:noProof/>
        </w:rPr>
        <w:t>Európai Unió Hivatalos Lapjában</w:t>
      </w:r>
      <w:r>
        <w:rPr>
          <w:noProof/>
        </w:rPr>
        <w:t xml:space="preserve"> való kihirdetését követő napon lép hatályba.</w:t>
      </w:r>
    </w:p>
    <w:p>
      <w:pPr>
        <w:keepNext/>
        <w:spacing w:before="360"/>
        <w:jc w:val="center"/>
        <w:rPr>
          <w:rFonts w:eastAsia="Times New Roman"/>
          <w:i/>
          <w:noProof/>
          <w:szCs w:val="24"/>
        </w:rPr>
      </w:pPr>
      <w:r>
        <w:rPr>
          <w:i/>
          <w:noProof/>
        </w:rPr>
        <w:t>4. cikk</w:t>
      </w:r>
    </w:p>
    <w:p>
      <w:pPr>
        <w:keepNext/>
        <w:keepLines/>
        <w:jc w:val="left"/>
        <w:rPr>
          <w:rFonts w:eastAsia="Times New Roman"/>
          <w:noProof/>
          <w:szCs w:val="24"/>
        </w:rPr>
      </w:pPr>
      <w:r>
        <w:rPr>
          <w:noProof/>
        </w:rPr>
        <w:t>Ennek a határozatnak Románia a címzettje.</w:t>
      </w:r>
    </w:p>
    <w:p>
      <w:pPr>
        <w:pStyle w:val="Fait"/>
        <w:rPr>
          <w:noProof/>
        </w:rPr>
      </w:pPr>
      <w:r>
        <w:rPr>
          <w:noProof/>
        </w:rPr>
        <w:lastRenderedPageBreak/>
        <w:t>Kelt Brüsszelben, -án/-én.</w:t>
      </w:r>
    </w:p>
    <w:p>
      <w:pPr>
        <w:pStyle w:val="Institutionquisigne"/>
        <w:rPr>
          <w:noProof/>
        </w:rPr>
      </w:pPr>
      <w:r>
        <w:rPr>
          <w:noProof/>
        </w:rPr>
        <w:tab/>
        <w:t>a Tanács részéről</w:t>
      </w:r>
    </w:p>
    <w:p>
      <w:pPr>
        <w:pStyle w:val="Personnequisigne"/>
        <w:rPr>
          <w:noProof/>
        </w:rPr>
      </w:pPr>
      <w:r>
        <w:rPr>
          <w:noProof/>
        </w:rPr>
        <w:tab/>
        <w:t>az elnök</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HL L 338., 2003.12.23., 31. o.</w:t>
      </w:r>
    </w:p>
  </w:footnote>
  <w:footnote w:id="2">
    <w:p>
      <w:pPr>
        <w:pStyle w:val="FootnoteText"/>
      </w:pPr>
      <w:r>
        <w:rPr>
          <w:rStyle w:val="FootnoteReference"/>
        </w:rPr>
        <w:footnoteRef/>
      </w:r>
      <w:r>
        <w:tab/>
        <w:t xml:space="preserve">Tíz tanácsi határozatot már elfogadtak, amelyek felhatalmazzák a tagállamokat a következő országok 1980. évi egyezményhez való csatlakozásának elfogadására: </w:t>
      </w:r>
      <w:r>
        <w:rPr>
          <w:b/>
        </w:rPr>
        <w:t>Andorra</w:t>
      </w:r>
      <w:r>
        <w:t xml:space="preserve"> (a 2015. június 15-én elfogadott (EU) 2015/1023 tanácsi határozat); </w:t>
      </w:r>
      <w:r>
        <w:rPr>
          <w:b/>
        </w:rPr>
        <w:t>Seychelle-szigetek</w:t>
      </w:r>
      <w:r>
        <w:t xml:space="preserve"> (a 2015. december 10-én elfogadott (EU) 2015/2354 tanácsi határozat); </w:t>
      </w:r>
      <w:r>
        <w:rPr>
          <w:b/>
        </w:rPr>
        <w:t>Oroszország</w:t>
      </w:r>
      <w:r>
        <w:t xml:space="preserve"> (a 2015. december 10-én elfogadott (EU) 2015/2355 tanácsi határozat); </w:t>
      </w:r>
      <w:r>
        <w:rPr>
          <w:b/>
        </w:rPr>
        <w:t>Albánia</w:t>
      </w:r>
      <w:r>
        <w:t xml:space="preserve"> (a 2015. december 10-én elfogadott (EU) 2015/2356 tanácsi határozat); </w:t>
      </w:r>
      <w:r>
        <w:rPr>
          <w:b/>
        </w:rPr>
        <w:t>Szingapúr</w:t>
      </w:r>
      <w:r>
        <w:t xml:space="preserve"> (a 2015. június 15-én elfogadott (EU) 2015/1024 tanácsi határozat); </w:t>
      </w:r>
      <w:r>
        <w:rPr>
          <w:b/>
        </w:rPr>
        <w:t>Marokkó</w:t>
      </w:r>
      <w:r>
        <w:t xml:space="preserve"> (a 2015. december 10-én elfogadott (EU) 2015/2357 tanácsi határozat); </w:t>
      </w:r>
      <w:r>
        <w:rPr>
          <w:b/>
        </w:rPr>
        <w:t>Örményország</w:t>
      </w:r>
      <w:r>
        <w:t xml:space="preserve"> (a 2015. december 10-én elfogadott (EU) 2015/2358 tanácsi határozat); </w:t>
      </w:r>
      <w:r>
        <w:rPr>
          <w:b/>
        </w:rPr>
        <w:t>Koreai Köztársaság</w:t>
      </w:r>
      <w:r>
        <w:t xml:space="preserve"> (a 2016. december 8-án elfogadott (EU) 2016/2313 tanácsi határozat); </w:t>
      </w:r>
      <w:r>
        <w:rPr>
          <w:b/>
        </w:rPr>
        <w:t>Kazahsztán</w:t>
      </w:r>
      <w:r>
        <w:t xml:space="preserve"> (a 2016. december 8-án elfogadott (EU) 2016/2311 tanácsi határozat); valamint </w:t>
      </w:r>
      <w:r>
        <w:rPr>
          <w:b/>
        </w:rPr>
        <w:t>Peru</w:t>
      </w:r>
      <w:r>
        <w:t xml:space="preserve"> (a 2016. december 8-án elfogadott (EU) 2016/2312 tanácsi határozat). </w:t>
      </w:r>
    </w:p>
  </w:footnote>
  <w:footnote w:id="3">
    <w:p>
      <w:pPr>
        <w:pStyle w:val="FootnoteText"/>
      </w:pPr>
      <w:r>
        <w:rPr>
          <w:rStyle w:val="FootnoteReference"/>
        </w:rPr>
        <w:footnoteRef/>
      </w:r>
      <w:r>
        <w:tab/>
        <w:t>Az Európai Parlament és a Tanács 2008/52/EK irányelve (2008. május 21.) a polgári és kereskedelmi ügyekben végzett közvetítés egyes szempontjairól (HL L 136., 2008.5.24., 3. o.) .</w:t>
      </w:r>
    </w:p>
  </w:footnote>
  <w:footnote w:id="4">
    <w:p>
      <w:pPr>
        <w:pStyle w:val="FootnoteText"/>
      </w:pPr>
      <w:r>
        <w:rPr>
          <w:rStyle w:val="FootnoteReference"/>
        </w:rPr>
        <w:footnoteRef/>
      </w:r>
      <w:r>
        <w:tab/>
      </w:r>
      <w:hyperlink r:id="rId1">
        <w:r>
          <w:rPr>
            <w:rStyle w:val="Hyperlink"/>
          </w:rPr>
          <w:t>https://www.hcch.net/en/publications-and-studies/details4/?pid=5568&amp;dtid=3</w:t>
        </w:r>
      </w:hyperlink>
    </w:p>
  </w:footnote>
  <w:footnote w:id="5">
    <w:p>
      <w:pPr>
        <w:pStyle w:val="FootnoteText"/>
      </w:pPr>
      <w:r>
        <w:rPr>
          <w:rStyle w:val="FootnoteReference"/>
        </w:rPr>
        <w:footnoteRef/>
      </w:r>
      <w:r>
        <w:tab/>
        <w:t>HL C , ,  o.</w:t>
      </w:r>
    </w:p>
  </w:footnote>
  <w:footnote w:id="6">
    <w:p>
      <w:pPr>
        <w:pStyle w:val="FootnoteText"/>
      </w:pPr>
      <w:r>
        <w:rPr>
          <w:rStyle w:val="FootnoteReference"/>
        </w:rPr>
        <w:footnoteRef/>
      </w:r>
      <w:r>
        <w:tab/>
        <w:t>A Tanács 2201/2003/EK rendelete (2003. november 27.) a házassági ügyekben és a szülői felelősségre vonatkozó eljárásokban a joghatóságról, valamint a határozatok elismeréséről és végrehajtásáról, illetve az 1347/2000/EK rendelet hatályon kívül helyezéséről (HL L 338., 2003.12.23., 1. o.).</w:t>
      </w:r>
    </w:p>
  </w:footnote>
  <w:footnote w:id="7">
    <w:p>
      <w:pPr>
        <w:pStyle w:val="FootnoteText"/>
      </w:pPr>
      <w:r>
        <w:rPr>
          <w:rStyle w:val="FootnoteReference"/>
        </w:rPr>
        <w:sym w:font="Symbol" w:char="F02A"/>
      </w:r>
      <w:r>
        <w:tab/>
        <w:t>HL: kérjük, illesszék be e határozat számát.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0A4B03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324254A"/>
    <w:lvl w:ilvl="0">
      <w:start w:val="1"/>
      <w:numFmt w:val="decimal"/>
      <w:pStyle w:val="ListNumber3"/>
      <w:lvlText w:val="%1."/>
      <w:lvlJc w:val="left"/>
      <w:pPr>
        <w:tabs>
          <w:tab w:val="num" w:pos="926"/>
        </w:tabs>
        <w:ind w:left="926" w:hanging="360"/>
      </w:pPr>
    </w:lvl>
  </w:abstractNum>
  <w:abstractNum w:abstractNumId="2">
    <w:nsid w:val="FFFFFF7F"/>
    <w:multiLevelType w:val="singleLevel"/>
    <w:tmpl w:val="24924588"/>
    <w:lvl w:ilvl="0">
      <w:start w:val="1"/>
      <w:numFmt w:val="decimal"/>
      <w:pStyle w:val="ListNumber2"/>
      <w:lvlText w:val="%1."/>
      <w:lvlJc w:val="left"/>
      <w:pPr>
        <w:tabs>
          <w:tab w:val="num" w:pos="643"/>
        </w:tabs>
        <w:ind w:left="643" w:hanging="360"/>
      </w:pPr>
    </w:lvl>
  </w:abstractNum>
  <w:abstractNum w:abstractNumId="3">
    <w:nsid w:val="FFFFFF81"/>
    <w:multiLevelType w:val="singleLevel"/>
    <w:tmpl w:val="2836F07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92EC5A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E3877E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06A3F4C"/>
    <w:lvl w:ilvl="0">
      <w:start w:val="1"/>
      <w:numFmt w:val="decimal"/>
      <w:pStyle w:val="ListNumber"/>
      <w:lvlText w:val="%1."/>
      <w:lvlJc w:val="left"/>
      <w:pPr>
        <w:tabs>
          <w:tab w:val="num" w:pos="360"/>
        </w:tabs>
        <w:ind w:left="360" w:hanging="360"/>
      </w:pPr>
    </w:lvl>
  </w:abstractNum>
  <w:abstractNum w:abstractNumId="7">
    <w:nsid w:val="FFFFFF89"/>
    <w:multiLevelType w:val="singleLevel"/>
    <w:tmpl w:val="82B00FC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2"/>
  <w:displayBackgroundShape/>
  <w:hideSpellingErrors/>
  <w:hideGrammaticalErrors/>
  <w:attachedTemplate r:id="rId1"/>
  <w:revisionView w:markup="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7-03 09:57:13"/>
    <w:docVar w:name="DQCResult_Distribution" w:val="0;1"/>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56C0FF0DA12E4D0398ED82C93903D614"/>
    <w:docVar w:name="LW_CROSSREFERENCE" w:val="&lt;UNUSED&gt;"/>
    <w:docVar w:name="LW_DocType" w:val="COM"/>
    <w:docVar w:name="LW_EMISSION" w:val="2017.7.3."/>
    <w:docVar w:name="LW_EMISSION_ISODATE" w:val="2017-07-03"/>
    <w:docVar w:name="LW_EMISSION_LOCATION" w:val="BRX"/>
    <w:docVar w:name="LW_EMISSION_PREFIX" w:val="Brüsszel,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HU"/>
    <w:docVar w:name="LW_MARKING" w:val="&lt;UNUSED&gt;"/>
    <w:docVar w:name="LW_NOM.INST" w:val="EURÓPAI BIZOTTSÁG"/>
    <w:docVar w:name="LW_NOM.INST_JOINTDOC" w:val="&lt;EMPTY&gt;"/>
    <w:docVar w:name="LW_PART_NBR" w:val="1"/>
    <w:docVar w:name="LW_PART_NBR_TOTAL" w:val="1"/>
    <w:docVar w:name="LW_REF.II.NEW.CP" w:val="NLE"/>
    <w:docVar w:name="LW_REF.II.NEW.CP_NUMBER" w:val="0150"/>
    <w:docVar w:name="LW_REF.II.NEW.CP_YEAR" w:val="2017"/>
    <w:docVar w:name="LW_REF.INST.NEW" w:val="COM"/>
    <w:docVar w:name="LW_REF.INST.NEW_ADOPTED" w:val="final"/>
    <w:docVar w:name="LW_REF.INST.NEW_TEXT" w:val="(2017) 360"/>
    <w:docVar w:name="LW_REF.INTERNE" w:val="&lt;UNUSED&gt;"/>
    <w:docVar w:name="LW_SOUS.TITRE.OBJ.CP" w:val="&lt;UNUSED&gt;"/>
    <w:docVar w:name="LW_STATUT.CP" w:val="Javaslat"/>
    <w:docVar w:name="LW_SUPERTITRE" w:val="&lt;UNUSED&gt;"/>
    <w:docVar w:name="LW_TITRE.OBJ.CP" w:val="Romániának a Chile, Izland és a Bahamai Közösség a gyermekek jogellenes külföldre vitelének polgári jogi vonatkozásairól szóló, 1980. évi Hágai Egyezményhez való csatlakozásának az Európai Unió érdekében való elfogadására történ\u337? felhatalmazásáról"/>
    <w:docVar w:name="LW_TYPE.DOC.CP" w:val="A TANÁCS HATÁROZAT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cch.net/en/publications-and-studies/details4/?pid=5568&amp;dtid=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9</Pages>
  <Words>2260</Words>
  <Characters>15127</Characters>
  <Application>Microsoft Office Word</Application>
  <DocSecurity>0</DocSecurity>
  <Lines>260</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2017-05-08T12:36:00Z</cp:lastPrinted>
  <dcterms:created xsi:type="dcterms:W3CDTF">2017-06-28T10:15:00Z</dcterms:created>
  <dcterms:modified xsi:type="dcterms:W3CDTF">2017-07-03T07:57:00Z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