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0D" w:rsidRDefault="00843F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CD2DE6F3DF64334954624CA775764DF" style="width:450.6pt;height:334.8pt">
            <v:imagedata r:id="rId12" o:title=""/>
          </v:shape>
        </w:pict>
      </w:r>
    </w:p>
    <w:bookmarkEnd w:id="0"/>
    <w:p w:rsidR="000A250D" w:rsidRDefault="000A250D">
      <w:pPr>
        <w:rPr>
          <w:rFonts w:eastAsiaTheme="minorHAnsi"/>
          <w:noProof/>
        </w:rPr>
        <w:sectPr w:rsidR="000A250D">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0A250D" w:rsidRDefault="00843FC1">
      <w:pPr>
        <w:spacing w:after="0"/>
        <w:jc w:val="both"/>
        <w:rPr>
          <w:rFonts w:ascii="Times New Roman" w:hAnsi="Times New Roman" w:cs="Times New Roman"/>
          <w:b/>
          <w:noProof/>
          <w:sz w:val="24"/>
          <w:szCs w:val="24"/>
        </w:rPr>
      </w:pPr>
      <w:r>
        <w:rPr>
          <w:rFonts w:ascii="Times New Roman" w:hAnsi="Times New Roman"/>
          <w:b/>
          <w:noProof/>
          <w:sz w:val="24"/>
        </w:rPr>
        <w:lastRenderedPageBreak/>
        <w:t>1. Einleitung</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Das Europäische Strafregisterinformationssystem (ECRIS) wurde im April 2012 in </w:t>
      </w:r>
      <w:r>
        <w:rPr>
          <w:rFonts w:ascii="Times New Roman" w:hAnsi="Times New Roman"/>
          <w:noProof/>
          <w:sz w:val="24"/>
        </w:rPr>
        <w:t>Betrieb genommen. Seine Rechtsgrundlagen sind der Rahmenbeschluss 2009/315/JI des Rates vom 26. Februar 2009 über die Durchführung und den Inhalt des Austauschs von Informationen aus dem Strafregister zwischen den Mitgliedstaaten (im Folgenden „Rahmenbesch</w:t>
      </w:r>
      <w:r>
        <w:rPr>
          <w:rFonts w:ascii="Times New Roman" w:hAnsi="Times New Roman"/>
          <w:noProof/>
          <w:sz w:val="24"/>
        </w:rPr>
        <w:t>luss“)</w:t>
      </w:r>
      <w:r>
        <w:rPr>
          <w:rStyle w:val="FootnoteReference"/>
          <w:rFonts w:ascii="Times New Roman" w:hAnsi="Times New Roman"/>
          <w:noProof/>
          <w:sz w:val="24"/>
        </w:rPr>
        <w:footnoteReference w:id="2"/>
      </w:r>
      <w:r>
        <w:rPr>
          <w:rFonts w:ascii="Times New Roman" w:hAnsi="Times New Roman"/>
          <w:noProof/>
          <w:sz w:val="24"/>
        </w:rPr>
        <w:t xml:space="preserve"> und der Beschluss 2009/316/JI des Rates vom 6. April 2009 zur Einrichtung des Europäischen Strafregisterinformationssystems (ECRIS) gemäß Artikel 11 des Rahmenbeschlusses 2009/316/JI</w:t>
      </w:r>
      <w:r>
        <w:rPr>
          <w:rStyle w:val="FootnoteReference"/>
          <w:rFonts w:ascii="Times New Roman" w:hAnsi="Times New Roman"/>
          <w:noProof/>
          <w:sz w:val="24"/>
        </w:rPr>
        <w:footnoteReference w:id="3"/>
      </w:r>
      <w:r>
        <w:rPr>
          <w:rFonts w:ascii="Times New Roman" w:hAnsi="Times New Roman"/>
          <w:noProof/>
          <w:sz w:val="24"/>
        </w:rPr>
        <w:t xml:space="preserve">.  </w:t>
      </w:r>
    </w:p>
    <w:p w:rsidR="000A250D" w:rsidRDefault="00843FC1">
      <w:pPr>
        <w:jc w:val="both"/>
        <w:rPr>
          <w:rFonts w:ascii="Times New Roman" w:hAnsi="Times New Roman" w:cs="Times New Roman"/>
          <w:noProof/>
          <w:sz w:val="24"/>
          <w:szCs w:val="24"/>
        </w:rPr>
      </w:pPr>
      <w:r>
        <w:rPr>
          <w:rFonts w:ascii="Times New Roman" w:hAnsi="Times New Roman"/>
          <w:noProof/>
          <w:sz w:val="24"/>
        </w:rPr>
        <w:t>Mit dem Europäischen Strafregisterinformationssystem soll die</w:t>
      </w:r>
      <w:r>
        <w:rPr>
          <w:rFonts w:ascii="Times New Roman" w:hAnsi="Times New Roman"/>
          <w:noProof/>
          <w:sz w:val="24"/>
        </w:rPr>
        <w:t xml:space="preserve"> Sicherheit der Bürger im Europäischen Raum der Freiheit, der Sicherheit und des Rechts mittels eines effizienten Informationsaustauschs zwischen Mitgliedstaaten über frühere strafrechtliche Verurteilungen durch EU-Strafgerichte verbessert werden.</w:t>
      </w:r>
    </w:p>
    <w:p w:rsidR="000A250D" w:rsidRDefault="00843FC1">
      <w:pPr>
        <w:jc w:val="both"/>
        <w:rPr>
          <w:rFonts w:ascii="Times New Roman" w:hAnsi="Times New Roman" w:cs="Times New Roman"/>
          <w:noProof/>
          <w:sz w:val="24"/>
          <w:szCs w:val="24"/>
        </w:rPr>
      </w:pPr>
      <w:r>
        <w:rPr>
          <w:rFonts w:ascii="Times New Roman" w:hAnsi="Times New Roman"/>
          <w:noProof/>
          <w:sz w:val="24"/>
        </w:rPr>
        <w:t>Der vorl</w:t>
      </w:r>
      <w:r>
        <w:rPr>
          <w:rFonts w:ascii="Times New Roman" w:hAnsi="Times New Roman"/>
          <w:noProof/>
          <w:sz w:val="24"/>
        </w:rPr>
        <w:t>iegende Bericht ist der erste statistische Bericht der Kommission über den Austausch von Strafregisterinformationen zwischen den Mitgliedstaaten über ECRIS gemäß Artikel 7 des Beschlusses 2009/316/JI des Rates.</w:t>
      </w:r>
    </w:p>
    <w:p w:rsidR="000A250D" w:rsidRDefault="00843FC1">
      <w:pPr>
        <w:jc w:val="both"/>
        <w:rPr>
          <w:rFonts w:ascii="Times New Roman" w:hAnsi="Times New Roman" w:cs="Times New Roman"/>
          <w:noProof/>
          <w:sz w:val="24"/>
          <w:szCs w:val="24"/>
        </w:rPr>
      </w:pPr>
      <w:r>
        <w:rPr>
          <w:rFonts w:ascii="Times New Roman" w:hAnsi="Times New Roman"/>
          <w:b/>
          <w:noProof/>
          <w:sz w:val="24"/>
        </w:rPr>
        <w:t>1.1. Allgemeine Grundsätze des ECRIS-Systems</w:t>
      </w:r>
      <w:r>
        <w:rPr>
          <w:rFonts w:ascii="Times New Roman" w:hAnsi="Times New Roman"/>
          <w:noProof/>
          <w:sz w:val="24"/>
        </w:rPr>
        <w:t xml:space="preserve">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ECRIS basiert auf einer dezentralen Architektur, die die Mitgliedstaaten vernetzt und ihnen den effizienten Austausch von Strafregisterinformationen ermöglicht. </w:t>
      </w:r>
    </w:p>
    <w:p w:rsidR="000A250D" w:rsidRDefault="00843FC1">
      <w:pPr>
        <w:numPr>
          <w:ilvl w:val="0"/>
          <w:numId w:val="20"/>
        </w:numPr>
        <w:ind w:left="360"/>
        <w:jc w:val="both"/>
        <w:rPr>
          <w:rFonts w:ascii="Times New Roman" w:hAnsi="Times New Roman" w:cs="Times New Roman"/>
          <w:noProof/>
          <w:sz w:val="24"/>
          <w:szCs w:val="24"/>
        </w:rPr>
      </w:pPr>
      <w:r>
        <w:rPr>
          <w:rFonts w:ascii="Times New Roman" w:hAnsi="Times New Roman"/>
          <w:noProof/>
          <w:sz w:val="24"/>
        </w:rPr>
        <w:t>Für ECRIS benennt jeder Mitgliedstaat eine (oder mehrere) zentrale Behörde(n) als zentrale An</w:t>
      </w:r>
      <w:r>
        <w:rPr>
          <w:rFonts w:ascii="Times New Roman" w:hAnsi="Times New Roman"/>
          <w:noProof/>
          <w:sz w:val="24"/>
        </w:rPr>
        <w:t xml:space="preserve">sprechpartner und überträgt ihr alle Befugnisse im Rahmen des ECRIS-Rahmenbeschlusses. </w:t>
      </w:r>
    </w:p>
    <w:p w:rsidR="000A250D" w:rsidRDefault="00843FC1">
      <w:pPr>
        <w:numPr>
          <w:ilvl w:val="0"/>
          <w:numId w:val="20"/>
        </w:numPr>
        <w:ind w:left="360"/>
        <w:jc w:val="both"/>
        <w:rPr>
          <w:rFonts w:ascii="Times New Roman" w:hAnsi="Times New Roman" w:cs="Times New Roman"/>
          <w:noProof/>
          <w:sz w:val="24"/>
          <w:szCs w:val="24"/>
        </w:rPr>
      </w:pPr>
      <w:r>
        <w:rPr>
          <w:rFonts w:ascii="Times New Roman" w:hAnsi="Times New Roman"/>
          <w:noProof/>
          <w:sz w:val="24"/>
        </w:rPr>
        <w:t>Die Informationen werden elektronisch zwischen den zentralen Behörden der Mitgliedstaaten unter Verwendung eines zum Zweck einer effizienten und unmittelbar verständlic</w:t>
      </w:r>
      <w:r>
        <w:rPr>
          <w:rFonts w:ascii="Times New Roman" w:hAnsi="Times New Roman"/>
          <w:noProof/>
          <w:sz w:val="24"/>
        </w:rPr>
        <w:t xml:space="preserve">hen Kommunikation in allen EU-Amtssprachen standardisierten Formats innerhalb kurzer Fristen von 10 bzw. 20 Tagen ausgetauscht. </w:t>
      </w:r>
    </w:p>
    <w:p w:rsidR="000A250D" w:rsidRDefault="00843FC1">
      <w:pPr>
        <w:numPr>
          <w:ilvl w:val="0"/>
          <w:numId w:val="19"/>
        </w:numPr>
        <w:ind w:left="360"/>
        <w:jc w:val="both"/>
        <w:rPr>
          <w:rFonts w:ascii="Times New Roman" w:hAnsi="Times New Roman" w:cs="Times New Roman"/>
          <w:noProof/>
          <w:sz w:val="24"/>
          <w:szCs w:val="24"/>
        </w:rPr>
      </w:pPr>
      <w:r>
        <w:rPr>
          <w:rFonts w:ascii="Times New Roman" w:hAnsi="Times New Roman"/>
          <w:noProof/>
          <w:sz w:val="24"/>
        </w:rPr>
        <w:t xml:space="preserve">Ein Mitgliedstaat, der einen Bürger eines anderen Mitgliedstaats veurteilt hat, ist rechtlich verpflichtet, über ECRIS so </w:t>
      </w:r>
      <w:r>
        <w:rPr>
          <w:rFonts w:ascii="Times New Roman" w:hAnsi="Times New Roman"/>
          <w:noProof/>
          <w:sz w:val="24"/>
        </w:rPr>
        <w:t>schnell wie möglich Informationen im Zusammenhang mit der Verurteilung an den/ die Mitgliedstaat (en) weiterzuleiten, deren Staatsangehörigkeit die betreffende Person innehat, einschließlich der entsprechenden Aktualisierungen (Benachrichtigungen über neue</w:t>
      </w:r>
      <w:r>
        <w:rPr>
          <w:rFonts w:ascii="Times New Roman" w:hAnsi="Times New Roman"/>
          <w:noProof/>
          <w:sz w:val="24"/>
        </w:rPr>
        <w:t xml:space="preserve"> Verurteilungen und Aktualisierungen).</w:t>
      </w:r>
    </w:p>
    <w:p w:rsidR="000A250D" w:rsidRDefault="00843FC1">
      <w:pPr>
        <w:numPr>
          <w:ilvl w:val="0"/>
          <w:numId w:val="19"/>
        </w:numPr>
        <w:ind w:left="360"/>
        <w:jc w:val="both"/>
        <w:rPr>
          <w:rFonts w:ascii="Times New Roman" w:hAnsi="Times New Roman" w:cs="Times New Roman"/>
          <w:noProof/>
          <w:sz w:val="24"/>
          <w:szCs w:val="24"/>
        </w:rPr>
      </w:pPr>
      <w:r>
        <w:rPr>
          <w:rFonts w:ascii="Times New Roman" w:hAnsi="Times New Roman"/>
          <w:noProof/>
          <w:sz w:val="24"/>
        </w:rPr>
        <w:t>Der Mitgliedstaat der Staatsangehörigkeit des Bürgers führt so ein Zentralregister mit allen in der EU von Strafgerichten ergangenen Verurteilungen seiner Staatsangehörigen. Er ist verpflichtet, alle über ECRIS eingeh</w:t>
      </w:r>
      <w:r>
        <w:rPr>
          <w:rFonts w:ascii="Times New Roman" w:hAnsi="Times New Roman"/>
          <w:noProof/>
          <w:sz w:val="24"/>
        </w:rPr>
        <w:t>enden Informationen zu speichern und zu aktualisieren und auf Informationsersuchen vollständige Strafregisterinformationen über ECRIS bereitzustellen, wenn sie von einem anderen Mitgliedstaat angefordert werden (Informationsersuchen).</w:t>
      </w:r>
    </w:p>
    <w:p w:rsidR="000A250D" w:rsidRDefault="00843FC1">
      <w:pPr>
        <w:numPr>
          <w:ilvl w:val="0"/>
          <w:numId w:val="19"/>
        </w:numPr>
        <w:ind w:left="360"/>
        <w:jc w:val="both"/>
        <w:rPr>
          <w:rFonts w:ascii="Times New Roman" w:hAnsi="Times New Roman" w:cs="Times New Roman"/>
          <w:noProof/>
          <w:sz w:val="24"/>
          <w:szCs w:val="24"/>
        </w:rPr>
      </w:pPr>
      <w:r>
        <w:rPr>
          <w:rFonts w:ascii="Times New Roman" w:hAnsi="Times New Roman"/>
          <w:noProof/>
          <w:sz w:val="24"/>
        </w:rPr>
        <w:t>Strafregisterinformat</w:t>
      </w:r>
      <w:r>
        <w:rPr>
          <w:rFonts w:ascii="Times New Roman" w:hAnsi="Times New Roman"/>
          <w:noProof/>
          <w:sz w:val="24"/>
        </w:rPr>
        <w:t xml:space="preserve">ionen sind für die Zwecke von Strafverfahren auszutauschen und können, sofern es nach innerstaatlichem Recht zulässig ist, für andere Zwecke ausgetauscht werden, wie etwa Verwaltungsverfahren, Beschäftigung, Lizenzen usw. </w:t>
      </w:r>
    </w:p>
    <w:p w:rsidR="000A250D" w:rsidRDefault="00843FC1">
      <w:pPr>
        <w:numPr>
          <w:ilvl w:val="0"/>
          <w:numId w:val="19"/>
        </w:numPr>
        <w:ind w:left="360"/>
        <w:jc w:val="both"/>
        <w:rPr>
          <w:rFonts w:ascii="Times New Roman" w:hAnsi="Times New Roman" w:cs="Times New Roman"/>
          <w:noProof/>
          <w:sz w:val="24"/>
          <w:szCs w:val="24"/>
        </w:rPr>
      </w:pPr>
      <w:r>
        <w:rPr>
          <w:rFonts w:ascii="Times New Roman" w:hAnsi="Times New Roman"/>
          <w:noProof/>
          <w:sz w:val="24"/>
        </w:rPr>
        <w:t>Auch wenn ECRIS vor allem für den</w:t>
      </w:r>
      <w:r>
        <w:rPr>
          <w:rFonts w:ascii="Times New Roman" w:hAnsi="Times New Roman"/>
          <w:noProof/>
          <w:sz w:val="24"/>
        </w:rPr>
        <w:t xml:space="preserve"> Austausch von Informationen über EU-Bürger konzipiert wurde, ist es auch möglich, Informationen über Drittstaatsangehörige und </w:t>
      </w:r>
      <w:r>
        <w:rPr>
          <w:rFonts w:ascii="Times New Roman" w:hAnsi="Times New Roman"/>
          <w:noProof/>
          <w:sz w:val="24"/>
        </w:rPr>
        <w:lastRenderedPageBreak/>
        <w:t>Staatenlose (im Folgenden: Third Country Nationals – TCN) über dieses System auszutauschen. Zu diesem Zweck hat die Kommission z</w:t>
      </w:r>
      <w:r>
        <w:rPr>
          <w:rFonts w:ascii="Times New Roman" w:hAnsi="Times New Roman"/>
          <w:noProof/>
          <w:sz w:val="24"/>
        </w:rPr>
        <w:t>usammen mit diesem statischen Bericht ergänzende Rechtsvorschriften zur Schaffung eines zentralen ECRIS-TCN-Systems vorgeschlagen.</w:t>
      </w:r>
    </w:p>
    <w:p w:rsidR="000A250D" w:rsidRDefault="00843FC1">
      <w:pPr>
        <w:jc w:val="both"/>
        <w:rPr>
          <w:rFonts w:ascii="Times New Roman" w:hAnsi="Times New Roman" w:cs="Times New Roman"/>
          <w:noProof/>
          <w:sz w:val="24"/>
          <w:szCs w:val="24"/>
        </w:rPr>
      </w:pPr>
      <w:r>
        <w:rPr>
          <w:rFonts w:ascii="Times New Roman" w:hAnsi="Times New Roman"/>
          <w:noProof/>
          <w:sz w:val="24"/>
        </w:rPr>
        <w:t>Nach Maßgabe des Rahmenbeschlusses waren die Mitgliedstaaten zur rechtlichen und technischen Umsetzung des Systems, seiner el</w:t>
      </w:r>
      <w:r>
        <w:rPr>
          <w:rFonts w:ascii="Times New Roman" w:hAnsi="Times New Roman"/>
          <w:noProof/>
          <w:sz w:val="24"/>
        </w:rPr>
        <w:t xml:space="preserve">ektronischen Vernetzung und dem Beginn des Austauschs im Einklang mit den vorstehend erläuterten allgemeinen Grundsätzen ab dem 27. April 2012 verpflichtet. </w:t>
      </w:r>
      <w:bookmarkStart w:id="1" w:name="_Toc479267018"/>
    </w:p>
    <w:p w:rsidR="000A250D" w:rsidRDefault="00843FC1">
      <w:pPr>
        <w:jc w:val="both"/>
        <w:rPr>
          <w:rFonts w:ascii="Times New Roman" w:hAnsi="Times New Roman" w:cs="Times New Roman"/>
          <w:noProof/>
          <w:sz w:val="24"/>
          <w:szCs w:val="24"/>
        </w:rPr>
      </w:pPr>
      <w:r>
        <w:rPr>
          <w:rFonts w:ascii="Times New Roman" w:hAnsi="Times New Roman"/>
          <w:b/>
          <w:noProof/>
          <w:sz w:val="24"/>
        </w:rPr>
        <w:t>1.2. Rechtsgrundlagen von ECRIS und seiner Statistiken</w:t>
      </w:r>
      <w:bookmarkEnd w:id="1"/>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Die allgemeinen Grundsätze für den Informationsaustausch und die Arbeitsweise des Systems sind im Rahmenbeschluss 2009/315/JI geregelt.  </w:t>
      </w:r>
    </w:p>
    <w:p w:rsidR="000A250D" w:rsidRDefault="00843FC1">
      <w:pPr>
        <w:jc w:val="both"/>
        <w:rPr>
          <w:rFonts w:ascii="Times New Roman" w:hAnsi="Times New Roman" w:cs="Times New Roman"/>
          <w:noProof/>
          <w:sz w:val="24"/>
          <w:szCs w:val="24"/>
        </w:rPr>
      </w:pPr>
      <w:r>
        <w:rPr>
          <w:rFonts w:ascii="Times New Roman" w:hAnsi="Times New Roman"/>
          <w:noProof/>
          <w:sz w:val="24"/>
        </w:rPr>
        <w:t>Mit dem Beschluss 2009/316/JI des Rates wurde ein Standardformat für den elektronischen Austausch von Informationen au</w:t>
      </w:r>
      <w:r>
        <w:rPr>
          <w:rFonts w:ascii="Times New Roman" w:hAnsi="Times New Roman"/>
          <w:noProof/>
          <w:sz w:val="24"/>
        </w:rPr>
        <w:t xml:space="preserve">s den nationalen Strafregistern zwischen den Mitgliedstaaten geschaffen, insbesondere in Bezug auf Informationen über die der Verurteilung zugrunde liegende Straftat und über den Inhalt der Verurteilung selbst. Festgelegt wurden auch andere allgemeine und </w:t>
      </w:r>
      <w:r>
        <w:rPr>
          <w:rFonts w:ascii="Times New Roman" w:hAnsi="Times New Roman"/>
          <w:noProof/>
          <w:sz w:val="24"/>
        </w:rPr>
        <w:t xml:space="preserve">technische Durchführungsbestimmungen zur Organisation und Erleichterung des Informationsaustauschs. </w:t>
      </w:r>
    </w:p>
    <w:p w:rsidR="000A250D" w:rsidRDefault="00843FC1">
      <w:pPr>
        <w:jc w:val="both"/>
        <w:rPr>
          <w:rFonts w:ascii="Times New Roman" w:hAnsi="Times New Roman" w:cs="Times New Roman"/>
          <w:noProof/>
          <w:sz w:val="24"/>
          <w:szCs w:val="24"/>
        </w:rPr>
      </w:pPr>
      <w:r>
        <w:rPr>
          <w:rFonts w:ascii="Times New Roman" w:hAnsi="Times New Roman"/>
          <w:noProof/>
          <w:sz w:val="24"/>
        </w:rPr>
        <w:t>Der Rat hat ferner weitere detaillierte Vorschriften für die Funktionsweise des ECRIS-Systems, einschließlich seiner Business-Analyse, ausführlicher techni</w:t>
      </w:r>
      <w:r>
        <w:rPr>
          <w:rFonts w:ascii="Times New Roman" w:hAnsi="Times New Roman"/>
          <w:noProof/>
          <w:sz w:val="24"/>
        </w:rPr>
        <w:t>scher Spezifikationen und statistischer Informationen beschlossen</w:t>
      </w:r>
      <w:r>
        <w:rPr>
          <w:rStyle w:val="FootnoteReference"/>
          <w:rFonts w:ascii="Times New Roman" w:hAnsi="Times New Roman"/>
          <w:noProof/>
          <w:sz w:val="24"/>
        </w:rPr>
        <w:footnoteReference w:id="4"/>
      </w:r>
      <w:r>
        <w:rPr>
          <w:noProof/>
        </w:rPr>
        <w:t>.</w:t>
      </w:r>
    </w:p>
    <w:p w:rsidR="000A250D" w:rsidRDefault="00843FC1">
      <w:pPr>
        <w:jc w:val="both"/>
        <w:rPr>
          <w:rFonts w:ascii="Times New Roman" w:hAnsi="Times New Roman" w:cs="Times New Roman"/>
          <w:noProof/>
          <w:sz w:val="24"/>
          <w:szCs w:val="24"/>
        </w:rPr>
      </w:pPr>
      <w:r>
        <w:rPr>
          <w:rFonts w:ascii="Times New Roman" w:hAnsi="Times New Roman"/>
          <w:noProof/>
          <w:sz w:val="24"/>
        </w:rPr>
        <w:t>Im Einklang mit diesen Vorkehrungen werden nicht personenbezogene statistische Daten automatisch über das System erhoben, um die Funktionsweise und Wirksamkeit von ECRIS</w:t>
      </w:r>
      <w:bookmarkStart w:id="2" w:name="_Hlk480975838"/>
      <w:r>
        <w:rPr>
          <w:rFonts w:ascii="Times New Roman" w:hAnsi="Times New Roman"/>
          <w:noProof/>
          <w:sz w:val="24"/>
        </w:rPr>
        <w:t xml:space="preserve"> sowie die Konformi</w:t>
      </w:r>
      <w:r>
        <w:rPr>
          <w:rFonts w:ascii="Times New Roman" w:hAnsi="Times New Roman"/>
          <w:noProof/>
          <w:sz w:val="24"/>
        </w:rPr>
        <w:t xml:space="preserve">tät des Informationsaustauschs seitens der Mitgliedstaaten mit dem ECRIS-Rechtsrahmen zu </w:t>
      </w:r>
      <w:bookmarkEnd w:id="2"/>
      <w:r>
        <w:rPr>
          <w:rFonts w:ascii="Times New Roman" w:hAnsi="Times New Roman"/>
          <w:noProof/>
          <w:sz w:val="24"/>
        </w:rPr>
        <w:t xml:space="preserve">kontrollieren. </w:t>
      </w:r>
    </w:p>
    <w:p w:rsidR="000A250D" w:rsidRDefault="00843FC1">
      <w:pPr>
        <w:jc w:val="both"/>
        <w:rPr>
          <w:rFonts w:ascii="Times New Roman" w:hAnsi="Times New Roman" w:cs="Times New Roman"/>
          <w:noProof/>
          <w:sz w:val="24"/>
          <w:szCs w:val="24"/>
        </w:rPr>
      </w:pPr>
      <w:r>
        <w:rPr>
          <w:rFonts w:ascii="Times New Roman" w:hAnsi="Times New Roman"/>
          <w:noProof/>
          <w:sz w:val="24"/>
        </w:rPr>
        <w:t>Die detaillierten technischen Spezifikationen von ECRIS umfassen derzeit eine Liste von 225 Indikatoren für die ECRIS-Kontrolle. Diese Statistiken werd</w:t>
      </w:r>
      <w:r>
        <w:rPr>
          <w:rFonts w:ascii="Times New Roman" w:hAnsi="Times New Roman"/>
          <w:noProof/>
          <w:sz w:val="24"/>
        </w:rPr>
        <w:t xml:space="preserve">en automatisch über das System auf nationaler Ebene erhoben und der Europäischen Kommission von den Mitgliedstaaten monatlich zugeleitet. </w:t>
      </w:r>
    </w:p>
    <w:p w:rsidR="000A250D" w:rsidRDefault="00843FC1">
      <w:pPr>
        <w:jc w:val="both"/>
        <w:rPr>
          <w:rFonts w:ascii="Times New Roman" w:hAnsi="Times New Roman" w:cs="Times New Roman"/>
          <w:noProof/>
          <w:sz w:val="24"/>
          <w:szCs w:val="24"/>
        </w:rPr>
      </w:pPr>
      <w:r>
        <w:rPr>
          <w:rFonts w:ascii="Times New Roman" w:hAnsi="Times New Roman"/>
          <w:noProof/>
          <w:sz w:val="24"/>
        </w:rPr>
        <w:t>In Artikel 7 des Beschlusses 2009/316/JI des Rates heißt es:</w:t>
      </w:r>
    </w:p>
    <w:p w:rsidR="000A250D" w:rsidRDefault="00843FC1">
      <w:pPr>
        <w:jc w:val="both"/>
        <w:rPr>
          <w:rFonts w:ascii="Times New Roman" w:hAnsi="Times New Roman" w:cs="Times New Roman"/>
          <w:i/>
          <w:noProof/>
          <w:sz w:val="24"/>
          <w:szCs w:val="24"/>
        </w:rPr>
      </w:pPr>
      <w:r>
        <w:rPr>
          <w:rFonts w:ascii="Times New Roman" w:hAnsi="Times New Roman"/>
          <w:i/>
          <w:noProof/>
          <w:sz w:val="24"/>
        </w:rPr>
        <w:t>„Die Kommissionsdienststellen veröffentlichen regelmäßig</w:t>
      </w:r>
      <w:r>
        <w:rPr>
          <w:rFonts w:ascii="Times New Roman" w:hAnsi="Times New Roman"/>
          <w:i/>
          <w:noProof/>
          <w:sz w:val="24"/>
        </w:rPr>
        <w:t xml:space="preserve"> einen Bericht über den Austausch von Strafregisterinformationen über ECRIS unter Berücksichtigung insbesondere der in Artikel 6 Absatz 2 Buchstabe b Ziffer i genannten Statistiken. Dieser Bericht wird erstmals ein Jahr nach Vorlage des Berichts gemäß Arti</w:t>
      </w:r>
      <w:r>
        <w:rPr>
          <w:rFonts w:ascii="Times New Roman" w:hAnsi="Times New Roman"/>
          <w:i/>
          <w:noProof/>
          <w:sz w:val="24"/>
        </w:rPr>
        <w:t>kel 13 Absatz 3 des Rahmenbeschlusses 2009/315/JI veröffentlicht.“</w:t>
      </w:r>
    </w:p>
    <w:p w:rsidR="000A250D" w:rsidRDefault="00843FC1">
      <w:pPr>
        <w:jc w:val="both"/>
        <w:rPr>
          <w:rFonts w:ascii="Times New Roman" w:hAnsi="Times New Roman" w:cs="Times New Roman"/>
          <w:noProof/>
          <w:sz w:val="24"/>
          <w:szCs w:val="24"/>
        </w:rPr>
      </w:pPr>
      <w:r>
        <w:rPr>
          <w:rFonts w:ascii="Times New Roman" w:hAnsi="Times New Roman"/>
          <w:noProof/>
          <w:sz w:val="24"/>
        </w:rPr>
        <w:t>Der Bericht über die Umsetzung des Rahmenbeschlusses 2009/315/JI des Rates wurde am 19. Januar 2016 angenommen</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Die Kommission beschloss, ihren ersten statistischen Bericht gemäß Artikel 7</w:t>
      </w:r>
      <w:r>
        <w:rPr>
          <w:rFonts w:ascii="Times New Roman" w:hAnsi="Times New Roman"/>
          <w:noProof/>
          <w:sz w:val="24"/>
        </w:rPr>
        <w:t xml:space="preserve"> als Paket zusammen mit einem Vorschlag für eine Verordnung zur Einrichtung des Europäischen Strafregisterinformationssystems (ECRIS) für Drittstaatsangehörige (ECRIS-TCN)</w:t>
      </w:r>
      <w:r>
        <w:rPr>
          <w:rStyle w:val="FootnoteReference"/>
          <w:rFonts w:ascii="Times New Roman" w:hAnsi="Times New Roman"/>
          <w:noProof/>
          <w:sz w:val="24"/>
        </w:rPr>
        <w:footnoteReference w:id="6"/>
      </w:r>
      <w:r>
        <w:rPr>
          <w:rFonts w:ascii="Times New Roman" w:hAnsi="Times New Roman"/>
          <w:noProof/>
          <w:sz w:val="24"/>
        </w:rPr>
        <w:t xml:space="preserve"> vorzulegen, das das derzeitige ECRIS-System ergänzen wird.</w:t>
      </w:r>
    </w:p>
    <w:p w:rsidR="000A250D" w:rsidRDefault="00843FC1">
      <w:pPr>
        <w:jc w:val="both"/>
        <w:rPr>
          <w:rFonts w:ascii="Times New Roman" w:hAnsi="Times New Roman"/>
          <w:noProof/>
          <w:sz w:val="24"/>
        </w:rPr>
      </w:pPr>
      <w:r>
        <w:rPr>
          <w:rFonts w:ascii="Times New Roman" w:hAnsi="Times New Roman"/>
          <w:noProof/>
          <w:sz w:val="24"/>
        </w:rPr>
        <w:t xml:space="preserve">Der vorliegende Bericht </w:t>
      </w:r>
      <w:r>
        <w:rPr>
          <w:rFonts w:ascii="Times New Roman" w:hAnsi="Times New Roman"/>
          <w:noProof/>
          <w:sz w:val="24"/>
        </w:rPr>
        <w:t xml:space="preserve">bietet einen Überblick über den Einsatz und die praktische Handhabung von ECRIS seit seiner Inbetriebnahme von April 2012 bis zum 31. Dezember 2016 mit Schwerpunkt auf dem Jahr 2016. Ziel des Berichts ist es, die Übereinstimmung des Informationsaustauschs </w:t>
      </w:r>
      <w:r>
        <w:rPr>
          <w:rFonts w:ascii="Times New Roman" w:hAnsi="Times New Roman"/>
          <w:noProof/>
          <w:sz w:val="24"/>
        </w:rPr>
        <w:t xml:space="preserve">der Mitgliedstaaten mit dem ECRIS-Rechtsrahmen darzulegen und etwaige Probleme in Bezug auf die Effizienz des Systems zwecks ihrer Lösung auszumachen. </w:t>
      </w:r>
    </w:p>
    <w:p w:rsidR="000A250D" w:rsidRDefault="00843FC1">
      <w:pPr>
        <w:jc w:val="both"/>
        <w:rPr>
          <w:rFonts w:ascii="Times New Roman" w:hAnsi="Times New Roman" w:cs="Times New Roman"/>
          <w:noProof/>
          <w:sz w:val="24"/>
          <w:szCs w:val="24"/>
        </w:rPr>
      </w:pPr>
      <w:r>
        <w:rPr>
          <w:rFonts w:ascii="Times New Roman" w:hAnsi="Times New Roman"/>
          <w:noProof/>
          <w:sz w:val="24"/>
        </w:rPr>
        <w:t>Während die Statistiken einen allgemeinen Überblick über den gesamten Fünfjahreszeitraum des ECRIS-Betri</w:t>
      </w:r>
      <w:r>
        <w:rPr>
          <w:rFonts w:ascii="Times New Roman" w:hAnsi="Times New Roman"/>
          <w:noProof/>
          <w:sz w:val="24"/>
        </w:rPr>
        <w:t>ebs geben, decken die vergleichbaren statistischen Daten zu allen Mitgliedstaaten sowie die statistischen Tabellen der einzelnen Mitgliedstaaten in Abschnitt 2 des Anhangs lediglich den ECRIS-Informationsaustausch in den Jahren 2014-2016 ab. Die Auswahl de</w:t>
      </w:r>
      <w:r>
        <w:rPr>
          <w:rFonts w:ascii="Times New Roman" w:hAnsi="Times New Roman"/>
          <w:noProof/>
          <w:sz w:val="24"/>
        </w:rPr>
        <w:t>r letzten drei Jahre des ECRIS-Betriebs für diese Analyse basiert auf dem Umstand, dass ab 2014 eine erhebliche Anzahl von Mitgliedstaaten (25) miteinander verbunden war. Ab diesem Zeitpunkt kann davon ausgegangen werden, dass die Statistiken einen repräse</w:t>
      </w:r>
      <w:r>
        <w:rPr>
          <w:rFonts w:ascii="Times New Roman" w:hAnsi="Times New Roman"/>
          <w:noProof/>
          <w:sz w:val="24"/>
        </w:rPr>
        <w:t>ntativen Überblick über die tatsächliche Lage verschaffen.</w:t>
      </w:r>
    </w:p>
    <w:p w:rsidR="000A250D" w:rsidRDefault="00843FC1">
      <w:pPr>
        <w:jc w:val="both"/>
        <w:rPr>
          <w:rFonts w:ascii="Times New Roman" w:hAnsi="Times New Roman" w:cs="Times New Roman"/>
          <w:noProof/>
          <w:sz w:val="24"/>
          <w:szCs w:val="24"/>
        </w:rPr>
      </w:pPr>
      <w:r>
        <w:rPr>
          <w:rFonts w:ascii="Times New Roman" w:hAnsi="Times New Roman"/>
          <w:noProof/>
          <w:sz w:val="24"/>
        </w:rPr>
        <w:t>Der Bericht basiert auf statistischen, automatisch vom System erstellten Daten, die die Mitgliedstaaten an die Kommission übermittelt haben. Bei den 225 statistischen Indikatoren für ECRIS wurde ei</w:t>
      </w:r>
      <w:r>
        <w:rPr>
          <w:rFonts w:ascii="Times New Roman" w:hAnsi="Times New Roman"/>
          <w:noProof/>
          <w:sz w:val="24"/>
        </w:rPr>
        <w:t xml:space="preserve">ne Auswahl getroffen, um nur die relevantesten und aussagekräftigsten statistischen Informationen zu veröffentlichen. </w:t>
      </w:r>
    </w:p>
    <w:p w:rsidR="000A250D" w:rsidRDefault="00843FC1">
      <w:pPr>
        <w:jc w:val="both"/>
        <w:rPr>
          <w:rFonts w:ascii="Times New Roman" w:hAnsi="Times New Roman" w:cs="Times New Roman"/>
          <w:noProof/>
          <w:sz w:val="24"/>
          <w:szCs w:val="24"/>
        </w:rPr>
      </w:pPr>
      <w:r>
        <w:rPr>
          <w:rFonts w:ascii="Times New Roman" w:hAnsi="Times New Roman"/>
          <w:noProof/>
          <w:sz w:val="24"/>
        </w:rPr>
        <w:t>Darüber hinaus waren die Mitgliedstaaten auch aufgefordert, statistische Angaben zur Anzahl der Verurteilungen von Staatsangehörigen ande</w:t>
      </w:r>
      <w:r>
        <w:rPr>
          <w:rFonts w:ascii="Times New Roman" w:hAnsi="Times New Roman"/>
          <w:noProof/>
          <w:sz w:val="24"/>
        </w:rPr>
        <w:t xml:space="preserve">rer Mitgliedstaaten (EU-Ausländer) in ihrem Hoheitsgebiet zu machen, um einen Überblick über die Durchführung des Mitteilungsverfahrens zu geben. </w:t>
      </w:r>
    </w:p>
    <w:p w:rsidR="000A250D" w:rsidRDefault="00843FC1">
      <w:pPr>
        <w:jc w:val="both"/>
        <w:rPr>
          <w:rFonts w:ascii="Times New Roman" w:hAnsi="Times New Roman" w:cs="Times New Roman"/>
          <w:noProof/>
          <w:sz w:val="24"/>
          <w:szCs w:val="24"/>
        </w:rPr>
      </w:pPr>
      <w:r>
        <w:rPr>
          <w:rFonts w:ascii="Times New Roman" w:hAnsi="Times New Roman"/>
          <w:noProof/>
          <w:sz w:val="24"/>
        </w:rPr>
        <w:t>Der Bericht enthält Verurteilungsdaten aus 24 Mitgliedstaaten. Die Kommission erhielt keine Daten aus Bulgari</w:t>
      </w:r>
      <w:r>
        <w:rPr>
          <w:rFonts w:ascii="Times New Roman" w:hAnsi="Times New Roman"/>
          <w:noProof/>
          <w:sz w:val="24"/>
        </w:rPr>
        <w:t xml:space="preserve">en, Zypern, Dänemark und Slowenien. </w:t>
      </w:r>
    </w:p>
    <w:p w:rsidR="000A250D" w:rsidRDefault="00843FC1">
      <w:pPr>
        <w:jc w:val="both"/>
        <w:rPr>
          <w:rFonts w:ascii="Times New Roman" w:hAnsi="Times New Roman" w:cs="Times New Roman"/>
          <w:b/>
          <w:smallCaps/>
          <w:noProof/>
          <w:color w:val="000080"/>
          <w:kern w:val="28"/>
          <w:sz w:val="24"/>
          <w:szCs w:val="24"/>
        </w:rPr>
      </w:pPr>
      <w:r>
        <w:rPr>
          <w:rFonts w:ascii="Times New Roman" w:hAnsi="Times New Roman"/>
          <w:b/>
          <w:noProof/>
          <w:sz w:val="24"/>
        </w:rPr>
        <w:t>2. Haupterkenntnisse</w:t>
      </w:r>
    </w:p>
    <w:p w:rsidR="000A250D" w:rsidRDefault="00843FC1">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rPr>
        <w:t>Alle 28 Mitgliedstaaten sind beim ECRIS aktiv; allerdings fehlen 24 % der möglichen Verbindungen.</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Nach fünf Jahren seit der Inbetriebnahme von ECRIS </w:t>
      </w:r>
      <w:r>
        <w:rPr>
          <w:rFonts w:ascii="Times New Roman" w:hAnsi="Times New Roman"/>
          <w:b/>
          <w:noProof/>
          <w:sz w:val="24"/>
        </w:rPr>
        <w:t xml:space="preserve"> sind alle 28 Mitgliedstaaten</w:t>
      </w:r>
      <w:r>
        <w:rPr>
          <w:rFonts w:ascii="Times New Roman" w:hAnsi="Times New Roman"/>
          <w:noProof/>
          <w:sz w:val="24"/>
        </w:rPr>
        <w:t xml:space="preserve"> derzeit </w:t>
      </w:r>
      <w:r>
        <w:rPr>
          <w:rFonts w:ascii="Times New Roman" w:hAnsi="Times New Roman"/>
          <w:b/>
          <w:noProof/>
          <w:sz w:val="24"/>
        </w:rPr>
        <w:t>über ECRIS</w:t>
      </w:r>
      <w:r>
        <w:rPr>
          <w:rFonts w:ascii="Times New Roman" w:hAnsi="Times New Roman"/>
          <w:noProof/>
          <w:sz w:val="24"/>
        </w:rPr>
        <w:t xml:space="preserve"> </w:t>
      </w:r>
      <w:r>
        <w:rPr>
          <w:rFonts w:ascii="Times New Roman" w:hAnsi="Times New Roman"/>
          <w:noProof/>
          <w:sz w:val="24"/>
        </w:rPr>
        <w:t>verbunden. Slowenien und Portugal nehmen seit Januar 2017 am Informationsaustausch über das System teil</w:t>
      </w:r>
      <w:r>
        <w:rPr>
          <w:rFonts w:ascii="Times New Roman" w:hAnsi="Times New Roman"/>
          <w:b/>
          <w:noProof/>
          <w:sz w:val="24"/>
        </w:rPr>
        <w:t>.</w:t>
      </w:r>
      <w:r>
        <w:rPr>
          <w:rFonts w:ascii="Times New Roman" w:hAnsi="Times New Roman"/>
          <w:noProof/>
          <w:sz w:val="24"/>
        </w:rPr>
        <w:t xml:space="preserve"> Allerdings </w:t>
      </w:r>
      <w:r>
        <w:rPr>
          <w:rFonts w:ascii="Times New Roman" w:hAnsi="Times New Roman"/>
          <w:b/>
          <w:noProof/>
          <w:sz w:val="24"/>
        </w:rPr>
        <w:t>tauscht keiner der Mitgliedstaaten Informationen über ECRIS mit allen anderen 27 Mitgliedstaaten aus.</w:t>
      </w:r>
      <w:r>
        <w:rPr>
          <w:rFonts w:ascii="Times New Roman" w:hAnsi="Times New Roman"/>
          <w:noProof/>
          <w:sz w:val="24"/>
        </w:rPr>
        <w:t xml:space="preserve"> Ende 2016 waren </w:t>
      </w:r>
      <w:r>
        <w:rPr>
          <w:rFonts w:ascii="Times New Roman" w:hAnsi="Times New Roman"/>
          <w:b/>
          <w:noProof/>
          <w:sz w:val="24"/>
        </w:rPr>
        <w:t>nur 76 % der Gesamtzah</w:t>
      </w:r>
      <w:r>
        <w:rPr>
          <w:rFonts w:ascii="Times New Roman" w:hAnsi="Times New Roman"/>
          <w:b/>
          <w:noProof/>
          <w:sz w:val="24"/>
        </w:rPr>
        <w:t>l der möglichen Verbindungen</w:t>
      </w:r>
      <w:r>
        <w:rPr>
          <w:rFonts w:ascii="Times New Roman" w:hAnsi="Times New Roman"/>
          <w:noProof/>
          <w:sz w:val="24"/>
        </w:rPr>
        <w:t xml:space="preserve"> eingerichtet. Das eigentliche Ziel – dass jeder Mitgliedstaat über ECRIS verbunden ist und mit sämtlichen anderen Mitgliedstaaten Informationen austauscht – ist daher noch nicht erreicht.</w:t>
      </w:r>
    </w:p>
    <w:p w:rsidR="000A250D" w:rsidRDefault="00843FC1">
      <w:pPr>
        <w:numPr>
          <w:ilvl w:val="0"/>
          <w:numId w:val="27"/>
        </w:numPr>
        <w:ind w:left="714" w:hanging="357"/>
        <w:jc w:val="both"/>
        <w:rPr>
          <w:rFonts w:ascii="Times New Roman" w:hAnsi="Times New Roman"/>
          <w:b/>
          <w:noProof/>
          <w:sz w:val="24"/>
        </w:rPr>
      </w:pPr>
      <w:r>
        <w:rPr>
          <w:rFonts w:ascii="Times New Roman" w:hAnsi="Times New Roman"/>
          <w:b/>
          <w:noProof/>
          <w:sz w:val="24"/>
        </w:rPr>
        <w:t xml:space="preserve">Die Zahl der ausgetauschten Meldungen </w:t>
      </w:r>
      <w:r>
        <w:rPr>
          <w:rFonts w:ascii="Times New Roman" w:hAnsi="Times New Roman"/>
          <w:b/>
          <w:noProof/>
          <w:sz w:val="24"/>
        </w:rPr>
        <w:t>lag 2016 bei 2 Millionen.</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Von den 300 000 ausgetauschten Meldungen aus allen verbundenen Mitgliedstaaten bis Ende 2012 stieg die Zahl auf fast </w:t>
      </w:r>
      <w:r>
        <w:rPr>
          <w:rFonts w:ascii="Times New Roman" w:hAnsi="Times New Roman"/>
          <w:b/>
          <w:noProof/>
          <w:sz w:val="24"/>
        </w:rPr>
        <w:t>2 Mio. im Jahr 2016</w:t>
      </w:r>
      <w:r>
        <w:rPr>
          <w:rFonts w:ascii="Times New Roman" w:hAnsi="Times New Roman"/>
          <w:noProof/>
          <w:sz w:val="24"/>
        </w:rPr>
        <w:t xml:space="preserve"> mit </w:t>
      </w:r>
      <w:r>
        <w:rPr>
          <w:rFonts w:ascii="Times New Roman" w:hAnsi="Times New Roman"/>
          <w:b/>
          <w:noProof/>
          <w:sz w:val="24"/>
        </w:rPr>
        <w:t>durchschnittlich 165 000 Meldungen pro Monat</w:t>
      </w:r>
      <w:r>
        <w:rPr>
          <w:rFonts w:ascii="Times New Roman" w:hAnsi="Times New Roman"/>
          <w:noProof/>
          <w:sz w:val="24"/>
        </w:rPr>
        <w:t>. Derzeit machen die</w:t>
      </w:r>
      <w:r>
        <w:rPr>
          <w:rFonts w:ascii="Times New Roman" w:hAnsi="Times New Roman"/>
          <w:b/>
          <w:noProof/>
          <w:sz w:val="24"/>
        </w:rPr>
        <w:t xml:space="preserve"> jährlichen Mitteilungen </w:t>
      </w:r>
      <w:r>
        <w:rPr>
          <w:rFonts w:ascii="Times New Roman" w:hAnsi="Times New Roman"/>
          <w:b/>
          <w:noProof/>
          <w:sz w:val="24"/>
        </w:rPr>
        <w:t>über neue Verurteilungen, Ersuchen und Antworten auf</w:t>
      </w:r>
      <w:r>
        <w:rPr>
          <w:rFonts w:ascii="Times New Roman" w:hAnsi="Times New Roman"/>
          <w:noProof/>
          <w:sz w:val="24"/>
        </w:rPr>
        <w:t xml:space="preserve"> </w:t>
      </w:r>
      <w:r>
        <w:rPr>
          <w:rFonts w:ascii="Times New Roman" w:hAnsi="Times New Roman"/>
          <w:b/>
          <w:noProof/>
          <w:sz w:val="24"/>
        </w:rPr>
        <w:t xml:space="preserve"> Ersuchen</w:t>
      </w:r>
      <w:r>
        <w:rPr>
          <w:rFonts w:ascii="Times New Roman" w:hAnsi="Times New Roman"/>
          <w:noProof/>
          <w:sz w:val="24"/>
        </w:rPr>
        <w:t xml:space="preserve"> rund </w:t>
      </w:r>
      <w:r>
        <w:rPr>
          <w:rFonts w:ascii="Times New Roman" w:hAnsi="Times New Roman"/>
          <w:b/>
          <w:noProof/>
          <w:sz w:val="24"/>
        </w:rPr>
        <w:t>350 000</w:t>
      </w:r>
      <w:r>
        <w:rPr>
          <w:rFonts w:ascii="Times New Roman" w:hAnsi="Times New Roman"/>
          <w:noProof/>
          <w:sz w:val="24"/>
        </w:rPr>
        <w:t xml:space="preserve"> pro</w:t>
      </w:r>
      <w:r>
        <w:rPr>
          <w:rFonts w:ascii="Times New Roman" w:hAnsi="Times New Roman"/>
          <w:b/>
          <w:noProof/>
          <w:sz w:val="24"/>
        </w:rPr>
        <w:t xml:space="preserve"> </w:t>
      </w:r>
      <w:r>
        <w:rPr>
          <w:rFonts w:ascii="Times New Roman" w:hAnsi="Times New Roman"/>
          <w:noProof/>
          <w:sz w:val="24"/>
        </w:rPr>
        <w:t>Kategorie aus</w:t>
      </w:r>
      <w:r>
        <w:rPr>
          <w:rFonts w:ascii="Times New Roman" w:hAnsi="Times New Roman"/>
          <w:b/>
          <w:noProof/>
          <w:sz w:val="24"/>
        </w:rPr>
        <w:t>.</w:t>
      </w:r>
      <w:r>
        <w:rPr>
          <w:rFonts w:ascii="Times New Roman" w:hAnsi="Times New Roman"/>
          <w:noProof/>
          <w:sz w:val="24"/>
        </w:rPr>
        <w:t xml:space="preserve"> Die aktivsten Mitgliedstaaten in Bezug auf die Gesamtzahl dieser drei Arten von Meldungen 2016 waren: DE (24,9 %) gefolgt vom VK (13,7 %), IT (7,7 %), PL (6,6 %)</w:t>
      </w:r>
      <w:r>
        <w:rPr>
          <w:rFonts w:ascii="Times New Roman" w:hAnsi="Times New Roman"/>
          <w:noProof/>
          <w:sz w:val="24"/>
        </w:rPr>
        <w:t xml:space="preserve"> und RO (5,5 %).</w:t>
      </w:r>
    </w:p>
    <w:p w:rsidR="000A250D" w:rsidRDefault="00843FC1">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 xml:space="preserve">Eine von drei Antworten umfasst frühere strafrechtliche Verurteilungen.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Seit dem ersten Jahr des ECRIS-Betriebs wurden </w:t>
      </w:r>
      <w:r>
        <w:rPr>
          <w:rFonts w:ascii="Times New Roman" w:hAnsi="Times New Roman"/>
          <w:b/>
          <w:noProof/>
          <w:sz w:val="24"/>
        </w:rPr>
        <w:t xml:space="preserve">31 % der Informationsersuchen über frühere Verurteilungen einer Person mit Angaben über frühere strafrechtliche </w:t>
      </w:r>
      <w:r>
        <w:rPr>
          <w:rFonts w:ascii="Times New Roman" w:hAnsi="Times New Roman"/>
          <w:b/>
          <w:noProof/>
          <w:sz w:val="24"/>
        </w:rPr>
        <w:t>Verurteilungen beantwortet.</w:t>
      </w:r>
      <w:r>
        <w:rPr>
          <w:rFonts w:ascii="Times New Roman" w:hAnsi="Times New Roman"/>
          <w:noProof/>
          <w:sz w:val="24"/>
        </w:rPr>
        <w:t xml:space="preserve"> Dies bedeutet, dass die betreffende Person bei 31 % der Ersuchen bereits ein- oder mehrmals in einem anderen EU-Mitgliedstaat verurteilt wurde. Damit wird der hohe Stellenwert von ECRIS als Instrument für den Erhalt von Informat</w:t>
      </w:r>
      <w:r>
        <w:rPr>
          <w:rFonts w:ascii="Times New Roman" w:hAnsi="Times New Roman"/>
          <w:noProof/>
          <w:sz w:val="24"/>
        </w:rPr>
        <w:t xml:space="preserve">ionen aus dem Strafregister deutlich. </w:t>
      </w:r>
      <w:r>
        <w:rPr>
          <w:rFonts w:ascii="Times New Roman" w:hAnsi="Times New Roman"/>
          <w:b/>
          <w:noProof/>
          <w:sz w:val="24"/>
        </w:rPr>
        <w:t>2016</w:t>
      </w:r>
      <w:r>
        <w:rPr>
          <w:rFonts w:ascii="Times New Roman" w:hAnsi="Times New Roman"/>
          <w:noProof/>
          <w:sz w:val="24"/>
        </w:rPr>
        <w:t xml:space="preserve"> enthielten mehr als </w:t>
      </w:r>
      <w:r>
        <w:rPr>
          <w:rFonts w:ascii="Times New Roman" w:hAnsi="Times New Roman"/>
          <w:b/>
          <w:noProof/>
          <w:sz w:val="24"/>
        </w:rPr>
        <w:t>105 000 Antworten Informationen über strafrechtliche Verurteilungen</w:t>
      </w:r>
      <w:r>
        <w:rPr>
          <w:rFonts w:ascii="Times New Roman" w:hAnsi="Times New Roman"/>
          <w:noProof/>
          <w:sz w:val="24"/>
        </w:rPr>
        <w:t>.</w:t>
      </w:r>
    </w:p>
    <w:p w:rsidR="000A250D" w:rsidRDefault="00843FC1">
      <w:pPr>
        <w:numPr>
          <w:ilvl w:val="0"/>
          <w:numId w:val="27"/>
        </w:numPr>
        <w:ind w:left="714" w:hanging="357"/>
        <w:jc w:val="both"/>
        <w:rPr>
          <w:rFonts w:ascii="Times New Roman" w:hAnsi="Times New Roman"/>
          <w:b/>
          <w:noProof/>
          <w:sz w:val="24"/>
        </w:rPr>
      </w:pPr>
      <w:r>
        <w:rPr>
          <w:rFonts w:ascii="Times New Roman" w:hAnsi="Times New Roman"/>
          <w:b/>
          <w:noProof/>
          <w:sz w:val="24"/>
        </w:rPr>
        <w:t>Stabilisierungstendenz bei den Mitteilungen</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Bei 25 verbundenen Mitgliedstaaten war seit 2014 </w:t>
      </w:r>
      <w:r>
        <w:rPr>
          <w:rFonts w:ascii="Times New Roman" w:hAnsi="Times New Roman"/>
          <w:b/>
          <w:noProof/>
          <w:sz w:val="24"/>
        </w:rPr>
        <w:t>eine allmähliche Stabilisierung</w:t>
      </w:r>
      <w:r>
        <w:rPr>
          <w:rFonts w:ascii="Times New Roman" w:hAnsi="Times New Roman"/>
          <w:b/>
          <w:noProof/>
          <w:sz w:val="24"/>
        </w:rPr>
        <w:t xml:space="preserve"> der Zahl der Mitteilungen über neue Verurteilungen zu verzeichnen, </w:t>
      </w:r>
      <w:r>
        <w:rPr>
          <w:rFonts w:ascii="Times New Roman" w:hAnsi="Times New Roman"/>
          <w:noProof/>
          <w:sz w:val="24"/>
        </w:rPr>
        <w:t xml:space="preserve">sodass </w:t>
      </w:r>
      <w:r>
        <w:rPr>
          <w:rFonts w:ascii="Times New Roman" w:hAnsi="Times New Roman"/>
          <w:b/>
          <w:noProof/>
          <w:sz w:val="24"/>
        </w:rPr>
        <w:t xml:space="preserve">2016 330 000 Mitteilungen registriert wurden. </w:t>
      </w:r>
      <w:r>
        <w:rPr>
          <w:rFonts w:ascii="Times New Roman" w:hAnsi="Times New Roman"/>
          <w:noProof/>
          <w:sz w:val="24"/>
        </w:rPr>
        <w:t>Diese Entwicklung folgt auf ein Anfangsstadium erheblichen Wachstums, in dem neue Mitgliedstaaten dem System beitraten und weitere Verb</w:t>
      </w:r>
      <w:r>
        <w:rPr>
          <w:rFonts w:ascii="Times New Roman" w:hAnsi="Times New Roman"/>
          <w:noProof/>
          <w:sz w:val="24"/>
        </w:rPr>
        <w:t>indungen schufen. Da die Verbundrate bald 100 % erreichen dürfte, dürfte diese Zahl unabhängig von der Verurteilungsquote weiter steigen.</w:t>
      </w:r>
    </w:p>
    <w:p w:rsidR="000A250D" w:rsidRDefault="00843FC1">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Rasche Zunahme der Informationsersuchen und Antworten</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noProof/>
          <w:sz w:val="24"/>
        </w:rPr>
        <w:t>Zahl der Informationsersuchen</w:t>
      </w:r>
      <w:r>
        <w:rPr>
          <w:rFonts w:ascii="Times New Roman" w:hAnsi="Times New Roman"/>
          <w:noProof/>
          <w:sz w:val="24"/>
        </w:rPr>
        <w:t xml:space="preserve"> und </w:t>
      </w:r>
      <w:r>
        <w:rPr>
          <w:rFonts w:ascii="Times New Roman" w:hAnsi="Times New Roman"/>
          <w:b/>
          <w:noProof/>
          <w:sz w:val="24"/>
        </w:rPr>
        <w:t>Antworten auf diese Ersuch</w:t>
      </w:r>
      <w:r>
        <w:rPr>
          <w:rFonts w:ascii="Times New Roman" w:hAnsi="Times New Roman"/>
          <w:b/>
          <w:noProof/>
          <w:sz w:val="24"/>
        </w:rPr>
        <w:t>en</w:t>
      </w:r>
      <w:r>
        <w:rPr>
          <w:rFonts w:ascii="Times New Roman" w:hAnsi="Times New Roman"/>
          <w:noProof/>
          <w:sz w:val="24"/>
        </w:rPr>
        <w:t xml:space="preserve"> </w:t>
      </w:r>
      <w:r>
        <w:rPr>
          <w:rFonts w:ascii="Times New Roman" w:hAnsi="Times New Roman"/>
          <w:b/>
          <w:noProof/>
          <w:sz w:val="24"/>
        </w:rPr>
        <w:t>ist in den letzten fünf Jahren rasch gestiegen</w:t>
      </w:r>
      <w:r>
        <w:rPr>
          <w:rFonts w:ascii="Times New Roman" w:hAnsi="Times New Roman"/>
          <w:noProof/>
          <w:sz w:val="24"/>
        </w:rPr>
        <w:t xml:space="preserve"> und liegt nun bei </w:t>
      </w:r>
      <w:r>
        <w:rPr>
          <w:rFonts w:ascii="Times New Roman" w:hAnsi="Times New Roman"/>
          <w:b/>
          <w:noProof/>
          <w:sz w:val="24"/>
        </w:rPr>
        <w:t>364 000 Ersuchen</w:t>
      </w:r>
      <w:r>
        <w:rPr>
          <w:rFonts w:ascii="Times New Roman" w:hAnsi="Times New Roman"/>
          <w:noProof/>
          <w:sz w:val="24"/>
        </w:rPr>
        <w:t xml:space="preserve"> und </w:t>
      </w:r>
      <w:r>
        <w:rPr>
          <w:rFonts w:ascii="Times New Roman" w:hAnsi="Times New Roman"/>
          <w:b/>
          <w:noProof/>
          <w:sz w:val="24"/>
        </w:rPr>
        <w:t>350 000 Antworten</w:t>
      </w:r>
      <w:r>
        <w:rPr>
          <w:rFonts w:ascii="Times New Roman" w:hAnsi="Times New Roman"/>
          <w:noProof/>
          <w:sz w:val="24"/>
        </w:rPr>
        <w:t xml:space="preserve"> für 2016. Dies ist ein positives Zeichen für eine zunehmende Sensibilisierung in den Mitgliedstaaten hinsichtlich der Notwendigkeit, das Europäische </w:t>
      </w:r>
      <w:r>
        <w:rPr>
          <w:rFonts w:ascii="Times New Roman" w:hAnsi="Times New Roman"/>
          <w:noProof/>
          <w:sz w:val="24"/>
        </w:rPr>
        <w:t>Strafregisterinformationssystem (ECRIS) für den Informationsaustausch bei Strafverfahren sowie für andere Zwecke wie Einstellungen, insbesondere für Positionen, bei denen es zu direkten und regelmäßigen Kontakten mit Kindern kommt und für die die Richtlini</w:t>
      </w:r>
      <w:r>
        <w:rPr>
          <w:rFonts w:ascii="Times New Roman" w:hAnsi="Times New Roman"/>
          <w:noProof/>
          <w:sz w:val="24"/>
        </w:rPr>
        <w:t>e 2011/93/EU</w:t>
      </w:r>
      <w:r>
        <w:rPr>
          <w:rFonts w:ascii="Times New Roman" w:hAnsi="Times New Roman"/>
          <w:noProof/>
          <w:sz w:val="24"/>
          <w:vertAlign w:val="superscript"/>
        </w:rPr>
        <w:footnoteReference w:id="7"/>
      </w:r>
      <w:r>
        <w:rPr>
          <w:rFonts w:ascii="Times New Roman" w:hAnsi="Times New Roman"/>
          <w:noProof/>
          <w:sz w:val="24"/>
        </w:rPr>
        <w:t xml:space="preserve">einschlägig ist, zu nutzen. </w:t>
      </w:r>
    </w:p>
    <w:p w:rsidR="000A250D" w:rsidRDefault="00843FC1">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Erhebliche Unterschiede zwischen den ECRIS-Tätigkeiten der einzelnen Mitgliedstaaten und der Arbeitsbelastung</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Einige Mitgliedstaaten übermitteln erheblich mehr </w:t>
      </w:r>
      <w:r>
        <w:rPr>
          <w:rFonts w:ascii="Times New Roman" w:hAnsi="Times New Roman"/>
          <w:b/>
          <w:noProof/>
          <w:sz w:val="24"/>
        </w:rPr>
        <w:t>Informationsersuchen als sie erhalten.</w:t>
      </w:r>
      <w:r>
        <w:rPr>
          <w:rFonts w:ascii="Times New Roman" w:hAnsi="Times New Roman"/>
          <w:noProof/>
          <w:sz w:val="24"/>
        </w:rPr>
        <w:t xml:space="preserve"> 2016 betraf die</w:t>
      </w:r>
      <w:r>
        <w:rPr>
          <w:rFonts w:ascii="Times New Roman" w:hAnsi="Times New Roman"/>
          <w:noProof/>
          <w:sz w:val="24"/>
        </w:rPr>
        <w:t xml:space="preserve">s DE, VK, AT und CZ. Andere Mitgliedstaaten sehen sich einer </w:t>
      </w:r>
      <w:r>
        <w:rPr>
          <w:rFonts w:ascii="Times New Roman" w:hAnsi="Times New Roman"/>
          <w:b/>
          <w:noProof/>
          <w:sz w:val="24"/>
        </w:rPr>
        <w:t>erheblichen Arbeitsbelastung bei der Beantwortung von Ersuchen</w:t>
      </w:r>
      <w:r>
        <w:rPr>
          <w:rFonts w:ascii="Times New Roman" w:hAnsi="Times New Roman"/>
          <w:noProof/>
          <w:sz w:val="24"/>
        </w:rPr>
        <w:t xml:space="preserve"> gegenüber, obwohl sie selbst weniger Ersuchen übermitteln: PL, RO, SK, LT, IT, BG, LV, HU, HR, IE, EL, EE. Die Arbeitsbelastung für </w:t>
      </w:r>
      <w:r>
        <w:rPr>
          <w:rFonts w:ascii="Times New Roman" w:hAnsi="Times New Roman"/>
          <w:noProof/>
          <w:sz w:val="24"/>
        </w:rPr>
        <w:t>einige andere Mitgliedstaaten ergibt sich überwiegend aus der Übermittlung einer hohen Zahl von Mitteilungen über neue Verurteilungen an die Mitgliedstaaten der Staatsangehörigkeit des Straftäters bei gleichzeitiger Übermittlung weniger Ersuchen von eigene</w:t>
      </w:r>
      <w:r>
        <w:rPr>
          <w:rFonts w:ascii="Times New Roman" w:hAnsi="Times New Roman"/>
          <w:noProof/>
          <w:sz w:val="24"/>
        </w:rPr>
        <w:t>r Seite: IT, BE, ES, FR, CY.</w:t>
      </w:r>
    </w:p>
    <w:p w:rsidR="000A250D" w:rsidRDefault="00843FC1">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 xml:space="preserve">Nicht alle Verurteilungen und Aktualisierungen werden mitgeteilt </w:t>
      </w:r>
    </w:p>
    <w:p w:rsidR="000A250D" w:rsidRDefault="00843FC1">
      <w:pPr>
        <w:jc w:val="both"/>
        <w:rPr>
          <w:rFonts w:ascii="Times New Roman" w:hAnsi="Times New Roman" w:cs="Times New Roman"/>
          <w:noProof/>
          <w:sz w:val="24"/>
          <w:szCs w:val="24"/>
        </w:rPr>
      </w:pPr>
      <w:r>
        <w:rPr>
          <w:rFonts w:ascii="Times New Roman" w:hAnsi="Times New Roman"/>
          <w:noProof/>
          <w:sz w:val="24"/>
        </w:rPr>
        <w:t>Die Mitgliedstaaten, die 2016 die meisten neuen Verurteilungen mitteilten, waren DE (29,7 % aller übermittelten Mitteilungen), IT (19,0 %), BE (13,6 %), VK (9,9 </w:t>
      </w:r>
      <w:r>
        <w:rPr>
          <w:rFonts w:ascii="Times New Roman" w:hAnsi="Times New Roman"/>
          <w:noProof/>
          <w:sz w:val="24"/>
        </w:rPr>
        <w:t>%), ES (9,0 %) und FR (5,2 %).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Demgegenüber übermittelten einige Mitgliedstaaten </w:t>
      </w:r>
      <w:r>
        <w:rPr>
          <w:rFonts w:ascii="Times New Roman" w:hAnsi="Times New Roman"/>
          <w:b/>
          <w:noProof/>
          <w:sz w:val="24"/>
        </w:rPr>
        <w:t>überhaupt keine Mitteilungen über neue Verurteilungen</w:t>
      </w:r>
      <w:r>
        <w:rPr>
          <w:rFonts w:ascii="Times New Roman" w:hAnsi="Times New Roman"/>
          <w:noProof/>
          <w:sz w:val="24"/>
        </w:rPr>
        <w:t xml:space="preserve"> (EL) </w:t>
      </w:r>
      <w:r>
        <w:rPr>
          <w:rFonts w:ascii="Times New Roman" w:hAnsi="Times New Roman"/>
          <w:b/>
          <w:noProof/>
          <w:sz w:val="24"/>
        </w:rPr>
        <w:t>oder lediglich einige</w:t>
      </w:r>
      <w:r>
        <w:rPr>
          <w:rFonts w:ascii="Times New Roman" w:hAnsi="Times New Roman"/>
          <w:noProof/>
          <w:sz w:val="24"/>
        </w:rPr>
        <w:t xml:space="preserve"> Mitteilungen zu den in ihrem Land wohnhaften Staatsangehörigen anderer Mitgliedstaaten</w:t>
      </w:r>
      <w:r>
        <w:rPr>
          <w:rStyle w:val="FootnoteReference"/>
          <w:rFonts w:ascii="Times New Roman" w:hAnsi="Times New Roman"/>
          <w:noProof/>
          <w:sz w:val="24"/>
        </w:rPr>
        <w:footnoteReference w:id="8"/>
      </w:r>
      <w:r>
        <w:rPr>
          <w:rFonts w:ascii="Times New Roman" w:hAnsi="Times New Roman"/>
          <w:noProof/>
          <w:sz w:val="24"/>
        </w:rPr>
        <w:t xml:space="preserve"> (BG, EE, HR, LT, LV, MT, RO für 2016; BG, EE, LV, HR, LT für 2015; BG, EE, HR, LT, LV, RO, SK für 2014). Wenn Verurteilungen nicht systematisch und zuverlässig gemeldet werdenen, können Straftäter ihre kriminelle Vergangenheit verheimlichen oder erneut di</w:t>
      </w:r>
      <w:r>
        <w:rPr>
          <w:rFonts w:ascii="Times New Roman" w:hAnsi="Times New Roman"/>
          <w:noProof/>
          <w:sz w:val="24"/>
        </w:rPr>
        <w:t>e gleichen Straftaten begehen.</w:t>
      </w:r>
    </w:p>
    <w:p w:rsidR="000A250D" w:rsidRDefault="00843FC1">
      <w:pPr>
        <w:jc w:val="both"/>
        <w:rPr>
          <w:rFonts w:ascii="Times New Roman" w:hAnsi="Times New Roman" w:cs="Times New Roman"/>
          <w:noProof/>
          <w:sz w:val="24"/>
          <w:szCs w:val="24"/>
        </w:rPr>
      </w:pPr>
      <w:r>
        <w:rPr>
          <w:rFonts w:ascii="Times New Roman" w:hAnsi="Times New Roman"/>
          <w:b/>
          <w:noProof/>
          <w:sz w:val="24"/>
        </w:rPr>
        <w:t xml:space="preserve">Aktualisierte übermittelte Informationen über Verurteilungen </w:t>
      </w:r>
      <w:r>
        <w:rPr>
          <w:rFonts w:ascii="Times New Roman" w:hAnsi="Times New Roman"/>
          <w:noProof/>
          <w:sz w:val="24"/>
        </w:rPr>
        <w:t xml:space="preserve">machen durchschnittlich </w:t>
      </w:r>
      <w:r>
        <w:rPr>
          <w:rFonts w:ascii="Times New Roman" w:hAnsi="Times New Roman"/>
          <w:b/>
          <w:noProof/>
          <w:sz w:val="24"/>
        </w:rPr>
        <w:t xml:space="preserve">27 % aller Mitteilungen </w:t>
      </w:r>
      <w:r>
        <w:rPr>
          <w:rFonts w:ascii="Times New Roman" w:hAnsi="Times New Roman"/>
          <w:noProof/>
          <w:sz w:val="24"/>
        </w:rPr>
        <w:t xml:space="preserve"> für 2016 aus. Einige Mitgliedstaaten </w:t>
      </w:r>
      <w:r>
        <w:rPr>
          <w:rFonts w:ascii="Times New Roman" w:hAnsi="Times New Roman"/>
          <w:b/>
          <w:noProof/>
          <w:sz w:val="24"/>
        </w:rPr>
        <w:t xml:space="preserve">übermittelten überhaupt keine </w:t>
      </w:r>
      <w:r>
        <w:rPr>
          <w:rFonts w:ascii="Times New Roman" w:hAnsi="Times New Roman"/>
          <w:noProof/>
          <w:sz w:val="24"/>
        </w:rPr>
        <w:t>(BG, DK, EE, EL, LV, RO für 2016; BG, DK, FI, EL</w:t>
      </w:r>
      <w:r>
        <w:rPr>
          <w:rFonts w:ascii="Times New Roman" w:hAnsi="Times New Roman"/>
          <w:noProof/>
          <w:sz w:val="24"/>
        </w:rPr>
        <w:t xml:space="preserve"> für 2015; DK, EE, FI, EL, HR, RO für 2014) oder </w:t>
      </w:r>
      <w:r>
        <w:rPr>
          <w:rFonts w:ascii="Times New Roman" w:hAnsi="Times New Roman"/>
          <w:b/>
          <w:noProof/>
          <w:sz w:val="24"/>
        </w:rPr>
        <w:t>nur wenige Aktualisierungen</w:t>
      </w:r>
      <w:r>
        <w:rPr>
          <w:rFonts w:ascii="Times New Roman" w:hAnsi="Times New Roman"/>
          <w:noProof/>
          <w:sz w:val="24"/>
        </w:rPr>
        <w:t xml:space="preserve"> vorheriger Meldungen (HR, LT, LU für 2016; EE, HR, LT, LU, LV, RO für 2015; BG, HU, IE, LT, LU, LV, SK für 2014). Fehlende Aktualisierungen der Informationen über Verurteilungen f</w:t>
      </w:r>
      <w:r>
        <w:rPr>
          <w:rFonts w:ascii="Times New Roman" w:hAnsi="Times New Roman"/>
          <w:noProof/>
          <w:sz w:val="24"/>
        </w:rPr>
        <w:t xml:space="preserve">ühren zur Verarbeitung veralteter und unzuverlässiger Verurteilungsinformationen durch den Mitgliedstaat der Staatsangehörigkeit, einschließlich ihrer Verbreitung. </w:t>
      </w:r>
    </w:p>
    <w:p w:rsidR="000A250D" w:rsidRDefault="00843FC1">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ECRIS wird nicht immer für Informationsersuchen über frühere Verurteilungen genutzt</w:t>
      </w:r>
    </w:p>
    <w:p w:rsidR="000A250D" w:rsidRDefault="00843FC1">
      <w:pPr>
        <w:jc w:val="both"/>
        <w:rPr>
          <w:rFonts w:ascii="Times New Roman" w:hAnsi="Times New Roman" w:cs="Times New Roman"/>
          <w:noProof/>
          <w:sz w:val="24"/>
          <w:szCs w:val="24"/>
        </w:rPr>
      </w:pPr>
      <w:r>
        <w:rPr>
          <w:rFonts w:ascii="Times New Roman" w:hAnsi="Times New Roman"/>
          <w:noProof/>
          <w:sz w:val="24"/>
        </w:rPr>
        <w:t>Die Mit</w:t>
      </w:r>
      <w:r>
        <w:rPr>
          <w:rFonts w:ascii="Times New Roman" w:hAnsi="Times New Roman"/>
          <w:noProof/>
          <w:sz w:val="24"/>
        </w:rPr>
        <w:t xml:space="preserve">gliedstaaten, die 2016 die meisten Ersuchen an ECRIS richteten, waren: DE (38,6 %), gefolgt vom VK (26,7 %), CZ (10,1 %), AT (6,9 %), ES (3,7 %) und FR (3,5 %). Einige Mitgliedstaaten </w:t>
      </w:r>
      <w:r>
        <w:rPr>
          <w:rFonts w:ascii="Times New Roman" w:hAnsi="Times New Roman"/>
          <w:b/>
          <w:noProof/>
          <w:sz w:val="24"/>
        </w:rPr>
        <w:t xml:space="preserve">übermittelten überhaupt keine </w:t>
      </w:r>
      <w:r>
        <w:rPr>
          <w:rFonts w:ascii="Times New Roman" w:hAnsi="Times New Roman"/>
          <w:noProof/>
          <w:sz w:val="24"/>
        </w:rPr>
        <w:t xml:space="preserve">(EL) oder </w:t>
      </w:r>
      <w:r>
        <w:rPr>
          <w:rFonts w:ascii="Times New Roman" w:hAnsi="Times New Roman"/>
          <w:b/>
          <w:noProof/>
          <w:sz w:val="24"/>
        </w:rPr>
        <w:t>nur wenige</w:t>
      </w:r>
      <w:r>
        <w:rPr>
          <w:rFonts w:ascii="Times New Roman" w:hAnsi="Times New Roman"/>
          <w:noProof/>
          <w:sz w:val="24"/>
        </w:rPr>
        <w:t xml:space="preserve"> </w:t>
      </w:r>
      <w:r>
        <w:rPr>
          <w:rFonts w:ascii="Times New Roman" w:hAnsi="Times New Roman"/>
          <w:b/>
          <w:noProof/>
          <w:sz w:val="24"/>
        </w:rPr>
        <w:t>Informationsersuchen</w:t>
      </w:r>
      <w:r>
        <w:rPr>
          <w:rFonts w:ascii="Times New Roman" w:hAnsi="Times New Roman"/>
          <w:noProof/>
          <w:sz w:val="24"/>
        </w:rPr>
        <w:t xml:space="preserve"> </w:t>
      </w:r>
      <w:r>
        <w:rPr>
          <w:rFonts w:ascii="Times New Roman" w:hAnsi="Times New Roman"/>
          <w:noProof/>
          <w:sz w:val="24"/>
        </w:rPr>
        <w:t>(BG, CY, HU, IT, MT, SK für 2016; BG, HU, IT, SK für 2015; BG, EE, HR, HU, IT, SK für 2014). Dies führt zu der Situation, dass Gerichte ohne Kenntnis früherer Verurteilungen in anderen Mitgliedstaaten Urteile verkünden, die nicht den Anforderungen des Rahm</w:t>
      </w:r>
      <w:r>
        <w:rPr>
          <w:rFonts w:ascii="Times New Roman" w:hAnsi="Times New Roman"/>
          <w:noProof/>
          <w:sz w:val="24"/>
        </w:rPr>
        <w:t>enbeschlusses 2008/675/JI</w:t>
      </w:r>
      <w:r>
        <w:rPr>
          <w:rStyle w:val="FootnoteReference"/>
          <w:rFonts w:ascii="Times New Roman" w:hAnsi="Times New Roman"/>
          <w:noProof/>
          <w:sz w:val="24"/>
        </w:rPr>
        <w:footnoteReference w:id="9"/>
      </w:r>
      <w:r>
        <w:rPr>
          <w:rFonts w:ascii="Times New Roman" w:hAnsi="Times New Roman"/>
          <w:noProof/>
          <w:sz w:val="24"/>
        </w:rPr>
        <w:t>entsprechen. Unzureichende Informationen über frühere Verurteilungen werden auch verhindern, dass zuverlässige Informationen über Verurteilungen zu anderen Zwecken als Strafverfahren (z. B. beschäftigungsbezogene Überprüfungen) ge</w:t>
      </w:r>
      <w:r>
        <w:rPr>
          <w:rFonts w:ascii="Times New Roman" w:hAnsi="Times New Roman"/>
          <w:noProof/>
          <w:sz w:val="24"/>
        </w:rPr>
        <w:t>nutzt werden und erschweren so die Verhinderung weiterer Straftaten.</w:t>
      </w:r>
    </w:p>
    <w:p w:rsidR="000A250D" w:rsidRDefault="00843FC1">
      <w:pPr>
        <w:pStyle w:val="ListParagraph"/>
        <w:numPr>
          <w:ilvl w:val="0"/>
          <w:numId w:val="27"/>
        </w:numPr>
        <w:jc w:val="both"/>
        <w:rPr>
          <w:rFonts w:ascii="Times New Roman" w:hAnsi="Times New Roman" w:cs="Times New Roman"/>
          <w:b/>
          <w:noProof/>
          <w:sz w:val="24"/>
          <w:szCs w:val="24"/>
        </w:rPr>
      </w:pPr>
      <w:r>
        <w:rPr>
          <w:rFonts w:ascii="Times New Roman" w:hAnsi="Times New Roman"/>
          <w:b/>
          <w:noProof/>
          <w:sz w:val="24"/>
        </w:rPr>
        <w:t>Rund 14 000 Informationsersuchen (3,9 %) 2016 nicht beantwortet</w:t>
      </w:r>
    </w:p>
    <w:p w:rsidR="000A250D" w:rsidRDefault="00843FC1">
      <w:pPr>
        <w:jc w:val="both"/>
        <w:rPr>
          <w:rFonts w:ascii="Times New Roman" w:hAnsi="Times New Roman" w:cs="Times New Roman"/>
          <w:noProof/>
          <w:sz w:val="24"/>
          <w:szCs w:val="24"/>
        </w:rPr>
      </w:pPr>
      <w:r>
        <w:rPr>
          <w:rFonts w:ascii="Times New Roman" w:hAnsi="Times New Roman"/>
          <w:noProof/>
          <w:sz w:val="24"/>
        </w:rPr>
        <w:t>In den meisten Mitgliedstaaten lag die Zahl der eingegangenen Antworten leicht unter der Zahl der übermittelten Information</w:t>
      </w:r>
      <w:r>
        <w:rPr>
          <w:rFonts w:ascii="Times New Roman" w:hAnsi="Times New Roman"/>
          <w:noProof/>
          <w:sz w:val="24"/>
        </w:rPr>
        <w:t xml:space="preserve">sersuchen mit einer durchschnittlichen Differenz von </w:t>
      </w:r>
      <w:r>
        <w:rPr>
          <w:rFonts w:ascii="Times New Roman" w:hAnsi="Times New Roman"/>
          <w:b/>
          <w:noProof/>
          <w:sz w:val="24"/>
        </w:rPr>
        <w:t>rund 3,9 % für 2016</w:t>
      </w:r>
      <w:r>
        <w:rPr>
          <w:rFonts w:ascii="Times New Roman" w:hAnsi="Times New Roman"/>
          <w:noProof/>
          <w:sz w:val="24"/>
        </w:rPr>
        <w:t xml:space="preserve">. Die Mitgliedstaaten, die auf den höchsten Prozentsatz der erhaltenen Ersuchen nicht antworteten, waren: CY (66,1 %), EL (34,9 %), IT (20 %) und LV (17,8 %). </w:t>
      </w:r>
    </w:p>
    <w:p w:rsidR="000A250D" w:rsidRDefault="00843FC1">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2016 fast 13 000 Ersuche</w:t>
      </w:r>
      <w:r>
        <w:rPr>
          <w:rFonts w:ascii="Times New Roman" w:hAnsi="Times New Roman"/>
          <w:b/>
          <w:noProof/>
          <w:sz w:val="24"/>
        </w:rPr>
        <w:t>n (3,6 %) innerhalb der vorgeschriebenen Frist nicht beantwortet</w:t>
      </w:r>
    </w:p>
    <w:p w:rsidR="00843FC1" w:rsidRDefault="00843FC1">
      <w:pPr>
        <w:jc w:val="both"/>
        <w:rPr>
          <w:rFonts w:ascii="Times New Roman" w:hAnsi="Times New Roman"/>
          <w:noProof/>
          <w:sz w:val="24"/>
        </w:rPr>
      </w:pPr>
      <w:r>
        <w:rPr>
          <w:rFonts w:ascii="Times New Roman" w:hAnsi="Times New Roman"/>
          <w:noProof/>
          <w:sz w:val="24"/>
        </w:rPr>
        <w:t xml:space="preserve">2016 wurden rund </w:t>
      </w:r>
      <w:r>
        <w:rPr>
          <w:rFonts w:ascii="Times New Roman" w:hAnsi="Times New Roman"/>
          <w:b/>
          <w:noProof/>
          <w:sz w:val="24"/>
        </w:rPr>
        <w:t>13 000 Ersuchen nicht innerhalb der vorgeschriebenen Frist beantwortet</w:t>
      </w:r>
      <w:r>
        <w:rPr>
          <w:rFonts w:ascii="Times New Roman" w:hAnsi="Times New Roman"/>
          <w:noProof/>
          <w:sz w:val="24"/>
        </w:rPr>
        <w:t xml:space="preserve">. Dies macht </w:t>
      </w:r>
      <w:r>
        <w:rPr>
          <w:rFonts w:ascii="Times New Roman" w:hAnsi="Times New Roman"/>
          <w:b/>
          <w:noProof/>
          <w:sz w:val="24"/>
        </w:rPr>
        <w:t>3,6 %</w:t>
      </w:r>
      <w:r>
        <w:rPr>
          <w:rFonts w:ascii="Times New Roman" w:hAnsi="Times New Roman"/>
          <w:noProof/>
          <w:sz w:val="24"/>
        </w:rPr>
        <w:t xml:space="preserve"> </w:t>
      </w:r>
      <w:r>
        <w:rPr>
          <w:rFonts w:ascii="Times New Roman" w:hAnsi="Times New Roman"/>
          <w:b/>
          <w:noProof/>
          <w:sz w:val="24"/>
        </w:rPr>
        <w:t>der gesamten</w:t>
      </w:r>
      <w:r>
        <w:rPr>
          <w:rFonts w:ascii="Times New Roman" w:hAnsi="Times New Roman"/>
          <w:noProof/>
          <w:sz w:val="24"/>
        </w:rPr>
        <w:t xml:space="preserve"> Informationsersuchen aus. Die Mitgliedstaaten, die die meisten Probleme </w:t>
      </w:r>
      <w:r>
        <w:rPr>
          <w:rFonts w:ascii="Times New Roman" w:hAnsi="Times New Roman"/>
          <w:noProof/>
          <w:sz w:val="24"/>
        </w:rPr>
        <w:t>bei der Einhaltung der Fristen haben, sind: EL (auf 28,1 % der erhaltenen Ersuchen antwortete EL nicht fristgerecht), FI (21,5 %), EE (20,5 %), RO (9,3 %) und IT (5,28 %).</w:t>
      </w:r>
      <w:bookmarkStart w:id="3" w:name="_Hlk480363534"/>
    </w:p>
    <w:p w:rsidR="00843FC1" w:rsidRDefault="00843FC1" w:rsidP="00843FC1">
      <w:pPr>
        <w:rPr>
          <w:noProof/>
        </w:rPr>
      </w:pPr>
      <w:r>
        <w:rPr>
          <w:noProof/>
        </w:rPr>
        <w:br w:type="page"/>
      </w:r>
    </w:p>
    <w:p w:rsidR="000A250D" w:rsidRDefault="00843FC1">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Zunehmende Nutzung des ECRIS für andere Zwecke als Strafverfahren</w:t>
      </w:r>
    </w:p>
    <w:p w:rsidR="000A250D" w:rsidRDefault="00843FC1">
      <w:pPr>
        <w:jc w:val="both"/>
        <w:rPr>
          <w:rFonts w:ascii="Times New Roman" w:hAnsi="Times New Roman" w:cs="Times New Roman"/>
          <w:noProof/>
          <w:sz w:val="24"/>
          <w:szCs w:val="24"/>
        </w:rPr>
      </w:pPr>
      <w:r>
        <w:rPr>
          <w:rFonts w:ascii="Times New Roman" w:hAnsi="Times New Roman"/>
          <w:noProof/>
          <w:sz w:val="24"/>
        </w:rPr>
        <w:t>Während des Betrie</w:t>
      </w:r>
      <w:r>
        <w:rPr>
          <w:rFonts w:ascii="Times New Roman" w:hAnsi="Times New Roman"/>
          <w:noProof/>
          <w:sz w:val="24"/>
        </w:rPr>
        <w:t xml:space="preserve">bs von ECRIS wurden durchschnittlich </w:t>
      </w:r>
      <w:r>
        <w:rPr>
          <w:rFonts w:ascii="Times New Roman" w:hAnsi="Times New Roman"/>
          <w:b/>
          <w:noProof/>
          <w:sz w:val="24"/>
        </w:rPr>
        <w:t>81 %</w:t>
      </w:r>
      <w:r>
        <w:rPr>
          <w:rFonts w:ascii="Times New Roman" w:hAnsi="Times New Roman"/>
          <w:noProof/>
          <w:sz w:val="24"/>
        </w:rPr>
        <w:t xml:space="preserve"> aller Ersuchen für </w:t>
      </w:r>
      <w:r>
        <w:rPr>
          <w:rFonts w:ascii="Times New Roman" w:hAnsi="Times New Roman"/>
          <w:b/>
          <w:noProof/>
          <w:sz w:val="24"/>
        </w:rPr>
        <w:t>Strafverfahrenszwecke</w:t>
      </w:r>
      <w:r>
        <w:rPr>
          <w:rFonts w:ascii="Times New Roman" w:hAnsi="Times New Roman"/>
          <w:noProof/>
          <w:sz w:val="24"/>
        </w:rPr>
        <w:t xml:space="preserve"> und </w:t>
      </w:r>
      <w:r>
        <w:rPr>
          <w:rFonts w:ascii="Times New Roman" w:hAnsi="Times New Roman"/>
          <w:b/>
          <w:noProof/>
          <w:sz w:val="24"/>
        </w:rPr>
        <w:t>19 %</w:t>
      </w:r>
      <w:r>
        <w:rPr>
          <w:rFonts w:ascii="Times New Roman" w:hAnsi="Times New Roman"/>
          <w:noProof/>
          <w:sz w:val="24"/>
        </w:rPr>
        <w:t xml:space="preserve"> für </w:t>
      </w:r>
      <w:r>
        <w:rPr>
          <w:rFonts w:ascii="Times New Roman" w:hAnsi="Times New Roman"/>
          <w:b/>
          <w:noProof/>
          <w:sz w:val="24"/>
        </w:rPr>
        <w:t xml:space="preserve">andere Zwecke </w:t>
      </w:r>
      <w:r>
        <w:rPr>
          <w:rFonts w:ascii="Times New Roman" w:hAnsi="Times New Roman"/>
          <w:noProof/>
          <w:sz w:val="24"/>
        </w:rPr>
        <w:t xml:space="preserve">gestellt. Die Zahl der </w:t>
      </w:r>
      <w:r>
        <w:rPr>
          <w:rFonts w:ascii="Times New Roman" w:hAnsi="Times New Roman"/>
          <w:b/>
          <w:noProof/>
          <w:sz w:val="24"/>
        </w:rPr>
        <w:t>Ersuchen für</w:t>
      </w:r>
      <w:r>
        <w:rPr>
          <w:rFonts w:ascii="Times New Roman" w:hAnsi="Times New Roman"/>
          <w:noProof/>
          <w:sz w:val="24"/>
        </w:rPr>
        <w:t xml:space="preserve"> </w:t>
      </w:r>
      <w:r>
        <w:rPr>
          <w:rFonts w:ascii="Times New Roman" w:hAnsi="Times New Roman"/>
          <w:b/>
          <w:noProof/>
          <w:sz w:val="24"/>
        </w:rPr>
        <w:t xml:space="preserve">andere Zwecke </w:t>
      </w:r>
      <w:r>
        <w:rPr>
          <w:rFonts w:ascii="Times New Roman" w:hAnsi="Times New Roman"/>
          <w:noProof/>
          <w:sz w:val="24"/>
        </w:rPr>
        <w:t xml:space="preserve">stieg </w:t>
      </w:r>
      <w:r>
        <w:rPr>
          <w:rFonts w:ascii="Times New Roman" w:hAnsi="Times New Roman"/>
          <w:b/>
          <w:noProof/>
          <w:sz w:val="24"/>
        </w:rPr>
        <w:t>2016 bis auf 22 %</w:t>
      </w:r>
      <w:r>
        <w:rPr>
          <w:rFonts w:ascii="Times New Roman" w:hAnsi="Times New Roman"/>
          <w:noProof/>
          <w:sz w:val="24"/>
        </w:rPr>
        <w:t xml:space="preserve"> und machte damit</w:t>
      </w:r>
      <w:r>
        <w:rPr>
          <w:rFonts w:ascii="Times New Roman" w:hAnsi="Times New Roman"/>
          <w:b/>
          <w:noProof/>
          <w:sz w:val="24"/>
        </w:rPr>
        <w:t xml:space="preserve"> 79 000 </w:t>
      </w:r>
      <w:r>
        <w:rPr>
          <w:rFonts w:ascii="Times New Roman" w:hAnsi="Times New Roman"/>
          <w:noProof/>
          <w:sz w:val="24"/>
        </w:rPr>
        <w:t xml:space="preserve"> Ersuchen aus. Die Ersuchen von Einzelpersonen i</w:t>
      </w:r>
      <w:r>
        <w:rPr>
          <w:rFonts w:ascii="Times New Roman" w:hAnsi="Times New Roman"/>
          <w:noProof/>
          <w:sz w:val="24"/>
        </w:rPr>
        <w:t xml:space="preserve">n Bezug auf </w:t>
      </w:r>
      <w:r>
        <w:rPr>
          <w:rFonts w:ascii="Times New Roman" w:hAnsi="Times New Roman"/>
          <w:b/>
          <w:noProof/>
          <w:sz w:val="24"/>
        </w:rPr>
        <w:t>Informationen über ihr eigenes Strafregister</w:t>
      </w:r>
      <w:r>
        <w:rPr>
          <w:rFonts w:ascii="Times New Roman" w:hAnsi="Times New Roman"/>
          <w:noProof/>
          <w:sz w:val="24"/>
        </w:rPr>
        <w:t xml:space="preserve"> stellen die höchste Zahl von Ersuchen für andere Zwecke als Strafverfahren dar – 68 % aller Ersuchen für sonstige Zwecke und 15 % der Gesamtersuchen.</w:t>
      </w:r>
    </w:p>
    <w:p w:rsidR="000A250D" w:rsidRDefault="00843FC1">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rPr>
        <w:t>Derzeitiges ECRIS-System nur selten für TCN genut</w:t>
      </w:r>
      <w:r>
        <w:rPr>
          <w:rFonts w:ascii="Times New Roman" w:hAnsi="Times New Roman"/>
          <w:b/>
          <w:noProof/>
          <w:sz w:val="24"/>
        </w:rPr>
        <w:t>zt</w:t>
      </w:r>
    </w:p>
    <w:p w:rsidR="000A250D" w:rsidRDefault="00843FC1">
      <w:pPr>
        <w:spacing w:after="0"/>
        <w:jc w:val="both"/>
        <w:rPr>
          <w:rFonts w:ascii="Times New Roman" w:hAnsi="Times New Roman" w:cs="Times New Roman"/>
          <w:noProof/>
          <w:sz w:val="24"/>
          <w:szCs w:val="24"/>
        </w:rPr>
      </w:pPr>
      <w:r>
        <w:rPr>
          <w:rFonts w:ascii="Times New Roman" w:hAnsi="Times New Roman"/>
          <w:noProof/>
          <w:sz w:val="24"/>
        </w:rPr>
        <w:t>Durchschnittlich</w:t>
      </w:r>
      <w:r>
        <w:rPr>
          <w:rFonts w:ascii="Times New Roman" w:hAnsi="Times New Roman"/>
          <w:b/>
          <w:noProof/>
          <w:sz w:val="24"/>
        </w:rPr>
        <w:t xml:space="preserve"> 90 %</w:t>
      </w:r>
      <w:r>
        <w:rPr>
          <w:rFonts w:ascii="Times New Roman" w:hAnsi="Times New Roman"/>
          <w:noProof/>
          <w:sz w:val="24"/>
        </w:rPr>
        <w:t xml:space="preserve"> aller Ersuchen betreffen </w:t>
      </w:r>
      <w:r>
        <w:rPr>
          <w:rFonts w:ascii="Times New Roman" w:hAnsi="Times New Roman"/>
          <w:b/>
          <w:noProof/>
          <w:sz w:val="24"/>
        </w:rPr>
        <w:t>EU-Bürger</w:t>
      </w:r>
      <w:r>
        <w:rPr>
          <w:rFonts w:ascii="Times New Roman" w:hAnsi="Times New Roman"/>
          <w:noProof/>
          <w:sz w:val="24"/>
        </w:rPr>
        <w:t xml:space="preserve">, und rund </w:t>
      </w:r>
      <w:r>
        <w:rPr>
          <w:rFonts w:ascii="Times New Roman" w:hAnsi="Times New Roman"/>
          <w:b/>
          <w:noProof/>
          <w:sz w:val="24"/>
        </w:rPr>
        <w:t>10 % betreffen Drittstaatsangehörige und Staatenlose.</w:t>
      </w:r>
      <w:r>
        <w:rPr>
          <w:rFonts w:ascii="Times New Roman" w:hAnsi="Times New Roman"/>
          <w:noProof/>
          <w:sz w:val="24"/>
        </w:rPr>
        <w:t xml:space="preserve"> 2016 lag die Zahl der Informationsersuchen betreffend</w:t>
      </w:r>
      <w:r>
        <w:rPr>
          <w:rFonts w:ascii="Times New Roman" w:hAnsi="Times New Roman"/>
          <w:b/>
          <w:noProof/>
          <w:sz w:val="24"/>
        </w:rPr>
        <w:t xml:space="preserve"> TCN </w:t>
      </w:r>
      <w:r>
        <w:rPr>
          <w:rFonts w:ascii="Times New Roman" w:hAnsi="Times New Roman"/>
          <w:noProof/>
          <w:sz w:val="24"/>
        </w:rPr>
        <w:t>bei</w:t>
      </w:r>
      <w:r>
        <w:rPr>
          <w:rFonts w:ascii="Times New Roman" w:hAnsi="Times New Roman"/>
          <w:b/>
          <w:noProof/>
          <w:sz w:val="24"/>
        </w:rPr>
        <w:t xml:space="preserve"> über 33 000</w:t>
      </w:r>
      <w:r>
        <w:rPr>
          <w:rFonts w:ascii="Times New Roman" w:hAnsi="Times New Roman"/>
          <w:noProof/>
          <w:sz w:val="24"/>
        </w:rPr>
        <w:t xml:space="preserve">. Der Vorschlag der Kommission, das ECRIS-System um ein zentralisiertes TCN-System zu ergänzen, ist Teil des Pakets, zu dem auch der vorliegende Bericht gehört, und dürfte zu einer erheblichen Zunahme der TCN-Ersuchen führen. </w:t>
      </w:r>
    </w:p>
    <w:p w:rsidR="000A250D" w:rsidRDefault="000A250D">
      <w:pPr>
        <w:jc w:val="both"/>
        <w:rPr>
          <w:rFonts w:ascii="Times New Roman" w:hAnsi="Times New Roman" w:cs="Times New Roman"/>
          <w:b/>
          <w:noProof/>
          <w:sz w:val="24"/>
          <w:szCs w:val="24"/>
        </w:rPr>
      </w:pPr>
      <w:bookmarkStart w:id="4" w:name="_Toc479267019"/>
      <w:bookmarkEnd w:id="3"/>
    </w:p>
    <w:p w:rsidR="000A250D" w:rsidRDefault="00843FC1">
      <w:pPr>
        <w:jc w:val="both"/>
        <w:rPr>
          <w:rFonts w:ascii="Times New Roman" w:hAnsi="Times New Roman" w:cs="Times New Roman"/>
          <w:b/>
          <w:noProof/>
          <w:sz w:val="24"/>
          <w:szCs w:val="24"/>
        </w:rPr>
      </w:pPr>
      <w:r>
        <w:rPr>
          <w:rFonts w:ascii="Times New Roman" w:hAnsi="Times New Roman"/>
          <w:b/>
          <w:noProof/>
          <w:sz w:val="24"/>
        </w:rPr>
        <w:t>3. ECRIS-Austausch in Zahlen</w:t>
      </w:r>
      <w:bookmarkStart w:id="5" w:name="_Ref366147146"/>
      <w:bookmarkStart w:id="6" w:name="_Toc479267020"/>
      <w:bookmarkEnd w:id="4"/>
    </w:p>
    <w:p w:rsidR="000A250D" w:rsidRDefault="00843FC1">
      <w:pPr>
        <w:jc w:val="both"/>
        <w:rPr>
          <w:rFonts w:ascii="Times New Roman" w:hAnsi="Times New Roman" w:cs="Times New Roman"/>
          <w:b/>
          <w:noProof/>
          <w:sz w:val="24"/>
          <w:szCs w:val="24"/>
        </w:rPr>
      </w:pPr>
      <w:r>
        <w:rPr>
          <w:rFonts w:ascii="Times New Roman" w:hAnsi="Times New Roman"/>
          <w:b/>
          <w:smallCaps/>
          <w:noProof/>
          <w:sz w:val="24"/>
        </w:rPr>
        <w:t xml:space="preserve">3.1. </w:t>
      </w:r>
      <w:r>
        <w:rPr>
          <w:rFonts w:ascii="Times New Roman" w:hAnsi="Times New Roman"/>
          <w:b/>
          <w:noProof/>
          <w:sz w:val="24"/>
        </w:rPr>
        <w:t>Verbundene Mitgliedstaaten</w:t>
      </w:r>
      <w:bookmarkEnd w:id="5"/>
      <w:bookmarkEnd w:id="6"/>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Ein Mitgliedstaat gilt als mit dem ECRIS-System verbunden, wenn er Strafregisterinformationen mit zumindest einem verbundenen Partner austauscht. </w:t>
      </w:r>
      <w:bookmarkStart w:id="7" w:name="_Hlk481158166"/>
      <w:r>
        <w:rPr>
          <w:rFonts w:ascii="Times New Roman" w:hAnsi="Times New Roman"/>
          <w:noProof/>
          <w:sz w:val="24"/>
        </w:rPr>
        <w:t xml:space="preserve">Bislang sind </w:t>
      </w:r>
      <w:r>
        <w:rPr>
          <w:rFonts w:ascii="Times New Roman" w:hAnsi="Times New Roman"/>
          <w:b/>
          <w:noProof/>
          <w:sz w:val="24"/>
        </w:rPr>
        <w:t>alle 28 Mitgliedstaaten mit ECRIS verbunden</w:t>
      </w:r>
      <w:r>
        <w:rPr>
          <w:rFonts w:ascii="Times New Roman" w:hAnsi="Times New Roman"/>
          <w:noProof/>
          <w:sz w:val="24"/>
        </w:rPr>
        <w:t xml:space="preserve"> und tauschen Strafre</w:t>
      </w:r>
      <w:r>
        <w:rPr>
          <w:rFonts w:ascii="Times New Roman" w:hAnsi="Times New Roman"/>
          <w:noProof/>
          <w:sz w:val="24"/>
        </w:rPr>
        <w:t>gisterinformationen mit mindestens einem anderen Mitgliedstaat aus. Die letzten Mitgliedstaaten (SI und PT) sind im Januar 2017 beigetreten.</w:t>
      </w:r>
      <w:bookmarkEnd w:id="7"/>
      <w:r>
        <w:rPr>
          <w:rFonts w:ascii="Times New Roman" w:hAnsi="Times New Roman"/>
          <w:noProof/>
          <w:sz w:val="24"/>
        </w:rPr>
        <w:t xml:space="preserve"> Zur Chronologie der Beitritte zum ECRIS-Netz siehe Anhang, Abschnitt 1.1.</w:t>
      </w:r>
    </w:p>
    <w:p w:rsidR="000A250D" w:rsidRDefault="00843FC1">
      <w:pPr>
        <w:jc w:val="both"/>
        <w:rPr>
          <w:rFonts w:ascii="Times New Roman" w:hAnsi="Times New Roman" w:cs="Times New Roman"/>
          <w:b/>
          <w:noProof/>
          <w:sz w:val="24"/>
          <w:szCs w:val="24"/>
        </w:rPr>
      </w:pPr>
      <w:r>
        <w:rPr>
          <w:rFonts w:ascii="Times New Roman" w:hAnsi="Times New Roman"/>
          <w:noProof/>
          <w:sz w:val="24"/>
        </w:rPr>
        <w:t xml:space="preserve">Bei ECRIS handelt es sich um ein </w:t>
      </w:r>
      <w:r>
        <w:rPr>
          <w:rFonts w:ascii="Times New Roman" w:hAnsi="Times New Roman"/>
          <w:noProof/>
          <w:sz w:val="24"/>
        </w:rPr>
        <w:t>dezentrales System, über das alle Mitgliedstaaten miteinander vernetzt sein sollten. Die höchstmögliche Zahl solcher Verbindungen bei einer solchen Konfiguration liegt bei 756 (27</w:t>
      </w:r>
      <w:r>
        <w:rPr>
          <w:rFonts w:ascii="Times New Roman" w:hAnsi="Times New Roman"/>
          <w:noProof/>
          <w:sz w:val="24"/>
          <w:vertAlign w:val="subscript"/>
        </w:rPr>
        <w:t>*</w:t>
      </w:r>
      <w:r>
        <w:rPr>
          <w:rFonts w:ascii="Times New Roman" w:hAnsi="Times New Roman"/>
          <w:noProof/>
          <w:sz w:val="24"/>
        </w:rPr>
        <w:t xml:space="preserve">28). </w:t>
      </w:r>
      <w:bookmarkStart w:id="8" w:name="_Hlk481160969"/>
      <w:r>
        <w:rPr>
          <w:rFonts w:ascii="Times New Roman" w:hAnsi="Times New Roman"/>
          <w:noProof/>
          <w:sz w:val="24"/>
        </w:rPr>
        <w:t xml:space="preserve">Auch wenn alle Mitgliedstaaten derzeit an ECRIS angeschlossen sind, </w:t>
      </w:r>
      <w:r>
        <w:rPr>
          <w:rFonts w:ascii="Times New Roman" w:hAnsi="Times New Roman"/>
          <w:b/>
          <w:noProof/>
          <w:sz w:val="24"/>
        </w:rPr>
        <w:t>tau</w:t>
      </w:r>
      <w:r>
        <w:rPr>
          <w:rFonts w:ascii="Times New Roman" w:hAnsi="Times New Roman"/>
          <w:b/>
          <w:noProof/>
          <w:sz w:val="24"/>
        </w:rPr>
        <w:t>scht keiner von ihnen Informationen über ECRIS mit allen anderen 27 Mitgliedstaaten aus</w:t>
      </w:r>
      <w:r>
        <w:rPr>
          <w:rFonts w:ascii="Times New Roman" w:hAnsi="Times New Roman"/>
          <w:noProof/>
          <w:sz w:val="24"/>
        </w:rPr>
        <w:t>.</w:t>
      </w:r>
      <w:r>
        <w:rPr>
          <w:rFonts w:ascii="Times New Roman" w:hAnsi="Times New Roman"/>
          <w:b/>
          <w:noProof/>
          <w:sz w:val="24"/>
        </w:rPr>
        <w:t xml:space="preserve"> </w:t>
      </w:r>
    </w:p>
    <w:bookmarkEnd w:id="8"/>
    <w:p w:rsidR="000A250D" w:rsidRDefault="00843FC1">
      <w:pPr>
        <w:jc w:val="both"/>
        <w:rPr>
          <w:rFonts w:ascii="Times New Roman" w:hAnsi="Times New Roman" w:cs="Times New Roman"/>
          <w:noProof/>
          <w:sz w:val="24"/>
          <w:szCs w:val="24"/>
        </w:rPr>
      </w:pPr>
      <w:r>
        <w:rPr>
          <w:rFonts w:ascii="Times New Roman" w:hAnsi="Times New Roman"/>
          <w:noProof/>
          <w:sz w:val="24"/>
        </w:rPr>
        <w:t>Das folgende Schaubild zeigt die Zahl der Verbindungen aufgeschlüsselt nach Mitgliedstaaten auf (Stand: April 2017).</w:t>
      </w:r>
    </w:p>
    <w:p w:rsidR="000A250D" w:rsidRDefault="00843FC1">
      <w:pPr>
        <w:jc w:val="center"/>
        <w:rPr>
          <w:rFonts w:ascii="Times New Roman" w:hAnsi="Times New Roman" w:cs="Times New Roman"/>
          <w:noProof/>
          <w:sz w:val="24"/>
          <w:szCs w:val="24"/>
        </w:rPr>
      </w:pPr>
      <w:r>
        <w:rPr>
          <w:noProof/>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1255505</wp:posOffset>
                </wp:positionH>
                <wp:positionV relativeFrom="paragraph">
                  <wp:posOffset>212394</wp:posOffset>
                </wp:positionV>
                <wp:extent cx="3552826" cy="342786"/>
                <wp:effectExtent l="0" t="0" r="0" b="0"/>
                <wp:wrapNone/>
                <wp:docPr id="5" name="TextBox 4"/>
                <wp:cNvGraphicFramePr/>
                <a:graphic xmlns:a="http://schemas.openxmlformats.org/drawingml/2006/main">
                  <a:graphicData uri="http://schemas.microsoft.com/office/word/2010/wordprocessingShape">
                    <wps:wsp>
                      <wps:cNvSpPr txBox="1"/>
                      <wps:spPr>
                        <a:xfrm>
                          <a:off x="0" y="0"/>
                          <a:ext cx="3552826" cy="34278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A250D" w:rsidRDefault="00843FC1">
                            <w:pPr>
                              <w:pStyle w:val="NormalWeb"/>
                              <w:spacing w:before="0" w:beforeAutospacing="0" w:after="0" w:afterAutospacing="0"/>
                            </w:pPr>
                            <w:r>
                              <w:rPr>
                                <w:rFonts w:asciiTheme="minorHAnsi" w:hAnsi="Calibri" w:cstheme="minorBidi"/>
                                <w:b/>
                                <w:bCs/>
                                <w:color w:val="000000" w:themeColor="text1"/>
                                <w:sz w:val="32"/>
                                <w:szCs w:val="32"/>
                              </w:rPr>
                              <w:t>Zahl der ECRIS-Partner (April 2017)</w:t>
                            </w:r>
                          </w:p>
                        </w:txbxContent>
                      </wps:txbx>
                      <wps:bodyPr vertOverflow="clip" horzOverflow="clip" wrap="square" rtlCol="0" anchor="t">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98.85pt;margin-top:16.7pt;width:279.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" filled="f" stroked="f">
                <v:textbox style="mso-fit-shape-to-text:t">
                  <w:txbxContent>
                    <w:p>
                      <w:pPr>
                        <w:pStyle w:val="NormalWeb"/>
                        <w:spacing w:before="0" w:beforeAutospacing="0" w:after="0" w:afterAutospacing="0"/>
                      </w:pPr>
                      <w:r>
                        <w:rPr>
                          <w:rFonts w:asciiTheme="minorHAnsi" w:hAnsi="Calibri" w:cstheme="minorBidi"/>
                          <w:b/>
                          <w:bCs/>
                          <w:color w:val="000000" w:themeColor="text1"/>
                          <w:sz w:val="32"/>
                          <w:szCs w:val="32"/>
                        </w:rPr>
                        <w:t>Zahl der ECRIS-Partner (April 2017)</w:t>
                      </w:r>
                    </w:p>
                  </w:txbxContent>
                </v:textbox>
              </v:shape>
            </w:pict>
          </mc:Fallback>
        </mc:AlternateContent>
      </w:r>
      <w:r>
        <w:rPr>
          <w:rFonts w:ascii="Times New Roman" w:hAnsi="Times New Roman" w:cs="Times New Roman"/>
          <w:noProof/>
          <w:sz w:val="24"/>
          <w:szCs w:val="24"/>
        </w:rPr>
        <w:t xml:space="preserve"> </w:t>
      </w:r>
      <w:r>
        <w:rPr>
          <w:noProof/>
          <w:lang w:val="en-GB" w:eastAsia="en-GB" w:bidi="ar-SA"/>
        </w:rPr>
        <w:drawing>
          <wp:inline distT="0" distB="0" distL="0" distR="0">
            <wp:extent cx="5550011" cy="31614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53231" cy="3163322"/>
                    </a:xfrm>
                    <a:prstGeom prst="rect">
                      <a:avLst/>
                    </a:prstGeom>
                  </pic:spPr>
                </pic:pic>
              </a:graphicData>
            </a:graphic>
          </wp:inline>
        </w:drawing>
      </w:r>
    </w:p>
    <w:p w:rsidR="000A250D" w:rsidRDefault="00843FC1">
      <w:pPr>
        <w:jc w:val="both"/>
        <w:rPr>
          <w:rFonts w:ascii="Times New Roman" w:hAnsi="Times New Roman" w:cs="Times New Roman"/>
          <w:noProof/>
          <w:sz w:val="24"/>
          <w:szCs w:val="24"/>
        </w:rPr>
      </w:pPr>
      <w:r>
        <w:rPr>
          <w:rFonts w:ascii="Times New Roman" w:hAnsi="Times New Roman"/>
          <w:noProof/>
          <w:sz w:val="24"/>
        </w:rPr>
        <w:t>Das ECR</w:t>
      </w:r>
      <w:r>
        <w:rPr>
          <w:rFonts w:ascii="Times New Roman" w:hAnsi="Times New Roman"/>
          <w:noProof/>
          <w:sz w:val="24"/>
        </w:rPr>
        <w:t xml:space="preserve">IS-System wurde 2012 mit 173 von 756 möglichen Verbindungen  lanciert (bei aktuell 28 Mitgliedstaaten). </w:t>
      </w:r>
      <w:bookmarkStart w:id="9" w:name="_Hlk481158260"/>
      <w:r>
        <w:rPr>
          <w:rFonts w:ascii="Times New Roman" w:hAnsi="Times New Roman"/>
          <w:noProof/>
          <w:sz w:val="24"/>
        </w:rPr>
        <w:t xml:space="preserve">Ende 2016, d. h. im fünften Jahr des Systembetriebs, gab es 575 Verbindungen, was </w:t>
      </w:r>
      <w:r>
        <w:rPr>
          <w:rFonts w:ascii="Times New Roman" w:hAnsi="Times New Roman"/>
          <w:b/>
          <w:noProof/>
          <w:sz w:val="24"/>
        </w:rPr>
        <w:t>76 % der Gesamtzahl der möglichen Verbindungen</w:t>
      </w:r>
      <w:r>
        <w:rPr>
          <w:rFonts w:ascii="Times New Roman" w:hAnsi="Times New Roman"/>
          <w:noProof/>
          <w:sz w:val="24"/>
        </w:rPr>
        <w:t xml:space="preserve"> und 88 % der operativen</w:t>
      </w:r>
      <w:r>
        <w:rPr>
          <w:rFonts w:ascii="Times New Roman" w:hAnsi="Times New Roman"/>
          <w:noProof/>
          <w:sz w:val="24"/>
        </w:rPr>
        <w:t xml:space="preserve"> Verbindungen entsprach (SI und PT waren zu diesem Zeitpunkt noch nicht mit dem System verbunden). Für die weitere Entwicklung der Verbindungen im Laufe der Jahre siehe Anhang, Abschnitt 1.1.</w:t>
      </w:r>
    </w:p>
    <w:p w:rsidR="000A250D" w:rsidRDefault="00843FC1">
      <w:pPr>
        <w:jc w:val="both"/>
        <w:rPr>
          <w:rFonts w:ascii="Times New Roman" w:hAnsi="Times New Roman" w:cs="Times New Roman"/>
          <w:noProof/>
          <w:sz w:val="24"/>
          <w:szCs w:val="24"/>
        </w:rPr>
      </w:pPr>
      <w:bookmarkStart w:id="10" w:name="_Hlk481160416"/>
      <w:r>
        <w:rPr>
          <w:rFonts w:ascii="Times New Roman" w:hAnsi="Times New Roman"/>
          <w:noProof/>
          <w:sz w:val="24"/>
        </w:rPr>
        <w:t>2017 erreichten vier Mitgliedstaaten (AT, ES, VK und IE) die höc</w:t>
      </w:r>
      <w:r>
        <w:rPr>
          <w:rFonts w:ascii="Times New Roman" w:hAnsi="Times New Roman"/>
          <w:noProof/>
          <w:sz w:val="24"/>
        </w:rPr>
        <w:t>hste Zahl der operativen Verbindungen (26).</w:t>
      </w:r>
    </w:p>
    <w:bookmarkEnd w:id="10"/>
    <w:p w:rsidR="000A250D" w:rsidRDefault="00843FC1">
      <w:pPr>
        <w:jc w:val="both"/>
        <w:rPr>
          <w:rFonts w:ascii="Times New Roman" w:hAnsi="Times New Roman" w:cs="Times New Roman"/>
          <w:noProof/>
          <w:sz w:val="24"/>
          <w:szCs w:val="24"/>
        </w:rPr>
      </w:pPr>
      <w:r>
        <w:rPr>
          <w:rFonts w:ascii="Times New Roman" w:hAnsi="Times New Roman"/>
          <w:noProof/>
          <w:sz w:val="24"/>
        </w:rPr>
        <w:t>Das eigentliche Ziel – dass jeder Mitgliedstaat über ECRIS verbunden ist und mit sämtlichen anderen Mitgliedstaaten Informationen austauscht – ist daher noch nicht erreicht.</w:t>
      </w:r>
    </w:p>
    <w:p w:rsidR="000A250D" w:rsidRDefault="00843FC1">
      <w:pPr>
        <w:jc w:val="both"/>
        <w:rPr>
          <w:rFonts w:ascii="Times New Roman" w:hAnsi="Times New Roman" w:cs="Times New Roman"/>
          <w:b/>
          <w:noProof/>
          <w:sz w:val="24"/>
          <w:szCs w:val="24"/>
        </w:rPr>
      </w:pPr>
      <w:bookmarkStart w:id="11" w:name="_Toc479267021"/>
      <w:bookmarkEnd w:id="9"/>
      <w:r>
        <w:rPr>
          <w:rFonts w:ascii="Times New Roman" w:hAnsi="Times New Roman"/>
          <w:b/>
          <w:smallCaps/>
          <w:noProof/>
          <w:sz w:val="24"/>
        </w:rPr>
        <w:t xml:space="preserve">3.2. </w:t>
      </w:r>
      <w:r>
        <w:rPr>
          <w:rFonts w:ascii="Times New Roman" w:hAnsi="Times New Roman"/>
          <w:b/>
          <w:noProof/>
          <w:sz w:val="24"/>
        </w:rPr>
        <w:t>Gesamtzahl der ausgetauschten Mel</w:t>
      </w:r>
      <w:r>
        <w:rPr>
          <w:rFonts w:ascii="Times New Roman" w:hAnsi="Times New Roman"/>
          <w:b/>
          <w:noProof/>
          <w:sz w:val="24"/>
        </w:rPr>
        <w:t>dungen</w:t>
      </w:r>
      <w:bookmarkEnd w:id="11"/>
    </w:p>
    <w:p w:rsidR="000A250D" w:rsidRDefault="00843FC1">
      <w:pPr>
        <w:jc w:val="both"/>
        <w:rPr>
          <w:rFonts w:ascii="Times New Roman" w:hAnsi="Times New Roman" w:cs="Times New Roman"/>
          <w:noProof/>
          <w:sz w:val="24"/>
          <w:szCs w:val="24"/>
        </w:rPr>
      </w:pPr>
      <w:r>
        <w:rPr>
          <w:rFonts w:ascii="Times New Roman" w:hAnsi="Times New Roman"/>
          <w:noProof/>
          <w:sz w:val="24"/>
        </w:rPr>
        <w:t>Die nachstehende Graphik veranschaulicht die rasch steigende jährliche Zahl der zwischen den angeschlossenen Mitgliedstaaten ausgetauschten Meldungen seit der Inbetriebnahme von ECRIS im April 2012 bis zum 31. Dezember 2016. Bei der Analyse der Date</w:t>
      </w:r>
      <w:r>
        <w:rPr>
          <w:rFonts w:ascii="Times New Roman" w:hAnsi="Times New Roman"/>
          <w:noProof/>
          <w:sz w:val="24"/>
        </w:rPr>
        <w:t>n für 2012, ist zu bedenken, dass nur eine achtmonatige Tätigkeit in diesem Jahr berücksichtigt wurde.</w:t>
      </w:r>
    </w:p>
    <w:p w:rsidR="000A250D" w:rsidRDefault="00843FC1">
      <w:pPr>
        <w:jc w:val="center"/>
        <w:rPr>
          <w:rFonts w:ascii="Times New Roman" w:hAnsi="Times New Roman" w:cs="Times New Roman"/>
          <w:noProof/>
          <w:sz w:val="24"/>
          <w:szCs w:val="24"/>
          <w:highlight w:val="yellow"/>
        </w:rPr>
      </w:pPr>
      <w:r>
        <w:rPr>
          <w:noProof/>
          <w:lang w:val="en-GB" w:eastAsia="en-GB" w:bidi="ar-SA"/>
        </w:rPr>
        <w:drawing>
          <wp:inline distT="0" distB="0" distL="0" distR="0">
            <wp:extent cx="4381169" cy="2646732"/>
            <wp:effectExtent l="0" t="0" r="63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471" cy="2646914"/>
                    </a:xfrm>
                    <a:prstGeom prst="rect">
                      <a:avLst/>
                    </a:prstGeom>
                    <a:noFill/>
                    <a:ln>
                      <a:noFill/>
                    </a:ln>
                  </pic:spPr>
                </pic:pic>
              </a:graphicData>
            </a:graphic>
          </wp:inline>
        </w:drawing>
      </w:r>
    </w:p>
    <w:p w:rsidR="000A250D" w:rsidRDefault="00843FC1">
      <w:pPr>
        <w:jc w:val="both"/>
        <w:rPr>
          <w:rFonts w:ascii="Times New Roman" w:hAnsi="Times New Roman" w:cs="Times New Roman"/>
          <w:noProof/>
          <w:sz w:val="24"/>
          <w:szCs w:val="24"/>
        </w:rPr>
      </w:pPr>
      <w:bookmarkStart w:id="12" w:name="_Hlk481162649"/>
      <w:bookmarkStart w:id="13" w:name="_Hlk481160518"/>
      <w:r>
        <w:rPr>
          <w:rFonts w:ascii="Times New Roman" w:hAnsi="Times New Roman"/>
          <w:noProof/>
          <w:sz w:val="24"/>
        </w:rPr>
        <w:t xml:space="preserve">Von den 300 000 ausgetauschten Meldungen aus allen verbundenen Mitgliedstaaten bis Ende 2012 stieg die Zahl auf fast </w:t>
      </w:r>
      <w:r>
        <w:rPr>
          <w:rFonts w:ascii="Times New Roman" w:hAnsi="Times New Roman"/>
          <w:b/>
          <w:noProof/>
          <w:sz w:val="24"/>
        </w:rPr>
        <w:t>2 Mio. im Jahr 2016</w:t>
      </w:r>
      <w:r>
        <w:rPr>
          <w:rFonts w:ascii="Times New Roman" w:hAnsi="Times New Roman"/>
          <w:noProof/>
          <w:sz w:val="24"/>
        </w:rPr>
        <w:t xml:space="preserve"> mit </w:t>
      </w:r>
      <w:r>
        <w:rPr>
          <w:rFonts w:ascii="Times New Roman" w:hAnsi="Times New Roman"/>
          <w:b/>
          <w:noProof/>
          <w:sz w:val="24"/>
        </w:rPr>
        <w:t>durchschnittlich 165 000 Meldungen pro Monat</w:t>
      </w:r>
      <w:r>
        <w:rPr>
          <w:rFonts w:ascii="Times New Roman" w:hAnsi="Times New Roman"/>
          <w:noProof/>
          <w:sz w:val="24"/>
        </w:rPr>
        <w:t>.</w:t>
      </w:r>
      <w:bookmarkEnd w:id="12"/>
      <w:r>
        <w:rPr>
          <w:rFonts w:ascii="Times New Roman" w:hAnsi="Times New Roman"/>
          <w:noProof/>
          <w:sz w:val="24"/>
        </w:rPr>
        <w:t xml:space="preserve"> Diese Daten beinhalten alle Arten von Meldungen: Mitteilungen, Aktualisierungen, Ersuchen, Antworten, Ablehnungen, andere Antworten, Austausch zusätzlicher Informationen usw. </w:t>
      </w:r>
    </w:p>
    <w:p w:rsidR="000A250D" w:rsidRDefault="00843FC1">
      <w:pPr>
        <w:jc w:val="both"/>
        <w:rPr>
          <w:rFonts w:ascii="Times New Roman" w:hAnsi="Times New Roman" w:cs="Times New Roman"/>
          <w:noProof/>
          <w:sz w:val="24"/>
          <w:szCs w:val="24"/>
        </w:rPr>
      </w:pPr>
      <w:r>
        <w:rPr>
          <w:rFonts w:ascii="Times New Roman" w:hAnsi="Times New Roman"/>
          <w:noProof/>
          <w:sz w:val="24"/>
        </w:rPr>
        <w:t>Die nachfolgende Grafik verdeutlic</w:t>
      </w:r>
      <w:r>
        <w:rPr>
          <w:rFonts w:ascii="Times New Roman" w:hAnsi="Times New Roman"/>
          <w:noProof/>
          <w:sz w:val="24"/>
        </w:rPr>
        <w:t xml:space="preserve">ht die Entwicklung der Mitteilungen, Ersuchen und Antworten auf Ersuchen während des fünfjährigen ECRIS-Betriebs. Berücksichtigt wurden lediglich Mitteilungen über neue Verurteilungen (ohne Aktualisierungen). Die Antworten umfassen Antworten auf Ersuchen, </w:t>
      </w:r>
      <w:r>
        <w:rPr>
          <w:rFonts w:ascii="Times New Roman" w:hAnsi="Times New Roman"/>
          <w:noProof/>
          <w:sz w:val="24"/>
        </w:rPr>
        <w:t>Ablehnungen und sonstige Antworten</w:t>
      </w:r>
      <w:r>
        <w:rPr>
          <w:rStyle w:val="FootnoteReference"/>
          <w:rFonts w:ascii="Times New Roman" w:hAnsi="Times New Roman"/>
          <w:noProof/>
          <w:sz w:val="24"/>
        </w:rPr>
        <w:footnoteReference w:id="10"/>
      </w:r>
      <w:r>
        <w:rPr>
          <w:rFonts w:ascii="Times New Roman" w:hAnsi="Times New Roman"/>
          <w:noProof/>
          <w:sz w:val="24"/>
        </w:rPr>
        <w:t xml:space="preserve">. </w:t>
      </w:r>
    </w:p>
    <w:p w:rsidR="000A250D" w:rsidRDefault="00843FC1">
      <w:pPr>
        <w:jc w:val="center"/>
        <w:rPr>
          <w:rFonts w:ascii="Times New Roman" w:hAnsi="Times New Roman" w:cs="Times New Roman"/>
          <w:noProof/>
          <w:sz w:val="24"/>
          <w:szCs w:val="24"/>
          <w:highlight w:val="yellow"/>
        </w:rPr>
      </w:pPr>
      <w:r>
        <w:rPr>
          <w:noProof/>
          <w:lang w:val="en-GB" w:eastAsia="en-GB" w:bidi="ar-SA"/>
        </w:rPr>
        <w:drawing>
          <wp:inline distT="0" distB="0" distL="0" distR="0">
            <wp:extent cx="5760085" cy="28825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2882577"/>
                    </a:xfrm>
                    <a:prstGeom prst="rect">
                      <a:avLst/>
                    </a:prstGeom>
                    <a:noFill/>
                    <a:ln>
                      <a:noFill/>
                    </a:ln>
                  </pic:spPr>
                </pic:pic>
              </a:graphicData>
            </a:graphic>
          </wp:inline>
        </w:drawing>
      </w:r>
    </w:p>
    <w:p w:rsidR="000A250D" w:rsidRDefault="00843FC1">
      <w:pPr>
        <w:jc w:val="both"/>
        <w:rPr>
          <w:rFonts w:ascii="Times New Roman" w:hAnsi="Times New Roman" w:cs="Times New Roman"/>
          <w:noProof/>
          <w:sz w:val="24"/>
          <w:szCs w:val="24"/>
        </w:rPr>
      </w:pPr>
      <w:bookmarkStart w:id="14" w:name="_Hlk481162482"/>
      <w:r>
        <w:rPr>
          <w:rFonts w:ascii="Times New Roman" w:hAnsi="Times New Roman"/>
          <w:noProof/>
          <w:sz w:val="24"/>
        </w:rPr>
        <w:t xml:space="preserve">Derzeit belaufen sich die </w:t>
      </w:r>
      <w:r>
        <w:rPr>
          <w:rFonts w:ascii="Times New Roman" w:hAnsi="Times New Roman"/>
          <w:b/>
          <w:noProof/>
          <w:sz w:val="24"/>
        </w:rPr>
        <w:t xml:space="preserve"> Mitteilungen, Ersuchen und Antworten</w:t>
      </w:r>
      <w:r>
        <w:rPr>
          <w:rFonts w:ascii="Times New Roman" w:hAnsi="Times New Roman"/>
          <w:noProof/>
          <w:sz w:val="24"/>
        </w:rPr>
        <w:t xml:space="preserve"> </w:t>
      </w:r>
      <w:r>
        <w:rPr>
          <w:rFonts w:ascii="Times New Roman" w:hAnsi="Times New Roman"/>
          <w:b/>
          <w:noProof/>
          <w:sz w:val="24"/>
        </w:rPr>
        <w:t>auf Ersuchen</w:t>
      </w:r>
      <w:r>
        <w:rPr>
          <w:rFonts w:ascii="Times New Roman" w:hAnsi="Times New Roman"/>
          <w:noProof/>
          <w:sz w:val="24"/>
        </w:rPr>
        <w:t xml:space="preserve"> auf rund </w:t>
      </w:r>
      <w:r>
        <w:rPr>
          <w:rFonts w:ascii="Times New Roman" w:hAnsi="Times New Roman"/>
          <w:b/>
          <w:noProof/>
          <w:sz w:val="24"/>
        </w:rPr>
        <w:t>350 000</w:t>
      </w:r>
      <w:r>
        <w:rPr>
          <w:rFonts w:ascii="Times New Roman" w:hAnsi="Times New Roman"/>
          <w:noProof/>
          <w:sz w:val="24"/>
        </w:rPr>
        <w:t xml:space="preserve"> pro Jahr in</w:t>
      </w:r>
      <w:r>
        <w:rPr>
          <w:rFonts w:ascii="Times New Roman" w:hAnsi="Times New Roman"/>
          <w:b/>
          <w:noProof/>
          <w:sz w:val="24"/>
        </w:rPr>
        <w:t xml:space="preserve"> jeder Kategorie.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Seit 2014 wurde bei 25 verbundenen Mitgliedstaaten </w:t>
      </w:r>
      <w:r>
        <w:rPr>
          <w:rFonts w:ascii="Times New Roman" w:hAnsi="Times New Roman"/>
          <w:b/>
          <w:noProof/>
          <w:sz w:val="24"/>
        </w:rPr>
        <w:t xml:space="preserve">eine allmähliche Stabilisierung der Zahl </w:t>
      </w:r>
      <w:r>
        <w:rPr>
          <w:rFonts w:ascii="Times New Roman" w:hAnsi="Times New Roman"/>
          <w:b/>
          <w:noProof/>
          <w:sz w:val="24"/>
        </w:rPr>
        <w:t>der Mitteilungen über neue Verurteilungen</w:t>
      </w:r>
      <w:r>
        <w:rPr>
          <w:rFonts w:ascii="Times New Roman" w:hAnsi="Times New Roman"/>
          <w:noProof/>
          <w:sz w:val="24"/>
        </w:rPr>
        <w:t xml:space="preserve"> festgestellt. Anfänglich wurde beim Beitritt neuer Mitgliedstaaten im Netz und der Schaffung weiterer Verbindungen ein erheblicher Anstieg verzeichnet. Da die Verbindungen bald 100 % erreichen dürften, dürfte diese</w:t>
      </w:r>
      <w:r>
        <w:rPr>
          <w:rFonts w:ascii="Times New Roman" w:hAnsi="Times New Roman"/>
          <w:noProof/>
          <w:sz w:val="24"/>
        </w:rPr>
        <w:t xml:space="preserve"> Zahl unabhängig von der Verurteilungsquote weiter steigen.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Demgegenüber steigt die </w:t>
      </w:r>
      <w:r>
        <w:rPr>
          <w:rFonts w:ascii="Times New Roman" w:hAnsi="Times New Roman"/>
          <w:b/>
          <w:noProof/>
          <w:sz w:val="24"/>
        </w:rPr>
        <w:t>Zahl der Informationsersuchen</w:t>
      </w:r>
      <w:r>
        <w:rPr>
          <w:rFonts w:ascii="Times New Roman" w:hAnsi="Times New Roman"/>
          <w:noProof/>
          <w:sz w:val="24"/>
        </w:rPr>
        <w:t xml:space="preserve"> und der damit verbundenen Antworten auf Ersuchen </w:t>
      </w:r>
      <w:r>
        <w:rPr>
          <w:rFonts w:ascii="Times New Roman" w:hAnsi="Times New Roman"/>
          <w:b/>
          <w:noProof/>
          <w:sz w:val="24"/>
        </w:rPr>
        <w:t>rapide</w:t>
      </w:r>
      <w:r>
        <w:rPr>
          <w:rFonts w:ascii="Times New Roman" w:hAnsi="Times New Roman"/>
          <w:noProof/>
          <w:sz w:val="24"/>
        </w:rPr>
        <w:t>. Dies ist ein positives Zeichen für eine zunehmende Sensibilisierung der Mitgliedstaa</w:t>
      </w:r>
      <w:r>
        <w:rPr>
          <w:rFonts w:ascii="Times New Roman" w:hAnsi="Times New Roman"/>
          <w:noProof/>
          <w:sz w:val="24"/>
        </w:rPr>
        <w:t>ten, auf ECRIS zurückzugreifen, wenn bei Strafverfahren Informationen angefordert werden, um früheren Verurteilungen im Einklang mit dem Rahmenbeschluss 2008/675/JI Rechnung zu tragen. Auch die zunehmende Zahl von Informationsersuchen zu anderen Zwecken al</w:t>
      </w:r>
      <w:r>
        <w:rPr>
          <w:rFonts w:ascii="Times New Roman" w:hAnsi="Times New Roman"/>
          <w:noProof/>
          <w:sz w:val="24"/>
        </w:rPr>
        <w:t>s Strafverfahren (z. B. Einstellungen, insbesondere auf Positionen, bei denen ein regelmäßiger Kontakt mit Kindern besteht und wo die Richtlinie 2011/93/EU greift), trägt zu diesem positiven Trend bei.</w:t>
      </w:r>
    </w:p>
    <w:p w:rsidR="000A250D" w:rsidRDefault="00843FC1">
      <w:pPr>
        <w:jc w:val="both"/>
        <w:rPr>
          <w:rFonts w:ascii="Times New Roman" w:hAnsi="Times New Roman" w:cs="Times New Roman"/>
          <w:b/>
          <w:noProof/>
          <w:sz w:val="24"/>
          <w:szCs w:val="24"/>
        </w:rPr>
      </w:pPr>
      <w:bookmarkStart w:id="15" w:name="_Toc479267022"/>
      <w:bookmarkEnd w:id="13"/>
      <w:bookmarkEnd w:id="14"/>
      <w:r>
        <w:rPr>
          <w:rFonts w:ascii="Times New Roman" w:hAnsi="Times New Roman"/>
          <w:b/>
          <w:noProof/>
          <w:sz w:val="24"/>
        </w:rPr>
        <w:t xml:space="preserve">3.3. Zahl der Mitteilungen, Ersuchen und </w:t>
      </w:r>
      <w:bookmarkEnd w:id="15"/>
      <w:r>
        <w:rPr>
          <w:rFonts w:ascii="Times New Roman" w:hAnsi="Times New Roman"/>
          <w:b/>
          <w:noProof/>
          <w:sz w:val="24"/>
        </w:rPr>
        <w:t>Antworten pro</w:t>
      </w:r>
      <w:r>
        <w:rPr>
          <w:rFonts w:ascii="Times New Roman" w:hAnsi="Times New Roman"/>
          <w:b/>
          <w:noProof/>
          <w:sz w:val="24"/>
        </w:rPr>
        <w:t xml:space="preserve"> Mitgliedstaat</w:t>
      </w:r>
    </w:p>
    <w:p w:rsidR="000A250D" w:rsidRDefault="00843FC1">
      <w:pPr>
        <w:jc w:val="both"/>
        <w:rPr>
          <w:rFonts w:ascii="Times New Roman" w:hAnsi="Times New Roman" w:cs="Times New Roman"/>
          <w:noProof/>
          <w:sz w:val="24"/>
          <w:szCs w:val="24"/>
        </w:rPr>
      </w:pPr>
      <w:r>
        <w:rPr>
          <w:rFonts w:ascii="Times New Roman" w:hAnsi="Times New Roman"/>
          <w:noProof/>
          <w:sz w:val="24"/>
        </w:rPr>
        <w:t>Die nachfolgende Grafik veranschaulicht die Zahl der übermittelten Mitteilungen über neue Verurteilungen, übermittelten Informationsersuchen und übermittelten Antworten für alle verbundenen Mitgliedstaaten im Jahr 2016. Für die Jahre 2014 un</w:t>
      </w:r>
      <w:r>
        <w:rPr>
          <w:rFonts w:ascii="Times New Roman" w:hAnsi="Times New Roman"/>
          <w:noProof/>
          <w:sz w:val="24"/>
        </w:rPr>
        <w:t>d 2015 siehe Anhang, Abschnitt 1.2.</w:t>
      </w:r>
    </w:p>
    <w:p w:rsidR="000A250D" w:rsidRDefault="00843FC1">
      <w:pPr>
        <w:rPr>
          <w:rFonts w:ascii="Times New Roman" w:hAnsi="Times New Roman" w:cs="Times New Roman"/>
          <w:noProof/>
          <w:sz w:val="24"/>
          <w:szCs w:val="24"/>
        </w:rPr>
      </w:pPr>
      <w:r>
        <w:rPr>
          <w:noProof/>
          <w:lang w:val="en-GB" w:eastAsia="en-GB" w:bidi="ar-SA"/>
        </w:rPr>
        <mc:AlternateContent>
          <mc:Choice Requires="wps">
            <w:drawing>
              <wp:anchor distT="0" distB="0" distL="114300" distR="114300" simplePos="0" relativeHeight="251661312" behindDoc="0" locked="0" layoutInCell="1" allowOverlap="1">
                <wp:simplePos x="0" y="0"/>
                <wp:positionH relativeFrom="column">
                  <wp:posOffset>603250</wp:posOffset>
                </wp:positionH>
                <wp:positionV relativeFrom="paragraph">
                  <wp:posOffset>134371</wp:posOffset>
                </wp:positionV>
                <wp:extent cx="7347461" cy="405432"/>
                <wp:effectExtent l="0" t="0" r="0" b="0"/>
                <wp:wrapNone/>
                <wp:docPr id="18" name="TextBox 4"/>
                <wp:cNvGraphicFramePr/>
                <a:graphic xmlns:a="http://schemas.openxmlformats.org/drawingml/2006/main">
                  <a:graphicData uri="http://schemas.microsoft.com/office/word/2010/wordprocessingShape">
                    <wps:wsp>
                      <wps:cNvSpPr txBox="1"/>
                      <wps:spPr>
                        <a:xfrm>
                          <a:off x="0" y="0"/>
                          <a:ext cx="7347461" cy="40543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A250D" w:rsidRDefault="00843FC1">
                            <w:pPr>
                              <w:pStyle w:val="NormalWeb"/>
                              <w:spacing w:before="0" w:beforeAutospacing="0" w:after="0" w:afterAutospacing="0"/>
                              <w:jc w:val="center"/>
                            </w:pPr>
                            <w:r>
                              <w:rPr>
                                <w:rFonts w:asciiTheme="minorHAnsi" w:hAnsi="Calibri" w:cstheme="minorBidi"/>
                                <w:b/>
                                <w:bCs/>
                                <w:color w:val="000000" w:themeColor="text1"/>
                              </w:rPr>
                              <w:t>Mitteilungen,  Ersuchen und Antworten der Mitgliedstaaten 2016</w:t>
                            </w:r>
                          </w:p>
                        </w:txbxContent>
                      </wps:txbx>
                      <wps:bodyPr vertOverflow="clip" horzOverflow="clip" wrap="none" rtlCol="0" anchor="t">
                        <a:spAutoFit/>
                      </wps:bodyPr>
                    </wps:wsp>
                  </a:graphicData>
                </a:graphic>
              </wp:anchor>
            </w:drawing>
          </mc:Choice>
          <mc:Fallback>
            <w:pict>
              <v:shape id="_x0000_s1027" type="#_x0000_t202" style="position:absolute;margin-left:47.5pt;margin-top:10.6pt;width:578.55pt;height:31.9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" filled="f" stroked="f">
                <v:textbox style="mso-fit-shape-to-text:t">
                  <w:txbxContent>
                    <w:p>
                      <w:pPr>
                        <w:pStyle w:val="NormalWeb"/>
                        <w:spacing w:before="0" w:beforeAutospacing="0" w:after="0" w:afterAutospacing="0"/>
                        <w:jc w:val="center"/>
                      </w:pPr>
                      <w:r>
                        <w:rPr>
                          <w:rFonts w:asciiTheme="minorHAnsi" w:hAnsi="Calibri" w:cstheme="minorBidi"/>
                          <w:b/>
                          <w:bCs/>
                          <w:color w:val="000000" w:themeColor="text1"/>
                        </w:rPr>
                        <w:t>Mitteilungen,  Ersuchen und Antworten der Mitgliedstaaten 2016</w:t>
                      </w:r>
                    </w:p>
                  </w:txbxContent>
                </v:textbox>
              </v:shape>
            </w:pict>
          </mc:Fallback>
        </mc:AlternateContent>
      </w:r>
      <w:r>
        <w:rPr>
          <w:rFonts w:ascii="Times New Roman" w:hAnsi="Times New Roman" w:cs="Times New Roman"/>
          <w:noProof/>
          <w:sz w:val="24"/>
          <w:szCs w:val="24"/>
        </w:rPr>
        <w:t xml:space="preserve"> </w:t>
      </w:r>
      <w:r>
        <w:rPr>
          <w:noProof/>
          <w:lang w:val="en-GB" w:eastAsia="en-GB" w:bidi="ar-SA"/>
        </w:rPr>
        <w:drawing>
          <wp:inline distT="0" distB="0" distL="0" distR="0">
            <wp:extent cx="5760085" cy="3691451"/>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085" cy="3691451"/>
                    </a:xfrm>
                    <a:prstGeom prst="rect">
                      <a:avLst/>
                    </a:prstGeom>
                  </pic:spPr>
                </pic:pic>
              </a:graphicData>
            </a:graphic>
          </wp:inline>
        </w:drawing>
      </w:r>
    </w:p>
    <w:p w:rsidR="000A250D" w:rsidRDefault="00843FC1">
      <w:pPr>
        <w:jc w:val="both"/>
        <w:rPr>
          <w:rFonts w:ascii="Times New Roman" w:hAnsi="Times New Roman" w:cs="Times New Roman"/>
          <w:noProof/>
          <w:sz w:val="24"/>
          <w:szCs w:val="24"/>
        </w:rPr>
      </w:pPr>
      <w:bookmarkStart w:id="16" w:name="_Hlk481161857"/>
      <w:bookmarkStart w:id="17" w:name="_Hlk481162724"/>
      <w:r>
        <w:rPr>
          <w:rFonts w:ascii="Times New Roman" w:hAnsi="Times New Roman"/>
          <w:noProof/>
          <w:sz w:val="24"/>
        </w:rPr>
        <w:t>Die aktivsten Mitgliedstaaten in Bezug auf die Gesamtzahl bei der Übermittlung dieser drei Arten von Meldungen</w:t>
      </w:r>
      <w:r>
        <w:rPr>
          <w:rStyle w:val="FootnoteReference"/>
          <w:rFonts w:ascii="Times New Roman" w:hAnsi="Times New Roman"/>
          <w:noProof/>
          <w:sz w:val="24"/>
        </w:rPr>
        <w:footnoteReference w:id="11"/>
      </w:r>
      <w:r>
        <w:rPr>
          <w:rFonts w:ascii="Times New Roman" w:hAnsi="Times New Roman"/>
          <w:noProof/>
          <w:sz w:val="24"/>
        </w:rPr>
        <w:t xml:space="preserve"> 2016 waren:</w:t>
      </w:r>
    </w:p>
    <w:p w:rsidR="000A250D" w:rsidRDefault="00843FC1">
      <w:pPr>
        <w:jc w:val="both"/>
        <w:rPr>
          <w:rFonts w:ascii="Times New Roman" w:hAnsi="Times New Roman" w:cs="Times New Roman"/>
          <w:noProof/>
          <w:sz w:val="24"/>
          <w:szCs w:val="24"/>
        </w:rPr>
      </w:pPr>
      <w:r>
        <w:rPr>
          <w:rFonts w:ascii="Times New Roman" w:hAnsi="Times New Roman"/>
          <w:noProof/>
          <w:sz w:val="24"/>
        </w:rPr>
        <w:t>- 2016: DE (24,9 %) gefolgt</w:t>
      </w:r>
      <w:r>
        <w:rPr>
          <w:rFonts w:ascii="Times New Roman" w:hAnsi="Times New Roman"/>
          <w:noProof/>
          <w:sz w:val="24"/>
        </w:rPr>
        <w:t xml:space="preserve"> vom VK (13,7 %), IT (7,7 %), PL (6,6 %) und RO (5,5 %).</w:t>
      </w:r>
    </w:p>
    <w:p w:rsidR="000A250D" w:rsidRDefault="00843FC1">
      <w:pPr>
        <w:jc w:val="both"/>
        <w:rPr>
          <w:rFonts w:ascii="Times New Roman" w:hAnsi="Times New Roman" w:cs="Times New Roman"/>
          <w:noProof/>
          <w:sz w:val="24"/>
          <w:szCs w:val="24"/>
        </w:rPr>
      </w:pPr>
      <w:r>
        <w:rPr>
          <w:rFonts w:ascii="Times New Roman" w:hAnsi="Times New Roman"/>
          <w:noProof/>
          <w:sz w:val="24"/>
        </w:rPr>
        <w:t>- 2015: DE (25,6 %) gefolgt vom VK (14,7 %), IT (9,1 %), PL (7,0 %) und RO (5,6 %).</w:t>
      </w:r>
    </w:p>
    <w:bookmarkEnd w:id="16"/>
    <w:p w:rsidR="000A250D" w:rsidRDefault="00843FC1">
      <w:pPr>
        <w:jc w:val="both"/>
        <w:rPr>
          <w:rFonts w:ascii="Times New Roman" w:hAnsi="Times New Roman" w:cs="Times New Roman"/>
          <w:noProof/>
          <w:sz w:val="24"/>
          <w:szCs w:val="24"/>
        </w:rPr>
      </w:pPr>
      <w:r>
        <w:rPr>
          <w:rFonts w:ascii="Times New Roman" w:hAnsi="Times New Roman"/>
          <w:noProof/>
          <w:sz w:val="24"/>
        </w:rPr>
        <w:t>- 2014: DE (28,7 %), gefolgt von IT (10,9 %), VK (9,7 %), FR (8,3 %) und PL (6,8 %).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Die Zahlen zeigen </w:t>
      </w:r>
      <w:r>
        <w:rPr>
          <w:rFonts w:ascii="Times New Roman" w:hAnsi="Times New Roman"/>
          <w:b/>
          <w:noProof/>
          <w:sz w:val="24"/>
        </w:rPr>
        <w:t>erhebliche U</w:t>
      </w:r>
      <w:r>
        <w:rPr>
          <w:rFonts w:ascii="Times New Roman" w:hAnsi="Times New Roman"/>
          <w:b/>
          <w:noProof/>
          <w:sz w:val="24"/>
        </w:rPr>
        <w:t>nterschiede zwischen den ECRIS-Tätigkeiten der einzelnen Mitgliedstaaten und der Arbeitsbelastung</w:t>
      </w:r>
      <w:r>
        <w:rPr>
          <w:rFonts w:ascii="Times New Roman" w:hAnsi="Times New Roman"/>
          <w:noProof/>
          <w:sz w:val="24"/>
        </w:rPr>
        <w:t>.</w:t>
      </w:r>
    </w:p>
    <w:bookmarkEnd w:id="17"/>
    <w:p w:rsidR="000A250D" w:rsidRDefault="00843FC1">
      <w:pPr>
        <w:jc w:val="both"/>
        <w:rPr>
          <w:rFonts w:ascii="Times New Roman" w:hAnsi="Times New Roman" w:cs="Times New Roman"/>
          <w:noProof/>
          <w:sz w:val="24"/>
          <w:szCs w:val="24"/>
        </w:rPr>
      </w:pPr>
      <w:r>
        <w:rPr>
          <w:rFonts w:ascii="Times New Roman" w:hAnsi="Times New Roman"/>
          <w:noProof/>
          <w:sz w:val="24"/>
        </w:rPr>
        <w:t>Einige Mitgliedstaaten fordern wesentlich öfter Informationen an, als sie Informationsersuchen erhalten haben: 2016 galt dies für DE, VK, AT und CZ. Andere M</w:t>
      </w:r>
      <w:r>
        <w:rPr>
          <w:rFonts w:ascii="Times New Roman" w:hAnsi="Times New Roman"/>
          <w:noProof/>
          <w:sz w:val="24"/>
        </w:rPr>
        <w:t>itgliedstaaten sehen sich einer erheblichen Arbeitsbelastung bei der Beantwortung von Ersuchen gegenüber, obwohl sie selbst weniger Ersuchen übermitteln: PL, RO, SK, LT, IT, BG, LV, HU, HR, IE, EL, EE. Die Arbeitsbelastung für einige andere Mitgliedstaaten</w:t>
      </w:r>
      <w:r>
        <w:rPr>
          <w:rFonts w:ascii="Times New Roman" w:hAnsi="Times New Roman"/>
          <w:noProof/>
          <w:sz w:val="24"/>
        </w:rPr>
        <w:t xml:space="preserve"> ergibt sich überwiegend aus der Übermittlung einer hohen Zahl von Mitteilungen über neue Verurteilungen an die Mitgliedstaaten der Staatsangehörigkeit des Straftäters bei gleichzeitiger Übermittlung weniger Ersuchen von eigener Seite: IT, BE, ES, FR, CY.</w:t>
      </w:r>
    </w:p>
    <w:p w:rsidR="000A250D" w:rsidRDefault="00843FC1">
      <w:pPr>
        <w:jc w:val="both"/>
        <w:rPr>
          <w:rFonts w:ascii="Times New Roman" w:hAnsi="Times New Roman" w:cs="Times New Roman"/>
          <w:b/>
          <w:noProof/>
          <w:sz w:val="24"/>
          <w:szCs w:val="24"/>
        </w:rPr>
      </w:pPr>
      <w:r>
        <w:rPr>
          <w:rFonts w:ascii="Times New Roman" w:hAnsi="Times New Roman"/>
          <w:b/>
          <w:noProof/>
          <w:sz w:val="24"/>
        </w:rPr>
        <w:t>3.4. Mitteilungen</w:t>
      </w:r>
    </w:p>
    <w:p w:rsidR="000A250D" w:rsidRDefault="00843FC1">
      <w:pPr>
        <w:jc w:val="both"/>
        <w:rPr>
          <w:rFonts w:ascii="Times New Roman" w:hAnsi="Times New Roman" w:cs="Times New Roman"/>
          <w:noProof/>
          <w:sz w:val="24"/>
          <w:szCs w:val="24"/>
        </w:rPr>
      </w:pPr>
      <w:r>
        <w:rPr>
          <w:rFonts w:ascii="Times New Roman" w:hAnsi="Times New Roman"/>
          <w:noProof/>
          <w:sz w:val="24"/>
        </w:rPr>
        <w:t>Die nachfolgende Grafik veranschaulicht die Zahl der Mitteilungen seitens aller verbundenen Mitgliedstaaten im Jahr 2016, aufgeschlüsselt nach Mitteilungen über neue Verurteilungen und Mitteilungen zur Aktualisierung der bereits übermitte</w:t>
      </w:r>
      <w:r>
        <w:rPr>
          <w:rFonts w:ascii="Times New Roman" w:hAnsi="Times New Roman"/>
          <w:noProof/>
          <w:sz w:val="24"/>
        </w:rPr>
        <w:t>lten Mitteilungen. Für die Jahre 2014 und 2015 siehe Anhang, Abschnitt 1.3.</w:t>
      </w:r>
    </w:p>
    <w:bookmarkStart w:id="18" w:name="_Hlk481001185"/>
    <w:p w:rsidR="000A250D" w:rsidRDefault="00843FC1">
      <w:pPr>
        <w:rPr>
          <w:rStyle w:val="CommentReference"/>
          <w:rFonts w:ascii="Times New Roman" w:hAnsi="Times New Roman" w:cs="Times New Roman"/>
          <w:noProof/>
          <w:sz w:val="24"/>
          <w:szCs w:val="24"/>
        </w:rPr>
      </w:pPr>
      <w:r>
        <w:rPr>
          <w:noProof/>
          <w:lang w:val="en-GB" w:eastAsia="en-GB" w:bidi="ar-SA"/>
        </w:rPr>
        <mc:AlternateContent>
          <mc:Choice Requires="wps">
            <w:drawing>
              <wp:anchor distT="0" distB="0" distL="114300" distR="114300" simplePos="0" relativeHeight="251663360" behindDoc="0" locked="0" layoutInCell="1" allowOverlap="1">
                <wp:simplePos x="0" y="0"/>
                <wp:positionH relativeFrom="column">
                  <wp:posOffset>1732611</wp:posOffset>
                </wp:positionH>
                <wp:positionV relativeFrom="paragraph">
                  <wp:posOffset>103119</wp:posOffset>
                </wp:positionV>
                <wp:extent cx="3940986" cy="342589"/>
                <wp:effectExtent l="0" t="0" r="0" b="0"/>
                <wp:wrapNone/>
                <wp:docPr id="23" name="TextBox 2"/>
                <wp:cNvGraphicFramePr/>
                <a:graphic xmlns:a="http://schemas.openxmlformats.org/drawingml/2006/main">
                  <a:graphicData uri="http://schemas.microsoft.com/office/word/2010/wordprocessingShape">
                    <wps:wsp>
                      <wps:cNvSpPr txBox="1"/>
                      <wps:spPr>
                        <a:xfrm>
                          <a:off x="0" y="0"/>
                          <a:ext cx="3940986" cy="342589"/>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A250D" w:rsidRDefault="00843FC1">
                            <w:pPr>
                              <w:pStyle w:val="NormalWeb"/>
                              <w:spacing w:before="0" w:beforeAutospacing="0" w:after="0" w:afterAutospacing="0"/>
                            </w:pPr>
                            <w:r>
                              <w:rPr>
                                <w:rFonts w:asciiTheme="minorHAnsi" w:hAnsi="Calibri" w:cstheme="minorBidi"/>
                                <w:b/>
                                <w:bCs/>
                                <w:color w:val="000000" w:themeColor="text1"/>
                              </w:rPr>
                              <w:t>Mitteilungen der Mitgliedstaaten 2016</w:t>
                            </w:r>
                          </w:p>
                        </w:txbxContent>
                      </wps:txbx>
                      <wps:bodyPr vertOverflow="clip" horzOverflow="clip" wrap="none" rtlCol="0" anchor="t">
                        <a:noAutofit/>
                      </wps:bodyPr>
                    </wps:wsp>
                  </a:graphicData>
                </a:graphic>
              </wp:anchor>
            </w:drawing>
          </mc:Choice>
          <mc:Fallback>
            <w:pict>
              <v:shape id="TextBox 2" o:spid="_x0000_s1028" type="#_x0000_t202" style="position:absolute;margin-left:136.45pt;margin-top:8.1pt;width:310.3pt;height:27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" filled="f" stroked="f">
                <v:textbox>
                  <w:txbxContent>
                    <w:p>
                      <w:pPr>
                        <w:pStyle w:val="NormalWeb"/>
                        <w:spacing w:before="0" w:beforeAutospacing="0" w:after="0" w:afterAutospacing="0"/>
                      </w:pPr>
                      <w:r>
                        <w:rPr>
                          <w:rFonts w:asciiTheme="minorHAnsi" w:hAnsi="Calibri" w:cstheme="minorBidi"/>
                          <w:b/>
                          <w:bCs/>
                          <w:color w:val="000000" w:themeColor="text1"/>
                        </w:rPr>
                        <w:t>Mitteilungen der Mitgliedstaaten 2016</w:t>
                      </w:r>
                    </w:p>
                  </w:txbxContent>
                </v:textbox>
              </v:shape>
            </w:pict>
          </mc:Fallback>
        </mc:AlternateContent>
      </w:r>
      <w:r>
        <w:rPr>
          <w:noProof/>
          <w:lang w:val="en-GB" w:eastAsia="en-GB" w:bidi="ar-SA"/>
        </w:rPr>
        <w:t xml:space="preserve"> </w:t>
      </w:r>
      <w:r>
        <w:rPr>
          <w:noProof/>
          <w:lang w:val="en-GB" w:eastAsia="en-GB" w:bidi="ar-SA"/>
        </w:rPr>
        <w:drawing>
          <wp:inline distT="0" distB="0" distL="0" distR="0">
            <wp:extent cx="5760085" cy="3562238"/>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085" cy="3562238"/>
                    </a:xfrm>
                    <a:prstGeom prst="rect">
                      <a:avLst/>
                    </a:prstGeom>
                  </pic:spPr>
                </pic:pic>
              </a:graphicData>
            </a:graphic>
          </wp:inline>
        </w:drawing>
      </w:r>
    </w:p>
    <w:p w:rsidR="000A250D" w:rsidRDefault="00843FC1">
      <w:pPr>
        <w:jc w:val="both"/>
        <w:rPr>
          <w:rFonts w:ascii="Times New Roman" w:hAnsi="Times New Roman" w:cs="Times New Roman"/>
          <w:noProof/>
          <w:sz w:val="24"/>
          <w:szCs w:val="24"/>
        </w:rPr>
      </w:pPr>
      <w:r>
        <w:rPr>
          <w:rStyle w:val="CommentReference"/>
          <w:rFonts w:ascii="Times New Roman" w:hAnsi="Times New Roman"/>
          <w:noProof/>
          <w:sz w:val="24"/>
        </w:rPr>
        <w:t>D</w:t>
      </w:r>
      <w:r>
        <w:rPr>
          <w:rFonts w:ascii="Times New Roman" w:hAnsi="Times New Roman"/>
          <w:noProof/>
          <w:sz w:val="24"/>
        </w:rPr>
        <w:t xml:space="preserve">ie </w:t>
      </w:r>
      <w:r>
        <w:rPr>
          <w:rFonts w:ascii="Times New Roman" w:hAnsi="Times New Roman"/>
          <w:b/>
          <w:noProof/>
          <w:sz w:val="24"/>
        </w:rPr>
        <w:t>Zahl der übermittelten Mitteilungen variiert zwischen den Mitgliedstaaten erheblich</w:t>
      </w:r>
      <w:r>
        <w:rPr>
          <w:rFonts w:ascii="Times New Roman" w:hAnsi="Times New Roman"/>
          <w:noProof/>
          <w:sz w:val="24"/>
        </w:rPr>
        <w:t>, d. h. von fast 100 000 (DE) bis zu 0 (EL) Mitte</w:t>
      </w:r>
      <w:r>
        <w:rPr>
          <w:rFonts w:ascii="Times New Roman" w:hAnsi="Times New Roman"/>
          <w:noProof/>
          <w:sz w:val="24"/>
        </w:rPr>
        <w:t>ilungen über neue Verurteilungen pro Jahr. Im Wesentlichen sind bei der Analyse dieser Abweichungen zwei Faktoren zu berücksichtigen: die Größe des Landes und die Zahl der Verurteilungen von Staatsangehörigen anderer Mitgliedstaaten (im Folgenden: EU-Auslä</w:t>
      </w:r>
      <w:r>
        <w:rPr>
          <w:rFonts w:ascii="Times New Roman" w:hAnsi="Times New Roman"/>
          <w:noProof/>
          <w:sz w:val="24"/>
        </w:rPr>
        <w:t xml:space="preserve">nder). </w:t>
      </w:r>
      <w:bookmarkStart w:id="19" w:name="_Hlk481014549"/>
      <w:r>
        <w:rPr>
          <w:rFonts w:ascii="Times New Roman" w:hAnsi="Times New Roman"/>
          <w:noProof/>
          <w:sz w:val="24"/>
        </w:rPr>
        <w:t>Für eine detaillierte Analyse der Statistiken der einzelnen Mitgliedstaaten siehe Anhang, Abschnitt 2.</w:t>
      </w:r>
      <w:bookmarkEnd w:id="19"/>
    </w:p>
    <w:p w:rsidR="000A250D" w:rsidRDefault="00843FC1">
      <w:pPr>
        <w:jc w:val="both"/>
        <w:rPr>
          <w:rFonts w:ascii="Times New Roman" w:hAnsi="Times New Roman" w:cs="Times New Roman"/>
          <w:noProof/>
          <w:sz w:val="24"/>
          <w:szCs w:val="24"/>
        </w:rPr>
      </w:pPr>
      <w:bookmarkStart w:id="20" w:name="_Hlk480998606"/>
      <w:bookmarkStart w:id="21" w:name="_Hlk481162205"/>
      <w:r>
        <w:rPr>
          <w:rFonts w:ascii="Times New Roman" w:hAnsi="Times New Roman"/>
          <w:noProof/>
          <w:sz w:val="24"/>
        </w:rPr>
        <w:t xml:space="preserve">Die </w:t>
      </w:r>
      <w:r>
        <w:rPr>
          <w:rFonts w:ascii="Times New Roman" w:hAnsi="Times New Roman"/>
          <w:b/>
          <w:noProof/>
          <w:sz w:val="24"/>
        </w:rPr>
        <w:t>aktivsten</w:t>
      </w:r>
      <w:r>
        <w:rPr>
          <w:rFonts w:ascii="Times New Roman" w:hAnsi="Times New Roman"/>
          <w:noProof/>
          <w:sz w:val="24"/>
        </w:rPr>
        <w:t xml:space="preserve"> Mitgliedstaaten bei der Übermittlung von </w:t>
      </w:r>
      <w:r>
        <w:rPr>
          <w:rFonts w:ascii="Times New Roman" w:hAnsi="Times New Roman"/>
          <w:b/>
          <w:noProof/>
          <w:sz w:val="24"/>
        </w:rPr>
        <w:t>Mitteilungen</w:t>
      </w:r>
      <w:r>
        <w:rPr>
          <w:rFonts w:ascii="Times New Roman" w:hAnsi="Times New Roman"/>
          <w:noProof/>
          <w:sz w:val="24"/>
        </w:rPr>
        <w:t xml:space="preserve"> über neue Verurteilungen waren:</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- 2016: </w:t>
      </w:r>
      <w:r>
        <w:rPr>
          <w:rFonts w:ascii="Times New Roman" w:hAnsi="Times New Roman"/>
          <w:b/>
          <w:noProof/>
          <w:sz w:val="24"/>
        </w:rPr>
        <w:t xml:space="preserve">DE </w:t>
      </w:r>
      <w:r>
        <w:rPr>
          <w:rFonts w:ascii="Times New Roman" w:hAnsi="Times New Roman"/>
          <w:noProof/>
          <w:sz w:val="24"/>
        </w:rPr>
        <w:t>(29,7 %), gefolgt von</w:t>
      </w:r>
      <w:r>
        <w:rPr>
          <w:rFonts w:ascii="Times New Roman" w:hAnsi="Times New Roman"/>
          <w:b/>
          <w:noProof/>
          <w:sz w:val="24"/>
        </w:rPr>
        <w:t xml:space="preserve"> IT </w:t>
      </w:r>
      <w:r>
        <w:rPr>
          <w:rFonts w:ascii="Times New Roman" w:hAnsi="Times New Roman"/>
          <w:noProof/>
          <w:sz w:val="24"/>
        </w:rPr>
        <w:t>(19,0 %) ,</w:t>
      </w:r>
      <w:r>
        <w:rPr>
          <w:rFonts w:ascii="Times New Roman" w:hAnsi="Times New Roman"/>
          <w:b/>
          <w:noProof/>
          <w:sz w:val="24"/>
        </w:rPr>
        <w:t xml:space="preserve"> BE </w:t>
      </w:r>
      <w:r>
        <w:rPr>
          <w:rFonts w:ascii="Times New Roman" w:hAnsi="Times New Roman"/>
          <w:noProof/>
          <w:sz w:val="24"/>
        </w:rPr>
        <w:t>(13,6 %),</w:t>
      </w:r>
      <w:r>
        <w:rPr>
          <w:rFonts w:ascii="Times New Roman" w:hAnsi="Times New Roman"/>
          <w:b/>
          <w:noProof/>
          <w:sz w:val="24"/>
        </w:rPr>
        <w:t xml:space="preserve"> VK </w:t>
      </w:r>
      <w:r>
        <w:rPr>
          <w:rFonts w:ascii="Times New Roman" w:hAnsi="Times New Roman"/>
          <w:noProof/>
          <w:sz w:val="24"/>
        </w:rPr>
        <w:t>(9,9 %),</w:t>
      </w:r>
      <w:r>
        <w:rPr>
          <w:rFonts w:ascii="Times New Roman" w:hAnsi="Times New Roman"/>
          <w:b/>
          <w:noProof/>
          <w:sz w:val="24"/>
        </w:rPr>
        <w:t xml:space="preserve"> ES </w:t>
      </w:r>
      <w:r>
        <w:rPr>
          <w:rFonts w:ascii="Times New Roman" w:hAnsi="Times New Roman"/>
          <w:noProof/>
          <w:sz w:val="24"/>
        </w:rPr>
        <w:t>(9,0 %) und</w:t>
      </w:r>
      <w:r>
        <w:rPr>
          <w:rFonts w:ascii="Times New Roman" w:hAnsi="Times New Roman"/>
          <w:b/>
          <w:noProof/>
          <w:sz w:val="24"/>
        </w:rPr>
        <w:t xml:space="preserve"> FR </w:t>
      </w:r>
      <w:r>
        <w:rPr>
          <w:rFonts w:ascii="Times New Roman" w:hAnsi="Times New Roman"/>
          <w:noProof/>
          <w:sz w:val="24"/>
        </w:rPr>
        <w:t>(5,2 %)</w:t>
      </w:r>
    </w:p>
    <w:p w:rsidR="000A250D" w:rsidRDefault="00843FC1">
      <w:pPr>
        <w:jc w:val="both"/>
        <w:rPr>
          <w:rFonts w:ascii="Times New Roman" w:hAnsi="Times New Roman" w:cs="Times New Roman"/>
          <w:b/>
          <w:noProof/>
          <w:sz w:val="24"/>
          <w:szCs w:val="24"/>
        </w:rPr>
      </w:pPr>
      <w:r>
        <w:rPr>
          <w:rFonts w:ascii="Times New Roman" w:hAnsi="Times New Roman"/>
          <w:noProof/>
          <w:sz w:val="24"/>
        </w:rPr>
        <w:t xml:space="preserve">- 2015: </w:t>
      </w:r>
      <w:r>
        <w:rPr>
          <w:rFonts w:ascii="Times New Roman" w:hAnsi="Times New Roman"/>
          <w:b/>
          <w:noProof/>
          <w:sz w:val="24"/>
        </w:rPr>
        <w:t xml:space="preserve">DE </w:t>
      </w:r>
      <w:r>
        <w:rPr>
          <w:rFonts w:ascii="Times New Roman" w:hAnsi="Times New Roman"/>
          <w:noProof/>
          <w:sz w:val="24"/>
        </w:rPr>
        <w:t xml:space="preserve">(28,7 %), gefolgt von  </w:t>
      </w:r>
      <w:r>
        <w:rPr>
          <w:rFonts w:ascii="Times New Roman" w:hAnsi="Times New Roman"/>
          <w:b/>
          <w:noProof/>
          <w:sz w:val="24"/>
        </w:rPr>
        <w:t xml:space="preserve">IT </w:t>
      </w:r>
      <w:r>
        <w:rPr>
          <w:rFonts w:ascii="Times New Roman" w:hAnsi="Times New Roman"/>
          <w:noProof/>
          <w:sz w:val="24"/>
        </w:rPr>
        <w:t>(19,8%),</w:t>
      </w:r>
      <w:r>
        <w:rPr>
          <w:rFonts w:ascii="Times New Roman" w:hAnsi="Times New Roman"/>
          <w:b/>
          <w:noProof/>
          <w:sz w:val="24"/>
        </w:rPr>
        <w:t xml:space="preserve"> BE </w:t>
      </w:r>
      <w:r>
        <w:rPr>
          <w:rFonts w:ascii="Times New Roman" w:hAnsi="Times New Roman"/>
          <w:noProof/>
          <w:sz w:val="24"/>
        </w:rPr>
        <w:t xml:space="preserve">(12,5 %), </w:t>
      </w:r>
      <w:r>
        <w:rPr>
          <w:rFonts w:ascii="Times New Roman" w:hAnsi="Times New Roman"/>
          <w:b/>
          <w:noProof/>
          <w:sz w:val="24"/>
        </w:rPr>
        <w:t xml:space="preserve">VK </w:t>
      </w:r>
      <w:r>
        <w:rPr>
          <w:rFonts w:ascii="Times New Roman" w:hAnsi="Times New Roman"/>
          <w:noProof/>
          <w:sz w:val="24"/>
        </w:rPr>
        <w:t>(11,4 %),</w:t>
      </w:r>
      <w:r>
        <w:rPr>
          <w:rFonts w:ascii="Times New Roman" w:hAnsi="Times New Roman"/>
          <w:b/>
          <w:noProof/>
          <w:sz w:val="24"/>
        </w:rPr>
        <w:t xml:space="preserve"> FR </w:t>
      </w:r>
      <w:r>
        <w:rPr>
          <w:rFonts w:ascii="Times New Roman" w:hAnsi="Times New Roman"/>
          <w:noProof/>
          <w:sz w:val="24"/>
        </w:rPr>
        <w:t>(6,3 %) und</w:t>
      </w:r>
      <w:r>
        <w:rPr>
          <w:rFonts w:ascii="Times New Roman" w:hAnsi="Times New Roman"/>
          <w:b/>
          <w:noProof/>
          <w:sz w:val="24"/>
        </w:rPr>
        <w:t xml:space="preserve"> ES </w:t>
      </w:r>
      <w:r>
        <w:rPr>
          <w:rFonts w:ascii="Times New Roman" w:hAnsi="Times New Roman"/>
          <w:noProof/>
          <w:sz w:val="24"/>
        </w:rPr>
        <w:t>(5,9 %)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- 2014: </w:t>
      </w:r>
      <w:r>
        <w:rPr>
          <w:rFonts w:ascii="Times New Roman" w:hAnsi="Times New Roman"/>
          <w:b/>
          <w:noProof/>
          <w:sz w:val="24"/>
        </w:rPr>
        <w:t xml:space="preserve">DE </w:t>
      </w:r>
      <w:r>
        <w:rPr>
          <w:rFonts w:ascii="Times New Roman" w:hAnsi="Times New Roman"/>
          <w:noProof/>
          <w:sz w:val="24"/>
        </w:rPr>
        <w:t xml:space="preserve">(30,0 %) gefolgt von </w:t>
      </w:r>
      <w:r>
        <w:rPr>
          <w:rFonts w:ascii="Times New Roman" w:hAnsi="Times New Roman"/>
          <w:b/>
          <w:noProof/>
          <w:sz w:val="24"/>
        </w:rPr>
        <w:t xml:space="preserve">IT </w:t>
      </w:r>
      <w:r>
        <w:rPr>
          <w:rFonts w:ascii="Times New Roman" w:hAnsi="Times New Roman"/>
          <w:noProof/>
          <w:sz w:val="24"/>
        </w:rPr>
        <w:t>(20,8 %),</w:t>
      </w:r>
      <w:r>
        <w:rPr>
          <w:rFonts w:ascii="Times New Roman" w:hAnsi="Times New Roman"/>
          <w:b/>
          <w:noProof/>
          <w:sz w:val="24"/>
        </w:rPr>
        <w:t xml:space="preserve"> FR </w:t>
      </w:r>
      <w:r>
        <w:rPr>
          <w:rFonts w:ascii="Times New Roman" w:hAnsi="Times New Roman"/>
          <w:noProof/>
          <w:sz w:val="24"/>
        </w:rPr>
        <w:t>(11,2 %),</w:t>
      </w:r>
      <w:r>
        <w:rPr>
          <w:rFonts w:ascii="Times New Roman" w:hAnsi="Times New Roman"/>
          <w:b/>
          <w:noProof/>
          <w:sz w:val="24"/>
        </w:rPr>
        <w:t xml:space="preserve"> BE </w:t>
      </w:r>
      <w:r>
        <w:rPr>
          <w:rFonts w:ascii="Times New Roman" w:hAnsi="Times New Roman"/>
          <w:noProof/>
          <w:sz w:val="24"/>
        </w:rPr>
        <w:t>(8,4 %),</w:t>
      </w:r>
      <w:r>
        <w:rPr>
          <w:rFonts w:ascii="Times New Roman" w:hAnsi="Times New Roman"/>
          <w:b/>
          <w:noProof/>
          <w:sz w:val="24"/>
        </w:rPr>
        <w:t xml:space="preserve"> VK </w:t>
      </w:r>
      <w:r>
        <w:rPr>
          <w:rFonts w:ascii="Times New Roman" w:hAnsi="Times New Roman"/>
          <w:noProof/>
          <w:sz w:val="24"/>
        </w:rPr>
        <w:t>(7,9 %) und</w:t>
      </w:r>
      <w:r>
        <w:rPr>
          <w:rFonts w:ascii="Times New Roman" w:hAnsi="Times New Roman"/>
          <w:b/>
          <w:noProof/>
          <w:sz w:val="24"/>
        </w:rPr>
        <w:t xml:space="preserve"> ES </w:t>
      </w:r>
      <w:r>
        <w:rPr>
          <w:rFonts w:ascii="Times New Roman" w:hAnsi="Times New Roman"/>
          <w:noProof/>
          <w:sz w:val="24"/>
        </w:rPr>
        <w:t>(5,8 %).</w:t>
      </w:r>
    </w:p>
    <w:bookmarkEnd w:id="20"/>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Unter Berücksichtigung aller übermittelten Mitteilungen, einschließlich Aktualisierungen, sieht die Einstufung relativ ähnlich aus, obwohl </w:t>
      </w:r>
      <w:r>
        <w:rPr>
          <w:rFonts w:ascii="Times New Roman" w:hAnsi="Times New Roman"/>
          <w:b/>
          <w:noProof/>
          <w:sz w:val="24"/>
        </w:rPr>
        <w:t>ES</w:t>
      </w:r>
      <w:r>
        <w:rPr>
          <w:rFonts w:ascii="Times New Roman" w:hAnsi="Times New Roman"/>
          <w:noProof/>
          <w:sz w:val="24"/>
        </w:rPr>
        <w:t xml:space="preserve"> 2016 auf den dritten Platz vorrückte und 2014 sowie 2015 den vierten Platz belegte.</w:t>
      </w:r>
    </w:p>
    <w:p w:rsidR="000A250D" w:rsidRDefault="00843FC1">
      <w:pPr>
        <w:jc w:val="both"/>
        <w:rPr>
          <w:rFonts w:ascii="Times New Roman" w:hAnsi="Times New Roman" w:cs="Times New Roman"/>
          <w:noProof/>
          <w:sz w:val="24"/>
          <w:szCs w:val="24"/>
        </w:rPr>
      </w:pPr>
      <w:r>
        <w:rPr>
          <w:rFonts w:ascii="Times New Roman" w:hAnsi="Times New Roman"/>
          <w:b/>
          <w:noProof/>
          <w:sz w:val="24"/>
        </w:rPr>
        <w:t>Übermittelte Mitteilungen über</w:t>
      </w:r>
      <w:r>
        <w:rPr>
          <w:rFonts w:ascii="Times New Roman" w:hAnsi="Times New Roman"/>
          <w:b/>
          <w:noProof/>
          <w:sz w:val="24"/>
        </w:rPr>
        <w:t xml:space="preserve"> neue Verurteilungen und Mitteilungen über Aktualisierungen </w:t>
      </w:r>
      <w:r>
        <w:rPr>
          <w:rFonts w:ascii="Times New Roman" w:hAnsi="Times New Roman"/>
          <w:noProof/>
          <w:sz w:val="24"/>
        </w:rPr>
        <w:t>machten im Durchschnitt für 2016 jeweils</w:t>
      </w:r>
      <w:r>
        <w:rPr>
          <w:rFonts w:ascii="Times New Roman" w:hAnsi="Times New Roman"/>
          <w:b/>
          <w:noProof/>
          <w:sz w:val="24"/>
        </w:rPr>
        <w:t xml:space="preserve"> 73,2 % bis 26,8</w:t>
      </w:r>
      <w:r>
        <w:rPr>
          <w:rFonts w:ascii="Times New Roman" w:hAnsi="Times New Roman"/>
          <w:noProof/>
          <w:sz w:val="24"/>
        </w:rPr>
        <w:t> % aus. Für die Jahre 2014 und 2015 - siehe Anhang, Abschnitt 1.3.</w:t>
      </w:r>
      <w:r>
        <w:rPr>
          <w:rFonts w:ascii="Times New Roman" w:hAnsi="Times New Roman"/>
          <w:b/>
          <w:noProof/>
          <w:sz w:val="24"/>
        </w:rPr>
        <w:t xml:space="preserve"> Dieser Anteil variiert zwischen den Mitgliedstaaten erheblich</w:t>
      </w:r>
      <w:r>
        <w:rPr>
          <w:rFonts w:ascii="Times New Roman" w:hAnsi="Times New Roman"/>
          <w:noProof/>
          <w:sz w:val="24"/>
        </w:rPr>
        <w:t xml:space="preserve">. So gab es </w:t>
      </w:r>
      <w:r>
        <w:rPr>
          <w:rFonts w:ascii="Times New Roman" w:hAnsi="Times New Roman"/>
          <w:noProof/>
          <w:sz w:val="24"/>
        </w:rPr>
        <w:t>doppelt so hohe Aktualisierungen wie Mitteilungen (z. B. AT, PL), fast gleiche Zahlen für beide Kategorien dieser Meldungen (z. B. ES, NL) und Aktualisierungen, die nur einen kleinen Teil aller Mitteilungen ausmachten (z. B. BE, VK). Für DE, das die höchst</w:t>
      </w:r>
      <w:r>
        <w:rPr>
          <w:rFonts w:ascii="Times New Roman" w:hAnsi="Times New Roman"/>
          <w:noProof/>
          <w:sz w:val="24"/>
        </w:rPr>
        <w:t>e Zahl aller Mitteilungen übermittelt, machten die Aktualisierungen rund 22 % all seiner Mitteilungen aus.</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Auf der Grundlage der detaillierten Analyse der statistischen Daten wurden zwei Probleme festgestellt. </w:t>
      </w:r>
    </w:p>
    <w:p w:rsidR="000A250D" w:rsidRDefault="00843FC1">
      <w:pPr>
        <w:jc w:val="both"/>
        <w:rPr>
          <w:rFonts w:ascii="Times New Roman" w:hAnsi="Times New Roman" w:cs="Times New Roman"/>
          <w:noProof/>
          <w:sz w:val="24"/>
          <w:szCs w:val="24"/>
        </w:rPr>
      </w:pPr>
      <w:r>
        <w:rPr>
          <w:rFonts w:ascii="Times New Roman" w:hAnsi="Times New Roman"/>
          <w:noProof/>
          <w:sz w:val="24"/>
        </w:rPr>
        <w:t>So übermittelten einige Mitgliedstaaten zum e</w:t>
      </w:r>
      <w:r>
        <w:rPr>
          <w:rFonts w:ascii="Times New Roman" w:hAnsi="Times New Roman"/>
          <w:noProof/>
          <w:sz w:val="24"/>
        </w:rPr>
        <w:t xml:space="preserve">inen </w:t>
      </w:r>
      <w:r>
        <w:rPr>
          <w:rFonts w:ascii="Times New Roman" w:hAnsi="Times New Roman"/>
          <w:b/>
          <w:noProof/>
          <w:sz w:val="24"/>
        </w:rPr>
        <w:t xml:space="preserve">überhaupt keine </w:t>
      </w:r>
      <w:r>
        <w:rPr>
          <w:rFonts w:ascii="Times New Roman" w:hAnsi="Times New Roman"/>
          <w:noProof/>
          <w:sz w:val="24"/>
        </w:rPr>
        <w:t xml:space="preserve">(EL) </w:t>
      </w:r>
      <w:r>
        <w:rPr>
          <w:rFonts w:ascii="Times New Roman" w:hAnsi="Times New Roman"/>
          <w:b/>
          <w:noProof/>
          <w:sz w:val="24"/>
        </w:rPr>
        <w:t>oder lediglich sehr wenige</w:t>
      </w:r>
      <w:r>
        <w:rPr>
          <w:rFonts w:ascii="Times New Roman" w:hAnsi="Times New Roman"/>
          <w:noProof/>
          <w:sz w:val="24"/>
        </w:rPr>
        <w:t xml:space="preserve"> </w:t>
      </w:r>
      <w:r>
        <w:rPr>
          <w:rFonts w:ascii="Times New Roman" w:hAnsi="Times New Roman"/>
          <w:b/>
          <w:noProof/>
          <w:sz w:val="24"/>
        </w:rPr>
        <w:t>Mitteilungen</w:t>
      </w:r>
      <w:r>
        <w:rPr>
          <w:rFonts w:ascii="Times New Roman" w:hAnsi="Times New Roman"/>
          <w:noProof/>
          <w:sz w:val="24"/>
        </w:rPr>
        <w:t xml:space="preserve"> </w:t>
      </w:r>
      <w:r>
        <w:rPr>
          <w:rFonts w:ascii="Times New Roman" w:hAnsi="Times New Roman"/>
          <w:b/>
          <w:noProof/>
          <w:sz w:val="24"/>
        </w:rPr>
        <w:t>über neue Verurteilungen</w:t>
      </w:r>
      <w:r>
        <w:rPr>
          <w:rFonts w:ascii="Times New Roman" w:hAnsi="Times New Roman"/>
          <w:noProof/>
          <w:sz w:val="24"/>
        </w:rPr>
        <w:t xml:space="preserve"> zu sich in ihrem Land aufhaltenden EU-Ausländern (BG, EE, HR, LT, LV, MT, RO für 2016; BG, EE, LV, HR, LT für 2015; BG, EE, HR, LT, LV, RO, SK für 2014). Folglich wu</w:t>
      </w:r>
      <w:r>
        <w:rPr>
          <w:rFonts w:ascii="Times New Roman" w:hAnsi="Times New Roman"/>
          <w:noProof/>
          <w:sz w:val="24"/>
        </w:rPr>
        <w:t>rden diese nicht mitgeteilten Verurteilungen in dem/den Mitgliedstaat (en) der Staatsangehörigkeit nicht registriert, und Täter könnten sich den Folgen ihrer kriminellen Vergangenheit entziehen.</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Zum anderen übermittelten einige Mitgliedstaaten </w:t>
      </w:r>
      <w:r>
        <w:rPr>
          <w:rFonts w:ascii="Times New Roman" w:hAnsi="Times New Roman"/>
          <w:b/>
          <w:noProof/>
          <w:sz w:val="24"/>
        </w:rPr>
        <w:t>überhaupt ke</w:t>
      </w:r>
      <w:r>
        <w:rPr>
          <w:rFonts w:ascii="Times New Roman" w:hAnsi="Times New Roman"/>
          <w:b/>
          <w:noProof/>
          <w:sz w:val="24"/>
        </w:rPr>
        <w:t xml:space="preserve">ine </w:t>
      </w:r>
      <w:r>
        <w:rPr>
          <w:rFonts w:ascii="Times New Roman" w:hAnsi="Times New Roman"/>
          <w:noProof/>
          <w:sz w:val="24"/>
        </w:rPr>
        <w:t xml:space="preserve">(BG, DK, EE, EL, LV, RO für 2016; BG, DK, FI, EL für 2015; DK, EE, FI, EL, HR, RO für 2014) oder </w:t>
      </w:r>
      <w:r>
        <w:rPr>
          <w:rFonts w:ascii="Times New Roman" w:hAnsi="Times New Roman"/>
          <w:b/>
          <w:noProof/>
          <w:sz w:val="24"/>
        </w:rPr>
        <w:t>nur wenige Aktualisierungen</w:t>
      </w:r>
      <w:r>
        <w:rPr>
          <w:rFonts w:ascii="Times New Roman" w:hAnsi="Times New Roman"/>
          <w:noProof/>
          <w:sz w:val="24"/>
        </w:rPr>
        <w:t xml:space="preserve"> ihrer zuvor übermittelten Meldungen (HR, LT, LU für 2016; EE, HR, LT, LU, LV, RO für 2015; BG, HU, IE, LT, LU, LV, SK für 2014)</w:t>
      </w:r>
      <w:r>
        <w:rPr>
          <w:rFonts w:ascii="Times New Roman" w:hAnsi="Times New Roman"/>
          <w:noProof/>
          <w:sz w:val="24"/>
        </w:rPr>
        <w:t>. Fehlende Aktualisierungen der Informationen über Verurteilungen führen zur Verarbeitung veralteter und unzuverlässiger Informationen durch den Mitgliedstaat der Staatsangehörigkeit, einschließlich ihrer Verbreitung.</w:t>
      </w:r>
    </w:p>
    <w:bookmarkEnd w:id="18"/>
    <w:bookmarkEnd w:id="21"/>
    <w:p w:rsidR="000A250D" w:rsidRDefault="00843FC1">
      <w:pPr>
        <w:jc w:val="both"/>
        <w:rPr>
          <w:rFonts w:ascii="Times New Roman" w:hAnsi="Times New Roman" w:cs="Times New Roman"/>
          <w:b/>
          <w:noProof/>
          <w:sz w:val="24"/>
          <w:szCs w:val="24"/>
        </w:rPr>
      </w:pPr>
      <w:r>
        <w:rPr>
          <w:rFonts w:ascii="Times New Roman" w:hAnsi="Times New Roman"/>
          <w:b/>
          <w:noProof/>
          <w:sz w:val="24"/>
        </w:rPr>
        <w:t>3.5. Informationsersuchen</w:t>
      </w:r>
    </w:p>
    <w:p w:rsidR="000A250D" w:rsidRDefault="00843FC1">
      <w:pPr>
        <w:jc w:val="both"/>
        <w:rPr>
          <w:rFonts w:ascii="Times New Roman" w:hAnsi="Times New Roman" w:cs="Times New Roman"/>
          <w:noProof/>
          <w:sz w:val="24"/>
          <w:szCs w:val="24"/>
        </w:rPr>
      </w:pPr>
      <w:r>
        <w:rPr>
          <w:rFonts w:ascii="Times New Roman" w:hAnsi="Times New Roman"/>
          <w:noProof/>
          <w:sz w:val="24"/>
        </w:rPr>
        <w:t>Die nachfolg</w:t>
      </w:r>
      <w:r>
        <w:rPr>
          <w:rFonts w:ascii="Times New Roman" w:hAnsi="Times New Roman"/>
          <w:noProof/>
          <w:sz w:val="24"/>
        </w:rPr>
        <w:t>ende Grafik vergleicht die Zahl der von allen verbundenen Mitgliedstaaten 2016 übermittelten Informationsersuchen mit der Zahl der auf diese Ersuchen eingegangenen Antworten. Für die Jahre 2014 und 2015 siehe Anhang, Abschnitt 1.4.</w:t>
      </w:r>
    </w:p>
    <w:p w:rsidR="000A250D" w:rsidRDefault="00843FC1">
      <w:pPr>
        <w:jc w:val="both"/>
        <w:rPr>
          <w:rFonts w:ascii="Times New Roman" w:hAnsi="Times New Roman" w:cs="Times New Roman"/>
          <w:noProof/>
          <w:sz w:val="24"/>
          <w:szCs w:val="24"/>
        </w:rPr>
      </w:pPr>
      <w:r>
        <w:rPr>
          <w:noProof/>
          <w:lang w:val="en-GB" w:eastAsia="en-GB" w:bidi="ar-SA"/>
        </w:rPr>
        <w:drawing>
          <wp:inline distT="0" distB="0" distL="0" distR="0">
            <wp:extent cx="5760085" cy="312560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085" cy="3125609"/>
                    </a:xfrm>
                    <a:prstGeom prst="rect">
                      <a:avLst/>
                    </a:prstGeom>
                  </pic:spPr>
                </pic:pic>
              </a:graphicData>
            </a:graphic>
          </wp:inline>
        </w:drawing>
      </w:r>
    </w:p>
    <w:p w:rsidR="000A250D" w:rsidRDefault="00843FC1">
      <w:pPr>
        <w:jc w:val="both"/>
        <w:rPr>
          <w:rFonts w:ascii="Times New Roman" w:hAnsi="Times New Roman" w:cs="Times New Roman"/>
          <w:noProof/>
          <w:sz w:val="24"/>
          <w:szCs w:val="24"/>
        </w:rPr>
      </w:pPr>
      <w:bookmarkStart w:id="22" w:name="_Hlk481003611"/>
      <w:r>
        <w:rPr>
          <w:rFonts w:ascii="Times New Roman" w:hAnsi="Times New Roman"/>
          <w:noProof/>
          <w:sz w:val="24"/>
        </w:rPr>
        <w:t xml:space="preserve">Die </w:t>
      </w:r>
      <w:r>
        <w:rPr>
          <w:rFonts w:ascii="Times New Roman" w:hAnsi="Times New Roman"/>
          <w:b/>
          <w:noProof/>
          <w:sz w:val="24"/>
        </w:rPr>
        <w:t>Zahl der übermitte</w:t>
      </w:r>
      <w:r>
        <w:rPr>
          <w:rFonts w:ascii="Times New Roman" w:hAnsi="Times New Roman"/>
          <w:b/>
          <w:noProof/>
          <w:sz w:val="24"/>
        </w:rPr>
        <w:t>lten Informationsersuchen variiert zwischen den Mitgliedstaaten erheblich</w:t>
      </w:r>
      <w:r>
        <w:rPr>
          <w:rFonts w:ascii="Times New Roman" w:hAnsi="Times New Roman"/>
          <w:noProof/>
          <w:sz w:val="24"/>
        </w:rPr>
        <w:t xml:space="preserve"> (von jährlich 140 000 (DE) bis 0 (EL)). Der bei der Analyse dieser Unterschiede zu berücksichtigende Hauptfaktor ist die Zahl der Staatsangehörigen anderer Mitgliedstaaten, die ihren Wohnsitz in einem bestimmten Mitgliedstaat haben.</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noProof/>
          <w:sz w:val="24"/>
        </w:rPr>
        <w:t>aktivsten</w:t>
      </w:r>
      <w:r>
        <w:rPr>
          <w:rFonts w:ascii="Times New Roman" w:hAnsi="Times New Roman"/>
          <w:noProof/>
          <w:sz w:val="24"/>
        </w:rPr>
        <w:t xml:space="preserve"> Mitglied</w:t>
      </w:r>
      <w:r>
        <w:rPr>
          <w:rFonts w:ascii="Times New Roman" w:hAnsi="Times New Roman"/>
          <w:noProof/>
          <w:sz w:val="24"/>
        </w:rPr>
        <w:t xml:space="preserve">staaten im Hinblick auf </w:t>
      </w:r>
      <w:r>
        <w:rPr>
          <w:rFonts w:ascii="Times New Roman" w:hAnsi="Times New Roman"/>
          <w:b/>
          <w:noProof/>
          <w:sz w:val="24"/>
        </w:rPr>
        <w:t>übermittelte Ersuchen</w:t>
      </w:r>
      <w:r>
        <w:rPr>
          <w:rFonts w:ascii="Times New Roman" w:hAnsi="Times New Roman"/>
          <w:noProof/>
          <w:sz w:val="24"/>
        </w:rPr>
        <w:t xml:space="preserve"> waren:</w:t>
      </w:r>
    </w:p>
    <w:p w:rsidR="000A250D" w:rsidRDefault="00843FC1">
      <w:pPr>
        <w:jc w:val="both"/>
        <w:rPr>
          <w:rFonts w:ascii="Times New Roman" w:hAnsi="Times New Roman" w:cs="Times New Roman"/>
          <w:noProof/>
          <w:sz w:val="24"/>
          <w:szCs w:val="24"/>
        </w:rPr>
      </w:pPr>
      <w:bookmarkStart w:id="23" w:name="_Hlk481001976"/>
      <w:r>
        <w:rPr>
          <w:rFonts w:ascii="Times New Roman" w:hAnsi="Times New Roman"/>
          <w:noProof/>
          <w:sz w:val="24"/>
        </w:rPr>
        <w:t xml:space="preserve">- 2016: </w:t>
      </w:r>
      <w:r>
        <w:rPr>
          <w:rFonts w:ascii="Times New Roman" w:hAnsi="Times New Roman"/>
          <w:b/>
          <w:noProof/>
          <w:sz w:val="24"/>
        </w:rPr>
        <w:t xml:space="preserve">DE </w:t>
      </w:r>
      <w:r>
        <w:rPr>
          <w:rFonts w:ascii="Times New Roman" w:hAnsi="Times New Roman"/>
          <w:noProof/>
          <w:sz w:val="24"/>
        </w:rPr>
        <w:t>(38,6 %), gefolgt vom</w:t>
      </w:r>
      <w:r>
        <w:rPr>
          <w:rFonts w:ascii="Times New Roman" w:hAnsi="Times New Roman"/>
          <w:b/>
          <w:noProof/>
          <w:sz w:val="24"/>
        </w:rPr>
        <w:t xml:space="preserve"> VK </w:t>
      </w:r>
      <w:r>
        <w:rPr>
          <w:rFonts w:ascii="Times New Roman" w:hAnsi="Times New Roman"/>
          <w:noProof/>
          <w:sz w:val="24"/>
        </w:rPr>
        <w:t>(26,7 %),</w:t>
      </w:r>
      <w:r>
        <w:rPr>
          <w:rFonts w:ascii="Times New Roman" w:hAnsi="Times New Roman"/>
          <w:b/>
          <w:noProof/>
          <w:sz w:val="24"/>
        </w:rPr>
        <w:t xml:space="preserve"> CZ </w:t>
      </w:r>
      <w:r>
        <w:rPr>
          <w:rFonts w:ascii="Times New Roman" w:hAnsi="Times New Roman"/>
          <w:noProof/>
          <w:sz w:val="24"/>
        </w:rPr>
        <w:t>(10,1 %),</w:t>
      </w:r>
      <w:r>
        <w:rPr>
          <w:rFonts w:ascii="Times New Roman" w:hAnsi="Times New Roman"/>
          <w:b/>
          <w:noProof/>
          <w:sz w:val="24"/>
        </w:rPr>
        <w:t xml:space="preserve"> AT </w:t>
      </w:r>
      <w:r>
        <w:rPr>
          <w:rFonts w:ascii="Times New Roman" w:hAnsi="Times New Roman"/>
          <w:noProof/>
          <w:sz w:val="24"/>
        </w:rPr>
        <w:t>(6,9 %),</w:t>
      </w:r>
      <w:r>
        <w:rPr>
          <w:rFonts w:ascii="Times New Roman" w:hAnsi="Times New Roman"/>
          <w:b/>
          <w:noProof/>
          <w:sz w:val="24"/>
        </w:rPr>
        <w:t xml:space="preserve"> ES </w:t>
      </w:r>
      <w:r>
        <w:rPr>
          <w:rFonts w:ascii="Times New Roman" w:hAnsi="Times New Roman"/>
          <w:noProof/>
          <w:sz w:val="24"/>
        </w:rPr>
        <w:t>(3,7 %)</w:t>
      </w:r>
      <w:r>
        <w:rPr>
          <w:rFonts w:ascii="Times New Roman" w:hAnsi="Times New Roman"/>
          <w:b/>
          <w:noProof/>
          <w:sz w:val="24"/>
        </w:rPr>
        <w:t xml:space="preserve"> </w:t>
      </w:r>
      <w:r>
        <w:rPr>
          <w:rFonts w:ascii="Times New Roman" w:hAnsi="Times New Roman"/>
          <w:noProof/>
          <w:sz w:val="24"/>
        </w:rPr>
        <w:t>und</w:t>
      </w:r>
      <w:r>
        <w:rPr>
          <w:rFonts w:ascii="Times New Roman" w:hAnsi="Times New Roman"/>
          <w:b/>
          <w:noProof/>
          <w:sz w:val="24"/>
        </w:rPr>
        <w:t xml:space="preserve"> FR </w:t>
      </w:r>
      <w:r>
        <w:rPr>
          <w:rFonts w:ascii="Times New Roman" w:hAnsi="Times New Roman"/>
          <w:noProof/>
          <w:sz w:val="24"/>
        </w:rPr>
        <w:t>(3,5 %)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- 2015: </w:t>
      </w:r>
      <w:r>
        <w:rPr>
          <w:rFonts w:ascii="Times New Roman" w:hAnsi="Times New Roman"/>
          <w:b/>
          <w:noProof/>
          <w:sz w:val="24"/>
        </w:rPr>
        <w:t xml:space="preserve">DE </w:t>
      </w:r>
      <w:r>
        <w:rPr>
          <w:rFonts w:ascii="Times New Roman" w:hAnsi="Times New Roman"/>
          <w:noProof/>
          <w:sz w:val="24"/>
        </w:rPr>
        <w:t>(40,0 %), gefolgt vom</w:t>
      </w:r>
      <w:r>
        <w:rPr>
          <w:rFonts w:ascii="Times New Roman" w:hAnsi="Times New Roman"/>
          <w:b/>
          <w:noProof/>
          <w:sz w:val="24"/>
        </w:rPr>
        <w:t xml:space="preserve"> VK</w:t>
      </w:r>
      <w:r>
        <w:rPr>
          <w:rFonts w:ascii="Times New Roman" w:hAnsi="Times New Roman"/>
          <w:noProof/>
          <w:sz w:val="24"/>
        </w:rPr>
        <w:t>(29,4 %),</w:t>
      </w:r>
      <w:r>
        <w:rPr>
          <w:rFonts w:ascii="Times New Roman" w:hAnsi="Times New Roman"/>
          <w:b/>
          <w:noProof/>
          <w:sz w:val="24"/>
        </w:rPr>
        <w:t xml:space="preserve"> AT </w:t>
      </w:r>
      <w:r>
        <w:rPr>
          <w:rFonts w:ascii="Times New Roman" w:hAnsi="Times New Roman"/>
          <w:noProof/>
          <w:sz w:val="24"/>
        </w:rPr>
        <w:t>(8,2 %),</w:t>
      </w:r>
      <w:r>
        <w:rPr>
          <w:rFonts w:ascii="Times New Roman" w:hAnsi="Times New Roman"/>
          <w:b/>
          <w:noProof/>
          <w:sz w:val="24"/>
        </w:rPr>
        <w:t xml:space="preserve"> FR </w:t>
      </w:r>
      <w:r>
        <w:rPr>
          <w:rFonts w:ascii="Times New Roman" w:hAnsi="Times New Roman"/>
          <w:noProof/>
          <w:sz w:val="24"/>
        </w:rPr>
        <w:t xml:space="preserve">(4,5 %), </w:t>
      </w:r>
      <w:r>
        <w:rPr>
          <w:rFonts w:ascii="Times New Roman" w:hAnsi="Times New Roman"/>
          <w:b/>
          <w:noProof/>
          <w:sz w:val="24"/>
        </w:rPr>
        <w:t xml:space="preserve">ES </w:t>
      </w:r>
      <w:r>
        <w:rPr>
          <w:rFonts w:ascii="Times New Roman" w:hAnsi="Times New Roman"/>
          <w:noProof/>
          <w:sz w:val="24"/>
        </w:rPr>
        <w:t>(4,0 %) und</w:t>
      </w:r>
      <w:r>
        <w:rPr>
          <w:rFonts w:ascii="Times New Roman" w:hAnsi="Times New Roman"/>
          <w:b/>
          <w:noProof/>
          <w:sz w:val="24"/>
        </w:rPr>
        <w:t xml:space="preserve"> CZ </w:t>
      </w:r>
      <w:r>
        <w:rPr>
          <w:rFonts w:ascii="Times New Roman" w:hAnsi="Times New Roman"/>
          <w:noProof/>
          <w:sz w:val="24"/>
        </w:rPr>
        <w:t>(3,3 %)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- 2014: </w:t>
      </w:r>
      <w:r>
        <w:rPr>
          <w:rFonts w:ascii="Times New Roman" w:hAnsi="Times New Roman"/>
          <w:b/>
          <w:noProof/>
          <w:sz w:val="24"/>
        </w:rPr>
        <w:t xml:space="preserve">DE </w:t>
      </w:r>
      <w:r>
        <w:rPr>
          <w:rFonts w:ascii="Times New Roman" w:hAnsi="Times New Roman"/>
          <w:noProof/>
          <w:sz w:val="24"/>
        </w:rPr>
        <w:t>(45,3 %), gefolgt vom</w:t>
      </w:r>
      <w:r>
        <w:rPr>
          <w:rFonts w:ascii="Times New Roman" w:hAnsi="Times New Roman"/>
          <w:b/>
          <w:noProof/>
          <w:sz w:val="24"/>
        </w:rPr>
        <w:t xml:space="preserve"> VK </w:t>
      </w:r>
      <w:r>
        <w:rPr>
          <w:rFonts w:ascii="Times New Roman" w:hAnsi="Times New Roman"/>
          <w:noProof/>
          <w:sz w:val="24"/>
        </w:rPr>
        <w:t xml:space="preserve">(18,7 %), </w:t>
      </w:r>
      <w:r>
        <w:rPr>
          <w:rFonts w:ascii="Times New Roman" w:hAnsi="Times New Roman"/>
          <w:b/>
          <w:noProof/>
          <w:sz w:val="24"/>
        </w:rPr>
        <w:t xml:space="preserve">AT </w:t>
      </w:r>
      <w:r>
        <w:rPr>
          <w:rFonts w:ascii="Times New Roman" w:hAnsi="Times New Roman"/>
          <w:noProof/>
          <w:sz w:val="24"/>
        </w:rPr>
        <w:t>(13,7 %),</w:t>
      </w:r>
      <w:r>
        <w:rPr>
          <w:rFonts w:ascii="Times New Roman" w:hAnsi="Times New Roman"/>
          <w:b/>
          <w:noProof/>
          <w:sz w:val="24"/>
        </w:rPr>
        <w:t xml:space="preserve"> FR </w:t>
      </w:r>
      <w:r>
        <w:rPr>
          <w:rFonts w:ascii="Times New Roman" w:hAnsi="Times New Roman"/>
          <w:noProof/>
          <w:sz w:val="24"/>
        </w:rPr>
        <w:t>(7,6 %),</w:t>
      </w:r>
      <w:r>
        <w:rPr>
          <w:rFonts w:ascii="Times New Roman" w:hAnsi="Times New Roman"/>
          <w:b/>
          <w:noProof/>
          <w:sz w:val="24"/>
        </w:rPr>
        <w:t xml:space="preserve"> CZ </w:t>
      </w:r>
      <w:r>
        <w:rPr>
          <w:rFonts w:ascii="Times New Roman" w:hAnsi="Times New Roman"/>
          <w:noProof/>
          <w:sz w:val="24"/>
        </w:rPr>
        <w:t>(4,1 %) und</w:t>
      </w:r>
      <w:r>
        <w:rPr>
          <w:rFonts w:ascii="Times New Roman" w:hAnsi="Times New Roman"/>
          <w:b/>
          <w:noProof/>
          <w:sz w:val="24"/>
        </w:rPr>
        <w:t xml:space="preserve"> NL </w:t>
      </w:r>
      <w:r>
        <w:rPr>
          <w:rFonts w:ascii="Times New Roman" w:hAnsi="Times New Roman"/>
          <w:noProof/>
          <w:sz w:val="24"/>
        </w:rPr>
        <w:t>(2,8 %)</w:t>
      </w:r>
    </w:p>
    <w:bookmarkEnd w:id="23"/>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Einige Mitgliedstaaten </w:t>
      </w:r>
      <w:r>
        <w:rPr>
          <w:rFonts w:ascii="Times New Roman" w:hAnsi="Times New Roman"/>
          <w:b/>
          <w:noProof/>
          <w:sz w:val="24"/>
        </w:rPr>
        <w:t xml:space="preserve">übermitteln überhaupt keine </w:t>
      </w:r>
      <w:r>
        <w:rPr>
          <w:rFonts w:ascii="Times New Roman" w:hAnsi="Times New Roman"/>
          <w:noProof/>
          <w:sz w:val="24"/>
        </w:rPr>
        <w:t xml:space="preserve">(EL) oder </w:t>
      </w:r>
      <w:r>
        <w:rPr>
          <w:rFonts w:ascii="Times New Roman" w:hAnsi="Times New Roman"/>
          <w:b/>
          <w:noProof/>
          <w:sz w:val="24"/>
        </w:rPr>
        <w:t>lediglich sehr wenige</w:t>
      </w:r>
      <w:r>
        <w:rPr>
          <w:rFonts w:ascii="Times New Roman" w:hAnsi="Times New Roman"/>
          <w:noProof/>
          <w:sz w:val="24"/>
        </w:rPr>
        <w:t xml:space="preserve"> </w:t>
      </w:r>
      <w:r>
        <w:rPr>
          <w:rFonts w:ascii="Times New Roman" w:hAnsi="Times New Roman"/>
          <w:b/>
          <w:noProof/>
          <w:sz w:val="24"/>
        </w:rPr>
        <w:t>Ersuchen</w:t>
      </w:r>
      <w:r>
        <w:rPr>
          <w:rFonts w:ascii="Times New Roman" w:hAnsi="Times New Roman"/>
          <w:noProof/>
          <w:sz w:val="24"/>
        </w:rPr>
        <w:t xml:space="preserve"> zu ihren EU-Ausländern (BG, CY, HU, IT, MT, EE, HR, LV, RO, SK für 2016; BG, H</w:t>
      </w:r>
      <w:r>
        <w:rPr>
          <w:rFonts w:ascii="Times New Roman" w:hAnsi="Times New Roman"/>
          <w:noProof/>
          <w:sz w:val="24"/>
        </w:rPr>
        <w:t>U, IT, EE, HR, LV, RO, CY, SK für 2015; BG, EE, HR, HU, IT, LV, CY, SK für 2014). Dies führt zu der Situation, dass Gerichte ohne Kenntnis früherer Verurteilungen in anderen Mitgliedstaaten Urteile verkünden, die nicht den Anforderungen des Rahmenbeschluss</w:t>
      </w:r>
      <w:r>
        <w:rPr>
          <w:rFonts w:ascii="Times New Roman" w:hAnsi="Times New Roman"/>
          <w:noProof/>
          <w:sz w:val="24"/>
        </w:rPr>
        <w:t>es 2008/675/JI betreffend die Berücksichtigung früherer Verurteilungen in Strafverfahren entsprechen. Darüber hinaus wird der präventive Effekt, der durch die Anforderung von Strafregisterauszügen zu anderen Zwecken als Strafverfahren, wie Beschäftigungszw</w:t>
      </w:r>
      <w:r>
        <w:rPr>
          <w:rFonts w:ascii="Times New Roman" w:hAnsi="Times New Roman"/>
          <w:noProof/>
          <w:sz w:val="24"/>
        </w:rPr>
        <w:t>ecken, erzielt wird, an Bedeutung verlieren.</w:t>
      </w:r>
    </w:p>
    <w:p w:rsidR="00843FC1" w:rsidRDefault="00843FC1">
      <w:pPr>
        <w:jc w:val="both"/>
        <w:rPr>
          <w:rFonts w:ascii="Times New Roman" w:hAnsi="Times New Roman"/>
          <w:noProof/>
          <w:sz w:val="24"/>
        </w:rPr>
      </w:pPr>
      <w:r>
        <w:rPr>
          <w:rFonts w:ascii="Times New Roman" w:hAnsi="Times New Roman"/>
          <w:noProof/>
          <w:sz w:val="24"/>
        </w:rPr>
        <w:t xml:space="preserve">Aus den oben veranschaulichten Daten kann auch abgeleitet werden, dass </w:t>
      </w:r>
      <w:r>
        <w:rPr>
          <w:rFonts w:ascii="Times New Roman" w:hAnsi="Times New Roman"/>
          <w:b/>
          <w:noProof/>
          <w:sz w:val="24"/>
        </w:rPr>
        <w:t>nicht alle Informationsersuchen beantwortet wurden</w:t>
      </w:r>
      <w:r>
        <w:rPr>
          <w:rFonts w:ascii="Times New Roman" w:hAnsi="Times New Roman"/>
          <w:noProof/>
          <w:sz w:val="24"/>
        </w:rPr>
        <w:t>. In den meisten Fällen lag die Zahl der erhaltenen Antworten leicht unter der Zahl der üb</w:t>
      </w:r>
      <w:r>
        <w:rPr>
          <w:rFonts w:ascii="Times New Roman" w:hAnsi="Times New Roman"/>
          <w:noProof/>
          <w:sz w:val="24"/>
        </w:rPr>
        <w:t xml:space="preserve">ermittelten Ersuchen mit einer durchschnittlichen Differenz von </w:t>
      </w:r>
      <w:r>
        <w:rPr>
          <w:rFonts w:ascii="Times New Roman" w:hAnsi="Times New Roman"/>
          <w:b/>
          <w:noProof/>
          <w:sz w:val="24"/>
        </w:rPr>
        <w:t>rund 3,9 % für 2016</w:t>
      </w:r>
      <w:r>
        <w:rPr>
          <w:rFonts w:ascii="Times New Roman" w:hAnsi="Times New Roman"/>
          <w:noProof/>
          <w:sz w:val="24"/>
        </w:rPr>
        <w:t>. Hinsichtlich der Mitgliedstaaten, die die meisten Ersuchen übermittelten, wurden 7 % der Ersuchen aus DE (9 577), 4 % der Ersuchen aus AT (869) und 2 % der Ersuchen aus de</w:t>
      </w:r>
      <w:r>
        <w:rPr>
          <w:rFonts w:ascii="Times New Roman" w:hAnsi="Times New Roman"/>
          <w:noProof/>
          <w:sz w:val="24"/>
        </w:rPr>
        <w:t>m VK (1 709) 2016 nie beantwortet.</w:t>
      </w:r>
    </w:p>
    <w:p w:rsidR="00843FC1" w:rsidRDefault="00843FC1" w:rsidP="00843FC1">
      <w:pPr>
        <w:rPr>
          <w:noProof/>
        </w:rPr>
      </w:pPr>
      <w:r>
        <w:rPr>
          <w:noProof/>
        </w:rPr>
        <w:br w:type="page"/>
      </w:r>
    </w:p>
    <w:bookmarkEnd w:id="22"/>
    <w:p w:rsidR="000A250D" w:rsidRDefault="00843FC1">
      <w:pPr>
        <w:jc w:val="both"/>
        <w:rPr>
          <w:rFonts w:ascii="Times New Roman" w:hAnsi="Times New Roman" w:cs="Times New Roman"/>
          <w:b/>
          <w:noProof/>
          <w:sz w:val="24"/>
          <w:szCs w:val="24"/>
        </w:rPr>
      </w:pPr>
      <w:r>
        <w:rPr>
          <w:rFonts w:ascii="Times New Roman" w:hAnsi="Times New Roman"/>
          <w:b/>
          <w:noProof/>
          <w:sz w:val="24"/>
        </w:rPr>
        <w:t>3.6. Antworten auf Ersuchen</w:t>
      </w:r>
    </w:p>
    <w:p w:rsidR="000A250D" w:rsidRDefault="00843FC1">
      <w:pPr>
        <w:jc w:val="both"/>
        <w:rPr>
          <w:rFonts w:ascii="Times New Roman" w:hAnsi="Times New Roman" w:cs="Times New Roman"/>
          <w:noProof/>
          <w:sz w:val="24"/>
          <w:szCs w:val="24"/>
        </w:rPr>
      </w:pPr>
      <w:r>
        <w:rPr>
          <w:rFonts w:ascii="Times New Roman" w:hAnsi="Times New Roman"/>
          <w:noProof/>
          <w:sz w:val="24"/>
        </w:rPr>
        <w:t>Die nachfolgende Grafik verdeutlicht die Zahl der von allen verbundenen Mitgliedstaaten 2016 übermittelten Antworten im Vergleich mit der Zahl der entsprechenden erhaltenen Informationsersuchen</w:t>
      </w:r>
      <w:r>
        <w:rPr>
          <w:rFonts w:ascii="Times New Roman" w:hAnsi="Times New Roman"/>
          <w:noProof/>
          <w:sz w:val="24"/>
        </w:rPr>
        <w:t>. Für die Jahre 2014 und 2015 - siehe Anhang, Abschnitt 1.5.</w:t>
      </w:r>
    </w:p>
    <w:p w:rsidR="000A250D" w:rsidRDefault="00843FC1">
      <w:pPr>
        <w:rPr>
          <w:rFonts w:ascii="Times New Roman" w:hAnsi="Times New Roman" w:cs="Times New Roman"/>
          <w:noProof/>
          <w:sz w:val="24"/>
          <w:szCs w:val="24"/>
        </w:rPr>
      </w:pPr>
      <w:r>
        <w:rPr>
          <w:noProof/>
          <w:lang w:val="en-GB" w:eastAsia="en-GB" w:bidi="ar-SA"/>
        </w:rPr>
        <w:drawing>
          <wp:inline distT="0" distB="0" distL="0" distR="0">
            <wp:extent cx="5760085" cy="329585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085" cy="3295851"/>
                    </a:xfrm>
                    <a:prstGeom prst="rect">
                      <a:avLst/>
                    </a:prstGeom>
                  </pic:spPr>
                </pic:pic>
              </a:graphicData>
            </a:graphic>
          </wp:inline>
        </w:drawing>
      </w:r>
    </w:p>
    <w:p w:rsidR="000A250D" w:rsidRDefault="00843FC1">
      <w:pPr>
        <w:jc w:val="both"/>
        <w:rPr>
          <w:rFonts w:ascii="Times New Roman" w:hAnsi="Times New Roman" w:cs="Times New Roman"/>
          <w:noProof/>
          <w:sz w:val="24"/>
          <w:szCs w:val="24"/>
        </w:rPr>
      </w:pPr>
      <w:bookmarkStart w:id="24" w:name="_Hlk481164813"/>
      <w:r>
        <w:rPr>
          <w:rFonts w:ascii="Times New Roman" w:hAnsi="Times New Roman"/>
          <w:noProof/>
          <w:sz w:val="24"/>
        </w:rPr>
        <w:t xml:space="preserve">Die </w:t>
      </w:r>
      <w:r>
        <w:rPr>
          <w:rFonts w:ascii="Times New Roman" w:hAnsi="Times New Roman"/>
          <w:b/>
          <w:noProof/>
          <w:sz w:val="24"/>
        </w:rPr>
        <w:t>Zahl der erhaltenen Ersuchen und</w:t>
      </w:r>
      <w:r>
        <w:rPr>
          <w:rFonts w:ascii="Times New Roman" w:hAnsi="Times New Roman"/>
          <w:noProof/>
          <w:sz w:val="24"/>
        </w:rPr>
        <w:t xml:space="preserve"> </w:t>
      </w:r>
      <w:r>
        <w:rPr>
          <w:rFonts w:ascii="Times New Roman" w:hAnsi="Times New Roman"/>
          <w:b/>
          <w:noProof/>
          <w:sz w:val="24"/>
        </w:rPr>
        <w:t xml:space="preserve">dementsprechend übermittelten Antworten </w:t>
      </w:r>
      <w:r>
        <w:rPr>
          <w:rFonts w:ascii="Times New Roman" w:hAnsi="Times New Roman"/>
          <w:noProof/>
          <w:sz w:val="24"/>
        </w:rPr>
        <w:t xml:space="preserve"> </w:t>
      </w:r>
      <w:r>
        <w:rPr>
          <w:rFonts w:ascii="Times New Roman" w:hAnsi="Times New Roman"/>
          <w:b/>
          <w:noProof/>
          <w:sz w:val="24"/>
        </w:rPr>
        <w:t>variiert zwischen den Mitgliedstaaten erheblich</w:t>
      </w:r>
      <w:r>
        <w:rPr>
          <w:rFonts w:ascii="Times New Roman" w:hAnsi="Times New Roman"/>
          <w:noProof/>
          <w:sz w:val="24"/>
        </w:rPr>
        <w:t xml:space="preserve"> (von jährlich 62 000 (PL) bis 63 Ersuchen (MT)). Im Wesentlichen sind bei der Analyse dieser Abweichungen zwei Faktoren zu berücksichtigen: die Gesamtbevölkerung pro Mitgliedstaat und die Zahl seiner Staatsangehörigen mit Wohnsitz in anderen Mitgliedstaat</w:t>
      </w:r>
      <w:r>
        <w:rPr>
          <w:rFonts w:ascii="Times New Roman" w:hAnsi="Times New Roman"/>
          <w:noProof/>
          <w:sz w:val="24"/>
        </w:rPr>
        <w:t>en. Für eine detaillierte Analyse der Statistiken der einzelnen Mitgliedstaaten siehe Anhang, Abschnitt 2.</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Die Mitgliedstaaten, die die meisten Informationsersuchen erhielten und infolgedessen </w:t>
      </w:r>
      <w:r>
        <w:rPr>
          <w:rFonts w:ascii="Times New Roman" w:hAnsi="Times New Roman"/>
          <w:b/>
          <w:noProof/>
          <w:sz w:val="24"/>
        </w:rPr>
        <w:t>die meisten Ersuchen beantworteten</w:t>
      </w:r>
      <w:r>
        <w:rPr>
          <w:rFonts w:ascii="Times New Roman" w:hAnsi="Times New Roman"/>
          <w:noProof/>
          <w:sz w:val="24"/>
        </w:rPr>
        <w:t xml:space="preserve"> (in absoluten Zahlen - nicht</w:t>
      </w:r>
      <w:r>
        <w:rPr>
          <w:rFonts w:ascii="Times New Roman" w:hAnsi="Times New Roman"/>
          <w:noProof/>
          <w:sz w:val="24"/>
        </w:rPr>
        <w:t xml:space="preserve"> unbedingt der höchste Anteil in Bezug auf die erhaltenen Ersuchen) waren: </w:t>
      </w:r>
    </w:p>
    <w:p w:rsidR="000A250D" w:rsidRDefault="00843FC1">
      <w:pPr>
        <w:jc w:val="both"/>
        <w:rPr>
          <w:rFonts w:ascii="Times New Roman" w:hAnsi="Times New Roman" w:cs="Times New Roman"/>
          <w:b/>
          <w:noProof/>
          <w:sz w:val="24"/>
          <w:szCs w:val="24"/>
        </w:rPr>
      </w:pPr>
      <w:r>
        <w:rPr>
          <w:rFonts w:ascii="Times New Roman" w:hAnsi="Times New Roman"/>
          <w:noProof/>
          <w:sz w:val="24"/>
        </w:rPr>
        <w:t xml:space="preserve">- 2016: </w:t>
      </w:r>
      <w:r>
        <w:rPr>
          <w:rFonts w:ascii="Times New Roman" w:hAnsi="Times New Roman"/>
          <w:b/>
          <w:noProof/>
          <w:sz w:val="24"/>
        </w:rPr>
        <w:t xml:space="preserve">PL </w:t>
      </w:r>
      <w:r>
        <w:rPr>
          <w:rFonts w:ascii="Times New Roman" w:hAnsi="Times New Roman"/>
          <w:noProof/>
          <w:sz w:val="24"/>
        </w:rPr>
        <w:t xml:space="preserve">(17,4 % aller Antworten) gefolgt von </w:t>
      </w:r>
      <w:r>
        <w:rPr>
          <w:rFonts w:ascii="Times New Roman" w:hAnsi="Times New Roman"/>
          <w:b/>
          <w:noProof/>
          <w:sz w:val="24"/>
        </w:rPr>
        <w:t xml:space="preserve"> RO </w:t>
      </w:r>
      <w:r>
        <w:rPr>
          <w:rFonts w:ascii="Times New Roman" w:hAnsi="Times New Roman"/>
          <w:noProof/>
          <w:sz w:val="24"/>
        </w:rPr>
        <w:t>(16,2 %),</w:t>
      </w:r>
      <w:r>
        <w:rPr>
          <w:rFonts w:ascii="Times New Roman" w:hAnsi="Times New Roman"/>
          <w:b/>
          <w:noProof/>
          <w:sz w:val="24"/>
        </w:rPr>
        <w:t xml:space="preserve"> SK </w:t>
      </w:r>
      <w:r>
        <w:rPr>
          <w:rFonts w:ascii="Times New Roman" w:hAnsi="Times New Roman"/>
          <w:noProof/>
          <w:sz w:val="24"/>
        </w:rPr>
        <w:t>(9,1 %),</w:t>
      </w:r>
      <w:r>
        <w:rPr>
          <w:rFonts w:ascii="Times New Roman" w:hAnsi="Times New Roman"/>
          <w:b/>
          <w:noProof/>
          <w:sz w:val="24"/>
        </w:rPr>
        <w:t xml:space="preserve"> DE </w:t>
      </w:r>
      <w:r>
        <w:rPr>
          <w:rFonts w:ascii="Times New Roman" w:hAnsi="Times New Roman"/>
          <w:noProof/>
          <w:sz w:val="24"/>
        </w:rPr>
        <w:t>(6,2 %),</w:t>
      </w:r>
      <w:r>
        <w:rPr>
          <w:rFonts w:ascii="Times New Roman" w:hAnsi="Times New Roman"/>
          <w:b/>
          <w:noProof/>
          <w:sz w:val="24"/>
        </w:rPr>
        <w:t xml:space="preserve"> IT </w:t>
      </w:r>
      <w:r>
        <w:rPr>
          <w:rFonts w:ascii="Times New Roman" w:hAnsi="Times New Roman"/>
          <w:noProof/>
          <w:sz w:val="24"/>
        </w:rPr>
        <w:t>(5,1 %) und</w:t>
      </w:r>
      <w:r>
        <w:rPr>
          <w:rFonts w:ascii="Times New Roman" w:hAnsi="Times New Roman"/>
          <w:b/>
          <w:noProof/>
          <w:sz w:val="24"/>
        </w:rPr>
        <w:t xml:space="preserve"> FR </w:t>
      </w:r>
      <w:r>
        <w:rPr>
          <w:rFonts w:ascii="Times New Roman" w:hAnsi="Times New Roman"/>
          <w:noProof/>
          <w:sz w:val="24"/>
        </w:rPr>
        <w:t>(4,6 %)</w:t>
      </w:r>
    </w:p>
    <w:p w:rsidR="000A250D" w:rsidRDefault="00843FC1">
      <w:pPr>
        <w:jc w:val="both"/>
        <w:rPr>
          <w:rFonts w:ascii="Times New Roman" w:hAnsi="Times New Roman" w:cs="Times New Roman"/>
          <w:b/>
          <w:noProof/>
          <w:sz w:val="24"/>
          <w:szCs w:val="24"/>
        </w:rPr>
      </w:pPr>
      <w:r>
        <w:rPr>
          <w:rFonts w:ascii="Times New Roman" w:hAnsi="Times New Roman"/>
          <w:noProof/>
          <w:sz w:val="24"/>
        </w:rPr>
        <w:t xml:space="preserve">- 2015: </w:t>
      </w:r>
      <w:r>
        <w:rPr>
          <w:rFonts w:ascii="Times New Roman" w:hAnsi="Times New Roman"/>
          <w:b/>
          <w:noProof/>
          <w:sz w:val="24"/>
        </w:rPr>
        <w:t xml:space="preserve">PL </w:t>
      </w:r>
      <w:r>
        <w:rPr>
          <w:rFonts w:ascii="Times New Roman" w:hAnsi="Times New Roman"/>
          <w:noProof/>
          <w:sz w:val="24"/>
        </w:rPr>
        <w:t>(18,9 %) gefolgt von</w:t>
      </w:r>
      <w:r>
        <w:rPr>
          <w:rFonts w:ascii="Times New Roman" w:hAnsi="Times New Roman"/>
          <w:b/>
          <w:noProof/>
          <w:sz w:val="24"/>
        </w:rPr>
        <w:t xml:space="preserve"> RO </w:t>
      </w:r>
      <w:r>
        <w:rPr>
          <w:rFonts w:ascii="Times New Roman" w:hAnsi="Times New Roman"/>
          <w:noProof/>
          <w:sz w:val="24"/>
        </w:rPr>
        <w:t>(17,9 %),</w:t>
      </w:r>
      <w:r>
        <w:rPr>
          <w:rFonts w:ascii="Times New Roman" w:hAnsi="Times New Roman"/>
          <w:b/>
          <w:noProof/>
          <w:sz w:val="24"/>
        </w:rPr>
        <w:t xml:space="preserve"> DE </w:t>
      </w:r>
      <w:r>
        <w:rPr>
          <w:rFonts w:ascii="Times New Roman" w:hAnsi="Times New Roman"/>
          <w:noProof/>
          <w:sz w:val="24"/>
        </w:rPr>
        <w:t>(7,5 %),</w:t>
      </w:r>
      <w:r>
        <w:rPr>
          <w:rFonts w:ascii="Times New Roman" w:hAnsi="Times New Roman"/>
          <w:b/>
          <w:noProof/>
          <w:sz w:val="24"/>
        </w:rPr>
        <w:t xml:space="preserve"> IT</w:t>
      </w:r>
      <w:r>
        <w:rPr>
          <w:rFonts w:ascii="Times New Roman" w:hAnsi="Times New Roman"/>
          <w:noProof/>
          <w:sz w:val="24"/>
        </w:rPr>
        <w:t xml:space="preserve"> (6,5 %),</w:t>
      </w:r>
      <w:r>
        <w:rPr>
          <w:rFonts w:ascii="Times New Roman" w:hAnsi="Times New Roman"/>
          <w:noProof/>
          <w:sz w:val="24"/>
        </w:rPr>
        <w:t xml:space="preserve"> </w:t>
      </w:r>
      <w:r>
        <w:rPr>
          <w:rFonts w:ascii="Times New Roman" w:hAnsi="Times New Roman"/>
          <w:b/>
          <w:noProof/>
          <w:sz w:val="24"/>
        </w:rPr>
        <w:t xml:space="preserve">LT </w:t>
      </w:r>
      <w:r>
        <w:rPr>
          <w:rFonts w:ascii="Times New Roman" w:hAnsi="Times New Roman"/>
          <w:noProof/>
          <w:sz w:val="24"/>
        </w:rPr>
        <w:t>(5,2 %) und</w:t>
      </w:r>
      <w:r>
        <w:rPr>
          <w:rFonts w:ascii="Times New Roman" w:hAnsi="Times New Roman"/>
          <w:b/>
          <w:noProof/>
          <w:sz w:val="24"/>
        </w:rPr>
        <w:t xml:space="preserve"> FR </w:t>
      </w:r>
      <w:r>
        <w:rPr>
          <w:rFonts w:ascii="Times New Roman" w:hAnsi="Times New Roman"/>
          <w:noProof/>
          <w:sz w:val="24"/>
        </w:rPr>
        <w:t>(4,9 %)</w:t>
      </w:r>
    </w:p>
    <w:p w:rsidR="000A250D" w:rsidRDefault="00843FC1">
      <w:pPr>
        <w:jc w:val="both"/>
        <w:rPr>
          <w:rFonts w:ascii="Times New Roman" w:hAnsi="Times New Roman" w:cs="Times New Roman"/>
          <w:b/>
          <w:noProof/>
          <w:sz w:val="24"/>
          <w:szCs w:val="24"/>
        </w:rPr>
      </w:pPr>
      <w:r>
        <w:rPr>
          <w:rFonts w:ascii="Times New Roman" w:hAnsi="Times New Roman"/>
          <w:noProof/>
          <w:sz w:val="24"/>
        </w:rPr>
        <w:t xml:space="preserve">- 2014: </w:t>
      </w:r>
      <w:r>
        <w:rPr>
          <w:rFonts w:ascii="Times New Roman" w:hAnsi="Times New Roman"/>
          <w:b/>
          <w:noProof/>
          <w:sz w:val="24"/>
        </w:rPr>
        <w:t xml:space="preserve">PL </w:t>
      </w:r>
      <w:r>
        <w:rPr>
          <w:rFonts w:ascii="Times New Roman" w:hAnsi="Times New Roman"/>
          <w:noProof/>
          <w:sz w:val="24"/>
        </w:rPr>
        <w:t>(20,0 %) gefolgt von</w:t>
      </w:r>
      <w:r>
        <w:rPr>
          <w:rFonts w:ascii="Times New Roman" w:hAnsi="Times New Roman"/>
          <w:b/>
          <w:noProof/>
          <w:sz w:val="24"/>
        </w:rPr>
        <w:t xml:space="preserve"> RO </w:t>
      </w:r>
      <w:r>
        <w:rPr>
          <w:rFonts w:ascii="Times New Roman" w:hAnsi="Times New Roman"/>
          <w:noProof/>
          <w:sz w:val="24"/>
        </w:rPr>
        <w:t>(13,0 %),</w:t>
      </w:r>
      <w:r>
        <w:rPr>
          <w:rFonts w:ascii="Times New Roman" w:hAnsi="Times New Roman"/>
          <w:b/>
          <w:noProof/>
          <w:sz w:val="24"/>
        </w:rPr>
        <w:t xml:space="preserve"> DE </w:t>
      </w:r>
      <w:r>
        <w:rPr>
          <w:rFonts w:ascii="Times New Roman" w:hAnsi="Times New Roman"/>
          <w:noProof/>
          <w:sz w:val="24"/>
        </w:rPr>
        <w:t>(9,9 %),</w:t>
      </w:r>
      <w:r>
        <w:rPr>
          <w:rFonts w:ascii="Times New Roman" w:hAnsi="Times New Roman"/>
          <w:b/>
          <w:noProof/>
          <w:sz w:val="24"/>
        </w:rPr>
        <w:t xml:space="preserve"> IT </w:t>
      </w:r>
      <w:r>
        <w:rPr>
          <w:rFonts w:ascii="Times New Roman" w:hAnsi="Times New Roman"/>
          <w:noProof/>
          <w:sz w:val="24"/>
        </w:rPr>
        <w:t>(8,5 %),</w:t>
      </w:r>
      <w:r>
        <w:rPr>
          <w:rFonts w:ascii="Times New Roman" w:hAnsi="Times New Roman"/>
          <w:b/>
          <w:noProof/>
          <w:sz w:val="24"/>
        </w:rPr>
        <w:t xml:space="preserve"> FR </w:t>
      </w:r>
      <w:r>
        <w:rPr>
          <w:rFonts w:ascii="Times New Roman" w:hAnsi="Times New Roman"/>
          <w:noProof/>
          <w:sz w:val="24"/>
        </w:rPr>
        <w:t>(5,2 %) und</w:t>
      </w:r>
      <w:r>
        <w:rPr>
          <w:rFonts w:ascii="Times New Roman" w:hAnsi="Times New Roman"/>
          <w:b/>
          <w:noProof/>
          <w:sz w:val="24"/>
        </w:rPr>
        <w:t xml:space="preserve"> LT </w:t>
      </w:r>
      <w:r>
        <w:rPr>
          <w:rFonts w:ascii="Times New Roman" w:hAnsi="Times New Roman"/>
          <w:noProof/>
          <w:sz w:val="24"/>
        </w:rPr>
        <w:t>(5,0 %)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Während alle Mitgliedstaaten auf Ersuchen im Allgemeinen antworten, </w:t>
      </w:r>
      <w:r>
        <w:rPr>
          <w:rFonts w:ascii="Times New Roman" w:hAnsi="Times New Roman"/>
          <w:b/>
          <w:noProof/>
          <w:sz w:val="24"/>
        </w:rPr>
        <w:t>wurden nicht alle Informationsersuchen beantwortet</w:t>
      </w:r>
      <w:r>
        <w:rPr>
          <w:rFonts w:ascii="Times New Roman" w:hAnsi="Times New Roman"/>
          <w:noProof/>
          <w:sz w:val="24"/>
        </w:rPr>
        <w:t>. In den meisten</w:t>
      </w:r>
      <w:r>
        <w:rPr>
          <w:rFonts w:ascii="Times New Roman" w:hAnsi="Times New Roman"/>
          <w:noProof/>
          <w:sz w:val="24"/>
        </w:rPr>
        <w:t xml:space="preserve"> Fällen lag die Zahl der übermittelten Antworten leicht unter der Zahl der erhaltenen Informationsersuchen, mit einem Durchschnittsabstand von </w:t>
      </w:r>
      <w:r>
        <w:rPr>
          <w:rFonts w:ascii="Times New Roman" w:hAnsi="Times New Roman"/>
          <w:b/>
          <w:noProof/>
          <w:sz w:val="24"/>
        </w:rPr>
        <w:t>rund 3,9 % im Jahr 2016</w:t>
      </w:r>
      <w:r>
        <w:rPr>
          <w:rFonts w:ascii="Times New Roman" w:hAnsi="Times New Roman"/>
          <w:noProof/>
          <w:sz w:val="24"/>
        </w:rPr>
        <w:t xml:space="preserve">. </w:t>
      </w:r>
    </w:p>
    <w:p w:rsidR="000A250D" w:rsidRDefault="00843FC1">
      <w:pPr>
        <w:jc w:val="both"/>
        <w:rPr>
          <w:rFonts w:ascii="Times New Roman" w:hAnsi="Times New Roman" w:cs="Times New Roman"/>
          <w:noProof/>
          <w:sz w:val="24"/>
          <w:szCs w:val="24"/>
        </w:rPr>
      </w:pPr>
      <w:r>
        <w:rPr>
          <w:rFonts w:ascii="Times New Roman" w:hAnsi="Times New Roman"/>
          <w:noProof/>
          <w:sz w:val="24"/>
        </w:rPr>
        <w:t>Von den Mitgliedstaaten, die 2016 die meisten Ersuchen erhielten, antwortete IT nicht a</w:t>
      </w:r>
      <w:r>
        <w:rPr>
          <w:rFonts w:ascii="Times New Roman" w:hAnsi="Times New Roman"/>
          <w:noProof/>
          <w:sz w:val="24"/>
        </w:rPr>
        <w:t xml:space="preserve">uf 20,4 % der erhaltenen Ersuchen (5 579), FR nicht auf 3,9 % (657), DE nicht auf 2,5 % (552), PL nicht auf 1,9 % (1 174), RO nicht auf 1,7 % (970) und SK nicht auf 0,1 % (47). </w:t>
      </w:r>
      <w:bookmarkStart w:id="25" w:name="_Hlk481154445"/>
    </w:p>
    <w:p w:rsidR="000A250D" w:rsidRDefault="00843FC1">
      <w:pPr>
        <w:jc w:val="both"/>
        <w:rPr>
          <w:rFonts w:ascii="Times New Roman" w:hAnsi="Times New Roman" w:cs="Times New Roman"/>
          <w:noProof/>
          <w:sz w:val="24"/>
          <w:szCs w:val="24"/>
        </w:rPr>
      </w:pPr>
      <w:bookmarkStart w:id="26" w:name="_Hlk481154348"/>
      <w:r>
        <w:rPr>
          <w:rFonts w:ascii="Times New Roman" w:hAnsi="Times New Roman"/>
          <w:noProof/>
          <w:sz w:val="24"/>
        </w:rPr>
        <w:t>Die Mitgliedstaaten, die 2016 anteilsmäßig am wenigsten auf Ersuchen antwortet</w:t>
      </w:r>
      <w:r>
        <w:rPr>
          <w:rFonts w:ascii="Times New Roman" w:hAnsi="Times New Roman"/>
          <w:noProof/>
          <w:sz w:val="24"/>
        </w:rPr>
        <w:t xml:space="preserve">en, waren: CY (66,1 % der erhaltenen Ersuchen), EL (34,9 %), IT (20,4%) und LV (17,8 %). </w:t>
      </w:r>
    </w:p>
    <w:bookmarkEnd w:id="24"/>
    <w:bookmarkEnd w:id="25"/>
    <w:bookmarkEnd w:id="26"/>
    <w:p w:rsidR="000A250D" w:rsidRDefault="00843FC1">
      <w:pPr>
        <w:jc w:val="both"/>
        <w:rPr>
          <w:rFonts w:ascii="Times New Roman" w:hAnsi="Times New Roman" w:cs="Times New Roman"/>
          <w:b/>
          <w:noProof/>
          <w:sz w:val="24"/>
          <w:szCs w:val="24"/>
        </w:rPr>
      </w:pPr>
      <w:r>
        <w:rPr>
          <w:rFonts w:ascii="Times New Roman" w:hAnsi="Times New Roman"/>
          <w:b/>
          <w:noProof/>
          <w:sz w:val="24"/>
        </w:rPr>
        <w:t>3.7. Antworten nach Ablauf der Antwortfrist</w:t>
      </w:r>
    </w:p>
    <w:p w:rsidR="000A250D" w:rsidRDefault="00843FC1">
      <w:pPr>
        <w:jc w:val="both"/>
        <w:rPr>
          <w:rFonts w:ascii="Times New Roman" w:hAnsi="Times New Roman" w:cs="Times New Roman"/>
          <w:noProof/>
          <w:sz w:val="24"/>
          <w:szCs w:val="24"/>
        </w:rPr>
      </w:pPr>
      <w:r>
        <w:rPr>
          <w:rFonts w:ascii="Times New Roman" w:hAnsi="Times New Roman"/>
          <w:noProof/>
          <w:sz w:val="24"/>
        </w:rPr>
        <w:t>Problematisch ist auch, dass einige Ersuchen nicht innerhalb der vorgeschriebenen Fristen beantwortet werden. Die nachfolg</w:t>
      </w:r>
      <w:r>
        <w:rPr>
          <w:rFonts w:ascii="Times New Roman" w:hAnsi="Times New Roman"/>
          <w:noProof/>
          <w:sz w:val="24"/>
        </w:rPr>
        <w:t xml:space="preserve">ende Tabelle enthält für alle Mitgliedstaaten eine Übersicht der Zahlen für nicht fristgerechte Antworten im Jahr 2016. </w:t>
      </w:r>
    </w:p>
    <w:p w:rsidR="000A250D" w:rsidRDefault="00843FC1">
      <w:pPr>
        <w:jc w:val="center"/>
        <w:rPr>
          <w:rFonts w:ascii="Times New Roman" w:hAnsi="Times New Roman" w:cs="Times New Roman"/>
          <w:noProof/>
          <w:sz w:val="24"/>
          <w:szCs w:val="24"/>
        </w:rPr>
      </w:pPr>
      <w:r>
        <w:rPr>
          <w:noProof/>
          <w:lang w:val="en-GB" w:eastAsia="en-GB" w:bidi="ar-SA"/>
        </w:rPr>
        <w:drawing>
          <wp:inline distT="0" distB="0" distL="0" distR="0">
            <wp:extent cx="5760085" cy="5095992"/>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5095992"/>
                    </a:xfrm>
                    <a:prstGeom prst="rect">
                      <a:avLst/>
                    </a:prstGeom>
                    <a:noFill/>
                    <a:ln>
                      <a:noFill/>
                    </a:ln>
                  </pic:spPr>
                </pic:pic>
              </a:graphicData>
            </a:graphic>
          </wp:inline>
        </w:drawing>
      </w:r>
    </w:p>
    <w:p w:rsidR="000A250D" w:rsidRDefault="000A250D">
      <w:pPr>
        <w:contextualSpacing/>
        <w:jc w:val="both"/>
        <w:rPr>
          <w:rFonts w:ascii="Times New Roman" w:hAnsi="Times New Roman" w:cs="Times New Roman"/>
          <w:noProof/>
          <w:sz w:val="24"/>
          <w:szCs w:val="24"/>
        </w:rPr>
      </w:pP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2016 wurden rund </w:t>
      </w:r>
      <w:r>
        <w:rPr>
          <w:rFonts w:ascii="Times New Roman" w:hAnsi="Times New Roman"/>
          <w:b/>
          <w:noProof/>
          <w:sz w:val="24"/>
        </w:rPr>
        <w:t>13 000 Ersuchen nicht innerhalb der vorgeschriebenen Frist beantwortet</w:t>
      </w:r>
      <w:r>
        <w:rPr>
          <w:rFonts w:ascii="Times New Roman" w:hAnsi="Times New Roman"/>
          <w:noProof/>
          <w:sz w:val="24"/>
        </w:rPr>
        <w:t xml:space="preserve">. Dies macht </w:t>
      </w:r>
      <w:r>
        <w:rPr>
          <w:rFonts w:ascii="Times New Roman" w:hAnsi="Times New Roman"/>
          <w:b/>
          <w:noProof/>
          <w:sz w:val="24"/>
        </w:rPr>
        <w:t>3,6 %</w:t>
      </w:r>
      <w:r>
        <w:rPr>
          <w:rFonts w:ascii="Times New Roman" w:hAnsi="Times New Roman"/>
          <w:noProof/>
          <w:sz w:val="24"/>
        </w:rPr>
        <w:t xml:space="preserve"> </w:t>
      </w:r>
      <w:r>
        <w:rPr>
          <w:rFonts w:ascii="Times New Roman" w:hAnsi="Times New Roman"/>
          <w:b/>
          <w:noProof/>
          <w:sz w:val="24"/>
        </w:rPr>
        <w:t>der gesamten</w:t>
      </w:r>
      <w:r>
        <w:rPr>
          <w:rFonts w:ascii="Times New Roman" w:hAnsi="Times New Roman"/>
          <w:noProof/>
          <w:sz w:val="24"/>
        </w:rPr>
        <w:t xml:space="preserve"> Informationsersuchen aus. Die Mitgliedstaaten, die die meisten Probleme bei der Einhaltung der Fristen aufweisen, sind: EL (28,1 % der Ersuchen mit abgelaufener Antwortfrist), FI (21,5 %), EE (20,5 %), RO (9,3 %) und IT (5,28 %). Was die nach Ablauf der v</w:t>
      </w:r>
      <w:r>
        <w:rPr>
          <w:rFonts w:ascii="Times New Roman" w:hAnsi="Times New Roman"/>
          <w:noProof/>
          <w:sz w:val="24"/>
        </w:rPr>
        <w:t xml:space="preserve">orgeschriebenen Frist übermittelten Antworten betrifft, so wurden in LT 27,33 % der Antworten (4 198) nach der Frist übermittelt, in IE 21,33 % (2 153), in CY 19,56 % (134), in RO 6,12 % (3 535) und in PL 4,92 % (3 056).  </w:t>
      </w:r>
    </w:p>
    <w:p w:rsidR="000A250D" w:rsidRDefault="00843FC1">
      <w:pPr>
        <w:rPr>
          <w:rFonts w:ascii="Times New Roman" w:hAnsi="Times New Roman" w:cs="Times New Roman"/>
          <w:b/>
          <w:noProof/>
          <w:sz w:val="24"/>
          <w:szCs w:val="24"/>
        </w:rPr>
      </w:pPr>
      <w:bookmarkStart w:id="27" w:name="_Toc479267023"/>
      <w:r>
        <w:rPr>
          <w:rFonts w:ascii="Times New Roman" w:hAnsi="Times New Roman"/>
          <w:b/>
          <w:noProof/>
          <w:sz w:val="24"/>
        </w:rPr>
        <w:t>3.8. Ersuchen im Rahmen von Straf</w:t>
      </w:r>
      <w:r>
        <w:rPr>
          <w:rFonts w:ascii="Times New Roman" w:hAnsi="Times New Roman"/>
          <w:b/>
          <w:noProof/>
          <w:sz w:val="24"/>
        </w:rPr>
        <w:t>verfahren und für sonstige Zwecke</w:t>
      </w:r>
      <w:bookmarkEnd w:id="27"/>
    </w:p>
    <w:p w:rsidR="000A250D" w:rsidRDefault="00843FC1">
      <w:pPr>
        <w:spacing w:after="0"/>
        <w:jc w:val="both"/>
        <w:rPr>
          <w:rFonts w:ascii="Times New Roman" w:hAnsi="Times New Roman" w:cs="Times New Roman"/>
          <w:noProof/>
          <w:sz w:val="24"/>
          <w:szCs w:val="24"/>
        </w:rPr>
      </w:pPr>
      <w:bookmarkStart w:id="28" w:name="_Hlk481158644"/>
      <w:r>
        <w:rPr>
          <w:rFonts w:ascii="Times New Roman" w:hAnsi="Times New Roman"/>
          <w:noProof/>
          <w:sz w:val="24"/>
        </w:rPr>
        <w:t>Die folgenden Grafiken spiegeln das Verhältnis zwischen den Ersuchen im Rahmen von Strafverfahren und für sonstige Zwecke (Nicht-Strafverfahren) für den Zeitraum 2012 bis 2016 wider.</w:t>
      </w:r>
    </w:p>
    <w:p w:rsidR="000A250D" w:rsidRDefault="000A250D">
      <w:pPr>
        <w:spacing w:after="0"/>
        <w:jc w:val="both"/>
        <w:rPr>
          <w:rFonts w:ascii="Times New Roman" w:hAnsi="Times New Roman" w:cs="Times New Roman"/>
          <w:noProof/>
          <w:sz w:val="24"/>
          <w:szCs w:val="24"/>
        </w:rPr>
      </w:pPr>
    </w:p>
    <w:p w:rsidR="000A250D" w:rsidRDefault="00843FC1">
      <w:pPr>
        <w:spacing w:after="0"/>
        <w:jc w:val="center"/>
        <w:rPr>
          <w:rFonts w:ascii="Times New Roman" w:hAnsi="Times New Roman" w:cs="Times New Roman"/>
          <w:noProof/>
          <w:sz w:val="24"/>
          <w:szCs w:val="24"/>
        </w:rPr>
      </w:pPr>
      <w:r>
        <w:rPr>
          <w:noProof/>
          <w:lang w:val="en-GB" w:eastAsia="en-GB" w:bidi="ar-SA"/>
        </w:rPr>
        <w:drawing>
          <wp:inline distT="0" distB="0" distL="0" distR="0">
            <wp:extent cx="2687541" cy="143917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697052" cy="1444263"/>
                    </a:xfrm>
                    <a:prstGeom prst="rect">
                      <a:avLst/>
                    </a:prstGeom>
                  </pic:spPr>
                </pic:pic>
              </a:graphicData>
            </a:graphic>
          </wp:inline>
        </w:drawing>
      </w:r>
    </w:p>
    <w:p w:rsidR="000A250D" w:rsidRDefault="000A250D">
      <w:pPr>
        <w:spacing w:after="0"/>
        <w:jc w:val="center"/>
        <w:rPr>
          <w:rFonts w:ascii="Times New Roman" w:hAnsi="Times New Roman" w:cs="Times New Roman"/>
          <w:noProof/>
          <w:sz w:val="24"/>
          <w:szCs w:val="24"/>
        </w:rPr>
      </w:pPr>
    </w:p>
    <w:bookmarkEnd w:id="28"/>
    <w:p w:rsidR="000A250D" w:rsidRDefault="00843FC1">
      <w:pPr>
        <w:jc w:val="center"/>
        <w:rPr>
          <w:rFonts w:ascii="Times New Roman" w:hAnsi="Times New Roman" w:cs="Times New Roman"/>
          <w:noProof/>
          <w:sz w:val="24"/>
          <w:szCs w:val="24"/>
        </w:rPr>
      </w:pPr>
      <w:r>
        <w:rPr>
          <w:noProof/>
          <w:lang w:val="en-GB" w:eastAsia="en-GB" w:bidi="ar-SA"/>
        </w:rPr>
        <w:drawing>
          <wp:inline distT="0" distB="0" distL="0" distR="0">
            <wp:extent cx="3919993" cy="2787254"/>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922267" cy="2788871"/>
                    </a:xfrm>
                    <a:prstGeom prst="rect">
                      <a:avLst/>
                    </a:prstGeom>
                  </pic:spPr>
                </pic:pic>
              </a:graphicData>
            </a:graphic>
          </wp:inline>
        </w:drawing>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Während des ECRIS-Betriebs wurden durchschnittlich </w:t>
      </w:r>
      <w:r>
        <w:rPr>
          <w:rFonts w:ascii="Times New Roman" w:hAnsi="Times New Roman"/>
          <w:b/>
          <w:noProof/>
          <w:sz w:val="24"/>
        </w:rPr>
        <w:t>81 %</w:t>
      </w:r>
      <w:r>
        <w:rPr>
          <w:rFonts w:ascii="Times New Roman" w:hAnsi="Times New Roman"/>
          <w:noProof/>
          <w:sz w:val="24"/>
        </w:rPr>
        <w:t xml:space="preserve"> aller Ersuchen für </w:t>
      </w:r>
      <w:r>
        <w:rPr>
          <w:rFonts w:ascii="Times New Roman" w:hAnsi="Times New Roman"/>
          <w:b/>
          <w:noProof/>
          <w:sz w:val="24"/>
        </w:rPr>
        <w:t>Strafverfahrenszwecke</w:t>
      </w:r>
      <w:r>
        <w:rPr>
          <w:rFonts w:ascii="Times New Roman" w:hAnsi="Times New Roman"/>
          <w:noProof/>
          <w:sz w:val="24"/>
        </w:rPr>
        <w:t xml:space="preserve"> und </w:t>
      </w:r>
      <w:r>
        <w:rPr>
          <w:rFonts w:ascii="Times New Roman" w:hAnsi="Times New Roman"/>
          <w:b/>
          <w:noProof/>
          <w:sz w:val="24"/>
        </w:rPr>
        <w:t>19 %</w:t>
      </w:r>
      <w:r>
        <w:rPr>
          <w:rFonts w:ascii="Times New Roman" w:hAnsi="Times New Roman"/>
          <w:noProof/>
          <w:sz w:val="24"/>
        </w:rPr>
        <w:t xml:space="preserve"> für </w:t>
      </w:r>
      <w:r>
        <w:rPr>
          <w:rFonts w:ascii="Times New Roman" w:hAnsi="Times New Roman"/>
          <w:b/>
          <w:noProof/>
          <w:sz w:val="24"/>
        </w:rPr>
        <w:t>sonstige Zwecke</w:t>
      </w:r>
      <w:r>
        <w:rPr>
          <w:rFonts w:ascii="Times New Roman" w:hAnsi="Times New Roman"/>
          <w:noProof/>
          <w:sz w:val="24"/>
        </w:rPr>
        <w:t xml:space="preserve"> übermittelt. 2016 erreichten </w:t>
      </w:r>
      <w:r>
        <w:rPr>
          <w:rFonts w:ascii="Times New Roman" w:hAnsi="Times New Roman"/>
          <w:b/>
          <w:noProof/>
          <w:sz w:val="24"/>
        </w:rPr>
        <w:t>die Ersuchen für</w:t>
      </w:r>
      <w:r>
        <w:rPr>
          <w:rFonts w:ascii="Times New Roman" w:hAnsi="Times New Roman"/>
          <w:noProof/>
          <w:sz w:val="24"/>
        </w:rPr>
        <w:t xml:space="preserve"> </w:t>
      </w:r>
      <w:r>
        <w:rPr>
          <w:rFonts w:ascii="Times New Roman" w:hAnsi="Times New Roman"/>
          <w:b/>
          <w:noProof/>
          <w:sz w:val="24"/>
        </w:rPr>
        <w:t xml:space="preserve">sonstige Zwecke </w:t>
      </w:r>
      <w:r>
        <w:rPr>
          <w:rFonts w:ascii="Times New Roman" w:hAnsi="Times New Roman"/>
          <w:noProof/>
          <w:sz w:val="24"/>
        </w:rPr>
        <w:t>einen Stand von</w:t>
      </w:r>
      <w:r>
        <w:rPr>
          <w:rFonts w:ascii="Times New Roman" w:hAnsi="Times New Roman"/>
          <w:b/>
          <w:noProof/>
          <w:sz w:val="24"/>
        </w:rPr>
        <w:t xml:space="preserve"> 79 000</w:t>
      </w:r>
      <w:r>
        <w:rPr>
          <w:rFonts w:ascii="Times New Roman" w:hAnsi="Times New Roman"/>
          <w:noProof/>
          <w:sz w:val="24"/>
        </w:rPr>
        <w:t>.</w:t>
      </w:r>
    </w:p>
    <w:p w:rsidR="000A250D" w:rsidRDefault="00843FC1">
      <w:pPr>
        <w:jc w:val="both"/>
        <w:rPr>
          <w:rFonts w:ascii="Times New Roman" w:hAnsi="Times New Roman" w:cs="Times New Roman"/>
          <w:noProof/>
          <w:sz w:val="24"/>
          <w:szCs w:val="24"/>
        </w:rPr>
      </w:pPr>
      <w:r>
        <w:rPr>
          <w:rFonts w:ascii="Times New Roman" w:hAnsi="Times New Roman"/>
          <w:noProof/>
          <w:sz w:val="24"/>
        </w:rPr>
        <w:t>2012 – 2014 blieb der Anteil der Ersuchen fü</w:t>
      </w:r>
      <w:r>
        <w:rPr>
          <w:rFonts w:ascii="Times New Roman" w:hAnsi="Times New Roman"/>
          <w:noProof/>
          <w:sz w:val="24"/>
        </w:rPr>
        <w:t xml:space="preserve">r sonstige Zwecke stabil. Der Anstieg bis auf </w:t>
      </w:r>
      <w:r>
        <w:rPr>
          <w:rFonts w:ascii="Times New Roman" w:hAnsi="Times New Roman"/>
          <w:b/>
          <w:noProof/>
          <w:sz w:val="24"/>
        </w:rPr>
        <w:t>22 % im Jahr 2016</w:t>
      </w:r>
      <w:r>
        <w:rPr>
          <w:rFonts w:ascii="Times New Roman" w:hAnsi="Times New Roman"/>
          <w:noProof/>
          <w:sz w:val="24"/>
        </w:rPr>
        <w:t xml:space="preserve"> war vor allem auf die steigende Zahl von Ersuchen für Zwecke der</w:t>
      </w:r>
      <w:r>
        <w:rPr>
          <w:rFonts w:ascii="Times New Roman" w:hAnsi="Times New Roman"/>
          <w:b/>
          <w:noProof/>
          <w:sz w:val="24"/>
        </w:rPr>
        <w:t xml:space="preserve"> Einstellung </w:t>
      </w:r>
      <w:r>
        <w:rPr>
          <w:rFonts w:ascii="Times New Roman" w:hAnsi="Times New Roman"/>
          <w:noProof/>
          <w:sz w:val="24"/>
        </w:rPr>
        <w:t xml:space="preserve">für professionelle oder organisierte freiwillige </w:t>
      </w:r>
      <w:r>
        <w:rPr>
          <w:rFonts w:ascii="Times New Roman" w:hAnsi="Times New Roman"/>
          <w:b/>
          <w:noProof/>
          <w:sz w:val="24"/>
        </w:rPr>
        <w:t>Tätigkeiten, bei denen es zu direkten und regelmäßigen Kontakten m</w:t>
      </w:r>
      <w:r>
        <w:rPr>
          <w:rFonts w:ascii="Times New Roman" w:hAnsi="Times New Roman"/>
          <w:b/>
          <w:noProof/>
          <w:sz w:val="24"/>
        </w:rPr>
        <w:t>it Kindern kommt,</w:t>
      </w:r>
      <w:r>
        <w:rPr>
          <w:rFonts w:ascii="Times New Roman" w:hAnsi="Times New Roman"/>
          <w:noProof/>
          <w:sz w:val="24"/>
        </w:rPr>
        <w:t xml:space="preserve"> im Einklang mit der Umsetzung der </w:t>
      </w:r>
      <w:r>
        <w:rPr>
          <w:rFonts w:ascii="Times New Roman" w:hAnsi="Times New Roman"/>
          <w:b/>
          <w:noProof/>
          <w:sz w:val="24"/>
        </w:rPr>
        <w:t>Richtlinie 2011/93/EU</w:t>
      </w:r>
      <w:r>
        <w:rPr>
          <w:rFonts w:ascii="Times New Roman" w:hAnsi="Times New Roman"/>
          <w:noProof/>
          <w:sz w:val="24"/>
        </w:rPr>
        <w:t xml:space="preserve"> zurückzuführen. Derartige Ersuchen machten fast </w:t>
      </w:r>
      <w:r>
        <w:rPr>
          <w:rFonts w:ascii="Times New Roman" w:hAnsi="Times New Roman"/>
          <w:b/>
          <w:noProof/>
          <w:sz w:val="24"/>
        </w:rPr>
        <w:t>8 000 Ersuchen im Jahr 2016</w:t>
      </w:r>
      <w:r>
        <w:rPr>
          <w:rFonts w:ascii="Times New Roman" w:hAnsi="Times New Roman"/>
          <w:noProof/>
          <w:sz w:val="24"/>
        </w:rPr>
        <w:t xml:space="preserve"> oder 10 % aller Ersuchen für sonstige Zwecke aus. Im Vergleich dazu war die Zahl dieser Ersuchen 2012 uner</w:t>
      </w:r>
      <w:r>
        <w:rPr>
          <w:rFonts w:ascii="Times New Roman" w:hAnsi="Times New Roman"/>
          <w:noProof/>
          <w:sz w:val="24"/>
        </w:rPr>
        <w:t>heblich (7 Ersuchen).</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2016 wurden die meisten Ersuchen für sonstige Zwecke (Nicht-Strafverfahren) von </w:t>
      </w:r>
      <w:r>
        <w:rPr>
          <w:rFonts w:ascii="Times New Roman" w:hAnsi="Times New Roman"/>
          <w:b/>
          <w:noProof/>
          <w:sz w:val="24"/>
        </w:rPr>
        <w:t xml:space="preserve">Einzelpersonen </w:t>
      </w:r>
      <w:r>
        <w:rPr>
          <w:rFonts w:ascii="Times New Roman" w:hAnsi="Times New Roman"/>
          <w:noProof/>
          <w:sz w:val="24"/>
        </w:rPr>
        <w:t xml:space="preserve">gestellt, um </w:t>
      </w:r>
      <w:r>
        <w:rPr>
          <w:rFonts w:ascii="Times New Roman" w:hAnsi="Times New Roman"/>
          <w:b/>
          <w:noProof/>
          <w:sz w:val="24"/>
        </w:rPr>
        <w:t>Informationen über ihr eigenes Strafregister zu erlangen</w:t>
      </w:r>
      <w:r>
        <w:rPr>
          <w:rFonts w:ascii="Times New Roman" w:hAnsi="Times New Roman"/>
          <w:noProof/>
          <w:sz w:val="24"/>
        </w:rPr>
        <w:t xml:space="preserve"> - 68 % aller Ersuchen für sonstige Zwecke und 15 % sämtlicher Ersuche</w:t>
      </w:r>
      <w:r>
        <w:rPr>
          <w:rFonts w:ascii="Times New Roman" w:hAnsi="Times New Roman"/>
          <w:noProof/>
          <w:sz w:val="24"/>
        </w:rPr>
        <w:t>n. Die nächsthöchste Zahl von Ersuchen wurde von für nicht strafrechtliche Verfahren zuständigen Behörden gestellt (14 % der Ersuchen für sonstige Zwecke und 3,1 % sämtlicher Ersuchen) und betraf die Einstellungen, bei denen die Richtlinie 2011/93/EU (9,9 </w:t>
      </w:r>
      <w:r>
        <w:rPr>
          <w:rFonts w:ascii="Times New Roman" w:hAnsi="Times New Roman"/>
          <w:noProof/>
          <w:sz w:val="24"/>
        </w:rPr>
        <w:t>% bzw. 2,2%) greift, sowie Anträge auf eine Genehmigung zum Führen von Waffen (3,5 % bzw. 0,8 %).</w:t>
      </w:r>
    </w:p>
    <w:p w:rsidR="000A250D" w:rsidRDefault="00843FC1">
      <w:pPr>
        <w:jc w:val="both"/>
        <w:rPr>
          <w:rFonts w:ascii="Times New Roman" w:hAnsi="Times New Roman" w:cs="Times New Roman"/>
          <w:noProof/>
          <w:sz w:val="24"/>
          <w:szCs w:val="24"/>
        </w:rPr>
      </w:pPr>
      <w:r>
        <w:rPr>
          <w:rFonts w:ascii="Times New Roman" w:hAnsi="Times New Roman"/>
          <w:noProof/>
          <w:sz w:val="24"/>
        </w:rPr>
        <w:t>Ersuchen für den wichtigen Zweck des Erhalts einer anderen Staatsangehörigkeit machten lediglich rund 1,4 % aller Ersuchen für sonstige Zwecke und 0,3 % sämtl</w:t>
      </w:r>
      <w:r>
        <w:rPr>
          <w:rFonts w:ascii="Times New Roman" w:hAnsi="Times New Roman"/>
          <w:noProof/>
          <w:sz w:val="24"/>
        </w:rPr>
        <w:t>icher Ersuchen aus.</w:t>
      </w:r>
    </w:p>
    <w:p w:rsidR="00843FC1" w:rsidRDefault="00843FC1">
      <w:pPr>
        <w:jc w:val="both"/>
        <w:rPr>
          <w:rFonts w:ascii="Times New Roman" w:hAnsi="Times New Roman"/>
          <w:noProof/>
          <w:sz w:val="24"/>
        </w:rPr>
      </w:pPr>
      <w:r>
        <w:rPr>
          <w:rFonts w:ascii="Times New Roman" w:hAnsi="Times New Roman"/>
          <w:noProof/>
          <w:sz w:val="24"/>
        </w:rPr>
        <w:t>Weitere Einzelheiten über die Zahl der Ersuchen für verschiedene Kategorien von Zwecken im Zeitraum 2014-2016 können dem Anhang (Abschnitt 1.6) entnommen werden.</w:t>
      </w:r>
    </w:p>
    <w:p w:rsidR="00843FC1" w:rsidRDefault="00843FC1" w:rsidP="00843FC1">
      <w:pPr>
        <w:rPr>
          <w:noProof/>
        </w:rPr>
      </w:pPr>
      <w:r>
        <w:rPr>
          <w:noProof/>
        </w:rPr>
        <w:br w:type="page"/>
      </w:r>
    </w:p>
    <w:p w:rsidR="000A250D" w:rsidRDefault="00843FC1">
      <w:pPr>
        <w:rPr>
          <w:rFonts w:ascii="Times New Roman" w:hAnsi="Times New Roman" w:cs="Times New Roman"/>
          <w:b/>
          <w:noProof/>
          <w:sz w:val="24"/>
          <w:szCs w:val="24"/>
        </w:rPr>
      </w:pPr>
      <w:bookmarkStart w:id="29" w:name="_Toc479267024"/>
      <w:bookmarkStart w:id="30" w:name="_GoBack"/>
      <w:bookmarkEnd w:id="30"/>
      <w:r>
        <w:rPr>
          <w:rFonts w:ascii="Times New Roman" w:hAnsi="Times New Roman"/>
          <w:b/>
          <w:noProof/>
          <w:sz w:val="24"/>
        </w:rPr>
        <w:t xml:space="preserve">3.9. Ersuchen zu EU-Bürgern und </w:t>
      </w:r>
      <w:bookmarkEnd w:id="29"/>
      <w:r>
        <w:rPr>
          <w:rFonts w:ascii="Times New Roman" w:hAnsi="Times New Roman"/>
          <w:b/>
          <w:noProof/>
          <w:sz w:val="24"/>
        </w:rPr>
        <w:t>TCN</w:t>
      </w:r>
    </w:p>
    <w:p w:rsidR="000A250D" w:rsidRDefault="00843FC1">
      <w:pPr>
        <w:spacing w:after="0"/>
        <w:jc w:val="both"/>
        <w:rPr>
          <w:rFonts w:ascii="Times New Roman" w:hAnsi="Times New Roman" w:cs="Times New Roman"/>
          <w:noProof/>
          <w:sz w:val="24"/>
          <w:szCs w:val="24"/>
        </w:rPr>
      </w:pPr>
      <w:r>
        <w:rPr>
          <w:rFonts w:ascii="Times New Roman" w:hAnsi="Times New Roman"/>
          <w:noProof/>
          <w:sz w:val="24"/>
        </w:rPr>
        <w:t>Die folgenden Grafiken stellen das Ver</w:t>
      </w:r>
      <w:r>
        <w:rPr>
          <w:rFonts w:ascii="Times New Roman" w:hAnsi="Times New Roman"/>
          <w:noProof/>
          <w:sz w:val="24"/>
        </w:rPr>
        <w:t>hältnis zwischen den Ersuchen zu EU-Bürgern und TCN pro Jahr</w:t>
      </w:r>
      <w:r>
        <w:rPr>
          <w:rStyle w:val="FootnoteReference"/>
          <w:rFonts w:ascii="Times New Roman" w:hAnsi="Times New Roman"/>
          <w:noProof/>
          <w:sz w:val="24"/>
        </w:rPr>
        <w:footnoteReference w:id="12"/>
      </w:r>
      <w:r>
        <w:rPr>
          <w:rFonts w:ascii="Times New Roman" w:hAnsi="Times New Roman"/>
          <w:noProof/>
          <w:sz w:val="24"/>
        </w:rPr>
        <w:t xml:space="preserve"> sowie im Durchschnitt während des gesamten ECRIS-Betriebs dar.</w:t>
      </w:r>
    </w:p>
    <w:p w:rsidR="000A250D" w:rsidRDefault="000A250D">
      <w:pPr>
        <w:spacing w:after="0"/>
        <w:jc w:val="both"/>
        <w:rPr>
          <w:rFonts w:ascii="Times New Roman" w:hAnsi="Times New Roman" w:cs="Times New Roman"/>
          <w:noProof/>
          <w:sz w:val="24"/>
          <w:szCs w:val="24"/>
        </w:rPr>
      </w:pPr>
    </w:p>
    <w:p w:rsidR="000A250D" w:rsidRDefault="00843FC1">
      <w:pPr>
        <w:jc w:val="center"/>
        <w:rPr>
          <w:rFonts w:ascii="Times New Roman" w:hAnsi="Times New Roman" w:cs="Times New Roman"/>
          <w:noProof/>
          <w:sz w:val="24"/>
          <w:szCs w:val="24"/>
        </w:rPr>
      </w:pPr>
      <w:r>
        <w:rPr>
          <w:noProof/>
          <w:lang w:val="en-GB" w:eastAsia="en-GB" w:bidi="ar-SA"/>
        </w:rPr>
        <w:drawing>
          <wp:inline distT="0" distB="0" distL="0" distR="0">
            <wp:extent cx="2631113" cy="162206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642553" cy="1629120"/>
                    </a:xfrm>
                    <a:prstGeom prst="rect">
                      <a:avLst/>
                    </a:prstGeom>
                  </pic:spPr>
                </pic:pic>
              </a:graphicData>
            </a:graphic>
          </wp:inline>
        </w:drawing>
      </w:r>
      <w:r>
        <w:rPr>
          <w:rStyle w:val="CommentReference"/>
          <w:rFonts w:ascii="Times New Roman" w:hAnsi="Times New Roman"/>
          <w:noProof/>
          <w:sz w:val="24"/>
        </w:rPr>
        <w:t xml:space="preserve"> </w:t>
      </w:r>
    </w:p>
    <w:p w:rsidR="000A250D" w:rsidRDefault="00843FC1">
      <w:pPr>
        <w:contextualSpacing/>
        <w:jc w:val="center"/>
        <w:rPr>
          <w:rFonts w:ascii="Times New Roman" w:hAnsi="Times New Roman" w:cs="Times New Roman"/>
          <w:noProof/>
          <w:sz w:val="24"/>
          <w:szCs w:val="24"/>
        </w:rPr>
      </w:pPr>
      <w:r>
        <w:rPr>
          <w:noProof/>
          <w:lang w:val="en-GB" w:eastAsia="en-GB" w:bidi="ar-SA"/>
        </w:rPr>
        <w:drawing>
          <wp:inline distT="0" distB="0" distL="0" distR="0">
            <wp:extent cx="4428876" cy="280568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430432" cy="2806674"/>
                    </a:xfrm>
                    <a:prstGeom prst="rect">
                      <a:avLst/>
                    </a:prstGeom>
                  </pic:spPr>
                </pic:pic>
              </a:graphicData>
            </a:graphic>
          </wp:inline>
        </w:drawing>
      </w:r>
    </w:p>
    <w:p w:rsidR="000A250D" w:rsidRDefault="000A250D">
      <w:pPr>
        <w:contextualSpacing/>
        <w:jc w:val="both"/>
        <w:rPr>
          <w:rFonts w:ascii="Times New Roman" w:hAnsi="Times New Roman" w:cs="Times New Roman"/>
          <w:noProof/>
          <w:sz w:val="24"/>
          <w:szCs w:val="24"/>
        </w:rPr>
      </w:pPr>
    </w:p>
    <w:p w:rsidR="000A250D" w:rsidRDefault="00843FC1">
      <w:pPr>
        <w:jc w:val="both"/>
        <w:rPr>
          <w:rFonts w:ascii="Times New Roman" w:hAnsi="Times New Roman" w:cs="Times New Roman"/>
          <w:noProof/>
          <w:sz w:val="24"/>
          <w:szCs w:val="24"/>
        </w:rPr>
      </w:pPr>
      <w:r>
        <w:rPr>
          <w:rFonts w:ascii="Times New Roman" w:hAnsi="Times New Roman"/>
          <w:noProof/>
          <w:sz w:val="24"/>
        </w:rPr>
        <w:t>Durchschnittlich</w:t>
      </w:r>
      <w:r>
        <w:rPr>
          <w:rFonts w:ascii="Times New Roman" w:hAnsi="Times New Roman"/>
          <w:b/>
          <w:noProof/>
          <w:sz w:val="24"/>
        </w:rPr>
        <w:t xml:space="preserve"> 90 %</w:t>
      </w:r>
      <w:r>
        <w:rPr>
          <w:rFonts w:ascii="Times New Roman" w:hAnsi="Times New Roman"/>
          <w:noProof/>
          <w:sz w:val="24"/>
        </w:rPr>
        <w:t xml:space="preserve"> aller Ersuchen betreffen </w:t>
      </w:r>
      <w:r>
        <w:rPr>
          <w:rFonts w:ascii="Times New Roman" w:hAnsi="Times New Roman"/>
          <w:b/>
          <w:noProof/>
          <w:sz w:val="24"/>
        </w:rPr>
        <w:t>EU-Bürger</w:t>
      </w:r>
      <w:r>
        <w:rPr>
          <w:rFonts w:ascii="Times New Roman" w:hAnsi="Times New Roman"/>
          <w:noProof/>
          <w:sz w:val="24"/>
        </w:rPr>
        <w:t xml:space="preserve"> und rund </w:t>
      </w:r>
      <w:r>
        <w:rPr>
          <w:rFonts w:ascii="Times New Roman" w:hAnsi="Times New Roman"/>
          <w:b/>
          <w:noProof/>
          <w:sz w:val="24"/>
        </w:rPr>
        <w:t>10 % TCN</w:t>
      </w:r>
      <w:r>
        <w:rPr>
          <w:rFonts w:ascii="Times New Roman" w:hAnsi="Times New Roman"/>
          <w:noProof/>
          <w:sz w:val="24"/>
        </w:rPr>
        <w:t xml:space="preserve">. Der Anteil der Ersuchen für Staatenlose ist </w:t>
      </w:r>
      <w:r>
        <w:rPr>
          <w:rFonts w:ascii="Times New Roman" w:hAnsi="Times New Roman"/>
          <w:noProof/>
          <w:sz w:val="24"/>
        </w:rPr>
        <w:t>marginal (0,03 %).</w:t>
      </w:r>
    </w:p>
    <w:p w:rsidR="000A250D" w:rsidRDefault="00843FC1">
      <w:pPr>
        <w:jc w:val="both"/>
        <w:rPr>
          <w:rFonts w:ascii="Times New Roman" w:hAnsi="Times New Roman" w:cs="Times New Roman"/>
          <w:noProof/>
          <w:sz w:val="24"/>
          <w:szCs w:val="24"/>
        </w:rPr>
      </w:pPr>
      <w:r>
        <w:rPr>
          <w:rFonts w:ascii="Times New Roman" w:hAnsi="Times New Roman"/>
          <w:noProof/>
          <w:sz w:val="24"/>
        </w:rPr>
        <w:t xml:space="preserve">Im ersten Jahr des ECRIS-Betriebs lag der prozentuale Anteil der TCN-Ersuchen sehr niedrig (5 %). 2013 verdoppelte sich dieser Prozentsatz und blieb seitdem stabil. 2016 erreichten die </w:t>
      </w:r>
      <w:r>
        <w:rPr>
          <w:rFonts w:ascii="Times New Roman" w:hAnsi="Times New Roman"/>
          <w:b/>
          <w:noProof/>
          <w:sz w:val="24"/>
        </w:rPr>
        <w:t xml:space="preserve">TCN-Informationsersuchen </w:t>
      </w:r>
      <w:r>
        <w:rPr>
          <w:rFonts w:ascii="Times New Roman" w:hAnsi="Times New Roman"/>
          <w:noProof/>
          <w:sz w:val="24"/>
        </w:rPr>
        <w:t>einen Stand von</w:t>
      </w:r>
      <w:r>
        <w:rPr>
          <w:rFonts w:ascii="Times New Roman" w:hAnsi="Times New Roman"/>
          <w:b/>
          <w:noProof/>
          <w:sz w:val="24"/>
        </w:rPr>
        <w:t xml:space="preserve"> über 33 000</w:t>
      </w:r>
      <w:r>
        <w:rPr>
          <w:rFonts w:ascii="Times New Roman" w:hAnsi="Times New Roman"/>
          <w:noProof/>
          <w:sz w:val="24"/>
        </w:rPr>
        <w:t xml:space="preserve">. </w:t>
      </w:r>
    </w:p>
    <w:p w:rsidR="000A250D" w:rsidRDefault="00843FC1">
      <w:pPr>
        <w:jc w:val="both"/>
        <w:rPr>
          <w:rFonts w:ascii="Times New Roman" w:hAnsi="Times New Roman" w:cs="Times New Roman"/>
          <w:noProof/>
          <w:sz w:val="24"/>
          <w:szCs w:val="24"/>
        </w:rPr>
      </w:pPr>
      <w:r>
        <w:rPr>
          <w:rFonts w:ascii="Times New Roman" w:hAnsi="Times New Roman"/>
          <w:noProof/>
          <w:sz w:val="24"/>
        </w:rPr>
        <w:t>Von der Kommission zusammen mit diesem Bericht vorgeschlagene ergänzende Rechtsvorschriften werden das ECRIS-System in Bezug auf TCN verbessern, indem ein spezielles zentralisiertes System für eine effiziente Ermittlung des (der) betreffenden Mitgliedst</w:t>
      </w:r>
      <w:r>
        <w:rPr>
          <w:rFonts w:ascii="Times New Roman" w:hAnsi="Times New Roman"/>
          <w:noProof/>
          <w:sz w:val="24"/>
        </w:rPr>
        <w:t xml:space="preserve">aats (en) eingeführt wird, die über TCN-Strafregisterinformationen verfügen. Diese Maßnahme dürfte zu einem erheblichen Anstieg von TCN-Ersuchen führen. </w:t>
      </w:r>
    </w:p>
    <w:p w:rsidR="000A250D" w:rsidRDefault="00843FC1">
      <w:pPr>
        <w:rPr>
          <w:rFonts w:ascii="Times New Roman" w:hAnsi="Times New Roman" w:cs="Times New Roman"/>
          <w:b/>
          <w:noProof/>
          <w:sz w:val="24"/>
          <w:szCs w:val="24"/>
        </w:rPr>
      </w:pPr>
      <w:bookmarkStart w:id="31" w:name="_Toc479267025"/>
      <w:r>
        <w:rPr>
          <w:rFonts w:ascii="Times New Roman" w:hAnsi="Times New Roman"/>
          <w:b/>
          <w:noProof/>
          <w:sz w:val="24"/>
        </w:rPr>
        <w:t>3.10.</w:t>
      </w:r>
      <w:bookmarkEnd w:id="31"/>
      <w:r>
        <w:rPr>
          <w:rFonts w:ascii="Times New Roman" w:hAnsi="Times New Roman"/>
          <w:b/>
          <w:noProof/>
          <w:sz w:val="24"/>
        </w:rPr>
        <w:t xml:space="preserve"> Antworten mit Informationen über Verurteilungen</w:t>
      </w:r>
    </w:p>
    <w:p w:rsidR="000A250D" w:rsidRDefault="00843FC1">
      <w:pPr>
        <w:jc w:val="both"/>
        <w:rPr>
          <w:rFonts w:ascii="Times New Roman" w:hAnsi="Times New Roman" w:cs="Times New Roman"/>
          <w:noProof/>
          <w:sz w:val="24"/>
          <w:szCs w:val="24"/>
        </w:rPr>
      </w:pPr>
      <w:r>
        <w:rPr>
          <w:rFonts w:ascii="Times New Roman" w:hAnsi="Times New Roman"/>
          <w:noProof/>
          <w:sz w:val="24"/>
        </w:rPr>
        <w:t>In den folgenden Grafiken wird der prozentuale A</w:t>
      </w:r>
      <w:r>
        <w:rPr>
          <w:rFonts w:ascii="Times New Roman" w:hAnsi="Times New Roman"/>
          <w:noProof/>
          <w:sz w:val="24"/>
        </w:rPr>
        <w:t>nteil der Antworten auf Ersuchen betreffend eine oder mehrere Verurteilungen, Antworten, die keine Verurteilungen umfassen, und sonstige Antworten pro Jahr</w:t>
      </w:r>
      <w:r>
        <w:rPr>
          <w:rStyle w:val="FootnoteReference"/>
          <w:rFonts w:ascii="Times New Roman" w:hAnsi="Times New Roman"/>
          <w:noProof/>
          <w:sz w:val="24"/>
        </w:rPr>
        <w:footnoteReference w:id="13"/>
      </w:r>
      <w:r>
        <w:rPr>
          <w:rFonts w:ascii="Times New Roman" w:hAnsi="Times New Roman"/>
          <w:noProof/>
          <w:sz w:val="24"/>
        </w:rPr>
        <w:t xml:space="preserve"> sowie im Durchschnitt während des ECRIS-Betriebs widergegeben.</w:t>
      </w:r>
    </w:p>
    <w:p w:rsidR="000A250D" w:rsidRDefault="00843FC1">
      <w:pPr>
        <w:jc w:val="center"/>
        <w:rPr>
          <w:rFonts w:ascii="Times New Roman" w:hAnsi="Times New Roman" w:cs="Times New Roman"/>
          <w:noProof/>
          <w:sz w:val="24"/>
          <w:szCs w:val="24"/>
        </w:rPr>
      </w:pPr>
      <w:r>
        <w:rPr>
          <w:rStyle w:val="CommentReference"/>
          <w:rFonts w:ascii="Times New Roman" w:hAnsi="Times New Roman"/>
          <w:noProof/>
          <w:sz w:val="24"/>
        </w:rPr>
        <w:t xml:space="preserve"> </w:t>
      </w:r>
      <w:r>
        <w:rPr>
          <w:noProof/>
          <w:lang w:val="en-GB" w:eastAsia="en-GB" w:bidi="ar-SA"/>
        </w:rPr>
        <w:drawing>
          <wp:inline distT="0" distB="0" distL="0" distR="0">
            <wp:extent cx="2830664" cy="1676583"/>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839067" cy="1681560"/>
                    </a:xfrm>
                    <a:prstGeom prst="rect">
                      <a:avLst/>
                    </a:prstGeom>
                  </pic:spPr>
                </pic:pic>
              </a:graphicData>
            </a:graphic>
          </wp:inline>
        </w:drawing>
      </w:r>
    </w:p>
    <w:p w:rsidR="000A250D" w:rsidRDefault="00843FC1">
      <w:pPr>
        <w:jc w:val="center"/>
        <w:rPr>
          <w:rFonts w:ascii="Times New Roman" w:hAnsi="Times New Roman" w:cs="Times New Roman"/>
          <w:noProof/>
          <w:sz w:val="24"/>
          <w:szCs w:val="24"/>
        </w:rPr>
      </w:pPr>
      <w:r>
        <w:rPr>
          <w:noProof/>
          <w:lang w:val="en-GB" w:eastAsia="en-GB" w:bidi="ar-SA"/>
        </w:rPr>
        <w:drawing>
          <wp:inline distT="0" distB="0" distL="0" distR="0">
            <wp:extent cx="4261900" cy="2837339"/>
            <wp:effectExtent l="0" t="0" r="5715"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264373" cy="2838985"/>
                    </a:xfrm>
                    <a:prstGeom prst="rect">
                      <a:avLst/>
                    </a:prstGeom>
                  </pic:spPr>
                </pic:pic>
              </a:graphicData>
            </a:graphic>
          </wp:inline>
        </w:drawing>
      </w:r>
    </w:p>
    <w:p w:rsidR="000A250D" w:rsidRDefault="00843FC1">
      <w:pPr>
        <w:contextualSpacing/>
        <w:jc w:val="both"/>
        <w:rPr>
          <w:rFonts w:ascii="Times New Roman" w:hAnsi="Times New Roman" w:cs="Times New Roman"/>
          <w:noProof/>
          <w:sz w:val="24"/>
          <w:szCs w:val="24"/>
        </w:rPr>
      </w:pPr>
      <w:r>
        <w:rPr>
          <w:rFonts w:ascii="Times New Roman" w:hAnsi="Times New Roman"/>
          <w:noProof/>
          <w:sz w:val="24"/>
        </w:rPr>
        <w:t>Seit dem ersten Jahr des ECRIS-</w:t>
      </w:r>
      <w:r>
        <w:rPr>
          <w:rFonts w:ascii="Times New Roman" w:hAnsi="Times New Roman"/>
          <w:noProof/>
          <w:sz w:val="24"/>
        </w:rPr>
        <w:t xml:space="preserve">Betriebs betrafen </w:t>
      </w:r>
      <w:r>
        <w:rPr>
          <w:rFonts w:ascii="Times New Roman" w:hAnsi="Times New Roman"/>
          <w:b/>
          <w:noProof/>
          <w:sz w:val="24"/>
        </w:rPr>
        <w:t xml:space="preserve">31 % der Antworten Angaben über frühere strafrechtliche Verurteilungen. </w:t>
      </w:r>
      <w:r>
        <w:rPr>
          <w:rFonts w:ascii="Times New Roman" w:hAnsi="Times New Roman"/>
          <w:noProof/>
          <w:sz w:val="24"/>
        </w:rPr>
        <w:t>Dies bedeutet, dass die betreffende Person in 31 % der Fälle bereits ein- oder mehrmals verurteilt wurde, was die Bedeutung von ECRIS als Instrument zum Erhalt strafr</w:t>
      </w:r>
      <w:r>
        <w:rPr>
          <w:rFonts w:ascii="Times New Roman" w:hAnsi="Times New Roman"/>
          <w:noProof/>
          <w:sz w:val="24"/>
        </w:rPr>
        <w:t xml:space="preserve">echtlicher Informationen beweist. </w:t>
      </w:r>
      <w:r>
        <w:rPr>
          <w:rFonts w:ascii="Times New Roman" w:hAnsi="Times New Roman"/>
          <w:b/>
          <w:noProof/>
          <w:sz w:val="24"/>
        </w:rPr>
        <w:t>2016</w:t>
      </w:r>
      <w:r>
        <w:rPr>
          <w:rFonts w:ascii="Times New Roman" w:hAnsi="Times New Roman"/>
          <w:noProof/>
          <w:sz w:val="24"/>
        </w:rPr>
        <w:t xml:space="preserve"> enthielten über </w:t>
      </w:r>
      <w:r>
        <w:rPr>
          <w:rFonts w:ascii="Times New Roman" w:hAnsi="Times New Roman"/>
          <w:b/>
          <w:noProof/>
          <w:sz w:val="24"/>
        </w:rPr>
        <w:t xml:space="preserve">105 000 Antworten Informationen über Verurteilungen. </w:t>
      </w:r>
      <w:r>
        <w:rPr>
          <w:rFonts w:ascii="Times New Roman" w:hAnsi="Times New Roman"/>
          <w:noProof/>
          <w:sz w:val="24"/>
        </w:rPr>
        <w:t>Die Antworten ohne Informationen über Verurteilungen machten durchschnittlich 63 % und sonstige Antworten in den letzten fünf Jahren 6 % aus.</w:t>
      </w:r>
    </w:p>
    <w:p w:rsidR="000A250D" w:rsidRDefault="000A250D">
      <w:pPr>
        <w:rPr>
          <w:rStyle w:val="Hyperlink"/>
          <w:rFonts w:ascii="Times New Roman" w:hAnsi="Times New Roman" w:cs="Times New Roman"/>
          <w:i/>
          <w:noProof/>
          <w:sz w:val="24"/>
          <w:szCs w:val="24"/>
        </w:rPr>
      </w:pPr>
      <w:bookmarkStart w:id="32" w:name="_Toc479267027"/>
      <w:bookmarkStart w:id="33" w:name="_Toc479267028"/>
      <w:bookmarkStart w:id="34" w:name="_Toc479267029"/>
      <w:bookmarkStart w:id="35" w:name="_Toc479267030"/>
      <w:bookmarkStart w:id="36" w:name="_Toc479267031"/>
      <w:bookmarkStart w:id="37" w:name="_Toc479267032"/>
      <w:bookmarkStart w:id="38" w:name="_Toc479267033"/>
      <w:bookmarkStart w:id="39" w:name="_Toc479267034"/>
      <w:bookmarkStart w:id="40" w:name="_Toc479267035"/>
      <w:bookmarkStart w:id="41" w:name="_Toc479267036"/>
      <w:bookmarkStart w:id="42" w:name="_Toc479267037"/>
      <w:bookmarkStart w:id="43" w:name="_Toc479267038"/>
      <w:bookmarkStart w:id="44" w:name="_Toc479267039"/>
      <w:bookmarkStart w:id="45" w:name="_Toc479267040"/>
      <w:bookmarkStart w:id="46" w:name="_Toc479267041"/>
      <w:bookmarkStart w:id="47" w:name="_Toc479267042"/>
      <w:bookmarkStart w:id="48" w:name="_Toc479267043"/>
      <w:bookmarkStart w:id="49" w:name="_Toc479267044"/>
      <w:bookmarkStart w:id="50" w:name="_Toc479267045"/>
      <w:bookmarkStart w:id="51" w:name="_Toc479267046"/>
      <w:bookmarkStart w:id="52" w:name="_Toc479267047"/>
      <w:bookmarkStart w:id="53" w:name="_Toc479267048"/>
      <w:bookmarkStart w:id="54" w:name="_Toc479267049"/>
      <w:bookmarkStart w:id="55" w:name="_Toc479267050"/>
      <w:bookmarkStart w:id="56" w:name="_Toc479267051"/>
      <w:bookmarkStart w:id="57" w:name="_Toc479267052"/>
      <w:bookmarkStart w:id="58" w:name="_Toc479267053"/>
      <w:bookmarkStart w:id="59" w:name="_Toc479267054"/>
      <w:bookmarkStart w:id="60" w:name="_Toc479267055"/>
      <w:bookmarkStart w:id="61" w:name="_Toc479267056"/>
      <w:bookmarkStart w:id="62" w:name="_Toc479267057"/>
      <w:bookmarkStart w:id="63" w:name="_Toc479267058"/>
      <w:bookmarkStart w:id="64" w:name="_Toc479267059"/>
      <w:bookmarkStart w:id="65" w:name="_Toc479267060"/>
      <w:bookmarkStart w:id="66" w:name="_Toc479267061"/>
      <w:bookmarkStart w:id="67" w:name="_Toc479267062"/>
      <w:bookmarkStart w:id="68" w:name="_Toc479267063"/>
      <w:bookmarkStart w:id="69" w:name="_Toc479267064"/>
      <w:bookmarkStart w:id="70" w:name="_Toc479267065"/>
      <w:bookmarkStart w:id="71" w:name="_Toc479267066"/>
      <w:bookmarkStart w:id="72" w:name="_Toc479267067"/>
      <w:bookmarkStart w:id="73" w:name="_Toc479267068"/>
      <w:bookmarkStart w:id="74" w:name="_Toc479267069"/>
      <w:bookmarkStart w:id="75" w:name="_Toc479267070"/>
      <w:bookmarkStart w:id="76" w:name="_Toc479267071"/>
      <w:bookmarkStart w:id="77" w:name="_Toc479267072"/>
      <w:bookmarkStart w:id="78" w:name="_Toc479267073"/>
      <w:bookmarkStart w:id="79" w:name="_Toc479267074"/>
      <w:bookmarkStart w:id="80" w:name="_Toc479267075"/>
      <w:bookmarkStart w:id="81" w:name="_Toc479267076"/>
      <w:bookmarkStart w:id="82" w:name="_Toc479267077"/>
      <w:bookmarkStart w:id="83" w:name="_Toc479267078"/>
      <w:bookmarkStart w:id="84" w:name="_Toc479267079"/>
      <w:bookmarkStart w:id="85" w:name="_Toc479267080"/>
      <w:bookmarkStart w:id="86" w:name="_Toc479267081"/>
      <w:bookmarkStart w:id="87" w:name="_Toc479267082"/>
      <w:bookmarkStart w:id="88" w:name="_Toc479267083"/>
      <w:bookmarkStart w:id="89" w:name="_Toc479267084"/>
      <w:bookmarkStart w:id="90" w:name="_Toc479267085"/>
      <w:bookmarkStart w:id="91" w:name="_Toc479267086"/>
      <w:bookmarkStart w:id="92" w:name="_Toc479267087"/>
      <w:bookmarkStart w:id="93" w:name="_Toc479267088"/>
      <w:bookmarkStart w:id="94" w:name="_Toc479267089"/>
      <w:bookmarkStart w:id="95" w:name="_Toc479267090"/>
      <w:bookmarkStart w:id="96" w:name="_Toc479267091"/>
      <w:bookmarkStart w:id="97" w:name="_Toc479267092"/>
      <w:bookmarkStart w:id="98" w:name="_Toc479267093"/>
      <w:bookmarkStart w:id="99" w:name="_Toc479267094"/>
      <w:bookmarkStart w:id="100" w:name="_Toc479267095"/>
      <w:bookmarkStart w:id="101" w:name="_Toc479267096"/>
      <w:bookmarkStart w:id="102" w:name="_Toc479267097"/>
      <w:bookmarkStart w:id="103" w:name="_Toc479267098"/>
      <w:bookmarkStart w:id="104" w:name="_Toc479267099"/>
      <w:bookmarkStart w:id="105" w:name="_Toc479267100"/>
      <w:bookmarkStart w:id="106" w:name="_Toc479267101"/>
      <w:bookmarkStart w:id="107" w:name="_Toc479267102"/>
      <w:bookmarkStart w:id="108" w:name="_Toc479267103"/>
      <w:bookmarkStart w:id="109" w:name="_Toc479267104"/>
      <w:bookmarkStart w:id="110" w:name="_Toc479267105"/>
      <w:bookmarkStart w:id="111" w:name="_Toc479267106"/>
      <w:bookmarkStart w:id="112" w:name="_Toc479267107"/>
      <w:bookmarkStart w:id="113" w:name="_Toc479267108"/>
      <w:bookmarkStart w:id="114" w:name="_Toc479267109"/>
      <w:bookmarkStart w:id="115" w:name="_Toc479267110"/>
      <w:bookmarkStart w:id="116" w:name="_Toc479267111"/>
      <w:bookmarkStart w:id="117" w:name="_Toc479267112"/>
      <w:bookmarkStart w:id="118" w:name="_Toc479267113"/>
      <w:bookmarkStart w:id="119" w:name="_Toc479267114"/>
      <w:bookmarkStart w:id="120" w:name="_Toc479267115"/>
      <w:bookmarkStart w:id="121" w:name="_Toc479267116"/>
      <w:bookmarkStart w:id="122" w:name="_Toc479267117"/>
      <w:bookmarkStart w:id="123" w:name="_Toc479267118"/>
      <w:bookmarkStart w:id="124" w:name="_Toc479267119"/>
      <w:bookmarkStart w:id="125" w:name="_Toc479267120"/>
      <w:bookmarkStart w:id="126" w:name="_Toc479267121"/>
      <w:bookmarkStart w:id="127" w:name="_Toc479267122"/>
      <w:bookmarkStart w:id="128" w:name="_Toc479267123"/>
      <w:bookmarkStart w:id="129" w:name="_Toc479267124"/>
      <w:bookmarkStart w:id="130" w:name="_Toc479267125"/>
      <w:bookmarkStart w:id="131" w:name="_Toc479267126"/>
      <w:bookmarkStart w:id="132" w:name="_Toc479267127"/>
      <w:bookmarkStart w:id="133" w:name="_Toc479267128"/>
      <w:bookmarkStart w:id="134" w:name="_Toc479267129"/>
      <w:bookmarkStart w:id="135" w:name="_Toc479267130"/>
      <w:bookmarkStart w:id="136" w:name="_Toc479267131"/>
      <w:bookmarkStart w:id="137" w:name="_Toc479267132"/>
      <w:bookmarkStart w:id="138" w:name="_Toc479267133"/>
      <w:bookmarkStart w:id="139" w:name="_Toc479267134"/>
      <w:bookmarkStart w:id="140" w:name="_Toc479267135"/>
      <w:bookmarkStart w:id="141" w:name="_Toc479267136"/>
      <w:bookmarkStart w:id="142" w:name="_Toc479267137"/>
      <w:bookmarkStart w:id="143" w:name="_Toc479267138"/>
      <w:bookmarkStart w:id="144" w:name="_Toc479267139"/>
      <w:bookmarkStart w:id="145" w:name="_Toc479267140"/>
      <w:bookmarkStart w:id="146" w:name="_Toc479267141"/>
      <w:bookmarkStart w:id="147" w:name="_Toc479267142"/>
      <w:bookmarkStart w:id="148" w:name="_Toc479267143"/>
      <w:bookmarkStart w:id="149" w:name="_Toc479267144"/>
      <w:bookmarkStart w:id="150" w:name="_Toc479267145"/>
      <w:bookmarkStart w:id="151" w:name="_Toc479267146"/>
      <w:bookmarkStart w:id="152" w:name="_Toc479267147"/>
      <w:bookmarkStart w:id="153" w:name="_Toc479267148"/>
      <w:bookmarkStart w:id="154" w:name="_Toc479267149"/>
      <w:bookmarkStart w:id="155" w:name="_Toc479267150"/>
      <w:bookmarkStart w:id="156" w:name="_Toc479267151"/>
      <w:bookmarkStart w:id="157" w:name="_Toc479267152"/>
      <w:bookmarkStart w:id="158" w:name="_Toc479267153"/>
      <w:bookmarkStart w:id="159" w:name="_Toc479267154"/>
      <w:bookmarkStart w:id="160" w:name="_Toc479267155"/>
      <w:bookmarkStart w:id="161" w:name="_Toc479267156"/>
      <w:bookmarkStart w:id="162" w:name="_Toc479267157"/>
      <w:bookmarkStart w:id="163" w:name="_Toc479267158"/>
      <w:bookmarkStart w:id="164" w:name="_Toc479267159"/>
      <w:bookmarkStart w:id="165" w:name="_Toc479267160"/>
      <w:bookmarkStart w:id="166" w:name="_Toc479267161"/>
      <w:bookmarkStart w:id="167" w:name="_Toc479267162"/>
      <w:bookmarkStart w:id="168" w:name="_Toc479267163"/>
      <w:bookmarkStart w:id="169" w:name="_Toc479267164"/>
      <w:bookmarkStart w:id="170" w:name="_Toc479267165"/>
      <w:bookmarkStart w:id="171" w:name="_Toc47926716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0A250D" w:rsidRDefault="000A250D">
      <w:pPr>
        <w:rPr>
          <w:rStyle w:val="Hyperlink"/>
          <w:rFonts w:ascii="Times New Roman" w:hAnsi="Times New Roman" w:cs="Times New Roman"/>
          <w:i/>
          <w:noProof/>
          <w:sz w:val="24"/>
          <w:szCs w:val="24"/>
        </w:rPr>
      </w:pPr>
    </w:p>
    <w:sectPr w:rsidR="000A250D">
      <w:headerReference w:type="even" r:id="rId33"/>
      <w:headerReference w:type="default" r:id="rId34"/>
      <w:footerReference w:type="even" r:id="rId35"/>
      <w:footerReference w:type="default" r:id="rId36"/>
      <w:headerReference w:type="first" r:id="rId37"/>
      <w:footerReference w:type="first" r:id="rId38"/>
      <w:pgSz w:w="11907" w:h="16840" w:code="9"/>
      <w:pgMar w:top="1418" w:right="1418" w:bottom="1418" w:left="1418" w:header="851" w:footer="255" w:gutter="0"/>
      <w:cols w:space="720"/>
      <w:titlePg/>
      <w:docGrid w:linePitch="245"/>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E24B8" w15:done="0"/>
  <w15:commentEx w15:paraId="6E86590D" w15:done="0"/>
  <w15:commentEx w15:paraId="439AA53A" w15:done="0"/>
  <w15:commentEx w15:paraId="2D71B520" w15:done="0"/>
  <w15:commentEx w15:paraId="419EC50D" w15:done="0"/>
  <w15:commentEx w15:paraId="2E89FC3D" w15:done="0"/>
  <w15:commentEx w15:paraId="03DFCC02" w15:done="0"/>
  <w15:commentEx w15:paraId="03D9DADC" w15:done="0"/>
  <w15:commentEx w15:paraId="26B4E71E" w15:done="0"/>
  <w15:commentEx w15:paraId="694DD74E" w15:done="0"/>
  <w15:commentEx w15:paraId="5880BD8A" w15:done="0"/>
  <w15:commentEx w15:paraId="62A36268" w15:done="0"/>
  <w15:commentEx w15:paraId="7802DCA6" w15:done="0"/>
  <w15:commentEx w15:paraId="42F0B0F2" w15:done="0"/>
  <w15:commentEx w15:paraId="571BF361" w15:done="0"/>
  <w15:commentEx w15:paraId="38371697" w15:done="0"/>
  <w15:commentEx w15:paraId="5EB460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0D" w:rsidRDefault="00843FC1">
      <w:r>
        <w:separator/>
      </w:r>
    </w:p>
  </w:endnote>
  <w:endnote w:type="continuationSeparator" w:id="0">
    <w:p w:rsidR="000A250D" w:rsidRDefault="00843FC1">
      <w:r>
        <w:continuationSeparator/>
      </w:r>
    </w:p>
  </w:endnote>
  <w:endnote w:type="continuationNotice" w:id="1">
    <w:p w:rsidR="000A250D" w:rsidRDefault="000A25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843FC1">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14629"/>
      <w:docPartObj>
        <w:docPartGallery w:val="Page Numbers (Bottom of Page)"/>
        <w:docPartUnique/>
      </w:docPartObj>
    </w:sdtPr>
    <w:sdtEndPr>
      <w:rPr>
        <w:noProof/>
      </w:rPr>
    </w:sdtEndPr>
    <w:sdtContent>
      <w:p w:rsidR="000A250D" w:rsidRDefault="00843FC1">
        <w:pPr>
          <w:pStyle w:val="Footer"/>
        </w:pPr>
        <w:r>
          <w:fldChar w:fldCharType="begin"/>
        </w:r>
        <w:r>
          <w:instrText xml:space="preserve"> </w:instrText>
        </w:r>
        <w:r>
          <w:instrText xml:space="preserve">PAGE   \* MERGEFORMAT </w:instrText>
        </w:r>
        <w:r>
          <w:fldChar w:fldCharType="separate"/>
        </w:r>
        <w:r>
          <w:rPr>
            <w:noProof/>
          </w:rPr>
          <w:t>18</w:t>
        </w:r>
        <w:r>
          <w:rPr>
            <w:noProof/>
          </w:rPr>
          <w:fldChar w:fldCharType="end"/>
        </w:r>
      </w:p>
    </w:sdtContent>
  </w:sdt>
  <w:p w:rsidR="000A250D" w:rsidRDefault="000A25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531446"/>
      <w:docPartObj>
        <w:docPartGallery w:val="Page Numbers (Bottom of Page)"/>
        <w:docPartUnique/>
      </w:docPartObj>
    </w:sdtPr>
    <w:sdtEndPr>
      <w:rPr>
        <w:noProof/>
      </w:rPr>
    </w:sdtEndPr>
    <w:sdtContent>
      <w:p w:rsidR="000A250D" w:rsidRDefault="00843FC1">
        <w:pPr>
          <w:pStyle w:val="Footer"/>
        </w:pPr>
        <w:r>
          <w:fldChar w:fldCharType="begin"/>
        </w:r>
        <w:r>
          <w:instrText xml:space="preserve"> PAGE   \* MERGEFORMAT </w:instrText>
        </w:r>
        <w:r>
          <w:fldChar w:fldCharType="separate"/>
        </w:r>
        <w:r>
          <w:rPr>
            <w:noProof/>
          </w:rPr>
          <w:t>2</w:t>
        </w:r>
        <w:r>
          <w:rPr>
            <w:noProof/>
          </w:rPr>
          <w:fldChar w:fldCharType="end"/>
        </w:r>
      </w:p>
    </w:sdtContent>
  </w:sdt>
  <w:p w:rsidR="000A250D" w:rsidRDefault="000A25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0D" w:rsidRDefault="00843FC1">
      <w:r>
        <w:separator/>
      </w:r>
    </w:p>
  </w:footnote>
  <w:footnote w:type="continuationSeparator" w:id="0">
    <w:p w:rsidR="000A250D" w:rsidRDefault="00843FC1">
      <w:r>
        <w:continuationSeparator/>
      </w:r>
    </w:p>
  </w:footnote>
  <w:footnote w:type="continuationNotice" w:id="1">
    <w:p w:rsidR="000A250D" w:rsidRDefault="000A250D">
      <w:pPr>
        <w:spacing w:after="0"/>
      </w:pPr>
    </w:p>
  </w:footnote>
  <w:footnote w:id="2">
    <w:p w:rsidR="000A250D" w:rsidRDefault="00843FC1">
      <w:pPr>
        <w:pStyle w:val="FootnoteText"/>
        <w:spacing w:after="0"/>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ABl. L 93 vom 7.4.2009, S. 23.</w:t>
      </w:r>
    </w:p>
  </w:footnote>
  <w:footnote w:id="3">
    <w:p w:rsidR="000A250D" w:rsidRDefault="00843FC1">
      <w:pPr>
        <w:pStyle w:val="FootnoteText"/>
        <w:spacing w:after="0"/>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ABl. L 93 vom 7.4.2009, S. 33.</w:t>
      </w:r>
    </w:p>
    <w:p w:rsidR="000A250D" w:rsidRDefault="000A250D">
      <w:pPr>
        <w:pStyle w:val="FootnoteText"/>
      </w:pPr>
    </w:p>
  </w:footnote>
  <w:footnote w:id="4">
    <w:p w:rsidR="000A250D" w:rsidRDefault="00843FC1">
      <w:pPr>
        <w:pStyle w:val="FootnoteText"/>
        <w:spacing w:after="0"/>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Artikel 6 Absatz 2 des Beschlusses 2009/316/JI des Rates sieht die Annahme von Durchführungsmaßnahmen für ECRIS </w:t>
      </w:r>
      <w:r>
        <w:rPr>
          <w:rFonts w:ascii="Times New Roman" w:hAnsi="Times New Roman"/>
          <w:sz w:val="20"/>
        </w:rPr>
        <w:t>durch den Rat vor, insbesondere die Festlegung von Protokollierungssystemen und Verfahren zur Überwachung der Funktionsweise von ECRIS und die Erstellung nicht personenbezogener Statistiken über die über ECRIS ausgetauschten Strafregisterinformationen.</w:t>
      </w:r>
    </w:p>
  </w:footnote>
  <w:footnote w:id="5">
    <w:p w:rsidR="000A250D" w:rsidRDefault="00843FC1">
      <w:pPr>
        <w:pStyle w:val="FootnoteText"/>
        <w:spacing w:after="0"/>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Bericht der Kommission an das Europäische Parlament und den Rat über die Umsetzung des Rahmenbeschlusses 2009/315/JI des Rates vom 26. Februar 2009 über die Durchführung und den Inhalt des Austauschs von Informationen aus dem Strafregister zwischen den Mit</w:t>
      </w:r>
      <w:r>
        <w:rPr>
          <w:rFonts w:ascii="Times New Roman" w:hAnsi="Times New Roman"/>
          <w:sz w:val="20"/>
        </w:rPr>
        <w:t>gliedstaaten (COM (2016) 6 final).</w:t>
      </w:r>
    </w:p>
  </w:footnote>
  <w:footnote w:id="6">
    <w:p w:rsidR="000A250D" w:rsidRDefault="00843FC1">
      <w:pPr>
        <w:pStyle w:val="FootnoteText"/>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COM(2017)344 final</w:t>
      </w:r>
    </w:p>
  </w:footnote>
  <w:footnote w:id="7">
    <w:p w:rsidR="000A250D" w:rsidRDefault="00843FC1">
      <w:pPr>
        <w:pStyle w:val="FootnoteText"/>
        <w:spacing w:after="0"/>
        <w:ind w:left="709" w:hanging="709"/>
        <w:jc w:val="both"/>
        <w:rPr>
          <w:rFonts w:ascii="Times New Roman" w:hAnsi="Times New Roman" w:cs="Times New Roman"/>
          <w:sz w:val="20"/>
        </w:rPr>
      </w:pPr>
      <w:r>
        <w:rPr>
          <w:rStyle w:val="FootnoteReference"/>
        </w:rPr>
        <w:footnoteRef/>
      </w:r>
      <w:r>
        <w:t xml:space="preserve"> </w:t>
      </w:r>
      <w:r>
        <w:tab/>
      </w:r>
      <w:r>
        <w:rPr>
          <w:rFonts w:ascii="Times New Roman" w:hAnsi="Times New Roman"/>
          <w:sz w:val="20"/>
        </w:rPr>
        <w:t xml:space="preserve">Richtlinie 2011/93/EU des Europäischen Parlaments und des Rates vom 13. Dezember 2011 zur Bekämpfung des sexuellen Missbrauchs und der sexuellen Ausbeutung von Kindern sowie der Kinderpornografie </w:t>
      </w:r>
      <w:r>
        <w:rPr>
          <w:rFonts w:ascii="Times New Roman" w:hAnsi="Times New Roman"/>
          <w:sz w:val="20"/>
        </w:rPr>
        <w:t>sowie zur Ersetzung des Rahmenbeschlusses 2004/68/JI des Rates (ABl. L 335 vom 17.12.2011, S. 1).</w:t>
      </w:r>
    </w:p>
  </w:footnote>
  <w:footnote w:id="8">
    <w:p w:rsidR="000A250D" w:rsidRDefault="00843FC1">
      <w:pPr>
        <w:pStyle w:val="FootnoteText"/>
        <w:spacing w:after="0"/>
        <w:rPr>
          <w:rFonts w:ascii="Times New Roman" w:hAnsi="Times New Roman" w:cs="Times New Roman"/>
          <w:sz w:val="20"/>
        </w:rPr>
      </w:pPr>
      <w:r>
        <w:rPr>
          <w:rStyle w:val="FootnoteReference"/>
          <w:rFonts w:ascii="Times New Roman" w:hAnsi="Times New Roman"/>
          <w:sz w:val="20"/>
        </w:rPr>
        <w:footnoteRef/>
      </w:r>
      <w:r>
        <w:tab/>
      </w:r>
      <w:r>
        <w:rPr>
          <w:rFonts w:ascii="Times New Roman" w:hAnsi="Times New Roman"/>
          <w:sz w:val="20"/>
        </w:rPr>
        <w:t xml:space="preserve">Siehe Eurostat-Statistiken: </w:t>
      </w:r>
      <w:hyperlink r:id="rId1">
        <w:r>
          <w:rPr>
            <w:rStyle w:val="Hyperlink"/>
            <w:rFonts w:ascii="Times New Roman" w:hAnsi="Times New Roman"/>
            <w:sz w:val="20"/>
          </w:rPr>
          <w:t>http://ec.europa.eu/eurostat/statistics-explained/index.php/File:Non-</w:t>
        </w:r>
        <w:r>
          <w:rPr>
            <w:rStyle w:val="Hyperlink"/>
            <w:rFonts w:ascii="Times New Roman" w:hAnsi="Times New Roman"/>
            <w:sz w:val="20"/>
          </w:rPr>
          <w:tab/>
          <w:t>national_population_by_group_of_citizenship,_1_January_2016_(%C2%B9).png-</w:t>
        </w:r>
      </w:hyperlink>
      <w:r>
        <w:tab/>
      </w:r>
    </w:p>
  </w:footnote>
  <w:footnote w:id="9">
    <w:p w:rsidR="000A250D" w:rsidRDefault="00843FC1">
      <w:pPr>
        <w:pStyle w:val="FootnoteText"/>
        <w:ind w:left="709" w:hanging="709"/>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Rahmenbeschluss 2008/675/JI zur Berücksichtigung der in anderen Mitglied</w:t>
      </w:r>
      <w:r>
        <w:rPr>
          <w:rFonts w:ascii="Times New Roman" w:hAnsi="Times New Roman"/>
          <w:sz w:val="20"/>
        </w:rPr>
        <w:t>staaten der Europäischen Union ergangenen Verurteilungen in einem neuen Strafverfahren (ABl. L 220 vom 15.8.2008, S. 32).</w:t>
      </w:r>
    </w:p>
  </w:footnote>
  <w:footnote w:id="10">
    <w:p w:rsidR="000A250D" w:rsidRDefault="00843FC1">
      <w:pPr>
        <w:pStyle w:val="FootnoteText"/>
        <w:ind w:left="709" w:hanging="709"/>
        <w:rPr>
          <w:rFonts w:ascii="Times New Roman" w:hAnsi="Times New Roman" w:cs="Times New Roman"/>
          <w:sz w:val="20"/>
        </w:rPr>
      </w:pPr>
      <w:r>
        <w:rPr>
          <w:rStyle w:val="FootnoteReference"/>
          <w:rFonts w:ascii="Times New Roman" w:hAnsi="Times New Roman"/>
          <w:sz w:val="20"/>
        </w:rPr>
        <w:footnoteRef/>
      </w:r>
      <w:r>
        <w:t xml:space="preserve"> </w:t>
      </w:r>
      <w:r>
        <w:tab/>
      </w:r>
      <w:r>
        <w:rPr>
          <w:rFonts w:ascii="Times New Roman" w:hAnsi="Times New Roman"/>
          <w:sz w:val="20"/>
        </w:rPr>
        <w:t>Sonstige Antworten betreffen beispielsweise Antworten mit mehrfach vorgefundenen Personen, mit einer Person, die nicht die Staatsan</w:t>
      </w:r>
      <w:r>
        <w:rPr>
          <w:rFonts w:ascii="Times New Roman" w:hAnsi="Times New Roman"/>
          <w:sz w:val="20"/>
        </w:rPr>
        <w:t>gehörigkeit des ersuchten Mitgliedstaats hat, usw.</w:t>
      </w:r>
    </w:p>
  </w:footnote>
  <w:footnote w:id="11">
    <w:p w:rsidR="000A250D" w:rsidRDefault="00843FC1">
      <w:pPr>
        <w:pStyle w:val="FootnoteText"/>
        <w:ind w:left="709" w:hanging="709"/>
        <w:jc w:val="both"/>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Für die vergleichende Tabelle mit den aktivsten Mitgliedstaaten bei der Übermittlung von Mitteilungen, Ersuchen und Antworten (getrennt nach Kategorien) – siehe Anhang, Abschnitt 1.2.</w:t>
      </w:r>
    </w:p>
  </w:footnote>
  <w:footnote w:id="12">
    <w:p w:rsidR="000A250D" w:rsidRDefault="00843FC1">
      <w:pPr>
        <w:pStyle w:val="FootnoteText"/>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Siehe auch eine</w:t>
      </w:r>
      <w:r>
        <w:rPr>
          <w:rFonts w:ascii="Times New Roman" w:hAnsi="Times New Roman"/>
          <w:sz w:val="20"/>
        </w:rPr>
        <w:t xml:space="preserve"> Tabelle im Anhang, Abschnitt 1.7.</w:t>
      </w:r>
    </w:p>
  </w:footnote>
  <w:footnote w:id="13">
    <w:p w:rsidR="000A250D" w:rsidRDefault="00843FC1">
      <w:pPr>
        <w:pStyle w:val="FootnoteText"/>
        <w:rPr>
          <w:rFonts w:ascii="Times New Roman" w:hAnsi="Times New Roman" w:cs="Times New Roman"/>
          <w:sz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Siehe Fußnote 9. Siehe auch die Tabelle im Anhang, Abschnitt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0D" w:rsidRDefault="000A2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B5"/>
    <w:multiLevelType w:val="hybridMultilevel"/>
    <w:tmpl w:val="587E3CAE"/>
    <w:lvl w:ilvl="0" w:tplc="147079E8">
      <w:start w:val="1"/>
      <w:numFmt w:val="bullet"/>
      <w:pStyle w:val="Listbullet2cm"/>
      <w:lvlText w:val=""/>
      <w:lvlJc w:val="left"/>
      <w:pPr>
        <w:tabs>
          <w:tab w:val="num" w:pos="1494"/>
        </w:tabs>
        <w:ind w:left="1474" w:hanging="340"/>
      </w:pPr>
      <w:rPr>
        <w:rFonts w:ascii="Symbol" w:hAnsi="Symbol" w:hint="default"/>
        <w:sz w:val="20"/>
      </w:rPr>
    </w:lvl>
    <w:lvl w:ilvl="1" w:tplc="2752F458">
      <w:start w:val="1"/>
      <w:numFmt w:val="bullet"/>
      <w:pStyle w:val="Listbullet2cm"/>
      <w:lvlText w:val=""/>
      <w:lvlJc w:val="left"/>
      <w:pPr>
        <w:tabs>
          <w:tab w:val="num" w:pos="1440"/>
        </w:tabs>
        <w:ind w:left="1420" w:hanging="340"/>
      </w:pPr>
      <w:rPr>
        <w:rFonts w:ascii="Symbol" w:hAnsi="Symbol" w:hint="default"/>
      </w:rPr>
    </w:lvl>
    <w:lvl w:ilvl="2" w:tplc="53A40F5C" w:tentative="1">
      <w:start w:val="1"/>
      <w:numFmt w:val="bullet"/>
      <w:lvlText w:val=""/>
      <w:lvlJc w:val="left"/>
      <w:pPr>
        <w:tabs>
          <w:tab w:val="num" w:pos="2160"/>
        </w:tabs>
        <w:ind w:left="2160" w:hanging="360"/>
      </w:pPr>
      <w:rPr>
        <w:rFonts w:ascii="Wingdings" w:hAnsi="Wingdings" w:hint="default"/>
      </w:rPr>
    </w:lvl>
    <w:lvl w:ilvl="3" w:tplc="7A2C8FDE" w:tentative="1">
      <w:start w:val="1"/>
      <w:numFmt w:val="bullet"/>
      <w:lvlText w:val=""/>
      <w:lvlJc w:val="left"/>
      <w:pPr>
        <w:tabs>
          <w:tab w:val="num" w:pos="2880"/>
        </w:tabs>
        <w:ind w:left="2880" w:hanging="360"/>
      </w:pPr>
      <w:rPr>
        <w:rFonts w:ascii="Symbol" w:hAnsi="Symbol" w:hint="default"/>
      </w:rPr>
    </w:lvl>
    <w:lvl w:ilvl="4" w:tplc="B874C7CC" w:tentative="1">
      <w:start w:val="1"/>
      <w:numFmt w:val="bullet"/>
      <w:lvlText w:val="o"/>
      <w:lvlJc w:val="left"/>
      <w:pPr>
        <w:tabs>
          <w:tab w:val="num" w:pos="3600"/>
        </w:tabs>
        <w:ind w:left="3600" w:hanging="360"/>
      </w:pPr>
      <w:rPr>
        <w:rFonts w:ascii="Courier New" w:hAnsi="Courier New" w:hint="default"/>
      </w:rPr>
    </w:lvl>
    <w:lvl w:ilvl="5" w:tplc="63D690E6" w:tentative="1">
      <w:start w:val="1"/>
      <w:numFmt w:val="bullet"/>
      <w:lvlText w:val=""/>
      <w:lvlJc w:val="left"/>
      <w:pPr>
        <w:tabs>
          <w:tab w:val="num" w:pos="4320"/>
        </w:tabs>
        <w:ind w:left="4320" w:hanging="360"/>
      </w:pPr>
      <w:rPr>
        <w:rFonts w:ascii="Wingdings" w:hAnsi="Wingdings" w:hint="default"/>
      </w:rPr>
    </w:lvl>
    <w:lvl w:ilvl="6" w:tplc="2D3E0C88" w:tentative="1">
      <w:start w:val="1"/>
      <w:numFmt w:val="bullet"/>
      <w:lvlText w:val=""/>
      <w:lvlJc w:val="left"/>
      <w:pPr>
        <w:tabs>
          <w:tab w:val="num" w:pos="5040"/>
        </w:tabs>
        <w:ind w:left="5040" w:hanging="360"/>
      </w:pPr>
      <w:rPr>
        <w:rFonts w:ascii="Symbol" w:hAnsi="Symbol" w:hint="default"/>
      </w:rPr>
    </w:lvl>
    <w:lvl w:ilvl="7" w:tplc="0AEC5C3E" w:tentative="1">
      <w:start w:val="1"/>
      <w:numFmt w:val="bullet"/>
      <w:lvlText w:val="o"/>
      <w:lvlJc w:val="left"/>
      <w:pPr>
        <w:tabs>
          <w:tab w:val="num" w:pos="5760"/>
        </w:tabs>
        <w:ind w:left="5760" w:hanging="360"/>
      </w:pPr>
      <w:rPr>
        <w:rFonts w:ascii="Courier New" w:hAnsi="Courier New" w:hint="default"/>
      </w:rPr>
    </w:lvl>
    <w:lvl w:ilvl="8" w:tplc="180A8BE6" w:tentative="1">
      <w:start w:val="1"/>
      <w:numFmt w:val="bullet"/>
      <w:lvlText w:val=""/>
      <w:lvlJc w:val="left"/>
      <w:pPr>
        <w:tabs>
          <w:tab w:val="num" w:pos="6480"/>
        </w:tabs>
        <w:ind w:left="6480" w:hanging="360"/>
      </w:pPr>
      <w:rPr>
        <w:rFonts w:ascii="Wingdings" w:hAnsi="Wingdings" w:hint="default"/>
      </w:rPr>
    </w:lvl>
  </w:abstractNum>
  <w:abstractNum w:abstractNumId="1">
    <w:nsid w:val="01A431A5"/>
    <w:multiLevelType w:val="singleLevel"/>
    <w:tmpl w:val="FCDAD016"/>
    <w:lvl w:ilvl="0">
      <w:start w:val="1"/>
      <w:numFmt w:val="bullet"/>
      <w:pStyle w:val="ListBullet1"/>
      <w:lvlText w:val=""/>
      <w:lvlJc w:val="left"/>
      <w:pPr>
        <w:tabs>
          <w:tab w:val="num" w:pos="360"/>
        </w:tabs>
        <w:ind w:left="360" w:hanging="360"/>
      </w:pPr>
      <w:rPr>
        <w:rFonts w:ascii="Wingdings" w:hAnsi="Wingdings" w:hint="default"/>
      </w:rPr>
    </w:lvl>
  </w:abstractNum>
  <w:abstractNum w:abstractNumId="2">
    <w:nsid w:val="061C00CF"/>
    <w:multiLevelType w:val="hybridMultilevel"/>
    <w:tmpl w:val="ABCAF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20208"/>
    <w:multiLevelType w:val="singleLevel"/>
    <w:tmpl w:val="B5AC3962"/>
    <w:lvl w:ilvl="0">
      <w:start w:val="1"/>
      <w:numFmt w:val="bullet"/>
      <w:pStyle w:val="Bullet"/>
      <w:lvlText w:val=""/>
      <w:lvlJc w:val="left"/>
      <w:pPr>
        <w:tabs>
          <w:tab w:val="num" w:pos="360"/>
        </w:tabs>
        <w:ind w:left="360" w:hanging="360"/>
      </w:pPr>
      <w:rPr>
        <w:rFonts w:ascii="Symbol" w:hAnsi="Symbol" w:hint="default"/>
      </w:rPr>
    </w:lvl>
  </w:abstractNum>
  <w:abstractNum w:abstractNumId="4">
    <w:nsid w:val="0EA86DCF"/>
    <w:multiLevelType w:val="hybridMultilevel"/>
    <w:tmpl w:val="023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D3773A"/>
    <w:multiLevelType w:val="singleLevel"/>
    <w:tmpl w:val="18CA76E8"/>
    <w:lvl w:ilvl="0">
      <w:start w:val="1"/>
      <w:numFmt w:val="bullet"/>
      <w:pStyle w:val="TaBult1"/>
      <w:lvlText w:val=""/>
      <w:lvlJc w:val="left"/>
      <w:pPr>
        <w:tabs>
          <w:tab w:val="num" w:pos="360"/>
        </w:tabs>
        <w:ind w:left="360" w:hanging="360"/>
      </w:pPr>
      <w:rPr>
        <w:rFonts w:ascii="Wingdings" w:hAnsi="Wingdings" w:hint="default"/>
      </w:rPr>
    </w:lvl>
  </w:abstractNum>
  <w:abstractNum w:abstractNumId="6">
    <w:nsid w:val="20231E57"/>
    <w:multiLevelType w:val="singleLevel"/>
    <w:tmpl w:val="B5E20F18"/>
    <w:lvl w:ilvl="0">
      <w:start w:val="1"/>
      <w:numFmt w:val="bullet"/>
      <w:pStyle w:val="Bullet1"/>
      <w:lvlText w:val=""/>
      <w:lvlJc w:val="left"/>
      <w:pPr>
        <w:tabs>
          <w:tab w:val="num" w:pos="360"/>
        </w:tabs>
        <w:ind w:left="360" w:hanging="360"/>
      </w:pPr>
      <w:rPr>
        <w:rFonts w:ascii="Symbol" w:hAnsi="Symbol" w:hint="default"/>
      </w:rPr>
    </w:lvl>
  </w:abstractNum>
  <w:abstractNum w:abstractNumId="7">
    <w:nsid w:val="22E44180"/>
    <w:multiLevelType w:val="multilevel"/>
    <w:tmpl w:val="6C90453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CF01AE"/>
    <w:multiLevelType w:val="multilevel"/>
    <w:tmpl w:val="1E66B5CC"/>
    <w:lvl w:ilvl="0">
      <w:start w:val="1"/>
      <w:numFmt w:val="bullet"/>
      <w:pStyle w:val="List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B75631B"/>
    <w:multiLevelType w:val="singleLevel"/>
    <w:tmpl w:val="D1F2C4D8"/>
    <w:lvl w:ilvl="0">
      <w:start w:val="1"/>
      <w:numFmt w:val="bullet"/>
      <w:pStyle w:val="ListNumber"/>
      <w:lvlText w:val=""/>
      <w:lvlJc w:val="left"/>
      <w:pPr>
        <w:tabs>
          <w:tab w:val="num" w:pos="765"/>
        </w:tabs>
        <w:ind w:left="765" w:hanging="283"/>
      </w:pPr>
      <w:rPr>
        <w:rFonts w:ascii="Symbol" w:hAnsi="Symbol"/>
      </w:rPr>
    </w:lvl>
  </w:abstractNum>
  <w:abstractNum w:abstractNumId="10">
    <w:nsid w:val="2CD40552"/>
    <w:multiLevelType w:val="hybridMultilevel"/>
    <w:tmpl w:val="726C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144D28"/>
    <w:multiLevelType w:val="singleLevel"/>
    <w:tmpl w:val="6DC45E2C"/>
    <w:lvl w:ilvl="0">
      <w:start w:val="1"/>
      <w:numFmt w:val="bullet"/>
      <w:pStyle w:val="Bullet10"/>
      <w:lvlText w:val=""/>
      <w:lvlJc w:val="left"/>
      <w:pPr>
        <w:tabs>
          <w:tab w:val="num" w:pos="360"/>
        </w:tabs>
        <w:ind w:left="360" w:hanging="360"/>
      </w:pPr>
      <w:rPr>
        <w:rFonts w:ascii="Symbol" w:hAnsi="Symbol" w:hint="default"/>
      </w:rPr>
    </w:lvl>
  </w:abstractNum>
  <w:abstractNum w:abstractNumId="12">
    <w:nsid w:val="3C914D61"/>
    <w:multiLevelType w:val="singleLevel"/>
    <w:tmpl w:val="C2F6FA2A"/>
    <w:lvl w:ilvl="0">
      <w:start w:val="1"/>
      <w:numFmt w:val="decimal"/>
      <w:pStyle w:val="Listnumber2cm"/>
      <w:lvlText w:val="%1"/>
      <w:lvlJc w:val="left"/>
      <w:pPr>
        <w:tabs>
          <w:tab w:val="num" w:pos="1701"/>
        </w:tabs>
        <w:ind w:left="1701" w:hanging="567"/>
      </w:pPr>
      <w:rPr>
        <w:rFonts w:hint="default"/>
      </w:rPr>
    </w:lvl>
  </w:abstractNum>
  <w:abstractNum w:abstractNumId="13">
    <w:nsid w:val="3E503334"/>
    <w:multiLevelType w:val="hybridMultilevel"/>
    <w:tmpl w:val="53A41F2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AA7DEB"/>
    <w:multiLevelType w:val="singleLevel"/>
    <w:tmpl w:val="5798E670"/>
    <w:lvl w:ilvl="0">
      <w:start w:val="1"/>
      <w:numFmt w:val="bullet"/>
      <w:pStyle w:val="Puce2"/>
      <w:lvlText w:val=""/>
      <w:lvlJc w:val="left"/>
      <w:pPr>
        <w:tabs>
          <w:tab w:val="num" w:pos="927"/>
        </w:tabs>
        <w:ind w:left="907" w:hanging="340"/>
      </w:pPr>
      <w:rPr>
        <w:rFonts w:ascii="Wingdings" w:hAnsi="Wingdings" w:hint="default"/>
      </w:rPr>
    </w:lvl>
  </w:abstractNum>
  <w:abstractNum w:abstractNumId="15">
    <w:nsid w:val="465D172F"/>
    <w:multiLevelType w:val="multilevel"/>
    <w:tmpl w:val="9CBAF6BE"/>
    <w:lvl w:ilvl="0">
      <w:start w:val="1"/>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C3B30B9"/>
    <w:multiLevelType w:val="hybridMultilevel"/>
    <w:tmpl w:val="AD448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12FAC"/>
    <w:multiLevelType w:val="hybridMultilevel"/>
    <w:tmpl w:val="DA3CDF7E"/>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195C26"/>
    <w:multiLevelType w:val="singleLevel"/>
    <w:tmpl w:val="2A2099E6"/>
    <w:lvl w:ilvl="0">
      <w:start w:val="1"/>
      <w:numFmt w:val="bullet"/>
      <w:pStyle w:val="Lista"/>
      <w:lvlText w:val=""/>
      <w:lvlJc w:val="left"/>
      <w:pPr>
        <w:tabs>
          <w:tab w:val="num" w:pos="360"/>
        </w:tabs>
        <w:ind w:left="360" w:hanging="360"/>
      </w:pPr>
      <w:rPr>
        <w:rFonts w:ascii="Symbol" w:hAnsi="Symbol" w:hint="default"/>
      </w:rPr>
    </w:lvl>
  </w:abstractNum>
  <w:abstractNum w:abstractNumId="19">
    <w:nsid w:val="5BB02CEE"/>
    <w:multiLevelType w:val="hybridMultilevel"/>
    <w:tmpl w:val="A47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EA11F0"/>
    <w:multiLevelType w:val="hybridMultilevel"/>
    <w:tmpl w:val="16D07B52"/>
    <w:lvl w:ilvl="0" w:tplc="E898B9B8">
      <w:start w:val="1"/>
      <w:numFmt w:val="bullet"/>
      <w:pStyle w:val="Listbullet1cm"/>
      <w:lvlText w:val=""/>
      <w:lvlJc w:val="left"/>
      <w:pPr>
        <w:tabs>
          <w:tab w:val="num" w:pos="1647"/>
        </w:tabs>
        <w:ind w:left="1627" w:hanging="340"/>
      </w:pPr>
      <w:rPr>
        <w:rFonts w:ascii="Symbol" w:hAnsi="Symbol" w:hint="default"/>
        <w:sz w:val="20"/>
      </w:rPr>
    </w:lvl>
    <w:lvl w:ilvl="1" w:tplc="387C74FA" w:tentative="1">
      <w:start w:val="1"/>
      <w:numFmt w:val="bullet"/>
      <w:lvlText w:val="o"/>
      <w:lvlJc w:val="left"/>
      <w:pPr>
        <w:tabs>
          <w:tab w:val="num" w:pos="1440"/>
        </w:tabs>
        <w:ind w:left="1440" w:hanging="360"/>
      </w:pPr>
      <w:rPr>
        <w:rFonts w:ascii="Courier New" w:hAnsi="Courier New" w:hint="default"/>
      </w:rPr>
    </w:lvl>
    <w:lvl w:ilvl="2" w:tplc="3B7E9B3E" w:tentative="1">
      <w:start w:val="1"/>
      <w:numFmt w:val="bullet"/>
      <w:lvlText w:val=""/>
      <w:lvlJc w:val="left"/>
      <w:pPr>
        <w:tabs>
          <w:tab w:val="num" w:pos="2160"/>
        </w:tabs>
        <w:ind w:left="2160" w:hanging="360"/>
      </w:pPr>
      <w:rPr>
        <w:rFonts w:ascii="Wingdings" w:hAnsi="Wingdings" w:hint="default"/>
      </w:rPr>
    </w:lvl>
    <w:lvl w:ilvl="3" w:tplc="24345B38" w:tentative="1">
      <w:start w:val="1"/>
      <w:numFmt w:val="bullet"/>
      <w:lvlText w:val=""/>
      <w:lvlJc w:val="left"/>
      <w:pPr>
        <w:tabs>
          <w:tab w:val="num" w:pos="2880"/>
        </w:tabs>
        <w:ind w:left="2880" w:hanging="360"/>
      </w:pPr>
      <w:rPr>
        <w:rFonts w:ascii="Symbol" w:hAnsi="Symbol" w:hint="default"/>
      </w:rPr>
    </w:lvl>
    <w:lvl w:ilvl="4" w:tplc="C8B8E8CC" w:tentative="1">
      <w:start w:val="1"/>
      <w:numFmt w:val="bullet"/>
      <w:lvlText w:val="o"/>
      <w:lvlJc w:val="left"/>
      <w:pPr>
        <w:tabs>
          <w:tab w:val="num" w:pos="3600"/>
        </w:tabs>
        <w:ind w:left="3600" w:hanging="360"/>
      </w:pPr>
      <w:rPr>
        <w:rFonts w:ascii="Courier New" w:hAnsi="Courier New" w:hint="default"/>
      </w:rPr>
    </w:lvl>
    <w:lvl w:ilvl="5" w:tplc="83DABCBE" w:tentative="1">
      <w:start w:val="1"/>
      <w:numFmt w:val="bullet"/>
      <w:lvlText w:val=""/>
      <w:lvlJc w:val="left"/>
      <w:pPr>
        <w:tabs>
          <w:tab w:val="num" w:pos="4320"/>
        </w:tabs>
        <w:ind w:left="4320" w:hanging="360"/>
      </w:pPr>
      <w:rPr>
        <w:rFonts w:ascii="Wingdings" w:hAnsi="Wingdings" w:hint="default"/>
      </w:rPr>
    </w:lvl>
    <w:lvl w:ilvl="6" w:tplc="65D04D92" w:tentative="1">
      <w:start w:val="1"/>
      <w:numFmt w:val="bullet"/>
      <w:lvlText w:val=""/>
      <w:lvlJc w:val="left"/>
      <w:pPr>
        <w:tabs>
          <w:tab w:val="num" w:pos="5040"/>
        </w:tabs>
        <w:ind w:left="5040" w:hanging="360"/>
      </w:pPr>
      <w:rPr>
        <w:rFonts w:ascii="Symbol" w:hAnsi="Symbol" w:hint="default"/>
      </w:rPr>
    </w:lvl>
    <w:lvl w:ilvl="7" w:tplc="476C85D6" w:tentative="1">
      <w:start w:val="1"/>
      <w:numFmt w:val="bullet"/>
      <w:lvlText w:val="o"/>
      <w:lvlJc w:val="left"/>
      <w:pPr>
        <w:tabs>
          <w:tab w:val="num" w:pos="5760"/>
        </w:tabs>
        <w:ind w:left="5760" w:hanging="360"/>
      </w:pPr>
      <w:rPr>
        <w:rFonts w:ascii="Courier New" w:hAnsi="Courier New" w:hint="default"/>
      </w:rPr>
    </w:lvl>
    <w:lvl w:ilvl="8" w:tplc="DF8A4592" w:tentative="1">
      <w:start w:val="1"/>
      <w:numFmt w:val="bullet"/>
      <w:lvlText w:val=""/>
      <w:lvlJc w:val="left"/>
      <w:pPr>
        <w:tabs>
          <w:tab w:val="num" w:pos="6480"/>
        </w:tabs>
        <w:ind w:left="6480" w:hanging="360"/>
      </w:pPr>
      <w:rPr>
        <w:rFonts w:ascii="Wingdings" w:hAnsi="Wingdings" w:hint="default"/>
      </w:rPr>
    </w:lvl>
  </w:abstractNum>
  <w:abstractNum w:abstractNumId="21">
    <w:nsid w:val="662B5C67"/>
    <w:multiLevelType w:val="singleLevel"/>
    <w:tmpl w:val="8F10F890"/>
    <w:lvl w:ilvl="0">
      <w:start w:val="1"/>
      <w:numFmt w:val="bullet"/>
      <w:pStyle w:val="BodyTextIndent"/>
      <w:lvlText w:val="–"/>
      <w:lvlJc w:val="left"/>
      <w:pPr>
        <w:tabs>
          <w:tab w:val="num" w:pos="283"/>
        </w:tabs>
        <w:ind w:left="283" w:hanging="283"/>
      </w:pPr>
      <w:rPr>
        <w:rFonts w:ascii="Times New Roman" w:hAnsi="Times New Roman"/>
      </w:rPr>
    </w:lvl>
  </w:abstractNum>
  <w:abstractNum w:abstractNumId="22">
    <w:nsid w:val="66C02E3F"/>
    <w:multiLevelType w:val="hybridMultilevel"/>
    <w:tmpl w:val="91B0992A"/>
    <w:lvl w:ilvl="0" w:tplc="BE84792A">
      <w:start w:val="1"/>
      <w:numFmt w:val="decimal"/>
      <w:lvlText w:val="%1."/>
      <w:lvlJc w:val="left"/>
      <w:pPr>
        <w:tabs>
          <w:tab w:val="num" w:pos="720"/>
        </w:tabs>
        <w:ind w:left="720" w:hanging="360"/>
      </w:pPr>
    </w:lvl>
    <w:lvl w:ilvl="1" w:tplc="AB4ADF3A">
      <w:start w:val="1"/>
      <w:numFmt w:val="bullet"/>
      <w:pStyle w:val="TableBullet"/>
      <w:lvlText w:val=""/>
      <w:lvlJc w:val="left"/>
      <w:pPr>
        <w:tabs>
          <w:tab w:val="num" w:pos="1440"/>
        </w:tabs>
        <w:ind w:left="1420" w:hanging="340"/>
      </w:pPr>
      <w:rPr>
        <w:rFonts w:ascii="Symbol" w:hAnsi="Symbol" w:hint="default"/>
      </w:rPr>
    </w:lvl>
    <w:lvl w:ilvl="2" w:tplc="728012D0">
      <w:start w:val="1"/>
      <w:numFmt w:val="lowerRoman"/>
      <w:lvlText w:val="%3."/>
      <w:lvlJc w:val="right"/>
      <w:pPr>
        <w:tabs>
          <w:tab w:val="num" w:pos="2160"/>
        </w:tabs>
        <w:ind w:left="2160" w:hanging="180"/>
      </w:pPr>
    </w:lvl>
    <w:lvl w:ilvl="3" w:tplc="188E441A" w:tentative="1">
      <w:start w:val="1"/>
      <w:numFmt w:val="decimal"/>
      <w:lvlText w:val="%4."/>
      <w:lvlJc w:val="left"/>
      <w:pPr>
        <w:tabs>
          <w:tab w:val="num" w:pos="2880"/>
        </w:tabs>
        <w:ind w:left="2880" w:hanging="360"/>
      </w:pPr>
    </w:lvl>
    <w:lvl w:ilvl="4" w:tplc="FD262742" w:tentative="1">
      <w:start w:val="1"/>
      <w:numFmt w:val="lowerLetter"/>
      <w:lvlText w:val="%5."/>
      <w:lvlJc w:val="left"/>
      <w:pPr>
        <w:tabs>
          <w:tab w:val="num" w:pos="3600"/>
        </w:tabs>
        <w:ind w:left="3600" w:hanging="360"/>
      </w:pPr>
    </w:lvl>
    <w:lvl w:ilvl="5" w:tplc="77C2C0B4" w:tentative="1">
      <w:start w:val="1"/>
      <w:numFmt w:val="lowerRoman"/>
      <w:lvlText w:val="%6."/>
      <w:lvlJc w:val="right"/>
      <w:pPr>
        <w:tabs>
          <w:tab w:val="num" w:pos="4320"/>
        </w:tabs>
        <w:ind w:left="4320" w:hanging="180"/>
      </w:pPr>
    </w:lvl>
    <w:lvl w:ilvl="6" w:tplc="38D81E78" w:tentative="1">
      <w:start w:val="1"/>
      <w:numFmt w:val="decimal"/>
      <w:lvlText w:val="%7."/>
      <w:lvlJc w:val="left"/>
      <w:pPr>
        <w:tabs>
          <w:tab w:val="num" w:pos="5040"/>
        </w:tabs>
        <w:ind w:left="5040" w:hanging="360"/>
      </w:pPr>
    </w:lvl>
    <w:lvl w:ilvl="7" w:tplc="20EC8814" w:tentative="1">
      <w:start w:val="1"/>
      <w:numFmt w:val="lowerLetter"/>
      <w:lvlText w:val="%8."/>
      <w:lvlJc w:val="left"/>
      <w:pPr>
        <w:tabs>
          <w:tab w:val="num" w:pos="5760"/>
        </w:tabs>
        <w:ind w:left="5760" w:hanging="360"/>
      </w:pPr>
    </w:lvl>
    <w:lvl w:ilvl="8" w:tplc="EF3C8C46" w:tentative="1">
      <w:start w:val="1"/>
      <w:numFmt w:val="lowerRoman"/>
      <w:lvlText w:val="%9."/>
      <w:lvlJc w:val="right"/>
      <w:pPr>
        <w:tabs>
          <w:tab w:val="num" w:pos="6480"/>
        </w:tabs>
        <w:ind w:left="6480" w:hanging="180"/>
      </w:pPr>
    </w:lvl>
  </w:abstractNum>
  <w:abstractNum w:abstractNumId="23">
    <w:nsid w:val="67381CEE"/>
    <w:multiLevelType w:val="hybridMultilevel"/>
    <w:tmpl w:val="BAF01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58419E"/>
    <w:multiLevelType w:val="multilevel"/>
    <w:tmpl w:val="DDD0F768"/>
    <w:lvl w:ilvl="0">
      <w:start w:val="1"/>
      <w:numFmt w:val="bullet"/>
      <w:pStyle w:val="SteriaBullet"/>
      <w:lvlText w:val=""/>
      <w:lvlJc w:val="left"/>
      <w:pPr>
        <w:tabs>
          <w:tab w:val="num" w:pos="4235"/>
        </w:tabs>
        <w:ind w:left="4235" w:hanging="360"/>
      </w:pPr>
      <w:rPr>
        <w:rFonts w:ascii="Wingdings" w:hAnsi="Wingdings" w:hint="default"/>
        <w:color w:val="FF5900"/>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AE4708B"/>
    <w:multiLevelType w:val="hybridMultilevel"/>
    <w:tmpl w:val="965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6764EE"/>
    <w:multiLevelType w:val="multilevel"/>
    <w:tmpl w:val="590CAE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130"/>
        </w:tabs>
        <w:ind w:left="3130" w:hanging="720"/>
      </w:pPr>
    </w:lvl>
    <w:lvl w:ilvl="3">
      <w:start w:val="1"/>
      <w:numFmt w:val="decimal"/>
      <w:pStyle w:val="Heading4"/>
      <w:lvlText w:val="%1.%2.%3.%4"/>
      <w:lvlJc w:val="left"/>
      <w:pPr>
        <w:tabs>
          <w:tab w:val="num" w:pos="3842"/>
        </w:tabs>
        <w:ind w:left="3842" w:hanging="864"/>
      </w:pPr>
    </w:lvl>
    <w:lvl w:ilvl="4">
      <w:start w:val="1"/>
      <w:numFmt w:val="decimal"/>
      <w:pStyle w:val="Heading5"/>
      <w:lvlText w:val="%1.%2.%3.%4.%5"/>
      <w:lvlJc w:val="left"/>
      <w:pPr>
        <w:tabs>
          <w:tab w:val="num" w:pos="4269"/>
        </w:tabs>
        <w:ind w:left="4269"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nsid w:val="74A06403"/>
    <w:multiLevelType w:val="hybridMultilevel"/>
    <w:tmpl w:val="9F4A8AF2"/>
    <w:lvl w:ilvl="0" w:tplc="DC7AC5D2">
      <w:start w:val="1"/>
      <w:numFmt w:val="decimal"/>
      <w:pStyle w:val="Listnumber1cm"/>
      <w:lvlText w:val="%1"/>
      <w:lvlJc w:val="left"/>
      <w:pPr>
        <w:tabs>
          <w:tab w:val="num" w:pos="927"/>
        </w:tabs>
        <w:ind w:left="851" w:hanging="284"/>
      </w:pPr>
      <w:rPr>
        <w:rFonts w:hint="default"/>
      </w:rPr>
    </w:lvl>
    <w:lvl w:ilvl="1" w:tplc="AFFCEF48" w:tentative="1">
      <w:start w:val="1"/>
      <w:numFmt w:val="lowerLetter"/>
      <w:lvlText w:val="%2."/>
      <w:lvlJc w:val="left"/>
      <w:pPr>
        <w:tabs>
          <w:tab w:val="num" w:pos="1440"/>
        </w:tabs>
        <w:ind w:left="1440" w:hanging="360"/>
      </w:pPr>
    </w:lvl>
    <w:lvl w:ilvl="2" w:tplc="279CE068" w:tentative="1">
      <w:start w:val="1"/>
      <w:numFmt w:val="lowerRoman"/>
      <w:lvlText w:val="%3."/>
      <w:lvlJc w:val="right"/>
      <w:pPr>
        <w:tabs>
          <w:tab w:val="num" w:pos="2160"/>
        </w:tabs>
        <w:ind w:left="2160" w:hanging="180"/>
      </w:pPr>
    </w:lvl>
    <w:lvl w:ilvl="3" w:tplc="BA000492" w:tentative="1">
      <w:start w:val="1"/>
      <w:numFmt w:val="decimal"/>
      <w:lvlText w:val="%4."/>
      <w:lvlJc w:val="left"/>
      <w:pPr>
        <w:tabs>
          <w:tab w:val="num" w:pos="2880"/>
        </w:tabs>
        <w:ind w:left="2880" w:hanging="360"/>
      </w:pPr>
    </w:lvl>
    <w:lvl w:ilvl="4" w:tplc="A1E8A902" w:tentative="1">
      <w:start w:val="1"/>
      <w:numFmt w:val="lowerLetter"/>
      <w:lvlText w:val="%5."/>
      <w:lvlJc w:val="left"/>
      <w:pPr>
        <w:tabs>
          <w:tab w:val="num" w:pos="3600"/>
        </w:tabs>
        <w:ind w:left="3600" w:hanging="360"/>
      </w:pPr>
    </w:lvl>
    <w:lvl w:ilvl="5" w:tplc="4D2E328A" w:tentative="1">
      <w:start w:val="1"/>
      <w:numFmt w:val="lowerRoman"/>
      <w:lvlText w:val="%6."/>
      <w:lvlJc w:val="right"/>
      <w:pPr>
        <w:tabs>
          <w:tab w:val="num" w:pos="4320"/>
        </w:tabs>
        <w:ind w:left="4320" w:hanging="180"/>
      </w:pPr>
    </w:lvl>
    <w:lvl w:ilvl="6" w:tplc="27E29162" w:tentative="1">
      <w:start w:val="1"/>
      <w:numFmt w:val="decimal"/>
      <w:lvlText w:val="%7."/>
      <w:lvlJc w:val="left"/>
      <w:pPr>
        <w:tabs>
          <w:tab w:val="num" w:pos="5040"/>
        </w:tabs>
        <w:ind w:left="5040" w:hanging="360"/>
      </w:pPr>
    </w:lvl>
    <w:lvl w:ilvl="7" w:tplc="D1B82ED0" w:tentative="1">
      <w:start w:val="1"/>
      <w:numFmt w:val="lowerLetter"/>
      <w:lvlText w:val="%8."/>
      <w:lvlJc w:val="left"/>
      <w:pPr>
        <w:tabs>
          <w:tab w:val="num" w:pos="5760"/>
        </w:tabs>
        <w:ind w:left="5760" w:hanging="360"/>
      </w:pPr>
    </w:lvl>
    <w:lvl w:ilvl="8" w:tplc="2C0A0A6A" w:tentative="1">
      <w:start w:val="1"/>
      <w:numFmt w:val="lowerRoman"/>
      <w:lvlText w:val="%9."/>
      <w:lvlJc w:val="right"/>
      <w:pPr>
        <w:tabs>
          <w:tab w:val="num" w:pos="6480"/>
        </w:tabs>
        <w:ind w:left="6480" w:hanging="180"/>
      </w:pPr>
    </w:lvl>
  </w:abstractNum>
  <w:abstractNum w:abstractNumId="28">
    <w:nsid w:val="7EE31169"/>
    <w:multiLevelType w:val="hybridMultilevel"/>
    <w:tmpl w:val="29BED7C2"/>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2"/>
  </w:num>
  <w:num w:numId="3">
    <w:abstractNumId w:val="0"/>
  </w:num>
  <w:num w:numId="4">
    <w:abstractNumId w:val="12"/>
  </w:num>
  <w:num w:numId="5">
    <w:abstractNumId w:val="20"/>
  </w:num>
  <w:num w:numId="6">
    <w:abstractNumId w:val="27"/>
  </w:num>
  <w:num w:numId="7">
    <w:abstractNumId w:val="15"/>
  </w:num>
  <w:num w:numId="8">
    <w:abstractNumId w:val="3"/>
  </w:num>
  <w:num w:numId="9">
    <w:abstractNumId w:val="6"/>
  </w:num>
  <w:num w:numId="10">
    <w:abstractNumId w:val="11"/>
  </w:num>
  <w:num w:numId="11">
    <w:abstractNumId w:val="18"/>
  </w:num>
  <w:num w:numId="12">
    <w:abstractNumId w:val="8"/>
  </w:num>
  <w:num w:numId="13">
    <w:abstractNumId w:val="1"/>
  </w:num>
  <w:num w:numId="14">
    <w:abstractNumId w:val="9"/>
  </w:num>
  <w:num w:numId="15">
    <w:abstractNumId w:val="14"/>
  </w:num>
  <w:num w:numId="16">
    <w:abstractNumId w:val="24"/>
  </w:num>
  <w:num w:numId="17">
    <w:abstractNumId w:val="5"/>
  </w:num>
  <w:num w:numId="18">
    <w:abstractNumId w:val="21"/>
  </w:num>
  <w:num w:numId="19">
    <w:abstractNumId w:val="10"/>
  </w:num>
  <w:num w:numId="20">
    <w:abstractNumId w:val="25"/>
  </w:num>
  <w:num w:numId="21">
    <w:abstractNumId w:val="7"/>
  </w:num>
  <w:num w:numId="22">
    <w:abstractNumId w:val="16"/>
  </w:num>
  <w:num w:numId="23">
    <w:abstractNumId w:val="26"/>
  </w:num>
  <w:num w:numId="24">
    <w:abstractNumId w:val="26"/>
  </w:num>
  <w:num w:numId="25">
    <w:abstractNumId w:val="26"/>
  </w:num>
  <w:num w:numId="26">
    <w:abstractNumId w:val="26"/>
  </w:num>
  <w:num w:numId="27">
    <w:abstractNumId w:val="13"/>
  </w:num>
  <w:num w:numId="28">
    <w:abstractNumId w:val="17"/>
  </w:num>
  <w:num w:numId="29">
    <w:abstractNumId w:val="28"/>
  </w:num>
  <w:num w:numId="30">
    <w:abstractNumId w:val="26"/>
  </w:num>
  <w:num w:numId="31">
    <w:abstractNumId w:val="19"/>
  </w:num>
  <w:num w:numId="32">
    <w:abstractNumId w:val="4"/>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
  </w:num>
  <w:num w:numId="42">
    <w:abstractNumId w:val="23"/>
  </w:num>
  <w:numIdMacAtCleanup w:val="2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zula Karkowska">
    <w15:presenceInfo w15:providerId="Windows Live" w15:userId="166d648e068a8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CD2DE6F3DF64334954624CA775764DF"/>
    <w:docVar w:name="LW_CROSSREFERENCE" w:val="{SWD(2017) 242 final}"/>
    <w:docVar w:name="LW_DocType" w:val="NORMAL"/>
    <w:docVar w:name="LW_EMISSION" w:val="29.6.2017"/>
    <w:docVar w:name="LW_EMISSION_ISODATE" w:val="2017-06-29"/>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341"/>
    <w:docVar w:name="LW_REF.INTERNE" w:val="&lt;UNUSED&gt;"/>
    <w:docVar w:name="LW_SOUS.TITRE.OBJ.CP" w:val="&lt;UNUSED&gt;"/>
    <w:docVar w:name="LW_SUPERTITRE" w:val="&lt;UNUSED&gt;"/>
    <w:docVar w:name="LW_TITRE.OBJ.CP" w:val="über den Austausch von Strafregisterinformationen zwischen den Mitgliedstaaten mittels des Europäischen Strafregisterinformationssystems (ECRIS)"/>
    <w:docVar w:name="LW_TYPE.DOC.CP" w:val="BERICHT DER KOMMISSION AN DAS EUROPÄISCHE PARLAMENT UND DEN RAT"/>
  </w:docVars>
  <w:rsids>
    <w:rsidRoot w:val="000A250D"/>
    <w:rsid w:val="000A250D"/>
    <w:rsid w:val="00843F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FMU"/>
    <w:basedOn w:val="Normal"/>
    <w:pPr>
      <w:tabs>
        <w:tab w:val="center" w:pos="4320"/>
        <w:tab w:val="right" w:pos="8640"/>
      </w:tabs>
      <w:spacing w:after="0"/>
      <w:jc w:val="center"/>
    </w:pPr>
    <w:rPr>
      <w:color w:val="000080"/>
    </w:rPr>
  </w:style>
  <w:style w:type="paragraph" w:customStyle="1" w:styleId="Bullet1">
    <w:name w:val="Bullet 1"/>
    <w:basedOn w:val="Normal"/>
    <w:pPr>
      <w:numPr>
        <w:numId w:val="9"/>
      </w:numPr>
      <w:tabs>
        <w:tab w:val="clear" w:pos="360"/>
        <w:tab w:val="num" w:pos="900"/>
      </w:tabs>
      <w:spacing w:after="0"/>
      <w:ind w:left="900"/>
      <w:jc w:val="both"/>
    </w:pPr>
    <w:rPr>
      <w:sz w:val="22"/>
    </w:rPr>
  </w:style>
  <w:style w:type="paragraph" w:customStyle="1" w:styleId="Listnumber1cm">
    <w:name w:val="List number 1cm"/>
    <w:basedOn w:val="Normal"/>
    <w:pPr>
      <w:numPr>
        <w:numId w:val="6"/>
      </w:numPr>
      <w:tabs>
        <w:tab w:val="clear" w:pos="927"/>
        <w:tab w:val="left" w:pos="851"/>
      </w:tabs>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aliases w:val="Footer CFMU"/>
    <w:basedOn w:val="Normal"/>
    <w:link w:val="FooterChar"/>
    <w:uiPriority w:val="99"/>
    <w:pPr>
      <w:tabs>
        <w:tab w:val="center" w:pos="4320"/>
        <w:tab w:val="right" w:pos="8640"/>
      </w:tabs>
      <w:spacing w:before="60" w:after="60"/>
      <w:jc w:val="center"/>
    </w:pPr>
    <w:rPr>
      <w:b/>
      <w:bCs/>
      <w:color w:val="000080"/>
      <w:sz w:val="16"/>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rPr>
  </w:style>
  <w:style w:type="paragraph" w:customStyle="1" w:styleId="Puce2">
    <w:name w:val="Puce2"/>
    <w:basedOn w:val="Normal"/>
    <w:pPr>
      <w:numPr>
        <w:numId w:val="15"/>
      </w:numPr>
      <w:spacing w:after="0"/>
      <w:jc w:val="both"/>
    </w:pPr>
    <w:rPr>
      <w:snapToGrid w:val="0"/>
      <w:color w:val="000000"/>
      <w:sz w:val="22"/>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rPr>
  </w:style>
  <w:style w:type="paragraph" w:customStyle="1" w:styleId="TaBult1">
    <w:name w:val="TaBult 1"/>
    <w:basedOn w:val="Normal"/>
    <w:pPr>
      <w:numPr>
        <w:numId w:val="17"/>
      </w:numPr>
      <w:spacing w:before="60" w:after="60"/>
      <w:ind w:left="426" w:hanging="284"/>
      <w:jc w:val="both"/>
    </w:pPr>
    <w:rPr>
      <w:rFonts w:ascii="Times New Roman" w:hAnsi="Times New Roman"/>
      <w:sz w:val="22"/>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rPr>
  </w:style>
  <w:style w:type="paragraph" w:customStyle="1" w:styleId="BodySingle">
    <w:name w:val="*Body Single"/>
    <w:basedOn w:val="Normal"/>
    <w:pPr>
      <w:spacing w:after="0" w:line="220" w:lineRule="atLeast"/>
      <w:ind w:left="2304"/>
    </w:pPr>
    <w:rPr>
      <w:sz w:val="22"/>
      <w:szCs w:val="24"/>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table" w:styleId="TableGrid">
    <w:name w:val="Table Grid"/>
    <w:basedOn w:val="TableNormal"/>
    <w:uiPriority w:val="5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de-DE" w:eastAsia="de-DE" w:bidi="de-DE"/>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de-DE" w:eastAsia="de-DE" w:bidi="de-DE"/>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rPr>
  </w:style>
  <w:style w:type="character" w:customStyle="1" w:styleId="CommentTextChar">
    <w:name w:val="Comment Text Char"/>
    <w:basedOn w:val="DefaultParagraphFont"/>
    <w:link w:val="CommentText"/>
    <w:semiHidden/>
    <w:rPr>
      <w:rFonts w:ascii="Arial" w:hAnsi="Arial"/>
      <w:lang w:eastAsia="de-DE"/>
    </w:rPr>
  </w:style>
  <w:style w:type="paragraph" w:styleId="Revision">
    <w:name w:val="Revision"/>
    <w:hidden/>
    <w:uiPriority w:val="99"/>
    <w:semiHidden/>
    <w:rPr>
      <w:sz w:val="18"/>
    </w:rPr>
  </w:style>
  <w:style w:type="character" w:customStyle="1" w:styleId="FootnoteTextChar">
    <w:name w:val="Footnote Text Char"/>
    <w:basedOn w:val="DefaultParagraphFont"/>
    <w:link w:val="FootnoteText"/>
    <w:semiHidden/>
    <w:rPr>
      <w:rFonts w:ascii="Arial" w:hAnsi="Arial"/>
      <w:sz w:val="16"/>
      <w:lang w:eastAsia="de-DE"/>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color w:val="000080"/>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color w:val="000080"/>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aliases w:val="Footer CFMU Char"/>
    <w:basedOn w:val="DefaultParagraphFont"/>
    <w:link w:val="Footer"/>
    <w:uiPriority w:val="99"/>
    <w:rPr>
      <w:b/>
      <w:bCs/>
      <w:color w:val="00008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FMU"/>
    <w:basedOn w:val="Normal"/>
    <w:pPr>
      <w:tabs>
        <w:tab w:val="center" w:pos="4320"/>
        <w:tab w:val="right" w:pos="8640"/>
      </w:tabs>
      <w:spacing w:after="0"/>
      <w:jc w:val="center"/>
    </w:pPr>
    <w:rPr>
      <w:color w:val="000080"/>
    </w:rPr>
  </w:style>
  <w:style w:type="paragraph" w:customStyle="1" w:styleId="Bullet1">
    <w:name w:val="Bullet 1"/>
    <w:basedOn w:val="Normal"/>
    <w:pPr>
      <w:numPr>
        <w:numId w:val="9"/>
      </w:numPr>
      <w:tabs>
        <w:tab w:val="clear" w:pos="360"/>
        <w:tab w:val="num" w:pos="900"/>
      </w:tabs>
      <w:spacing w:after="0"/>
      <w:ind w:left="900"/>
      <w:jc w:val="both"/>
    </w:pPr>
    <w:rPr>
      <w:sz w:val="22"/>
    </w:rPr>
  </w:style>
  <w:style w:type="paragraph" w:customStyle="1" w:styleId="Listnumber1cm">
    <w:name w:val="List number 1cm"/>
    <w:basedOn w:val="Normal"/>
    <w:pPr>
      <w:numPr>
        <w:numId w:val="6"/>
      </w:numPr>
      <w:tabs>
        <w:tab w:val="clear" w:pos="927"/>
        <w:tab w:val="left" w:pos="851"/>
      </w:tabs>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aliases w:val="Footer CFMU"/>
    <w:basedOn w:val="Normal"/>
    <w:link w:val="FooterChar"/>
    <w:uiPriority w:val="99"/>
    <w:pPr>
      <w:tabs>
        <w:tab w:val="center" w:pos="4320"/>
        <w:tab w:val="right" w:pos="8640"/>
      </w:tabs>
      <w:spacing w:before="60" w:after="60"/>
      <w:jc w:val="center"/>
    </w:pPr>
    <w:rPr>
      <w:b/>
      <w:bCs/>
      <w:color w:val="000080"/>
      <w:sz w:val="16"/>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rPr>
  </w:style>
  <w:style w:type="paragraph" w:customStyle="1" w:styleId="Puce2">
    <w:name w:val="Puce2"/>
    <w:basedOn w:val="Normal"/>
    <w:pPr>
      <w:numPr>
        <w:numId w:val="15"/>
      </w:numPr>
      <w:spacing w:after="0"/>
      <w:jc w:val="both"/>
    </w:pPr>
    <w:rPr>
      <w:snapToGrid w:val="0"/>
      <w:color w:val="000000"/>
      <w:sz w:val="22"/>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rPr>
  </w:style>
  <w:style w:type="paragraph" w:customStyle="1" w:styleId="TaBult1">
    <w:name w:val="TaBult 1"/>
    <w:basedOn w:val="Normal"/>
    <w:pPr>
      <w:numPr>
        <w:numId w:val="17"/>
      </w:numPr>
      <w:spacing w:before="60" w:after="60"/>
      <w:ind w:left="426" w:hanging="284"/>
      <w:jc w:val="both"/>
    </w:pPr>
    <w:rPr>
      <w:rFonts w:ascii="Times New Roman" w:hAnsi="Times New Roman"/>
      <w:sz w:val="22"/>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rPr>
  </w:style>
  <w:style w:type="paragraph" w:customStyle="1" w:styleId="BodySingle">
    <w:name w:val="*Body Single"/>
    <w:basedOn w:val="Normal"/>
    <w:pPr>
      <w:spacing w:after="0" w:line="220" w:lineRule="atLeast"/>
      <w:ind w:left="2304"/>
    </w:pPr>
    <w:rPr>
      <w:sz w:val="22"/>
      <w:szCs w:val="24"/>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table" w:styleId="TableGrid">
    <w:name w:val="Table Grid"/>
    <w:basedOn w:val="TableNormal"/>
    <w:uiPriority w:val="5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de-DE" w:eastAsia="de-DE" w:bidi="de-DE"/>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de-DE" w:eastAsia="de-DE" w:bidi="de-DE"/>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rPr>
  </w:style>
  <w:style w:type="character" w:customStyle="1" w:styleId="CommentTextChar">
    <w:name w:val="Comment Text Char"/>
    <w:basedOn w:val="DefaultParagraphFont"/>
    <w:link w:val="CommentText"/>
    <w:semiHidden/>
    <w:rPr>
      <w:rFonts w:ascii="Arial" w:hAnsi="Arial"/>
      <w:lang w:eastAsia="de-DE"/>
    </w:rPr>
  </w:style>
  <w:style w:type="paragraph" w:styleId="Revision">
    <w:name w:val="Revision"/>
    <w:hidden/>
    <w:uiPriority w:val="99"/>
    <w:semiHidden/>
    <w:rPr>
      <w:sz w:val="18"/>
    </w:rPr>
  </w:style>
  <w:style w:type="character" w:customStyle="1" w:styleId="FootnoteTextChar">
    <w:name w:val="Footnote Text Char"/>
    <w:basedOn w:val="DefaultParagraphFont"/>
    <w:link w:val="FootnoteText"/>
    <w:semiHidden/>
    <w:rPr>
      <w:rFonts w:ascii="Arial" w:hAnsi="Arial"/>
      <w:sz w:val="16"/>
      <w:lang w:eastAsia="de-DE"/>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color w:val="000080"/>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color w:val="000080"/>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aliases w:val="Footer CFMU Char"/>
    <w:basedOn w:val="DefaultParagraphFont"/>
    <w:link w:val="Footer"/>
    <w:uiPriority w:val="99"/>
    <w:rPr>
      <w:b/>
      <w:bCs/>
      <w:color w:val="0000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6491">
      <w:bodyDiv w:val="1"/>
      <w:marLeft w:val="0"/>
      <w:marRight w:val="0"/>
      <w:marTop w:val="0"/>
      <w:marBottom w:val="0"/>
      <w:divBdr>
        <w:top w:val="none" w:sz="0" w:space="0" w:color="auto"/>
        <w:left w:val="none" w:sz="0" w:space="0" w:color="auto"/>
        <w:bottom w:val="none" w:sz="0" w:space="0" w:color="auto"/>
        <w:right w:val="none" w:sz="0" w:space="0" w:color="auto"/>
      </w:divBdr>
    </w:div>
    <w:div w:id="436944370">
      <w:bodyDiv w:val="1"/>
      <w:marLeft w:val="0"/>
      <w:marRight w:val="0"/>
      <w:marTop w:val="0"/>
      <w:marBottom w:val="0"/>
      <w:divBdr>
        <w:top w:val="none" w:sz="0" w:space="0" w:color="auto"/>
        <w:left w:val="none" w:sz="0" w:space="0" w:color="auto"/>
        <w:bottom w:val="none" w:sz="0" w:space="0" w:color="auto"/>
        <w:right w:val="none" w:sz="0" w:space="0" w:color="auto"/>
      </w:divBdr>
    </w:div>
    <w:div w:id="662397485">
      <w:bodyDiv w:val="1"/>
      <w:marLeft w:val="0"/>
      <w:marRight w:val="0"/>
      <w:marTop w:val="0"/>
      <w:marBottom w:val="0"/>
      <w:divBdr>
        <w:top w:val="none" w:sz="0" w:space="0" w:color="auto"/>
        <w:left w:val="none" w:sz="0" w:space="0" w:color="auto"/>
        <w:bottom w:val="none" w:sz="0" w:space="0" w:color="auto"/>
        <w:right w:val="none" w:sz="0" w:space="0" w:color="auto"/>
      </w:divBdr>
    </w:div>
    <w:div w:id="814957810">
      <w:bodyDiv w:val="1"/>
      <w:marLeft w:val="0"/>
      <w:marRight w:val="0"/>
      <w:marTop w:val="0"/>
      <w:marBottom w:val="0"/>
      <w:divBdr>
        <w:top w:val="none" w:sz="0" w:space="0" w:color="auto"/>
        <w:left w:val="none" w:sz="0" w:space="0" w:color="auto"/>
        <w:bottom w:val="none" w:sz="0" w:space="0" w:color="auto"/>
        <w:right w:val="none" w:sz="0" w:space="0" w:color="auto"/>
      </w:divBdr>
    </w:div>
    <w:div w:id="852457057">
      <w:bodyDiv w:val="1"/>
      <w:marLeft w:val="0"/>
      <w:marRight w:val="0"/>
      <w:marTop w:val="0"/>
      <w:marBottom w:val="0"/>
      <w:divBdr>
        <w:top w:val="none" w:sz="0" w:space="0" w:color="auto"/>
        <w:left w:val="none" w:sz="0" w:space="0" w:color="auto"/>
        <w:bottom w:val="none" w:sz="0" w:space="0" w:color="auto"/>
        <w:right w:val="none" w:sz="0" w:space="0" w:color="auto"/>
      </w:divBdr>
    </w:div>
    <w:div w:id="937715902">
      <w:bodyDiv w:val="1"/>
      <w:marLeft w:val="0"/>
      <w:marRight w:val="0"/>
      <w:marTop w:val="0"/>
      <w:marBottom w:val="0"/>
      <w:divBdr>
        <w:top w:val="none" w:sz="0" w:space="0" w:color="auto"/>
        <w:left w:val="none" w:sz="0" w:space="0" w:color="auto"/>
        <w:bottom w:val="none" w:sz="0" w:space="0" w:color="auto"/>
        <w:right w:val="none" w:sz="0" w:space="0" w:color="auto"/>
      </w:divBdr>
    </w:div>
    <w:div w:id="976498224">
      <w:bodyDiv w:val="1"/>
      <w:marLeft w:val="0"/>
      <w:marRight w:val="0"/>
      <w:marTop w:val="0"/>
      <w:marBottom w:val="0"/>
      <w:divBdr>
        <w:top w:val="none" w:sz="0" w:space="0" w:color="auto"/>
        <w:left w:val="none" w:sz="0" w:space="0" w:color="auto"/>
        <w:bottom w:val="none" w:sz="0" w:space="0" w:color="auto"/>
        <w:right w:val="none" w:sz="0" w:space="0" w:color="auto"/>
      </w:divBdr>
    </w:div>
    <w:div w:id="1193766090">
      <w:bodyDiv w:val="1"/>
      <w:marLeft w:val="0"/>
      <w:marRight w:val="0"/>
      <w:marTop w:val="0"/>
      <w:marBottom w:val="0"/>
      <w:divBdr>
        <w:top w:val="none" w:sz="0" w:space="0" w:color="auto"/>
        <w:left w:val="none" w:sz="0" w:space="0" w:color="auto"/>
        <w:bottom w:val="none" w:sz="0" w:space="0" w:color="auto"/>
        <w:right w:val="none" w:sz="0" w:space="0" w:color="auto"/>
      </w:divBdr>
    </w:div>
    <w:div w:id="1221405828">
      <w:bodyDiv w:val="1"/>
      <w:marLeft w:val="0"/>
      <w:marRight w:val="0"/>
      <w:marTop w:val="0"/>
      <w:marBottom w:val="0"/>
      <w:divBdr>
        <w:top w:val="none" w:sz="0" w:space="0" w:color="auto"/>
        <w:left w:val="none" w:sz="0" w:space="0" w:color="auto"/>
        <w:bottom w:val="none" w:sz="0" w:space="0" w:color="auto"/>
        <w:right w:val="none" w:sz="0" w:space="0" w:color="auto"/>
      </w:divBdr>
    </w:div>
    <w:div w:id="1259944273">
      <w:bodyDiv w:val="1"/>
      <w:marLeft w:val="0"/>
      <w:marRight w:val="0"/>
      <w:marTop w:val="0"/>
      <w:marBottom w:val="0"/>
      <w:divBdr>
        <w:top w:val="none" w:sz="0" w:space="0" w:color="auto"/>
        <w:left w:val="none" w:sz="0" w:space="0" w:color="auto"/>
        <w:bottom w:val="none" w:sz="0" w:space="0" w:color="auto"/>
        <w:right w:val="none" w:sz="0" w:space="0" w:color="auto"/>
      </w:divBdr>
    </w:div>
    <w:div w:id="1512455331">
      <w:bodyDiv w:val="1"/>
      <w:marLeft w:val="0"/>
      <w:marRight w:val="0"/>
      <w:marTop w:val="0"/>
      <w:marBottom w:val="0"/>
      <w:divBdr>
        <w:top w:val="none" w:sz="0" w:space="0" w:color="auto"/>
        <w:left w:val="none" w:sz="0" w:space="0" w:color="auto"/>
        <w:bottom w:val="none" w:sz="0" w:space="0" w:color="auto"/>
        <w:right w:val="none" w:sz="0" w:space="0" w:color="auto"/>
      </w:divBdr>
    </w:div>
    <w:div w:id="1895656447">
      <w:bodyDiv w:val="1"/>
      <w:marLeft w:val="0"/>
      <w:marRight w:val="0"/>
      <w:marTop w:val="0"/>
      <w:marBottom w:val="0"/>
      <w:divBdr>
        <w:top w:val="none" w:sz="0" w:space="0" w:color="auto"/>
        <w:left w:val="none" w:sz="0" w:space="0" w:color="auto"/>
        <w:bottom w:val="none" w:sz="0" w:space="0" w:color="auto"/>
        <w:right w:val="none" w:sz="0" w:space="0" w:color="auto"/>
      </w:divBdr>
    </w:div>
    <w:div w:id="2029091440">
      <w:bodyDiv w:val="1"/>
      <w:marLeft w:val="0"/>
      <w:marRight w:val="0"/>
      <w:marTop w:val="0"/>
      <w:marBottom w:val="0"/>
      <w:divBdr>
        <w:top w:val="none" w:sz="0" w:space="0" w:color="auto"/>
        <w:left w:val="none" w:sz="0" w:space="0" w:color="auto"/>
        <w:bottom w:val="none" w:sz="0" w:space="0" w:color="auto"/>
        <w:right w:val="none" w:sz="0" w:space="0" w:color="auto"/>
      </w:divBdr>
    </w:div>
    <w:div w:id="21058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5.xm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oter" Target="footer4.xml"/><Relationship Id="rId48"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statistics-explained/index.php/File:Non-%09national_population_by_group_of_citizenship,_1_January_2016_(%C2%B9).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9A93EAE6201546A21F3528A97E5D9A" ma:contentTypeVersion="0" ma:contentTypeDescription="Create a new document in this library." ma:contentTypeScope="" ma:versionID="e3ee652806b97ecd207b74e02fedf038">
  <xsd:schema xmlns:xsd="http://www.w3.org/2001/XMLSchema" xmlns:xs="http://www.w3.org/2001/XMLSchema" xmlns:p="http://schemas.microsoft.com/office/2006/metadata/properties" xmlns:ns2="http://schemas.microsoft.com/sharepoint/v3/fields" xmlns:ns3="c731397e-20a8-4749-99e2-8e0275fdae34" targetNamespace="http://schemas.microsoft.com/office/2006/metadata/properties" ma:root="true" ma:fieldsID="d0c39f83f2caef7c0b04dec737714a5a" ns2:_="" ns3:_="">
    <xsd:import namespace="http://schemas.microsoft.com/sharepoint/v3/fields"/>
    <xsd:import namespace="c731397e-20a8-4749-99e2-8e0275fdae3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31397e-20a8-4749-99e2-8e0275fdae3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c731397e-20a8-4749-99e2-8e0275fdae34">Not Started</EC_Collab_Status>
    <_Status xmlns="http://schemas.microsoft.com/sharepoint/v3/fields">Not Started</_Status>
    <EC_Collab_DocumentLanguage xmlns="c731397e-20a8-4749-99e2-8e0275fdae34">EN</EC_Collab_DocumentLanguage>
    <EC_Collab_Reference xmlns="c731397e-20a8-4749-99e2-8e0275fdae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DD89-53A6-4A33-B723-C5C47D31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731397e-20a8-4749-99e2-8e0275fda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61043-B00C-4724-A2D2-D46177033599}">
  <ds:schemaRefs>
    <ds:schemaRef ds:uri="http://schemas.microsoft.com/sharepoint/v3/contenttype/forms"/>
  </ds:schemaRefs>
</ds:datastoreItem>
</file>

<file path=customXml/itemProps3.xml><?xml version="1.0" encoding="utf-8"?>
<ds:datastoreItem xmlns:ds="http://schemas.openxmlformats.org/officeDocument/2006/customXml" ds:itemID="{B4DD5847-6273-4868-8914-C1002BC9BC05}">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c731397e-20a8-4749-99e2-8e0275fdae34"/>
    <ds:schemaRef ds:uri="http://schemas.microsoft.com/sharepoint/v3/fields"/>
    <ds:schemaRef ds:uri="http://purl.org/dc/dcmitype/"/>
  </ds:schemaRefs>
</ds:datastoreItem>
</file>

<file path=customXml/itemProps4.xml><?xml version="1.0" encoding="utf-8"?>
<ds:datastoreItem xmlns:ds="http://schemas.openxmlformats.org/officeDocument/2006/customXml" ds:itemID="{E5B0A709-FBF7-441F-B1C6-16E0A37F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4641</Words>
  <Characters>28911</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ECRIS Statistics on the eJustice Portal 130624</vt:lpstr>
    </vt:vector>
  </TitlesOfParts>
  <Manager/>
  <Company/>
  <LinksUpToDate>false</LinksUpToDate>
  <CharactersWithSpaces>33486</CharactersWithSpaces>
  <SharedDoc>false</SharedDoc>
  <HLinks>
    <vt:vector size="198" baseType="variant">
      <vt:variant>
        <vt:i4>3604575</vt:i4>
      </vt:variant>
      <vt:variant>
        <vt:i4>204</vt:i4>
      </vt:variant>
      <vt:variant>
        <vt:i4>0</vt:i4>
      </vt:variant>
      <vt:variant>
        <vt:i4>5</vt:i4>
      </vt:variant>
      <vt:variant>
        <vt:lpwstr>mailto:JUST-CRIMINAL-RECORD@ec.europa.eu</vt:lpwstr>
      </vt:variant>
      <vt:variant>
        <vt:lpwstr/>
      </vt:variant>
      <vt:variant>
        <vt:i4>786523</vt:i4>
      </vt:variant>
      <vt:variant>
        <vt:i4>201</vt:i4>
      </vt:variant>
      <vt:variant>
        <vt:i4>0</vt:i4>
      </vt:variant>
      <vt:variant>
        <vt:i4>5</vt:i4>
      </vt:variant>
      <vt:variant>
        <vt:lpwstr>http://www.statistics.be/</vt:lpwstr>
      </vt:variant>
      <vt:variant>
        <vt:lpwstr/>
      </vt:variant>
      <vt:variant>
        <vt:i4>1376314</vt:i4>
      </vt:variant>
      <vt:variant>
        <vt:i4>191</vt:i4>
      </vt:variant>
      <vt:variant>
        <vt:i4>0</vt:i4>
      </vt:variant>
      <vt:variant>
        <vt:i4>5</vt:i4>
      </vt:variant>
      <vt:variant>
        <vt:lpwstr/>
      </vt:variant>
      <vt:variant>
        <vt:lpwstr>_Toc366161943</vt:lpwstr>
      </vt:variant>
      <vt:variant>
        <vt:i4>1376314</vt:i4>
      </vt:variant>
      <vt:variant>
        <vt:i4>185</vt:i4>
      </vt:variant>
      <vt:variant>
        <vt:i4>0</vt:i4>
      </vt:variant>
      <vt:variant>
        <vt:i4>5</vt:i4>
      </vt:variant>
      <vt:variant>
        <vt:lpwstr/>
      </vt:variant>
      <vt:variant>
        <vt:lpwstr>_Toc366161943</vt:lpwstr>
      </vt:variant>
      <vt:variant>
        <vt:i4>1376314</vt:i4>
      </vt:variant>
      <vt:variant>
        <vt:i4>179</vt:i4>
      </vt:variant>
      <vt:variant>
        <vt:i4>0</vt:i4>
      </vt:variant>
      <vt:variant>
        <vt:i4>5</vt:i4>
      </vt:variant>
      <vt:variant>
        <vt:lpwstr/>
      </vt:variant>
      <vt:variant>
        <vt:lpwstr>_Toc366161942</vt:lpwstr>
      </vt:variant>
      <vt:variant>
        <vt:i4>1376314</vt:i4>
      </vt:variant>
      <vt:variant>
        <vt:i4>173</vt:i4>
      </vt:variant>
      <vt:variant>
        <vt:i4>0</vt:i4>
      </vt:variant>
      <vt:variant>
        <vt:i4>5</vt:i4>
      </vt:variant>
      <vt:variant>
        <vt:lpwstr/>
      </vt:variant>
      <vt:variant>
        <vt:lpwstr>_Toc366161941</vt:lpwstr>
      </vt:variant>
      <vt:variant>
        <vt:i4>1376314</vt:i4>
      </vt:variant>
      <vt:variant>
        <vt:i4>167</vt:i4>
      </vt:variant>
      <vt:variant>
        <vt:i4>0</vt:i4>
      </vt:variant>
      <vt:variant>
        <vt:i4>5</vt:i4>
      </vt:variant>
      <vt:variant>
        <vt:lpwstr/>
      </vt:variant>
      <vt:variant>
        <vt:lpwstr>_Toc366161940</vt:lpwstr>
      </vt:variant>
      <vt:variant>
        <vt:i4>1179706</vt:i4>
      </vt:variant>
      <vt:variant>
        <vt:i4>161</vt:i4>
      </vt:variant>
      <vt:variant>
        <vt:i4>0</vt:i4>
      </vt:variant>
      <vt:variant>
        <vt:i4>5</vt:i4>
      </vt:variant>
      <vt:variant>
        <vt:lpwstr/>
      </vt:variant>
      <vt:variant>
        <vt:lpwstr>_Toc366161939</vt:lpwstr>
      </vt:variant>
      <vt:variant>
        <vt:i4>1179706</vt:i4>
      </vt:variant>
      <vt:variant>
        <vt:i4>155</vt:i4>
      </vt:variant>
      <vt:variant>
        <vt:i4>0</vt:i4>
      </vt:variant>
      <vt:variant>
        <vt:i4>5</vt:i4>
      </vt:variant>
      <vt:variant>
        <vt:lpwstr/>
      </vt:variant>
      <vt:variant>
        <vt:lpwstr>_Toc366161938</vt:lpwstr>
      </vt:variant>
      <vt:variant>
        <vt:i4>1179706</vt:i4>
      </vt:variant>
      <vt:variant>
        <vt:i4>149</vt:i4>
      </vt:variant>
      <vt:variant>
        <vt:i4>0</vt:i4>
      </vt:variant>
      <vt:variant>
        <vt:i4>5</vt:i4>
      </vt:variant>
      <vt:variant>
        <vt:lpwstr/>
      </vt:variant>
      <vt:variant>
        <vt:lpwstr>_Toc366161937</vt:lpwstr>
      </vt:variant>
      <vt:variant>
        <vt:i4>1179706</vt:i4>
      </vt:variant>
      <vt:variant>
        <vt:i4>143</vt:i4>
      </vt:variant>
      <vt:variant>
        <vt:i4>0</vt:i4>
      </vt:variant>
      <vt:variant>
        <vt:i4>5</vt:i4>
      </vt:variant>
      <vt:variant>
        <vt:lpwstr/>
      </vt:variant>
      <vt:variant>
        <vt:lpwstr>_Toc366161936</vt:lpwstr>
      </vt:variant>
      <vt:variant>
        <vt:i4>1179706</vt:i4>
      </vt:variant>
      <vt:variant>
        <vt:i4>137</vt:i4>
      </vt:variant>
      <vt:variant>
        <vt:i4>0</vt:i4>
      </vt:variant>
      <vt:variant>
        <vt:i4>5</vt:i4>
      </vt:variant>
      <vt:variant>
        <vt:lpwstr/>
      </vt:variant>
      <vt:variant>
        <vt:lpwstr>_Toc366161935</vt:lpwstr>
      </vt:variant>
      <vt:variant>
        <vt:i4>1179706</vt:i4>
      </vt:variant>
      <vt:variant>
        <vt:i4>131</vt:i4>
      </vt:variant>
      <vt:variant>
        <vt:i4>0</vt:i4>
      </vt:variant>
      <vt:variant>
        <vt:i4>5</vt:i4>
      </vt:variant>
      <vt:variant>
        <vt:lpwstr/>
      </vt:variant>
      <vt:variant>
        <vt:lpwstr>_Toc366161934</vt:lpwstr>
      </vt:variant>
      <vt:variant>
        <vt:i4>1179706</vt:i4>
      </vt:variant>
      <vt:variant>
        <vt:i4>125</vt:i4>
      </vt:variant>
      <vt:variant>
        <vt:i4>0</vt:i4>
      </vt:variant>
      <vt:variant>
        <vt:i4>5</vt:i4>
      </vt:variant>
      <vt:variant>
        <vt:lpwstr/>
      </vt:variant>
      <vt:variant>
        <vt:lpwstr>_Toc366161933</vt:lpwstr>
      </vt:variant>
      <vt:variant>
        <vt:i4>1179706</vt:i4>
      </vt:variant>
      <vt:variant>
        <vt:i4>119</vt:i4>
      </vt:variant>
      <vt:variant>
        <vt:i4>0</vt:i4>
      </vt:variant>
      <vt:variant>
        <vt:i4>5</vt:i4>
      </vt:variant>
      <vt:variant>
        <vt:lpwstr/>
      </vt:variant>
      <vt:variant>
        <vt:lpwstr>_Toc366161932</vt:lpwstr>
      </vt:variant>
      <vt:variant>
        <vt:i4>1179706</vt:i4>
      </vt:variant>
      <vt:variant>
        <vt:i4>113</vt:i4>
      </vt:variant>
      <vt:variant>
        <vt:i4>0</vt:i4>
      </vt:variant>
      <vt:variant>
        <vt:i4>5</vt:i4>
      </vt:variant>
      <vt:variant>
        <vt:lpwstr/>
      </vt:variant>
      <vt:variant>
        <vt:lpwstr>_Toc366161931</vt:lpwstr>
      </vt:variant>
      <vt:variant>
        <vt:i4>1179706</vt:i4>
      </vt:variant>
      <vt:variant>
        <vt:i4>107</vt:i4>
      </vt:variant>
      <vt:variant>
        <vt:i4>0</vt:i4>
      </vt:variant>
      <vt:variant>
        <vt:i4>5</vt:i4>
      </vt:variant>
      <vt:variant>
        <vt:lpwstr/>
      </vt:variant>
      <vt:variant>
        <vt:lpwstr>_Toc366161930</vt:lpwstr>
      </vt:variant>
      <vt:variant>
        <vt:i4>1245242</vt:i4>
      </vt:variant>
      <vt:variant>
        <vt:i4>101</vt:i4>
      </vt:variant>
      <vt:variant>
        <vt:i4>0</vt:i4>
      </vt:variant>
      <vt:variant>
        <vt:i4>5</vt:i4>
      </vt:variant>
      <vt:variant>
        <vt:lpwstr/>
      </vt:variant>
      <vt:variant>
        <vt:lpwstr>_Toc366161929</vt:lpwstr>
      </vt:variant>
      <vt:variant>
        <vt:i4>1245242</vt:i4>
      </vt:variant>
      <vt:variant>
        <vt:i4>95</vt:i4>
      </vt:variant>
      <vt:variant>
        <vt:i4>0</vt:i4>
      </vt:variant>
      <vt:variant>
        <vt:i4>5</vt:i4>
      </vt:variant>
      <vt:variant>
        <vt:lpwstr/>
      </vt:variant>
      <vt:variant>
        <vt:lpwstr>_Toc366161928</vt:lpwstr>
      </vt:variant>
      <vt:variant>
        <vt:i4>1245242</vt:i4>
      </vt:variant>
      <vt:variant>
        <vt:i4>89</vt:i4>
      </vt:variant>
      <vt:variant>
        <vt:i4>0</vt:i4>
      </vt:variant>
      <vt:variant>
        <vt:i4>5</vt:i4>
      </vt:variant>
      <vt:variant>
        <vt:lpwstr/>
      </vt:variant>
      <vt:variant>
        <vt:lpwstr>_Toc366161927</vt:lpwstr>
      </vt:variant>
      <vt:variant>
        <vt:i4>1245242</vt:i4>
      </vt:variant>
      <vt:variant>
        <vt:i4>83</vt:i4>
      </vt:variant>
      <vt:variant>
        <vt:i4>0</vt:i4>
      </vt:variant>
      <vt:variant>
        <vt:i4>5</vt:i4>
      </vt:variant>
      <vt:variant>
        <vt:lpwstr/>
      </vt:variant>
      <vt:variant>
        <vt:lpwstr>_Toc366161926</vt:lpwstr>
      </vt:variant>
      <vt:variant>
        <vt:i4>1245242</vt:i4>
      </vt:variant>
      <vt:variant>
        <vt:i4>77</vt:i4>
      </vt:variant>
      <vt:variant>
        <vt:i4>0</vt:i4>
      </vt:variant>
      <vt:variant>
        <vt:i4>5</vt:i4>
      </vt:variant>
      <vt:variant>
        <vt:lpwstr/>
      </vt:variant>
      <vt:variant>
        <vt:lpwstr>_Toc366161925</vt:lpwstr>
      </vt:variant>
      <vt:variant>
        <vt:i4>1245242</vt:i4>
      </vt:variant>
      <vt:variant>
        <vt:i4>71</vt:i4>
      </vt:variant>
      <vt:variant>
        <vt:i4>0</vt:i4>
      </vt:variant>
      <vt:variant>
        <vt:i4>5</vt:i4>
      </vt:variant>
      <vt:variant>
        <vt:lpwstr/>
      </vt:variant>
      <vt:variant>
        <vt:lpwstr>_Toc366161924</vt:lpwstr>
      </vt:variant>
      <vt:variant>
        <vt:i4>1245242</vt:i4>
      </vt:variant>
      <vt:variant>
        <vt:i4>65</vt:i4>
      </vt:variant>
      <vt:variant>
        <vt:i4>0</vt:i4>
      </vt:variant>
      <vt:variant>
        <vt:i4>5</vt:i4>
      </vt:variant>
      <vt:variant>
        <vt:lpwstr/>
      </vt:variant>
      <vt:variant>
        <vt:lpwstr>_Toc366161923</vt:lpwstr>
      </vt:variant>
      <vt:variant>
        <vt:i4>1245242</vt:i4>
      </vt:variant>
      <vt:variant>
        <vt:i4>59</vt:i4>
      </vt:variant>
      <vt:variant>
        <vt:i4>0</vt:i4>
      </vt:variant>
      <vt:variant>
        <vt:i4>5</vt:i4>
      </vt:variant>
      <vt:variant>
        <vt:lpwstr/>
      </vt:variant>
      <vt:variant>
        <vt:lpwstr>_Toc366161922</vt:lpwstr>
      </vt:variant>
      <vt:variant>
        <vt:i4>1245242</vt:i4>
      </vt:variant>
      <vt:variant>
        <vt:i4>53</vt:i4>
      </vt:variant>
      <vt:variant>
        <vt:i4>0</vt:i4>
      </vt:variant>
      <vt:variant>
        <vt:i4>5</vt:i4>
      </vt:variant>
      <vt:variant>
        <vt:lpwstr/>
      </vt:variant>
      <vt:variant>
        <vt:lpwstr>_Toc366161921</vt:lpwstr>
      </vt:variant>
      <vt:variant>
        <vt:i4>1245242</vt:i4>
      </vt:variant>
      <vt:variant>
        <vt:i4>47</vt:i4>
      </vt:variant>
      <vt:variant>
        <vt:i4>0</vt:i4>
      </vt:variant>
      <vt:variant>
        <vt:i4>5</vt:i4>
      </vt:variant>
      <vt:variant>
        <vt:lpwstr/>
      </vt:variant>
      <vt:variant>
        <vt:lpwstr>_Toc366161920</vt:lpwstr>
      </vt:variant>
      <vt:variant>
        <vt:i4>1048634</vt:i4>
      </vt:variant>
      <vt:variant>
        <vt:i4>41</vt:i4>
      </vt:variant>
      <vt:variant>
        <vt:i4>0</vt:i4>
      </vt:variant>
      <vt:variant>
        <vt:i4>5</vt:i4>
      </vt:variant>
      <vt:variant>
        <vt:lpwstr/>
      </vt:variant>
      <vt:variant>
        <vt:lpwstr>_Toc366161919</vt:lpwstr>
      </vt:variant>
      <vt:variant>
        <vt:i4>1048634</vt:i4>
      </vt:variant>
      <vt:variant>
        <vt:i4>35</vt:i4>
      </vt:variant>
      <vt:variant>
        <vt:i4>0</vt:i4>
      </vt:variant>
      <vt:variant>
        <vt:i4>5</vt:i4>
      </vt:variant>
      <vt:variant>
        <vt:lpwstr/>
      </vt:variant>
      <vt:variant>
        <vt:lpwstr>_Toc366161918</vt:lpwstr>
      </vt:variant>
      <vt:variant>
        <vt:i4>1048634</vt:i4>
      </vt:variant>
      <vt:variant>
        <vt:i4>29</vt:i4>
      </vt:variant>
      <vt:variant>
        <vt:i4>0</vt:i4>
      </vt:variant>
      <vt:variant>
        <vt:i4>5</vt:i4>
      </vt:variant>
      <vt:variant>
        <vt:lpwstr/>
      </vt:variant>
      <vt:variant>
        <vt:lpwstr>_Toc366161917</vt:lpwstr>
      </vt:variant>
      <vt:variant>
        <vt:i4>1048634</vt:i4>
      </vt:variant>
      <vt:variant>
        <vt:i4>23</vt:i4>
      </vt:variant>
      <vt:variant>
        <vt:i4>0</vt:i4>
      </vt:variant>
      <vt:variant>
        <vt:i4>5</vt:i4>
      </vt:variant>
      <vt:variant>
        <vt:lpwstr/>
      </vt:variant>
      <vt:variant>
        <vt:lpwstr>_Toc366161916</vt:lpwstr>
      </vt:variant>
      <vt:variant>
        <vt:i4>1048634</vt:i4>
      </vt:variant>
      <vt:variant>
        <vt:i4>17</vt:i4>
      </vt:variant>
      <vt:variant>
        <vt:i4>0</vt:i4>
      </vt:variant>
      <vt:variant>
        <vt:i4>5</vt:i4>
      </vt:variant>
      <vt:variant>
        <vt:lpwstr/>
      </vt:variant>
      <vt:variant>
        <vt:lpwstr>_Toc366161915</vt:lpwstr>
      </vt:variant>
      <vt:variant>
        <vt:i4>1048634</vt:i4>
      </vt:variant>
      <vt:variant>
        <vt:i4>11</vt:i4>
      </vt:variant>
      <vt:variant>
        <vt:i4>0</vt:i4>
      </vt:variant>
      <vt:variant>
        <vt:i4>5</vt:i4>
      </vt:variant>
      <vt:variant>
        <vt:lpwstr/>
      </vt:variant>
      <vt:variant>
        <vt:lpwstr>_Toc366161914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ECRIS Statistics on the eJustice Portal 130624</dc:title>
  <dc:subject>ECRIS Statistics on the eJustice Portal</dc:subject>
  <dc:creator/>
  <cp:lastModifiedBy>LAGES CARVALHO Patrick (SG)</cp:lastModifiedBy>
  <cp:revision>31</cp:revision>
  <cp:lastPrinted>2017-05-10T12:22:00Z</cp:lastPrinted>
  <dcterms:created xsi:type="dcterms:W3CDTF">2017-06-21T08:48:00Z</dcterms:created>
  <dcterms:modified xsi:type="dcterms:W3CDTF">2017-07-05T06:45:00Z</dcterms:modified>
  <cp:contentStatus>Issued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0.2</vt:lpwstr>
  </property>
  <property fmtid="{D5CDD505-2E9C-101B-9397-08002B2CF9AE}" pid="3" name="Date completed">
    <vt:lpwstr>X/09/2013</vt:lpwstr>
  </property>
  <property fmtid="{D5CDD505-2E9C-101B-9397-08002B2CF9AE}" pid="4" name="Status">
    <vt:lpwstr>Issued</vt:lpwstr>
  </property>
  <property fmtid="{D5CDD505-2E9C-101B-9397-08002B2CF9AE}" pid="5" name="Document">
    <vt:lpwstr>01_ECRIS Statistics on the Ejustice Portalv0.1</vt:lpwstr>
  </property>
  <property fmtid="{D5CDD505-2E9C-101B-9397-08002B2CF9AE}" pid="6" name="_DocHome">
    <vt:i4>-683753521</vt:i4>
  </property>
  <property fmtid="{D5CDD505-2E9C-101B-9397-08002B2CF9AE}" pid="7" name="ContentTypeId">
    <vt:lpwstr>0x010100258AA79CEB83498886A3A08681123250004C9A93EAE6201546A21F3528A97E5D9A</vt:lpwstr>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