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3333D51FCEB14DBD9DEE25501203DF1E" style="width:450.8pt;height:334.35pt">
            <v:imagedata r:id="rId12" o:title=""/>
          </v:shape>
        </w:pict>
      </w:r>
    </w:p>
    <w:bookmarkEnd w:id="0"/>
    <w:p>
      <w:pPr>
        <w:pStyle w:val="Pagedecouverture"/>
        <w:rPr>
          <w:noProof/>
        </w:rPr>
        <w:sectPr>
          <w:headerReference w:type="even" r:id="rId13"/>
          <w:headerReference w:type="default" r:id="rId14"/>
          <w:footerReference w:type="even" r:id="rId15"/>
          <w:footerReference w:type="default" r:id="rId16"/>
          <w:headerReference w:type="first" r:id="rId17"/>
          <w:footerReference w:type="first" r:id="rId18"/>
          <w:pgSz w:w="11907" w:h="16839" w:code="9"/>
          <w:pgMar w:top="1134" w:right="1417" w:bottom="1134" w:left="1417" w:header="709" w:footer="709" w:gutter="0"/>
          <w:pgNumType w:start="2"/>
          <w:cols w:space="720"/>
          <w:docGrid w:linePitch="326"/>
        </w:sectPr>
      </w:pPr>
    </w:p>
    <w:bookmarkStart w:id="1" w:name="_GoBack"/>
    <w:bookmarkEnd w:id="1"/>
    <w:p>
      <w:pPr>
        <w:pStyle w:val="TOC2"/>
        <w:tabs>
          <w:tab w:val="left" w:pos="720"/>
          <w:tab w:val="right" w:leader="dot" w:pos="8873"/>
        </w:tabs>
        <w:rPr>
          <w:rFonts w:ascii="Arial" w:eastAsiaTheme="minorEastAsia" w:hAnsi="Arial" w:cs="Arial"/>
          <w:i w:val="0"/>
          <w:iCs w:val="0"/>
          <w:noProof/>
          <w:sz w:val="22"/>
          <w:szCs w:val="22"/>
          <w:lang w:eastAsia="en-GB" w:bidi="ar-SA"/>
        </w:rPr>
      </w:pPr>
      <w:r>
        <w:rPr>
          <w:rFonts w:ascii="Arial" w:hAnsi="Arial" w:cs="Arial"/>
          <w:b/>
          <w:bCs/>
          <w:i w:val="0"/>
          <w:iCs w:val="0"/>
          <w:noProof/>
        </w:rPr>
        <w:lastRenderedPageBreak/>
        <w:fldChar w:fldCharType="begin"/>
      </w:r>
      <w:r>
        <w:rPr>
          <w:rFonts w:ascii="Arial" w:hAnsi="Arial" w:cs="Arial"/>
          <w:b/>
          <w:bCs/>
          <w:i w:val="0"/>
          <w:iCs w:val="0"/>
          <w:noProof/>
        </w:rPr>
        <w:instrText xml:space="preserve"> TOC \o "1-3" \h \z \u </w:instrText>
      </w:r>
      <w:r>
        <w:rPr>
          <w:rFonts w:ascii="Arial" w:hAnsi="Arial" w:cs="Arial"/>
          <w:b/>
          <w:bCs/>
          <w:i w:val="0"/>
          <w:iCs w:val="0"/>
          <w:noProof/>
        </w:rPr>
        <w:fldChar w:fldCharType="separate"/>
      </w:r>
      <w:hyperlink w:anchor="_Toc486858005" w:history="1">
        <w:r>
          <w:rPr>
            <w:rStyle w:val="Hyperlink"/>
            <w:rFonts w:ascii="Arial" w:hAnsi="Arial" w:cs="Arial"/>
            <w:i w:val="0"/>
            <w:noProof/>
          </w:rPr>
          <w:t>I.</w:t>
        </w:r>
        <w:r>
          <w:rPr>
            <w:rFonts w:ascii="Arial" w:eastAsiaTheme="minorEastAsia" w:hAnsi="Arial" w:cs="Arial"/>
            <w:i w:val="0"/>
            <w:iCs w:val="0"/>
            <w:noProof/>
            <w:sz w:val="22"/>
            <w:szCs w:val="22"/>
            <w:lang w:eastAsia="en-GB" w:bidi="ar-SA"/>
          </w:rPr>
          <w:tab/>
        </w:r>
        <w:r>
          <w:rPr>
            <w:rStyle w:val="Hyperlink"/>
            <w:rFonts w:ascii="Arial" w:hAnsi="Arial" w:cs="Arial"/>
            <w:i w:val="0"/>
            <w:noProof/>
          </w:rPr>
          <w:t>Úvod</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_Toc486858005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3</w:t>
        </w:r>
        <w:r>
          <w:rPr>
            <w:rFonts w:ascii="Arial" w:hAnsi="Arial" w:cs="Arial"/>
            <w:i w:val="0"/>
            <w:noProof/>
            <w:webHidden/>
          </w:rPr>
          <w:fldChar w:fldCharType="end"/>
        </w:r>
      </w:hyperlink>
    </w:p>
    <w:p>
      <w:pPr>
        <w:pStyle w:val="TOC2"/>
        <w:tabs>
          <w:tab w:val="left" w:pos="720"/>
          <w:tab w:val="right" w:leader="dot" w:pos="8873"/>
        </w:tabs>
        <w:rPr>
          <w:rFonts w:ascii="Arial" w:eastAsiaTheme="minorEastAsia" w:hAnsi="Arial" w:cs="Arial"/>
          <w:i w:val="0"/>
          <w:iCs w:val="0"/>
          <w:noProof/>
          <w:sz w:val="22"/>
          <w:szCs w:val="22"/>
          <w:lang w:eastAsia="en-GB" w:bidi="ar-SA"/>
        </w:rPr>
      </w:pPr>
      <w:hyperlink w:anchor="_Toc486858006" w:history="1">
        <w:r>
          <w:rPr>
            <w:rStyle w:val="Hyperlink"/>
            <w:rFonts w:ascii="Arial" w:hAnsi="Arial" w:cs="Arial"/>
            <w:i w:val="0"/>
            <w:noProof/>
          </w:rPr>
          <w:t>II.</w:t>
        </w:r>
        <w:r>
          <w:rPr>
            <w:rFonts w:ascii="Arial" w:eastAsiaTheme="minorEastAsia" w:hAnsi="Arial" w:cs="Arial"/>
            <w:i w:val="0"/>
            <w:iCs w:val="0"/>
            <w:noProof/>
            <w:sz w:val="22"/>
            <w:szCs w:val="22"/>
            <w:lang w:eastAsia="en-GB" w:bidi="ar-SA"/>
          </w:rPr>
          <w:tab/>
        </w:r>
        <w:r>
          <w:rPr>
            <w:rStyle w:val="Hyperlink"/>
            <w:rFonts w:ascii="Arial" w:hAnsi="Arial" w:cs="Arial"/>
            <w:i w:val="0"/>
            <w:noProof/>
          </w:rPr>
          <w:t>Presadzovanie práva v prioritných politických oblastiach</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_Toc486858006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4</w:t>
        </w:r>
        <w:r>
          <w:rPr>
            <w:rFonts w:ascii="Arial" w:hAnsi="Arial" w:cs="Arial"/>
            <w:i w:val="0"/>
            <w:noProof/>
            <w:webHidden/>
          </w:rPr>
          <w:fldChar w:fldCharType="end"/>
        </w:r>
      </w:hyperlink>
    </w:p>
    <w:p>
      <w:pPr>
        <w:pStyle w:val="TOC2"/>
        <w:tabs>
          <w:tab w:val="left" w:pos="720"/>
          <w:tab w:val="right" w:leader="dot" w:pos="8873"/>
        </w:tabs>
        <w:rPr>
          <w:rFonts w:ascii="Arial" w:eastAsiaTheme="minorEastAsia" w:hAnsi="Arial" w:cs="Arial"/>
          <w:i w:val="0"/>
          <w:iCs w:val="0"/>
          <w:noProof/>
          <w:sz w:val="22"/>
          <w:szCs w:val="22"/>
          <w:lang w:eastAsia="en-GB" w:bidi="ar-SA"/>
        </w:rPr>
      </w:pPr>
      <w:hyperlink w:anchor="_Toc486858007" w:history="1">
        <w:r>
          <w:rPr>
            <w:rStyle w:val="Hyperlink"/>
            <w:rFonts w:ascii="Arial" w:hAnsi="Arial" w:cs="Arial"/>
            <w:i w:val="0"/>
            <w:noProof/>
          </w:rPr>
          <w:t>1.</w:t>
        </w:r>
        <w:r>
          <w:rPr>
            <w:rFonts w:ascii="Arial" w:eastAsiaTheme="minorEastAsia" w:hAnsi="Arial" w:cs="Arial"/>
            <w:i w:val="0"/>
            <w:iCs w:val="0"/>
            <w:noProof/>
            <w:sz w:val="22"/>
            <w:szCs w:val="22"/>
            <w:lang w:eastAsia="en-GB" w:bidi="ar-SA"/>
          </w:rPr>
          <w:tab/>
        </w:r>
        <w:r>
          <w:rPr>
            <w:rStyle w:val="Hyperlink"/>
            <w:rFonts w:ascii="Arial" w:hAnsi="Arial" w:cs="Arial"/>
            <w:i w:val="0"/>
            <w:noProof/>
          </w:rPr>
          <w:t>Nový impulz pre zamestnanosť, rast a investície</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_Toc486858007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5</w:t>
        </w:r>
        <w:r>
          <w:rPr>
            <w:rFonts w:ascii="Arial" w:hAnsi="Arial" w:cs="Arial"/>
            <w:i w:val="0"/>
            <w:noProof/>
            <w:webHidden/>
          </w:rPr>
          <w:fldChar w:fldCharType="end"/>
        </w:r>
      </w:hyperlink>
    </w:p>
    <w:p>
      <w:pPr>
        <w:pStyle w:val="TOC2"/>
        <w:tabs>
          <w:tab w:val="left" w:pos="720"/>
          <w:tab w:val="right" w:leader="dot" w:pos="8873"/>
        </w:tabs>
        <w:rPr>
          <w:rFonts w:ascii="Arial" w:eastAsiaTheme="minorEastAsia" w:hAnsi="Arial" w:cs="Arial"/>
          <w:i w:val="0"/>
          <w:iCs w:val="0"/>
          <w:noProof/>
          <w:sz w:val="22"/>
          <w:szCs w:val="22"/>
          <w:lang w:eastAsia="en-GB" w:bidi="ar-SA"/>
        </w:rPr>
      </w:pPr>
      <w:hyperlink w:anchor="_Toc486858008" w:history="1">
        <w:r>
          <w:rPr>
            <w:rStyle w:val="Hyperlink"/>
            <w:rFonts w:ascii="Arial" w:hAnsi="Arial" w:cs="Arial"/>
            <w:i w:val="0"/>
            <w:noProof/>
          </w:rPr>
          <w:t>2.</w:t>
        </w:r>
        <w:r>
          <w:rPr>
            <w:rFonts w:ascii="Arial" w:eastAsiaTheme="minorEastAsia" w:hAnsi="Arial" w:cs="Arial"/>
            <w:i w:val="0"/>
            <w:iCs w:val="0"/>
            <w:noProof/>
            <w:sz w:val="22"/>
            <w:szCs w:val="22"/>
            <w:lang w:eastAsia="en-GB" w:bidi="ar-SA"/>
          </w:rPr>
          <w:tab/>
        </w:r>
        <w:r>
          <w:rPr>
            <w:rStyle w:val="Hyperlink"/>
            <w:rFonts w:ascii="Arial" w:hAnsi="Arial" w:cs="Arial"/>
            <w:i w:val="0"/>
            <w:noProof/>
          </w:rPr>
          <w:t>Prepojený „jednotný digitálny trh“</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_Toc486858008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6</w:t>
        </w:r>
        <w:r>
          <w:rPr>
            <w:rFonts w:ascii="Arial" w:hAnsi="Arial" w:cs="Arial"/>
            <w:i w:val="0"/>
            <w:noProof/>
            <w:webHidden/>
          </w:rPr>
          <w:fldChar w:fldCharType="end"/>
        </w:r>
      </w:hyperlink>
    </w:p>
    <w:p>
      <w:pPr>
        <w:pStyle w:val="TOC2"/>
        <w:tabs>
          <w:tab w:val="left" w:pos="720"/>
          <w:tab w:val="right" w:leader="dot" w:pos="8873"/>
        </w:tabs>
        <w:rPr>
          <w:rFonts w:ascii="Arial" w:eastAsiaTheme="minorEastAsia" w:hAnsi="Arial" w:cs="Arial"/>
          <w:i w:val="0"/>
          <w:iCs w:val="0"/>
          <w:noProof/>
          <w:sz w:val="22"/>
          <w:szCs w:val="22"/>
          <w:lang w:eastAsia="en-GB" w:bidi="ar-SA"/>
        </w:rPr>
      </w:pPr>
      <w:hyperlink w:anchor="_Toc486858009" w:history="1">
        <w:r>
          <w:rPr>
            <w:rStyle w:val="Hyperlink"/>
            <w:rFonts w:ascii="Arial" w:hAnsi="Arial" w:cs="Arial"/>
            <w:i w:val="0"/>
            <w:noProof/>
          </w:rPr>
          <w:t>3.</w:t>
        </w:r>
        <w:r>
          <w:rPr>
            <w:rFonts w:ascii="Arial" w:eastAsiaTheme="minorEastAsia" w:hAnsi="Arial" w:cs="Arial"/>
            <w:i w:val="0"/>
            <w:iCs w:val="0"/>
            <w:noProof/>
            <w:sz w:val="22"/>
            <w:szCs w:val="22"/>
            <w:lang w:eastAsia="en-GB" w:bidi="ar-SA"/>
          </w:rPr>
          <w:tab/>
        </w:r>
        <w:r>
          <w:rPr>
            <w:rStyle w:val="Hyperlink"/>
            <w:rFonts w:ascii="Arial" w:hAnsi="Arial" w:cs="Arial"/>
            <w:i w:val="0"/>
            <w:noProof/>
          </w:rPr>
          <w:t>Odolná energetická únia uplatňujúca výhľadovú politiku v oblasti zmeny klímy</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_Toc486858009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7</w:t>
        </w:r>
        <w:r>
          <w:rPr>
            <w:rFonts w:ascii="Arial" w:hAnsi="Arial" w:cs="Arial"/>
            <w:i w:val="0"/>
            <w:noProof/>
            <w:webHidden/>
          </w:rPr>
          <w:fldChar w:fldCharType="end"/>
        </w:r>
      </w:hyperlink>
    </w:p>
    <w:p>
      <w:pPr>
        <w:pStyle w:val="TOC2"/>
        <w:tabs>
          <w:tab w:val="left" w:pos="720"/>
          <w:tab w:val="right" w:leader="dot" w:pos="8873"/>
        </w:tabs>
        <w:rPr>
          <w:rFonts w:ascii="Arial" w:eastAsiaTheme="minorEastAsia" w:hAnsi="Arial" w:cs="Arial"/>
          <w:i w:val="0"/>
          <w:iCs w:val="0"/>
          <w:noProof/>
          <w:sz w:val="22"/>
          <w:szCs w:val="22"/>
          <w:lang w:eastAsia="en-GB" w:bidi="ar-SA"/>
        </w:rPr>
      </w:pPr>
      <w:hyperlink w:anchor="_Toc486858010" w:history="1">
        <w:r>
          <w:rPr>
            <w:rStyle w:val="Hyperlink"/>
            <w:rFonts w:ascii="Arial" w:hAnsi="Arial" w:cs="Arial"/>
            <w:i w:val="0"/>
            <w:noProof/>
          </w:rPr>
          <w:t>4.</w:t>
        </w:r>
        <w:r>
          <w:rPr>
            <w:rFonts w:ascii="Arial" w:eastAsiaTheme="minorEastAsia" w:hAnsi="Arial" w:cs="Arial"/>
            <w:i w:val="0"/>
            <w:iCs w:val="0"/>
            <w:noProof/>
            <w:sz w:val="22"/>
            <w:szCs w:val="22"/>
            <w:lang w:eastAsia="en-GB" w:bidi="ar-SA"/>
          </w:rPr>
          <w:tab/>
        </w:r>
        <w:r>
          <w:rPr>
            <w:rStyle w:val="Hyperlink"/>
            <w:rFonts w:ascii="Arial" w:hAnsi="Arial" w:cs="Arial"/>
            <w:i w:val="0"/>
            <w:noProof/>
          </w:rPr>
          <w:t>Prepracovanejší a spravodlivejší vnútorný trh s posilnenou priemyselnou základňou</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_Toc486858010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7</w:t>
        </w:r>
        <w:r>
          <w:rPr>
            <w:rFonts w:ascii="Arial" w:hAnsi="Arial" w:cs="Arial"/>
            <w:i w:val="0"/>
            <w:noProof/>
            <w:webHidden/>
          </w:rPr>
          <w:fldChar w:fldCharType="end"/>
        </w:r>
      </w:hyperlink>
    </w:p>
    <w:p>
      <w:pPr>
        <w:pStyle w:val="TOC2"/>
        <w:tabs>
          <w:tab w:val="left" w:pos="720"/>
          <w:tab w:val="right" w:leader="dot" w:pos="8873"/>
        </w:tabs>
        <w:rPr>
          <w:rFonts w:ascii="Arial" w:eastAsiaTheme="minorEastAsia" w:hAnsi="Arial" w:cs="Arial"/>
          <w:i w:val="0"/>
          <w:iCs w:val="0"/>
          <w:noProof/>
          <w:sz w:val="22"/>
          <w:szCs w:val="22"/>
          <w:lang w:eastAsia="en-GB" w:bidi="ar-SA"/>
        </w:rPr>
      </w:pPr>
      <w:hyperlink w:anchor="_Toc486858011" w:history="1">
        <w:r>
          <w:rPr>
            <w:rStyle w:val="Hyperlink"/>
            <w:rFonts w:ascii="Arial" w:hAnsi="Arial" w:cs="Arial"/>
            <w:i w:val="0"/>
            <w:noProof/>
          </w:rPr>
          <w:t>5.</w:t>
        </w:r>
        <w:r>
          <w:rPr>
            <w:rFonts w:ascii="Arial" w:eastAsiaTheme="minorEastAsia" w:hAnsi="Arial" w:cs="Arial"/>
            <w:i w:val="0"/>
            <w:iCs w:val="0"/>
            <w:noProof/>
            <w:sz w:val="22"/>
            <w:szCs w:val="22"/>
            <w:lang w:eastAsia="en-GB" w:bidi="ar-SA"/>
          </w:rPr>
          <w:tab/>
        </w:r>
        <w:r>
          <w:rPr>
            <w:rStyle w:val="Hyperlink"/>
            <w:rFonts w:ascii="Arial" w:hAnsi="Arial" w:cs="Arial"/>
            <w:i w:val="0"/>
            <w:noProof/>
          </w:rPr>
          <w:t>Prepracovanejšia a spravodlivejšia hospodárska a menová únia</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_Toc486858011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11</w:t>
        </w:r>
        <w:r>
          <w:rPr>
            <w:rFonts w:ascii="Arial" w:hAnsi="Arial" w:cs="Arial"/>
            <w:i w:val="0"/>
            <w:noProof/>
            <w:webHidden/>
          </w:rPr>
          <w:fldChar w:fldCharType="end"/>
        </w:r>
      </w:hyperlink>
    </w:p>
    <w:p>
      <w:pPr>
        <w:pStyle w:val="TOC2"/>
        <w:tabs>
          <w:tab w:val="left" w:pos="720"/>
          <w:tab w:val="right" w:leader="dot" w:pos="8873"/>
        </w:tabs>
        <w:rPr>
          <w:rFonts w:ascii="Arial" w:eastAsiaTheme="minorEastAsia" w:hAnsi="Arial" w:cs="Arial"/>
          <w:i w:val="0"/>
          <w:iCs w:val="0"/>
          <w:noProof/>
          <w:sz w:val="22"/>
          <w:szCs w:val="22"/>
          <w:lang w:eastAsia="en-GB" w:bidi="ar-SA"/>
        </w:rPr>
      </w:pPr>
      <w:hyperlink w:anchor="_Toc486858012" w:history="1">
        <w:r>
          <w:rPr>
            <w:rStyle w:val="Hyperlink"/>
            <w:rFonts w:ascii="Arial" w:hAnsi="Arial" w:cs="Arial"/>
            <w:i w:val="0"/>
            <w:noProof/>
          </w:rPr>
          <w:t>6.</w:t>
        </w:r>
        <w:r>
          <w:rPr>
            <w:rFonts w:ascii="Arial" w:eastAsiaTheme="minorEastAsia" w:hAnsi="Arial" w:cs="Arial"/>
            <w:i w:val="0"/>
            <w:iCs w:val="0"/>
            <w:noProof/>
            <w:sz w:val="22"/>
            <w:szCs w:val="22"/>
            <w:lang w:eastAsia="en-GB" w:bidi="ar-SA"/>
          </w:rPr>
          <w:tab/>
        </w:r>
        <w:r>
          <w:rPr>
            <w:rStyle w:val="Hyperlink"/>
            <w:rFonts w:ascii="Arial" w:hAnsi="Arial" w:cs="Arial"/>
            <w:i w:val="0"/>
            <w:noProof/>
          </w:rPr>
          <w:t>Priestor spravodlivosti a základných práv založený na vzájomnej dôvere</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_Toc486858012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11</w:t>
        </w:r>
        <w:r>
          <w:rPr>
            <w:rFonts w:ascii="Arial" w:hAnsi="Arial" w:cs="Arial"/>
            <w:i w:val="0"/>
            <w:noProof/>
            <w:webHidden/>
          </w:rPr>
          <w:fldChar w:fldCharType="end"/>
        </w:r>
      </w:hyperlink>
    </w:p>
    <w:p>
      <w:pPr>
        <w:pStyle w:val="TOC2"/>
        <w:tabs>
          <w:tab w:val="left" w:pos="720"/>
          <w:tab w:val="right" w:leader="dot" w:pos="8873"/>
        </w:tabs>
        <w:rPr>
          <w:rFonts w:ascii="Arial" w:eastAsiaTheme="minorEastAsia" w:hAnsi="Arial" w:cs="Arial"/>
          <w:i w:val="0"/>
          <w:iCs w:val="0"/>
          <w:noProof/>
          <w:sz w:val="22"/>
          <w:szCs w:val="22"/>
          <w:lang w:eastAsia="en-GB" w:bidi="ar-SA"/>
        </w:rPr>
      </w:pPr>
      <w:hyperlink w:anchor="_Toc486858013" w:history="1">
        <w:r>
          <w:rPr>
            <w:rStyle w:val="Hyperlink"/>
            <w:rFonts w:ascii="Arial" w:hAnsi="Arial" w:cs="Arial"/>
            <w:i w:val="0"/>
            <w:noProof/>
          </w:rPr>
          <w:t>7.</w:t>
        </w:r>
        <w:r>
          <w:rPr>
            <w:rFonts w:ascii="Arial" w:eastAsiaTheme="minorEastAsia" w:hAnsi="Arial" w:cs="Arial"/>
            <w:i w:val="0"/>
            <w:iCs w:val="0"/>
            <w:noProof/>
            <w:sz w:val="22"/>
            <w:szCs w:val="22"/>
            <w:lang w:eastAsia="en-GB" w:bidi="ar-SA"/>
          </w:rPr>
          <w:tab/>
        </w:r>
        <w:r>
          <w:rPr>
            <w:rStyle w:val="Hyperlink"/>
            <w:rFonts w:ascii="Arial" w:hAnsi="Arial" w:cs="Arial"/>
            <w:i w:val="0"/>
            <w:noProof/>
          </w:rPr>
          <w:t>Smerom k novej politike v oblasti migrácie</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_Toc486858013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13</w:t>
        </w:r>
        <w:r>
          <w:rPr>
            <w:rFonts w:ascii="Arial" w:hAnsi="Arial" w:cs="Arial"/>
            <w:i w:val="0"/>
            <w:noProof/>
            <w:webHidden/>
          </w:rPr>
          <w:fldChar w:fldCharType="end"/>
        </w:r>
      </w:hyperlink>
    </w:p>
    <w:p>
      <w:pPr>
        <w:pStyle w:val="TOC2"/>
        <w:tabs>
          <w:tab w:val="left" w:pos="720"/>
          <w:tab w:val="right" w:leader="dot" w:pos="8873"/>
        </w:tabs>
        <w:rPr>
          <w:rFonts w:ascii="Arial" w:eastAsiaTheme="minorEastAsia" w:hAnsi="Arial" w:cs="Arial"/>
          <w:i w:val="0"/>
          <w:iCs w:val="0"/>
          <w:noProof/>
          <w:sz w:val="22"/>
          <w:szCs w:val="22"/>
          <w:lang w:eastAsia="en-GB" w:bidi="ar-SA"/>
        </w:rPr>
      </w:pPr>
      <w:hyperlink w:anchor="_Toc486858014" w:history="1">
        <w:r>
          <w:rPr>
            <w:rStyle w:val="Hyperlink"/>
            <w:rFonts w:ascii="Arial" w:hAnsi="Arial" w:cs="Arial"/>
            <w:i w:val="0"/>
            <w:noProof/>
          </w:rPr>
          <w:t>8.</w:t>
        </w:r>
        <w:r>
          <w:rPr>
            <w:rFonts w:ascii="Arial" w:eastAsiaTheme="minorEastAsia" w:hAnsi="Arial" w:cs="Arial"/>
            <w:i w:val="0"/>
            <w:iCs w:val="0"/>
            <w:noProof/>
            <w:sz w:val="22"/>
            <w:szCs w:val="22"/>
            <w:lang w:eastAsia="en-GB" w:bidi="ar-SA"/>
          </w:rPr>
          <w:tab/>
        </w:r>
        <w:r>
          <w:rPr>
            <w:rStyle w:val="Hyperlink"/>
            <w:rFonts w:ascii="Arial" w:hAnsi="Arial" w:cs="Arial"/>
            <w:i w:val="0"/>
            <w:noProof/>
          </w:rPr>
          <w:t>Spolupráca s členskými štátmi s cieľom zabezpečiť riadne vykonávanie práva Únie</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_Toc486858014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14</w:t>
        </w:r>
        <w:r>
          <w:rPr>
            <w:rFonts w:ascii="Arial" w:hAnsi="Arial" w:cs="Arial"/>
            <w:i w:val="0"/>
            <w:noProof/>
            <w:webHidden/>
          </w:rPr>
          <w:fldChar w:fldCharType="end"/>
        </w:r>
      </w:hyperlink>
    </w:p>
    <w:p>
      <w:pPr>
        <w:pStyle w:val="TOC2"/>
        <w:tabs>
          <w:tab w:val="left" w:pos="960"/>
          <w:tab w:val="right" w:leader="dot" w:pos="8873"/>
        </w:tabs>
        <w:rPr>
          <w:rFonts w:ascii="Arial" w:eastAsiaTheme="minorEastAsia" w:hAnsi="Arial" w:cs="Arial"/>
          <w:i w:val="0"/>
          <w:iCs w:val="0"/>
          <w:noProof/>
          <w:sz w:val="22"/>
          <w:szCs w:val="22"/>
          <w:lang w:eastAsia="en-GB" w:bidi="ar-SA"/>
        </w:rPr>
      </w:pPr>
      <w:hyperlink w:anchor="_Toc486858015" w:history="1">
        <w:r>
          <w:rPr>
            <w:rStyle w:val="Hyperlink"/>
            <w:rFonts w:ascii="Arial" w:eastAsia="MS Gothic" w:hAnsi="Arial" w:cs="Arial"/>
            <w:i w:val="0"/>
            <w:noProof/>
          </w:rPr>
          <w:t>8.1.</w:t>
        </w:r>
        <w:r>
          <w:rPr>
            <w:rFonts w:ascii="Arial" w:eastAsiaTheme="minorEastAsia" w:hAnsi="Arial" w:cs="Arial"/>
            <w:i w:val="0"/>
            <w:iCs w:val="0"/>
            <w:noProof/>
            <w:sz w:val="22"/>
            <w:szCs w:val="22"/>
            <w:lang w:eastAsia="en-GB" w:bidi="ar-SA"/>
          </w:rPr>
          <w:tab/>
        </w:r>
        <w:r>
          <w:rPr>
            <w:rStyle w:val="Hyperlink"/>
            <w:rFonts w:ascii="Arial" w:hAnsi="Arial" w:cs="Arial"/>
            <w:i w:val="0"/>
            <w:noProof/>
          </w:rPr>
          <w:t>Plány vykonávania: súčasný stav</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_Toc486858015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14</w:t>
        </w:r>
        <w:r>
          <w:rPr>
            <w:rFonts w:ascii="Arial" w:hAnsi="Arial" w:cs="Arial"/>
            <w:i w:val="0"/>
            <w:noProof/>
            <w:webHidden/>
          </w:rPr>
          <w:fldChar w:fldCharType="end"/>
        </w:r>
      </w:hyperlink>
    </w:p>
    <w:p>
      <w:pPr>
        <w:pStyle w:val="TOC2"/>
        <w:tabs>
          <w:tab w:val="left" w:pos="960"/>
          <w:tab w:val="right" w:leader="dot" w:pos="8873"/>
        </w:tabs>
        <w:rPr>
          <w:rFonts w:ascii="Arial" w:eastAsiaTheme="minorEastAsia" w:hAnsi="Arial" w:cs="Arial"/>
          <w:i w:val="0"/>
          <w:iCs w:val="0"/>
          <w:noProof/>
          <w:sz w:val="22"/>
          <w:szCs w:val="22"/>
          <w:lang w:eastAsia="en-GB" w:bidi="ar-SA"/>
        </w:rPr>
      </w:pPr>
      <w:hyperlink w:anchor="_Toc486858016" w:history="1">
        <w:r>
          <w:rPr>
            <w:rStyle w:val="Hyperlink"/>
            <w:rFonts w:ascii="Arial" w:eastAsia="MS Gothic" w:hAnsi="Arial" w:cs="Arial"/>
            <w:i w:val="0"/>
            <w:noProof/>
          </w:rPr>
          <w:t>8.2.</w:t>
        </w:r>
        <w:r>
          <w:rPr>
            <w:rFonts w:ascii="Arial" w:eastAsiaTheme="minorEastAsia" w:hAnsi="Arial" w:cs="Arial"/>
            <w:i w:val="0"/>
            <w:iCs w:val="0"/>
            <w:noProof/>
            <w:sz w:val="22"/>
            <w:szCs w:val="22"/>
            <w:lang w:eastAsia="en-GB" w:bidi="ar-SA"/>
          </w:rPr>
          <w:tab/>
        </w:r>
        <w:r>
          <w:rPr>
            <w:rStyle w:val="Hyperlink"/>
            <w:rFonts w:ascii="Arial" w:hAnsi="Arial" w:cs="Arial"/>
            <w:i w:val="0"/>
            <w:noProof/>
          </w:rPr>
          <w:t>Vysvetľujúce dokumenty: súčasný stav</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_Toc486858016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14</w:t>
        </w:r>
        <w:r>
          <w:rPr>
            <w:rFonts w:ascii="Arial" w:hAnsi="Arial" w:cs="Arial"/>
            <w:i w:val="0"/>
            <w:noProof/>
            <w:webHidden/>
          </w:rPr>
          <w:fldChar w:fldCharType="end"/>
        </w:r>
      </w:hyperlink>
    </w:p>
    <w:p>
      <w:pPr>
        <w:pStyle w:val="TOC2"/>
        <w:tabs>
          <w:tab w:val="left" w:pos="720"/>
          <w:tab w:val="right" w:leader="dot" w:pos="8873"/>
        </w:tabs>
        <w:rPr>
          <w:rFonts w:ascii="Arial" w:eastAsiaTheme="minorEastAsia" w:hAnsi="Arial" w:cs="Arial"/>
          <w:i w:val="0"/>
          <w:iCs w:val="0"/>
          <w:noProof/>
          <w:sz w:val="22"/>
          <w:szCs w:val="22"/>
          <w:lang w:eastAsia="en-GB" w:bidi="ar-SA"/>
        </w:rPr>
      </w:pPr>
      <w:hyperlink w:anchor="_Toc486858017" w:history="1">
        <w:r>
          <w:rPr>
            <w:rStyle w:val="Hyperlink"/>
            <w:rFonts w:ascii="Arial" w:hAnsi="Arial" w:cs="Arial"/>
            <w:i w:val="0"/>
            <w:noProof/>
          </w:rPr>
          <w:t>III.</w:t>
        </w:r>
        <w:r>
          <w:rPr>
            <w:rFonts w:ascii="Arial" w:eastAsiaTheme="minorEastAsia" w:hAnsi="Arial" w:cs="Arial"/>
            <w:i w:val="0"/>
            <w:iCs w:val="0"/>
            <w:noProof/>
            <w:sz w:val="22"/>
            <w:szCs w:val="22"/>
            <w:lang w:eastAsia="en-GB" w:bidi="ar-SA"/>
          </w:rPr>
          <w:tab/>
        </w:r>
        <w:r>
          <w:rPr>
            <w:rStyle w:val="Hyperlink"/>
            <w:rFonts w:ascii="Arial" w:hAnsi="Arial" w:cs="Arial"/>
            <w:i w:val="0"/>
            <w:noProof/>
          </w:rPr>
          <w:t>Postupy v prípade nesplnenia povinnosti</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_Toc486858017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17</w:t>
        </w:r>
        <w:r>
          <w:rPr>
            <w:rFonts w:ascii="Arial" w:hAnsi="Arial" w:cs="Arial"/>
            <w:i w:val="0"/>
            <w:noProof/>
            <w:webHidden/>
          </w:rPr>
          <w:fldChar w:fldCharType="end"/>
        </w:r>
      </w:hyperlink>
    </w:p>
    <w:p>
      <w:pPr>
        <w:pStyle w:val="TOC2"/>
        <w:tabs>
          <w:tab w:val="left" w:pos="720"/>
          <w:tab w:val="right" w:leader="dot" w:pos="8873"/>
        </w:tabs>
        <w:rPr>
          <w:rFonts w:ascii="Arial" w:eastAsiaTheme="minorEastAsia" w:hAnsi="Arial" w:cs="Arial"/>
          <w:i w:val="0"/>
          <w:iCs w:val="0"/>
          <w:noProof/>
          <w:sz w:val="22"/>
          <w:szCs w:val="22"/>
          <w:lang w:eastAsia="en-GB" w:bidi="ar-SA"/>
        </w:rPr>
      </w:pPr>
      <w:hyperlink w:anchor="_Toc486858018" w:history="1">
        <w:r>
          <w:rPr>
            <w:rStyle w:val="Hyperlink"/>
            <w:rFonts w:ascii="Arial" w:hAnsi="Arial" w:cs="Arial"/>
            <w:i w:val="0"/>
            <w:noProof/>
          </w:rPr>
          <w:t>IV.</w:t>
        </w:r>
        <w:r>
          <w:rPr>
            <w:rFonts w:ascii="Arial" w:eastAsiaTheme="minorEastAsia" w:hAnsi="Arial" w:cs="Arial"/>
            <w:i w:val="0"/>
            <w:iCs w:val="0"/>
            <w:noProof/>
            <w:sz w:val="22"/>
            <w:szCs w:val="22"/>
            <w:lang w:eastAsia="en-GB" w:bidi="ar-SA"/>
          </w:rPr>
          <w:tab/>
        </w:r>
        <w:r>
          <w:rPr>
            <w:rStyle w:val="Hyperlink"/>
            <w:rFonts w:ascii="Arial" w:hAnsi="Arial" w:cs="Arial"/>
            <w:i w:val="0"/>
            <w:noProof/>
          </w:rPr>
          <w:t>Pred začatím postupu v prípade nesplnenia povinnosti</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_Toc486858018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18</w:t>
        </w:r>
        <w:r>
          <w:rPr>
            <w:rFonts w:ascii="Arial" w:hAnsi="Arial" w:cs="Arial"/>
            <w:i w:val="0"/>
            <w:noProof/>
            <w:webHidden/>
          </w:rPr>
          <w:fldChar w:fldCharType="end"/>
        </w:r>
      </w:hyperlink>
    </w:p>
    <w:p>
      <w:pPr>
        <w:pStyle w:val="TOC2"/>
        <w:tabs>
          <w:tab w:val="left" w:pos="720"/>
          <w:tab w:val="right" w:leader="dot" w:pos="8873"/>
        </w:tabs>
        <w:rPr>
          <w:rFonts w:ascii="Arial" w:eastAsiaTheme="minorEastAsia" w:hAnsi="Arial" w:cs="Arial"/>
          <w:i w:val="0"/>
          <w:iCs w:val="0"/>
          <w:noProof/>
          <w:sz w:val="22"/>
          <w:szCs w:val="22"/>
          <w:lang w:eastAsia="en-GB" w:bidi="ar-SA"/>
        </w:rPr>
      </w:pPr>
      <w:hyperlink w:anchor="_Toc486858019" w:history="1">
        <w:r>
          <w:rPr>
            <w:rStyle w:val="Hyperlink"/>
            <w:rFonts w:ascii="Arial" w:hAnsi="Arial" w:cs="Arial"/>
            <w:i w:val="0"/>
            <w:noProof/>
          </w:rPr>
          <w:t>1.</w:t>
        </w:r>
        <w:r>
          <w:rPr>
            <w:rFonts w:ascii="Arial" w:eastAsiaTheme="minorEastAsia" w:hAnsi="Arial" w:cs="Arial"/>
            <w:i w:val="0"/>
            <w:iCs w:val="0"/>
            <w:noProof/>
            <w:sz w:val="22"/>
            <w:szCs w:val="22"/>
            <w:lang w:eastAsia="en-GB" w:bidi="ar-SA"/>
          </w:rPr>
          <w:tab/>
        </w:r>
        <w:r>
          <w:rPr>
            <w:rStyle w:val="Hyperlink"/>
            <w:rFonts w:ascii="Arial" w:hAnsi="Arial" w:cs="Arial"/>
            <w:i w:val="0"/>
            <w:noProof/>
          </w:rPr>
          <w:t>Odhaľovanie problémov</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_Toc486858019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18</w:t>
        </w:r>
        <w:r>
          <w:rPr>
            <w:rFonts w:ascii="Arial" w:hAnsi="Arial" w:cs="Arial"/>
            <w:i w:val="0"/>
            <w:noProof/>
            <w:webHidden/>
          </w:rPr>
          <w:fldChar w:fldCharType="end"/>
        </w:r>
      </w:hyperlink>
    </w:p>
    <w:p>
      <w:pPr>
        <w:pStyle w:val="TOC2"/>
        <w:tabs>
          <w:tab w:val="left" w:pos="960"/>
          <w:tab w:val="right" w:leader="dot" w:pos="8873"/>
        </w:tabs>
        <w:rPr>
          <w:rFonts w:ascii="Arial" w:eastAsiaTheme="minorEastAsia" w:hAnsi="Arial" w:cs="Arial"/>
          <w:i w:val="0"/>
          <w:iCs w:val="0"/>
          <w:noProof/>
          <w:sz w:val="22"/>
          <w:szCs w:val="22"/>
          <w:lang w:eastAsia="en-GB" w:bidi="ar-SA"/>
        </w:rPr>
      </w:pPr>
      <w:hyperlink w:anchor="_Toc486858020" w:history="1">
        <w:r>
          <w:rPr>
            <w:rStyle w:val="Hyperlink"/>
            <w:rFonts w:ascii="Arial" w:hAnsi="Arial" w:cs="Arial"/>
            <w:i w:val="0"/>
            <w:noProof/>
          </w:rPr>
          <w:t>1.1.</w:t>
        </w:r>
        <w:r>
          <w:rPr>
            <w:rFonts w:ascii="Arial" w:eastAsiaTheme="minorEastAsia" w:hAnsi="Arial" w:cs="Arial"/>
            <w:i w:val="0"/>
            <w:iCs w:val="0"/>
            <w:noProof/>
            <w:sz w:val="22"/>
            <w:szCs w:val="22"/>
            <w:lang w:eastAsia="en-GB" w:bidi="ar-SA"/>
          </w:rPr>
          <w:tab/>
        </w:r>
        <w:r>
          <w:rPr>
            <w:rStyle w:val="Hyperlink"/>
            <w:rFonts w:ascii="Arial" w:hAnsi="Arial" w:cs="Arial"/>
            <w:i w:val="0"/>
            <w:noProof/>
          </w:rPr>
          <w:t>Veci začaté z vlastnej iniciatívy</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_Toc486858020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18</w:t>
        </w:r>
        <w:r>
          <w:rPr>
            <w:rFonts w:ascii="Arial" w:hAnsi="Arial" w:cs="Arial"/>
            <w:i w:val="0"/>
            <w:noProof/>
            <w:webHidden/>
          </w:rPr>
          <w:fldChar w:fldCharType="end"/>
        </w:r>
      </w:hyperlink>
    </w:p>
    <w:p>
      <w:pPr>
        <w:pStyle w:val="TOC2"/>
        <w:tabs>
          <w:tab w:val="left" w:pos="960"/>
          <w:tab w:val="right" w:leader="dot" w:pos="8873"/>
        </w:tabs>
        <w:rPr>
          <w:rFonts w:ascii="Arial" w:eastAsiaTheme="minorEastAsia" w:hAnsi="Arial" w:cs="Arial"/>
          <w:i w:val="0"/>
          <w:iCs w:val="0"/>
          <w:noProof/>
          <w:sz w:val="22"/>
          <w:szCs w:val="22"/>
          <w:lang w:eastAsia="en-GB" w:bidi="ar-SA"/>
        </w:rPr>
      </w:pPr>
      <w:hyperlink w:anchor="_Toc486858021" w:history="1">
        <w:r>
          <w:rPr>
            <w:rStyle w:val="Hyperlink"/>
            <w:rFonts w:ascii="Arial" w:hAnsi="Arial" w:cs="Arial"/>
            <w:i w:val="0"/>
            <w:noProof/>
          </w:rPr>
          <w:t>1.2.</w:t>
        </w:r>
        <w:r>
          <w:rPr>
            <w:rFonts w:ascii="Arial" w:eastAsiaTheme="minorEastAsia" w:hAnsi="Arial" w:cs="Arial"/>
            <w:i w:val="0"/>
            <w:iCs w:val="0"/>
            <w:noProof/>
            <w:sz w:val="22"/>
            <w:szCs w:val="22"/>
            <w:lang w:eastAsia="en-GB" w:bidi="ar-SA"/>
          </w:rPr>
          <w:tab/>
        </w:r>
        <w:r>
          <w:rPr>
            <w:rStyle w:val="Hyperlink"/>
            <w:rFonts w:ascii="Arial" w:hAnsi="Arial" w:cs="Arial"/>
            <w:i w:val="0"/>
            <w:noProof/>
          </w:rPr>
          <w:t>Sťažnosti a petície</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_Toc486858021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18</w:t>
        </w:r>
        <w:r>
          <w:rPr>
            <w:rFonts w:ascii="Arial" w:hAnsi="Arial" w:cs="Arial"/>
            <w:i w:val="0"/>
            <w:noProof/>
            <w:webHidden/>
          </w:rPr>
          <w:fldChar w:fldCharType="end"/>
        </w:r>
      </w:hyperlink>
    </w:p>
    <w:p>
      <w:pPr>
        <w:pStyle w:val="TOC2"/>
        <w:tabs>
          <w:tab w:val="left" w:pos="720"/>
          <w:tab w:val="right" w:leader="dot" w:pos="8873"/>
        </w:tabs>
        <w:rPr>
          <w:rFonts w:ascii="Arial" w:eastAsiaTheme="minorEastAsia" w:hAnsi="Arial" w:cs="Arial"/>
          <w:i w:val="0"/>
          <w:iCs w:val="0"/>
          <w:noProof/>
          <w:sz w:val="22"/>
          <w:szCs w:val="22"/>
          <w:lang w:eastAsia="en-GB" w:bidi="ar-SA"/>
        </w:rPr>
      </w:pPr>
      <w:hyperlink w:anchor="_Toc486858022" w:history="1">
        <w:r>
          <w:rPr>
            <w:rStyle w:val="Hyperlink"/>
            <w:rFonts w:ascii="Arial" w:hAnsi="Arial" w:cs="Arial"/>
            <w:i w:val="0"/>
            <w:noProof/>
          </w:rPr>
          <w:t>2.</w:t>
        </w:r>
        <w:r>
          <w:rPr>
            <w:rFonts w:ascii="Arial" w:eastAsiaTheme="minorEastAsia" w:hAnsi="Arial" w:cs="Arial"/>
            <w:i w:val="0"/>
            <w:iCs w:val="0"/>
            <w:noProof/>
            <w:sz w:val="22"/>
            <w:szCs w:val="22"/>
            <w:lang w:eastAsia="en-GB" w:bidi="ar-SA"/>
          </w:rPr>
          <w:tab/>
        </w:r>
        <w:r>
          <w:rPr>
            <w:rStyle w:val="Hyperlink"/>
            <w:rFonts w:ascii="Arial" w:hAnsi="Arial" w:cs="Arial"/>
            <w:i w:val="0"/>
            <w:noProof/>
          </w:rPr>
          <w:t>Projekt EU Pilot</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_Toc486858022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20</w:t>
        </w:r>
        <w:r>
          <w:rPr>
            <w:rFonts w:ascii="Arial" w:hAnsi="Arial" w:cs="Arial"/>
            <w:i w:val="0"/>
            <w:noProof/>
            <w:webHidden/>
          </w:rPr>
          <w:fldChar w:fldCharType="end"/>
        </w:r>
      </w:hyperlink>
    </w:p>
    <w:p>
      <w:pPr>
        <w:pStyle w:val="TOC2"/>
        <w:tabs>
          <w:tab w:val="left" w:pos="720"/>
          <w:tab w:val="right" w:leader="dot" w:pos="8873"/>
        </w:tabs>
        <w:rPr>
          <w:rFonts w:ascii="Arial" w:eastAsiaTheme="minorEastAsia" w:hAnsi="Arial" w:cs="Arial"/>
          <w:i w:val="0"/>
          <w:iCs w:val="0"/>
          <w:noProof/>
          <w:sz w:val="22"/>
          <w:szCs w:val="22"/>
          <w:lang w:eastAsia="en-GB" w:bidi="ar-SA"/>
        </w:rPr>
      </w:pPr>
      <w:hyperlink w:anchor="_Toc486858023" w:history="1">
        <w:r>
          <w:rPr>
            <w:rStyle w:val="Hyperlink"/>
            <w:rFonts w:ascii="Arial" w:hAnsi="Arial" w:cs="Arial"/>
            <w:i w:val="0"/>
            <w:noProof/>
          </w:rPr>
          <w:t>V.</w:t>
        </w:r>
        <w:r>
          <w:rPr>
            <w:rFonts w:ascii="Arial" w:eastAsiaTheme="minorEastAsia" w:hAnsi="Arial" w:cs="Arial"/>
            <w:i w:val="0"/>
            <w:iCs w:val="0"/>
            <w:noProof/>
            <w:sz w:val="22"/>
            <w:szCs w:val="22"/>
            <w:lang w:eastAsia="en-GB" w:bidi="ar-SA"/>
          </w:rPr>
          <w:tab/>
        </w:r>
        <w:r>
          <w:rPr>
            <w:rStyle w:val="Hyperlink"/>
            <w:rFonts w:ascii="Arial" w:hAnsi="Arial" w:cs="Arial"/>
            <w:i w:val="0"/>
            <w:noProof/>
          </w:rPr>
          <w:t>Fázy postupov v prípade nesplnenia povinnosti</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_Toc486858023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23</w:t>
        </w:r>
        <w:r>
          <w:rPr>
            <w:rFonts w:ascii="Arial" w:hAnsi="Arial" w:cs="Arial"/>
            <w:i w:val="0"/>
            <w:noProof/>
            <w:webHidden/>
          </w:rPr>
          <w:fldChar w:fldCharType="end"/>
        </w:r>
      </w:hyperlink>
    </w:p>
    <w:p>
      <w:pPr>
        <w:pStyle w:val="TOC2"/>
        <w:tabs>
          <w:tab w:val="left" w:pos="720"/>
          <w:tab w:val="right" w:leader="dot" w:pos="8873"/>
        </w:tabs>
        <w:rPr>
          <w:rFonts w:ascii="Arial" w:eastAsiaTheme="minorEastAsia" w:hAnsi="Arial" w:cs="Arial"/>
          <w:i w:val="0"/>
          <w:iCs w:val="0"/>
          <w:noProof/>
          <w:sz w:val="22"/>
          <w:szCs w:val="22"/>
          <w:lang w:eastAsia="en-GB" w:bidi="ar-SA"/>
        </w:rPr>
      </w:pPr>
      <w:hyperlink w:anchor="_Toc486858024" w:history="1">
        <w:r>
          <w:rPr>
            <w:rStyle w:val="Hyperlink"/>
            <w:rFonts w:ascii="Arial" w:hAnsi="Arial" w:cs="Arial"/>
            <w:i w:val="0"/>
            <w:noProof/>
          </w:rPr>
          <w:t>1.</w:t>
        </w:r>
        <w:r>
          <w:rPr>
            <w:rFonts w:ascii="Arial" w:eastAsiaTheme="minorEastAsia" w:hAnsi="Arial" w:cs="Arial"/>
            <w:i w:val="0"/>
            <w:iCs w:val="0"/>
            <w:noProof/>
            <w:sz w:val="22"/>
            <w:szCs w:val="22"/>
            <w:lang w:eastAsia="en-GB" w:bidi="ar-SA"/>
          </w:rPr>
          <w:tab/>
        </w:r>
        <w:r>
          <w:rPr>
            <w:rStyle w:val="Hyperlink"/>
            <w:rFonts w:ascii="Arial" w:hAnsi="Arial" w:cs="Arial"/>
            <w:i w:val="0"/>
            <w:noProof/>
          </w:rPr>
          <w:t>Fáza pred začatím súdneho konania</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_Toc486858024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23</w:t>
        </w:r>
        <w:r>
          <w:rPr>
            <w:rFonts w:ascii="Arial" w:hAnsi="Arial" w:cs="Arial"/>
            <w:i w:val="0"/>
            <w:noProof/>
            <w:webHidden/>
          </w:rPr>
          <w:fldChar w:fldCharType="end"/>
        </w:r>
      </w:hyperlink>
    </w:p>
    <w:p>
      <w:pPr>
        <w:pStyle w:val="TOC2"/>
        <w:tabs>
          <w:tab w:val="left" w:pos="720"/>
          <w:tab w:val="right" w:leader="dot" w:pos="8873"/>
        </w:tabs>
        <w:rPr>
          <w:rFonts w:ascii="Arial" w:eastAsiaTheme="minorEastAsia" w:hAnsi="Arial" w:cs="Arial"/>
          <w:i w:val="0"/>
          <w:iCs w:val="0"/>
          <w:noProof/>
          <w:sz w:val="22"/>
          <w:szCs w:val="22"/>
          <w:lang w:eastAsia="en-GB" w:bidi="ar-SA"/>
        </w:rPr>
      </w:pPr>
      <w:hyperlink w:anchor="_Toc486858025" w:history="1">
        <w:r>
          <w:rPr>
            <w:rStyle w:val="Hyperlink"/>
            <w:rFonts w:ascii="Arial" w:hAnsi="Arial" w:cs="Arial"/>
            <w:i w:val="0"/>
            <w:noProof/>
          </w:rPr>
          <w:t>2.</w:t>
        </w:r>
        <w:r>
          <w:rPr>
            <w:rFonts w:ascii="Arial" w:eastAsiaTheme="minorEastAsia" w:hAnsi="Arial" w:cs="Arial"/>
            <w:i w:val="0"/>
            <w:iCs w:val="0"/>
            <w:noProof/>
            <w:sz w:val="22"/>
            <w:szCs w:val="22"/>
            <w:lang w:eastAsia="en-GB" w:bidi="ar-SA"/>
          </w:rPr>
          <w:tab/>
        </w:r>
        <w:r>
          <w:rPr>
            <w:rStyle w:val="Hyperlink"/>
            <w:rFonts w:ascii="Arial" w:hAnsi="Arial" w:cs="Arial"/>
            <w:i w:val="0"/>
            <w:noProof/>
          </w:rPr>
          <w:t>Rozhodnutia Súdneho dvora podľa článku 258 a článku 260 ods. 2 ZFEÚ</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_Toc486858025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26</w:t>
        </w:r>
        <w:r>
          <w:rPr>
            <w:rFonts w:ascii="Arial" w:hAnsi="Arial" w:cs="Arial"/>
            <w:i w:val="0"/>
            <w:noProof/>
            <w:webHidden/>
          </w:rPr>
          <w:fldChar w:fldCharType="end"/>
        </w:r>
      </w:hyperlink>
    </w:p>
    <w:p>
      <w:pPr>
        <w:pStyle w:val="TOC2"/>
        <w:tabs>
          <w:tab w:val="left" w:pos="720"/>
          <w:tab w:val="right" w:leader="dot" w:pos="8873"/>
        </w:tabs>
        <w:rPr>
          <w:rFonts w:ascii="Arial" w:eastAsiaTheme="minorEastAsia" w:hAnsi="Arial" w:cs="Arial"/>
          <w:i w:val="0"/>
          <w:iCs w:val="0"/>
          <w:noProof/>
          <w:sz w:val="22"/>
          <w:szCs w:val="22"/>
          <w:lang w:eastAsia="en-GB" w:bidi="ar-SA"/>
        </w:rPr>
      </w:pPr>
      <w:hyperlink w:anchor="_Toc486858026" w:history="1">
        <w:r>
          <w:rPr>
            <w:rStyle w:val="Hyperlink"/>
            <w:rFonts w:ascii="Arial" w:hAnsi="Arial" w:cs="Arial"/>
            <w:i w:val="0"/>
            <w:noProof/>
          </w:rPr>
          <w:t>VI.</w:t>
        </w:r>
        <w:r>
          <w:rPr>
            <w:rFonts w:ascii="Arial" w:eastAsiaTheme="minorEastAsia" w:hAnsi="Arial" w:cs="Arial"/>
            <w:i w:val="0"/>
            <w:iCs w:val="0"/>
            <w:noProof/>
            <w:sz w:val="22"/>
            <w:szCs w:val="22"/>
            <w:lang w:eastAsia="en-GB" w:bidi="ar-SA"/>
          </w:rPr>
          <w:tab/>
        </w:r>
        <w:r>
          <w:rPr>
            <w:rStyle w:val="Hyperlink"/>
            <w:rFonts w:ascii="Arial" w:hAnsi="Arial" w:cs="Arial"/>
            <w:i w:val="0"/>
            <w:noProof/>
          </w:rPr>
          <w:t>Transpozícia smerníc</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_Toc486858026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28</w:t>
        </w:r>
        <w:r>
          <w:rPr>
            <w:rFonts w:ascii="Arial" w:hAnsi="Arial" w:cs="Arial"/>
            <w:i w:val="0"/>
            <w:noProof/>
            <w:webHidden/>
          </w:rPr>
          <w:fldChar w:fldCharType="end"/>
        </w:r>
      </w:hyperlink>
    </w:p>
    <w:p>
      <w:pPr>
        <w:pStyle w:val="TOC2"/>
        <w:tabs>
          <w:tab w:val="left" w:pos="720"/>
          <w:tab w:val="right" w:leader="dot" w:pos="8873"/>
        </w:tabs>
        <w:rPr>
          <w:rFonts w:ascii="Arial" w:eastAsiaTheme="minorEastAsia" w:hAnsi="Arial" w:cs="Arial"/>
          <w:i w:val="0"/>
          <w:iCs w:val="0"/>
          <w:noProof/>
          <w:sz w:val="22"/>
          <w:szCs w:val="22"/>
          <w:lang w:eastAsia="en-GB" w:bidi="ar-SA"/>
        </w:rPr>
      </w:pPr>
      <w:hyperlink w:anchor="_Toc486858027" w:history="1">
        <w:r>
          <w:rPr>
            <w:rStyle w:val="Hyperlink"/>
            <w:rFonts w:ascii="Arial" w:hAnsi="Arial" w:cs="Arial"/>
            <w:i w:val="0"/>
            <w:noProof/>
          </w:rPr>
          <w:t>1.</w:t>
        </w:r>
        <w:r>
          <w:rPr>
            <w:rFonts w:ascii="Arial" w:eastAsiaTheme="minorEastAsia" w:hAnsi="Arial" w:cs="Arial"/>
            <w:i w:val="0"/>
            <w:iCs w:val="0"/>
            <w:noProof/>
            <w:sz w:val="22"/>
            <w:szCs w:val="22"/>
            <w:lang w:eastAsia="en-GB" w:bidi="ar-SA"/>
          </w:rPr>
          <w:tab/>
        </w:r>
        <w:r>
          <w:rPr>
            <w:rStyle w:val="Hyperlink"/>
            <w:rFonts w:ascii="Arial" w:hAnsi="Arial" w:cs="Arial"/>
            <w:i w:val="0"/>
            <w:noProof/>
          </w:rPr>
          <w:t>Neskorá transpozícia</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_Toc486858027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28</w:t>
        </w:r>
        <w:r>
          <w:rPr>
            <w:rFonts w:ascii="Arial" w:hAnsi="Arial" w:cs="Arial"/>
            <w:i w:val="0"/>
            <w:noProof/>
            <w:webHidden/>
          </w:rPr>
          <w:fldChar w:fldCharType="end"/>
        </w:r>
      </w:hyperlink>
    </w:p>
    <w:p>
      <w:pPr>
        <w:pStyle w:val="TOC2"/>
        <w:tabs>
          <w:tab w:val="left" w:pos="720"/>
          <w:tab w:val="right" w:leader="dot" w:pos="8873"/>
        </w:tabs>
        <w:rPr>
          <w:rFonts w:ascii="Arial" w:eastAsiaTheme="minorEastAsia" w:hAnsi="Arial" w:cs="Arial"/>
          <w:i w:val="0"/>
          <w:iCs w:val="0"/>
          <w:noProof/>
          <w:sz w:val="22"/>
          <w:szCs w:val="22"/>
          <w:lang w:eastAsia="en-GB" w:bidi="ar-SA"/>
        </w:rPr>
      </w:pPr>
      <w:hyperlink w:anchor="_Toc486858028" w:history="1">
        <w:r>
          <w:rPr>
            <w:rStyle w:val="Hyperlink"/>
            <w:rFonts w:ascii="Arial" w:hAnsi="Arial" w:cs="Arial"/>
            <w:i w:val="0"/>
            <w:noProof/>
          </w:rPr>
          <w:t>2.</w:t>
        </w:r>
        <w:r>
          <w:rPr>
            <w:rFonts w:ascii="Arial" w:eastAsiaTheme="minorEastAsia" w:hAnsi="Arial" w:cs="Arial"/>
            <w:i w:val="0"/>
            <w:iCs w:val="0"/>
            <w:noProof/>
            <w:sz w:val="22"/>
            <w:szCs w:val="22"/>
            <w:lang w:eastAsia="en-GB" w:bidi="ar-SA"/>
          </w:rPr>
          <w:tab/>
        </w:r>
        <w:r>
          <w:rPr>
            <w:rStyle w:val="Hyperlink"/>
            <w:rFonts w:ascii="Arial" w:hAnsi="Arial" w:cs="Arial"/>
            <w:i w:val="0"/>
            <w:noProof/>
          </w:rPr>
          <w:t>Veci predložené Súdnemu dvoru podľa článku 258 a článku 260 ods. 3 ZFEÚ</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_Toc486858028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30</w:t>
        </w:r>
        <w:r>
          <w:rPr>
            <w:rFonts w:ascii="Arial" w:hAnsi="Arial" w:cs="Arial"/>
            <w:i w:val="0"/>
            <w:noProof/>
            <w:webHidden/>
          </w:rPr>
          <w:fldChar w:fldCharType="end"/>
        </w:r>
      </w:hyperlink>
    </w:p>
    <w:p>
      <w:pPr>
        <w:pStyle w:val="TOC2"/>
        <w:tabs>
          <w:tab w:val="left" w:pos="960"/>
          <w:tab w:val="right" w:leader="dot" w:pos="8873"/>
        </w:tabs>
        <w:rPr>
          <w:rFonts w:ascii="Arial" w:eastAsiaTheme="minorEastAsia" w:hAnsi="Arial" w:cs="Arial"/>
          <w:i w:val="0"/>
          <w:iCs w:val="0"/>
          <w:noProof/>
          <w:sz w:val="22"/>
          <w:szCs w:val="22"/>
          <w:lang w:eastAsia="en-GB" w:bidi="ar-SA"/>
        </w:rPr>
      </w:pPr>
      <w:hyperlink w:anchor="_Toc486858029" w:history="1">
        <w:r>
          <w:rPr>
            <w:rStyle w:val="Hyperlink"/>
            <w:rFonts w:ascii="Arial" w:hAnsi="Arial" w:cs="Arial"/>
            <w:i w:val="0"/>
            <w:noProof/>
          </w:rPr>
          <w:t>VII.</w:t>
        </w:r>
        <w:r>
          <w:rPr>
            <w:rFonts w:ascii="Arial" w:eastAsiaTheme="minorEastAsia" w:hAnsi="Arial" w:cs="Arial"/>
            <w:i w:val="0"/>
            <w:iCs w:val="0"/>
            <w:noProof/>
            <w:sz w:val="22"/>
            <w:szCs w:val="22"/>
            <w:lang w:eastAsia="en-GB" w:bidi="ar-SA"/>
          </w:rPr>
          <w:tab/>
        </w:r>
        <w:r>
          <w:rPr>
            <w:rStyle w:val="Hyperlink"/>
            <w:rFonts w:ascii="Arial" w:hAnsi="Arial" w:cs="Arial"/>
            <w:i w:val="0"/>
            <w:noProof/>
          </w:rPr>
          <w:t>Závery</w:t>
        </w:r>
        <w:r>
          <w:rPr>
            <w:rFonts w:ascii="Arial" w:hAnsi="Arial" w:cs="Arial"/>
            <w:i w:val="0"/>
            <w:noProof/>
            <w:webHidden/>
          </w:rPr>
          <w:tab/>
        </w:r>
        <w:r>
          <w:rPr>
            <w:rFonts w:ascii="Arial" w:hAnsi="Arial" w:cs="Arial"/>
            <w:i w:val="0"/>
            <w:noProof/>
            <w:webHidden/>
          </w:rPr>
          <w:fldChar w:fldCharType="begin"/>
        </w:r>
        <w:r>
          <w:rPr>
            <w:rFonts w:ascii="Arial" w:hAnsi="Arial" w:cs="Arial"/>
            <w:i w:val="0"/>
            <w:noProof/>
            <w:webHidden/>
          </w:rPr>
          <w:instrText xml:space="preserve"> PAGEREF _Toc486858029 \h </w:instrText>
        </w:r>
        <w:r>
          <w:rPr>
            <w:rFonts w:ascii="Arial" w:hAnsi="Arial" w:cs="Arial"/>
            <w:i w:val="0"/>
            <w:noProof/>
            <w:webHidden/>
          </w:rPr>
        </w:r>
        <w:r>
          <w:rPr>
            <w:rFonts w:ascii="Arial" w:hAnsi="Arial" w:cs="Arial"/>
            <w:i w:val="0"/>
            <w:noProof/>
            <w:webHidden/>
          </w:rPr>
          <w:fldChar w:fldCharType="separate"/>
        </w:r>
        <w:r>
          <w:rPr>
            <w:rFonts w:ascii="Arial" w:hAnsi="Arial" w:cs="Arial"/>
            <w:i w:val="0"/>
            <w:noProof/>
            <w:webHidden/>
          </w:rPr>
          <w:t>32</w:t>
        </w:r>
        <w:r>
          <w:rPr>
            <w:rFonts w:ascii="Arial" w:hAnsi="Arial" w:cs="Arial"/>
            <w:i w:val="0"/>
            <w:noProof/>
            <w:webHidden/>
          </w:rPr>
          <w:fldChar w:fldCharType="end"/>
        </w:r>
      </w:hyperlink>
    </w:p>
    <w:p>
      <w:pPr>
        <w:rPr>
          <w:rFonts w:ascii="Arial" w:eastAsiaTheme="minorEastAsia" w:hAnsi="Arial" w:cs="Arial"/>
          <w:b/>
          <w:bCs/>
          <w:noProof/>
          <w:sz w:val="20"/>
          <w:szCs w:val="22"/>
        </w:rPr>
        <w:sectPr>
          <w:headerReference w:type="even" r:id="rId19"/>
          <w:headerReference w:type="default" r:id="rId20"/>
          <w:footerReference w:type="even" r:id="rId21"/>
          <w:footerReference w:type="default" r:id="rId22"/>
          <w:headerReference w:type="first" r:id="rId23"/>
          <w:footerReference w:type="first" r:id="rId24"/>
          <w:pgSz w:w="11907" w:h="16839" w:code="9"/>
          <w:pgMar w:top="2678" w:right="1512" w:bottom="1913" w:left="1512" w:header="918" w:footer="709" w:gutter="0"/>
          <w:pgNumType w:start="2"/>
          <w:cols w:space="720"/>
          <w:titlePg/>
          <w:docGrid w:linePitch="360"/>
        </w:sectPr>
      </w:pPr>
      <w:r>
        <w:rPr>
          <w:rFonts w:ascii="Arial" w:hAnsi="Arial" w:cs="Arial"/>
          <w:b/>
          <w:bCs/>
          <w:iCs/>
          <w:noProof/>
          <w:sz w:val="20"/>
        </w:rPr>
        <w:fldChar w:fldCharType="end"/>
      </w:r>
    </w:p>
    <w:p>
      <w:pPr>
        <w:pStyle w:val="kop2"/>
        <w:rPr>
          <w:noProof/>
        </w:rPr>
      </w:pPr>
      <w:bookmarkStart w:id="2" w:name="_Toc444796643"/>
      <w:bookmarkStart w:id="3" w:name="_Toc484623684"/>
      <w:bookmarkStart w:id="4" w:name="_Toc484685973"/>
      <w:bookmarkStart w:id="5" w:name="_Toc486858005"/>
      <w:r>
        <w:rPr>
          <w:noProof/>
        </w:rPr>
        <w:lastRenderedPageBreak/>
        <w:t>Úvod</w:t>
      </w:r>
      <w:bookmarkEnd w:id="2"/>
      <w:bookmarkEnd w:id="3"/>
      <w:bookmarkEnd w:id="4"/>
      <w:bookmarkEnd w:id="5"/>
    </w:p>
    <w:p>
      <w:pPr>
        <w:ind w:left="357"/>
        <w:rPr>
          <w:rFonts w:ascii="Arial" w:hAnsi="Arial" w:cs="Arial"/>
          <w:noProof/>
          <w:sz w:val="20"/>
        </w:rPr>
      </w:pPr>
      <w:r>
        <w:rPr>
          <w:rFonts w:ascii="Arial" w:hAnsi="Arial"/>
          <w:noProof/>
          <w:sz w:val="20"/>
        </w:rPr>
        <w:t>Účinné uplatňovanie práva Únie má zásadný význam pre realizáciu prínosov politík Európskej únie pre verejnosť a podniky. Často, keď sa do popredia dostanú otázky, ako sú emisné skúšky vozidiel, nelegálne skládky odpadu alebo bezpečnosť a ochrana dopravy, problémom nie je neexistencia právnych predpisov EÚ, ale skôr to, že sa právo Únie neuplatňuje účinne.</w:t>
      </w:r>
    </w:p>
    <w:p>
      <w:pPr>
        <w:ind w:left="357"/>
        <w:rPr>
          <w:rFonts w:ascii="Arial" w:hAnsi="Arial" w:cs="Arial"/>
          <w:noProof/>
          <w:sz w:val="20"/>
        </w:rPr>
      </w:pPr>
      <w:r>
        <w:rPr>
          <w:rFonts w:ascii="Arial" w:hAnsi="Arial"/>
          <w:noProof/>
          <w:sz w:val="20"/>
        </w:rPr>
        <w:t>Členské štáty sú zodpovedné za včasnú a presnú transpozíciu smerníc do svojho vnútroštátneho práva, ako aj za správne uplatňovanie a vykonávanie celého súboru právnych predpisov EÚ (</w:t>
      </w:r>
      <w:r>
        <w:rPr>
          <w:rFonts w:ascii="Arial" w:hAnsi="Arial"/>
          <w:i/>
          <w:noProof/>
          <w:sz w:val="20"/>
        </w:rPr>
        <w:t>acquis)</w:t>
      </w:r>
      <w:r>
        <w:rPr>
          <w:rStyle w:val="FootnoteReference"/>
          <w:rFonts w:ascii="Arial" w:hAnsi="Arial"/>
          <w:noProof/>
          <w:sz w:val="20"/>
        </w:rPr>
        <w:footnoteReference w:id="2"/>
      </w:r>
      <w:r>
        <w:rPr>
          <w:noProof/>
        </w:rPr>
        <w:t>.</w:t>
      </w:r>
      <w:r>
        <w:rPr>
          <w:rFonts w:ascii="Arial" w:hAnsi="Arial"/>
          <w:noProof/>
          <w:sz w:val="20"/>
        </w:rPr>
        <w:t xml:space="preserve"> Komisia v rámci dohľadu nad zmluvami monitoruje opatrenia členských štátov a zabezpečuje, aby ich právne predpisy boli v súlade s právom Únie</w:t>
      </w:r>
      <w:r>
        <w:rPr>
          <w:rStyle w:val="FootnoteReference"/>
          <w:rFonts w:ascii="Arial" w:hAnsi="Arial"/>
          <w:noProof/>
          <w:sz w:val="20"/>
        </w:rPr>
        <w:footnoteReference w:id="3"/>
      </w:r>
      <w:r>
        <w:rPr>
          <w:noProof/>
        </w:rPr>
        <w:t>.</w:t>
      </w:r>
      <w:r>
        <w:rPr>
          <w:rFonts w:ascii="Arial" w:hAnsi="Arial"/>
          <w:noProof/>
          <w:sz w:val="20"/>
        </w:rPr>
        <w:t xml:space="preserve"> Ak členský štát nezabezpečí súlad s právom Únie, Komisia môže začať postup v prípade nesplnenia povinnosti a v prípade potreby predložiť vec Súdnemu dvoru. Ak členský štát nevyhovie rozsudku alebo neoznámi Komisii svoje opatrenia, ktorými transponuje legislatívnu smernicu, môže sa podať návrh na zaplatenie penále</w:t>
      </w:r>
      <w:r>
        <w:rPr>
          <w:rStyle w:val="FootnoteReference"/>
          <w:rFonts w:ascii="Arial" w:hAnsi="Arial"/>
          <w:noProof/>
          <w:sz w:val="20"/>
        </w:rPr>
        <w:footnoteReference w:id="4"/>
      </w:r>
      <w:r>
        <w:rPr>
          <w:noProof/>
        </w:rPr>
        <w:t>.</w:t>
      </w:r>
    </w:p>
    <w:p>
      <w:pPr>
        <w:ind w:left="357"/>
        <w:rPr>
          <w:rFonts w:ascii="Arial" w:hAnsi="Arial" w:cs="Arial"/>
          <w:noProof/>
          <w:sz w:val="20"/>
        </w:rPr>
      </w:pPr>
      <w:r>
        <w:rPr>
          <w:rFonts w:ascii="Arial" w:hAnsi="Arial"/>
          <w:noProof/>
          <w:sz w:val="20"/>
        </w:rPr>
        <w:t>Lepšie uplatňovanie práva Únie je prioritou Junckerovej Komisie a dôležitou súčasťou programu lepšej právnej regulácie. Komisia znovu potvrdila svoj záväzok zlepšiť uplatňovanie práva Únie vo svojom oznámení z decembra 2016, v ktorom sa stanovuje strategickejší prístup k jej politike v prípadoch nesplnenia povinnosti</w:t>
      </w:r>
      <w:r>
        <w:rPr>
          <w:rStyle w:val="FootnoteReference"/>
          <w:rFonts w:ascii="Arial" w:hAnsi="Arial"/>
          <w:noProof/>
          <w:sz w:val="20"/>
        </w:rPr>
        <w:footnoteReference w:id="5"/>
      </w:r>
      <w:r>
        <w:rPr>
          <w:noProof/>
        </w:rPr>
        <w:t>.</w:t>
      </w:r>
      <w:r>
        <w:rPr>
          <w:rFonts w:ascii="Arial" w:hAnsi="Arial"/>
          <w:noProof/>
          <w:sz w:val="20"/>
        </w:rPr>
        <w:t xml:space="preserve"> Oznámila, že bude prioritne sledovať najvážnejšie porušenia práva Únie, ktoré sa dotýkajú záujmov občanov a podnikov.</w:t>
      </w:r>
    </w:p>
    <w:p>
      <w:pPr>
        <w:ind w:left="357"/>
        <w:rPr>
          <w:rFonts w:ascii="Arial" w:hAnsi="Arial" w:cs="Arial"/>
          <w:noProof/>
          <w:sz w:val="20"/>
        </w:rPr>
      </w:pPr>
      <w:r>
        <w:rPr>
          <w:rFonts w:ascii="Arial" w:hAnsi="Arial"/>
          <w:noProof/>
          <w:sz w:val="20"/>
        </w:rPr>
        <w:t>Táto výročná správa je venovaná hlavným vývojovým tendenciám v politike presadzovania práva v roku 2016. V štruktúre správy sa premieta dôraz na presadzovanie práva v oblastiach prioritných politík Komisie. Komisia napríklad prijala opatrenia zamerané na presadzovanie práva v oblasti vnútorného trhu, kde sa osobitne zamerala na neschopnosť členských štátov zaviesť alebo uplatňovať systémy sankcií, ktoré by odrádzali výrobcov automobilov od porušovania právnych predpisov o emisiách automobilov. Ďalším príkladom je transpozícia pravidiel EÚ o verejnom obstarávaní a koncesiách; tu je nevyhnutná úplná transpozícia a vykonávanie práva Únie, aby sa malým a stredným podnikom umožnilo uchádzať sa o verejné zákazky jednoduchšie a hospodárnejšie a pri plnom dodržiavaní zásad EÚ v oblasti transparentnosti a hospodárskej súťaže. Okrem týchto prioritných oblastí sa v sprievodných dokumentoch k správe</w:t>
      </w:r>
      <w:r>
        <w:rPr>
          <w:rStyle w:val="FootnoteReference"/>
          <w:rFonts w:ascii="Arial" w:hAnsi="Arial"/>
          <w:noProof/>
          <w:sz w:val="20"/>
        </w:rPr>
        <w:footnoteReference w:id="6"/>
      </w:r>
      <w:r>
        <w:rPr>
          <w:rFonts w:ascii="Arial" w:hAnsi="Arial"/>
          <w:noProof/>
          <w:sz w:val="20"/>
        </w:rPr>
        <w:t xml:space="preserve"> skúma správnosť uplatňovania práva Únie v jednotlivých členských štátoch a jednotlivých oblastiach politiky, ako aj výzvy, ktorým čelia.</w:t>
      </w:r>
    </w:p>
    <w:p>
      <w:pPr>
        <w:ind w:left="357"/>
        <w:rPr>
          <w:rFonts w:ascii="Arial" w:hAnsi="Arial" w:cs="Arial"/>
          <w:noProof/>
          <w:sz w:val="20"/>
        </w:rPr>
      </w:pPr>
      <w:r>
        <w:rPr>
          <w:noProof/>
        </w:rPr>
        <w:br w:type="page"/>
      </w:r>
    </w:p>
    <w:p>
      <w:pPr>
        <w:pStyle w:val="kop2"/>
        <w:ind w:left="720"/>
        <w:rPr>
          <w:caps w:val="0"/>
          <w:noProof/>
        </w:rPr>
      </w:pPr>
      <w:bookmarkStart w:id="6" w:name="_Toc444796644"/>
      <w:bookmarkStart w:id="7" w:name="_Toc484623685"/>
      <w:bookmarkStart w:id="8" w:name="_Toc484685974"/>
      <w:bookmarkStart w:id="9" w:name="_Toc486858006"/>
      <w:r>
        <w:rPr>
          <w:caps w:val="0"/>
          <w:noProof/>
        </w:rPr>
        <w:lastRenderedPageBreak/>
        <w:t>Presadzovanie práva v prioritných politických oblastiach</w:t>
      </w:r>
      <w:bookmarkEnd w:id="6"/>
      <w:bookmarkEnd w:id="7"/>
      <w:bookmarkEnd w:id="8"/>
      <w:bookmarkEnd w:id="9"/>
    </w:p>
    <w:p>
      <w:pPr>
        <w:spacing w:after="120"/>
        <w:rPr>
          <w:rFonts w:ascii="Arial" w:hAnsi="Arial" w:cs="Arial"/>
          <w:noProof/>
          <w:sz w:val="20"/>
        </w:rPr>
      </w:pPr>
      <w:bookmarkStart w:id="10" w:name="_Toc437944176"/>
      <w:r>
        <w:rPr>
          <w:rFonts w:ascii="Arial" w:hAnsi="Arial"/>
          <w:noProof/>
          <w:sz w:val="20"/>
        </w:rPr>
        <w:t>Zabezpečenie lepšieho uplatňovania a vykonávania právnych nástrojov EÚ je nevyhnutným predpokladom realizácie politík EÚ vo všeobecnosti, a to najmä pokiaľ ide o politické priority Junckerovej komisie. Na dosiahnutie cieľov politík EÚ Komisia využíva širokú škálu nástrojov vrátane postupov v prípade nesplnenia povinnosti. Výročná správa za rok 2016 prináša prehľad opatrení Komisie v tomto smere.</w:t>
      </w:r>
    </w:p>
    <w:p>
      <w:pPr>
        <w:spacing w:after="120"/>
        <w:rPr>
          <w:rFonts w:ascii="Arial" w:hAnsi="Arial" w:cs="Arial"/>
          <w:i/>
          <w:noProof/>
          <w:sz w:val="20"/>
        </w:rPr>
      </w:pPr>
      <w:r>
        <w:rPr>
          <w:rFonts w:ascii="Arial" w:hAnsi="Arial"/>
          <w:i/>
          <w:noProof/>
          <w:sz w:val="20"/>
        </w:rPr>
        <w:t xml:space="preserve">Nová politika presadzovania práva – oznámenie </w:t>
      </w:r>
      <w:r>
        <w:rPr>
          <w:rFonts w:ascii="Arial" w:hAnsi="Arial"/>
          <w:noProof/>
          <w:sz w:val="20"/>
        </w:rPr>
        <w:t>„Právo EÚ: Lepšie výsledky pomocou lepšieho uplatňovania práva“</w:t>
      </w:r>
    </w:p>
    <w:p>
      <w:pPr>
        <w:spacing w:after="120"/>
        <w:rPr>
          <w:rFonts w:ascii="Arial" w:hAnsi="Arial" w:cs="Arial"/>
          <w:noProof/>
          <w:sz w:val="20"/>
        </w:rPr>
      </w:pPr>
      <w:r>
        <w:rPr>
          <w:rFonts w:ascii="Arial" w:hAnsi="Arial"/>
          <w:noProof/>
          <w:sz w:val="20"/>
        </w:rPr>
        <w:t xml:space="preserve">V decembri 2016 Komisia prijala nové oznámenie o politike týkajúcej sa presadzovania práva: </w:t>
      </w:r>
      <w:r>
        <w:rPr>
          <w:rFonts w:ascii="Arial" w:hAnsi="Arial"/>
          <w:i/>
          <w:noProof/>
          <w:sz w:val="20"/>
        </w:rPr>
        <w:t>Právo EÚ: Lepšie výsledky pomocou lepšieho uplatňovania práva</w:t>
      </w:r>
      <w:r>
        <w:rPr>
          <w:rStyle w:val="FootnoteReference"/>
          <w:rFonts w:ascii="Arial" w:hAnsi="Arial"/>
          <w:noProof/>
          <w:sz w:val="20"/>
        </w:rPr>
        <w:footnoteReference w:id="7"/>
      </w:r>
      <w:r>
        <w:rPr>
          <w:noProof/>
        </w:rPr>
        <w:t>.</w:t>
      </w:r>
      <w:r>
        <w:rPr>
          <w:rFonts w:ascii="Arial" w:hAnsi="Arial"/>
          <w:noProof/>
          <w:sz w:val="20"/>
        </w:rPr>
        <w:t xml:space="preserve"> V oznámení sa uvádza, akým spôsobom Komisia ako strážkyňa zmlúv zvýši svoje úsilie v snahe zabezpečiť súlad s právom Únie. Odhodlanie „konať vo veľkom a ambicióznejšie vo veľkých veciach a v malom a skromnejšie v malých veciach“ by sa malo premietnuť do strategickejšieho a účinnejšieho prístupu k presadzovaniu práva, pokiaľ ide o riešenie prípadov nesplnenia povinnosti. Pri uplatňovaní tohto prístupu by sa Komisia mala zamerať na problémy, v prípade ktorých opatrenia Komisie v oblasti presadzovania práva môžu mať veľký význam, a takisto na priority politiky. V dôsledku toho bude Komisia odlišne posudzovať prípady na základe pridanej hodnoty, ktorú môže postup v prípade nesplnenia povinnosti dosiahnuť. Uzavrie prípady, keď to bude považovať za vhodné z hľadiska politiky.</w:t>
      </w:r>
    </w:p>
    <w:p>
      <w:pPr>
        <w:spacing w:after="120"/>
        <w:rPr>
          <w:rFonts w:ascii="Arial" w:hAnsi="Arial" w:cs="Arial"/>
          <w:noProof/>
          <w:sz w:val="20"/>
        </w:rPr>
      </w:pPr>
      <w:r>
        <w:rPr>
          <w:rFonts w:ascii="Arial" w:hAnsi="Arial"/>
          <w:noProof/>
          <w:sz w:val="20"/>
        </w:rPr>
        <w:t>Komisia sa zameria na prípady, keď členské štáty:</w:t>
      </w:r>
    </w:p>
    <w:p>
      <w:pPr>
        <w:numPr>
          <w:ilvl w:val="0"/>
          <w:numId w:val="43"/>
        </w:numPr>
        <w:spacing w:after="0"/>
        <w:ind w:left="714" w:hanging="357"/>
        <w:rPr>
          <w:rFonts w:ascii="Arial" w:hAnsi="Arial"/>
          <w:noProof/>
          <w:sz w:val="20"/>
        </w:rPr>
      </w:pPr>
      <w:r>
        <w:rPr>
          <w:rFonts w:ascii="Arial" w:hAnsi="Arial"/>
          <w:noProof/>
          <w:sz w:val="20"/>
        </w:rPr>
        <w:t>neoznámia transpozičné opatrenia alebo keď prostredníctvom týchto opatrení nesprávne transponujú smernice,</w:t>
      </w:r>
    </w:p>
    <w:p>
      <w:pPr>
        <w:numPr>
          <w:ilvl w:val="0"/>
          <w:numId w:val="43"/>
        </w:numPr>
        <w:spacing w:after="0"/>
        <w:ind w:left="714" w:hanging="357"/>
        <w:rPr>
          <w:rFonts w:ascii="Arial" w:hAnsi="Arial" w:cs="Arial"/>
          <w:noProof/>
          <w:sz w:val="20"/>
        </w:rPr>
      </w:pPr>
      <w:r>
        <w:rPr>
          <w:rFonts w:ascii="Arial" w:hAnsi="Arial"/>
          <w:noProof/>
          <w:sz w:val="20"/>
        </w:rPr>
        <w:t>nevyhovejú rozsudku Súdneho dvora, ako je uvedené v článku 260 ods. 2 ZFEÚ, alebo</w:t>
      </w:r>
    </w:p>
    <w:p>
      <w:pPr>
        <w:numPr>
          <w:ilvl w:val="0"/>
          <w:numId w:val="43"/>
        </w:numPr>
        <w:spacing w:after="0"/>
        <w:ind w:left="714" w:hanging="357"/>
        <w:rPr>
          <w:rFonts w:ascii="Arial" w:hAnsi="Arial"/>
          <w:noProof/>
          <w:sz w:val="20"/>
        </w:rPr>
      </w:pPr>
      <w:r>
        <w:rPr>
          <w:rFonts w:ascii="Arial" w:hAnsi="Arial"/>
          <w:noProof/>
          <w:sz w:val="20"/>
        </w:rPr>
        <w:t>závažne poškodia finančné záujmy EÚ alebo narušia výlučné právomoci EÚ.</w:t>
      </w:r>
    </w:p>
    <w:p>
      <w:pPr>
        <w:spacing w:after="0"/>
        <w:ind w:left="714"/>
        <w:rPr>
          <w:rFonts w:ascii="Arial" w:hAnsi="Arial" w:cs="Arial"/>
          <w:noProof/>
          <w:sz w:val="16"/>
          <w:szCs w:val="16"/>
        </w:rPr>
      </w:pPr>
    </w:p>
    <w:p>
      <w:pPr>
        <w:spacing w:after="120"/>
        <w:rPr>
          <w:rFonts w:ascii="Arial" w:hAnsi="Arial" w:cs="Arial"/>
          <w:noProof/>
          <w:sz w:val="20"/>
        </w:rPr>
      </w:pPr>
      <w:r>
        <w:rPr>
          <w:rFonts w:ascii="Arial" w:hAnsi="Arial"/>
          <w:noProof/>
          <w:sz w:val="20"/>
        </w:rPr>
        <w:t>Komisia bude preto dôsledne postupovať v prípadoch, ktoré odhaľujú systémové nedostatky v právnom systéme členského štátu. Malo by to zahŕňať prípady vnútroštátnych pravidiel alebo všeobecných postupov, ktoré bránia prejudiciálnemu konaniu na Súdnom dvore. Komisia bude takisto dôsledne postupovať v prípadoch, keď vnútroštátne právne predpisy zamedzujú vnútroštátnym súdom uznať prednosť práva Únie. Bude takisto prioritne riešiť prípady, v ktorých vo vnútroštátnych právnych predpisoch nie sú stanovené účinné konania o opravných prostriedkoch pri porušení práva Únie, alebo ak vnútroštátne právne predpisy inak bránia vnútroštátnym súdnym systémom zabezpečovať, aby sa právo Únie uplatňovalo efektívne. Komisia bude postupovať pohotovo vo vyšetrovaní takýchto porušení. Komisia začne postupy v prípade nesplnenia povinnosti bez toho, aby využila mechanizmus, ktorý je k dispozícii v rámci projektu EU Pilot, pokiaľ sa využitie projektu EU Pilot v danom prípade nepovažuje za užitočné.</w:t>
      </w:r>
    </w:p>
    <w:p>
      <w:pPr>
        <w:spacing w:after="120"/>
        <w:rPr>
          <w:rFonts w:ascii="Arial" w:hAnsi="Arial" w:cs="Arial"/>
          <w:noProof/>
          <w:sz w:val="20"/>
        </w:rPr>
      </w:pPr>
      <w:r>
        <w:rPr>
          <w:rFonts w:ascii="Arial" w:hAnsi="Arial"/>
          <w:noProof/>
          <w:sz w:val="20"/>
        </w:rPr>
        <w:t>Pri zavádzaní svojho nového prístupu si bude Komisia naďalej ceniť významnú úlohu, ktorú zohrávajú individuálni sťažovatelia pri identifikácii širších problémov s presadzovaním práva Únie, ktoré sa dotýkajú záujmov občanov a podnikov. Je však nevyhnutné, aby občania chápali povahu postupu v prípade nesplnenia povinnosti a aby príslušným spôsobom vymedzili svoje očakávania. Mnohí predkladajú sťažnosti v očakávaní, že môžu získať finančnú alebo inú nápravu za porušenie práva Únie. Toto nie je účelom postupu v prípade nesplnenia povinnosti. Niektoré jednotlivé prípady nesprávneho uplatňovania práva, ktoré nevyvolávajú otázky širšieho princípu, sa preto môžu často uspokojivo vyriešiť inými vhodnejšími mechanizmami na úrovni EÚ a na vnútroštátnej úrovni. V takýchto prípadoch, ak je k dispozícii účinná právna ochrana, Komisia spravidla nasmeruje sťažovateľov na vnútroštátnu úroveň.</w:t>
      </w:r>
    </w:p>
    <w:p>
      <w:pPr>
        <w:spacing w:after="120"/>
        <w:rPr>
          <w:rFonts w:ascii="Arial" w:hAnsi="Arial" w:cs="Arial"/>
          <w:noProof/>
          <w:sz w:val="20"/>
        </w:rPr>
      </w:pPr>
      <w:r>
        <w:rPr>
          <w:rFonts w:ascii="Arial" w:hAnsi="Arial"/>
          <w:noProof/>
          <w:sz w:val="20"/>
        </w:rPr>
        <w:t xml:space="preserve">Zatiaľ čo Komisia bude naďalej podporovať členské štáty v ich úsilí transponovať, uplatňovať a vykonávať právo Únie, je nevyhnutné, aby členské štáty plnili svoju povinnosť rešpektovať a presadzovať pravidlá, ktoré spoločne zaviedli. V tejto súvislosti Komisia posilní svoj prístup k sankciám za neoznámenie vnútroštátnych transpozičných opatrení: v prípadoch predložených </w:t>
      </w:r>
      <w:r>
        <w:rPr>
          <w:rFonts w:ascii="Arial" w:hAnsi="Arial"/>
          <w:noProof/>
          <w:sz w:val="20"/>
        </w:rPr>
        <w:lastRenderedPageBreak/>
        <w:t>Súdnemu dvoru podľa článku 258 v spojení s článkom 260 ods. 3 ZFEÚ bude Komisia systematicky žiadať Súdny dvor, aby uložil paušálnu pokutu, ako aj pravidelné penále.</w:t>
      </w:r>
    </w:p>
    <w:p>
      <w:pPr>
        <w:spacing w:after="0"/>
        <w:jc w:val="left"/>
        <w:rPr>
          <w:rFonts w:ascii="Arial" w:hAnsi="Arial"/>
          <w:bCs/>
          <w:noProof/>
          <w:color w:val="4F81BD"/>
          <w:sz w:val="8"/>
          <w:szCs w:val="8"/>
        </w:rPr>
      </w:pPr>
      <w:bookmarkStart w:id="11" w:name="_Toc444796646"/>
      <w:r>
        <w:rPr>
          <w:noProof/>
        </w:rPr>
        <w:br w:type="page"/>
      </w:r>
    </w:p>
    <w:p>
      <w:pPr>
        <w:pStyle w:val="kop3"/>
        <w:rPr>
          <w:noProof/>
        </w:rPr>
      </w:pPr>
      <w:bookmarkStart w:id="12" w:name="_Toc484623686"/>
      <w:bookmarkStart w:id="13" w:name="_Toc484685975"/>
      <w:bookmarkStart w:id="14" w:name="_Toc486858007"/>
      <w:r>
        <w:rPr>
          <w:noProof/>
        </w:rPr>
        <w:t>Nový impulz pre zamestnanosť, rast a investície</w:t>
      </w:r>
      <w:bookmarkEnd w:id="11"/>
      <w:bookmarkEnd w:id="12"/>
      <w:bookmarkEnd w:id="13"/>
      <w:bookmarkEnd w:id="14"/>
    </w:p>
    <w:p>
      <w:pPr>
        <w:rPr>
          <w:rFonts w:ascii="Arial" w:hAnsi="Arial" w:cs="Arial"/>
          <w:noProof/>
          <w:sz w:val="20"/>
        </w:rPr>
      </w:pPr>
      <w:r>
        <w:rPr>
          <w:rFonts w:ascii="Arial" w:hAnsi="Arial"/>
          <w:noProof/>
          <w:sz w:val="20"/>
        </w:rPr>
        <w:t xml:space="preserve">Prvou prioritou Junckerovej Komisie je posilniť konkurencieschopnosť Európy a stimulovať investície vytvárajúce pracovné miesta. Úsilie o vytvorenie správneho regulačného prostredia na podporu podnikania a vytvárania pracovných miest je však ohrozené, ak sa </w:t>
      </w:r>
      <w:r>
        <w:rPr>
          <w:rFonts w:ascii="Arial" w:hAnsi="Arial"/>
          <w:i/>
          <w:noProof/>
          <w:sz w:val="20"/>
        </w:rPr>
        <w:t>acquis</w:t>
      </w:r>
      <w:r>
        <w:rPr>
          <w:rFonts w:ascii="Arial" w:hAnsi="Arial"/>
          <w:noProof/>
          <w:sz w:val="20"/>
        </w:rPr>
        <w:t xml:space="preserve"> EÚ nezavedie správne a včas. Presadzovanie uplatňovania a vykonávania práva Únie totiž takisto významne prispieva k vytváraniu pracovných miest, rastu a investícií.</w:t>
      </w:r>
    </w:p>
    <w:p>
      <w:pPr>
        <w:rPr>
          <w:rFonts w:ascii="Arial" w:hAnsi="Arial" w:cs="Arial"/>
          <w:noProof/>
          <w:sz w:val="20"/>
        </w:rPr>
      </w:pPr>
      <w:r>
        <w:rPr>
          <w:rFonts w:ascii="Arial" w:hAnsi="Arial"/>
          <w:noProof/>
          <w:sz w:val="20"/>
        </w:rPr>
        <w:t>Opatrenia Komisie v oblasti presadzovania práva v roku 2016 boli zamerané na tieto oblasti:</w:t>
      </w:r>
    </w:p>
    <w:p>
      <w:pPr>
        <w:rPr>
          <w:rFonts w:ascii="Arial" w:hAnsi="Arial" w:cs="Arial"/>
          <w:noProof/>
          <w:sz w:val="20"/>
        </w:rPr>
      </w:pPr>
      <w:r>
        <w:rPr>
          <w:rFonts w:ascii="Arial" w:hAnsi="Arial"/>
          <w:i/>
          <w:noProof/>
          <w:sz w:val="20"/>
        </w:rPr>
        <w:t xml:space="preserve">Presadzovanie </w:t>
      </w:r>
      <w:r>
        <w:rPr>
          <w:rFonts w:ascii="Arial" w:hAnsi="Arial"/>
          <w:noProof/>
          <w:sz w:val="20"/>
        </w:rPr>
        <w:t>acquis</w:t>
      </w:r>
      <w:r>
        <w:rPr>
          <w:rFonts w:ascii="Arial" w:hAnsi="Arial"/>
          <w:i/>
          <w:noProof/>
          <w:sz w:val="20"/>
        </w:rPr>
        <w:t xml:space="preserve"> v oblasti voľného pohybu pracovníkov a bezpečnosti a ochrany zdravia pri práci</w:t>
      </w:r>
    </w:p>
    <w:p>
      <w:pPr>
        <w:rPr>
          <w:rFonts w:ascii="Arial" w:hAnsi="Arial" w:cs="Arial"/>
          <w:noProof/>
          <w:sz w:val="20"/>
        </w:rPr>
      </w:pPr>
      <w:r>
        <w:rPr>
          <w:rFonts w:ascii="Arial" w:hAnsi="Arial"/>
          <w:noProof/>
          <w:sz w:val="20"/>
        </w:rPr>
        <w:t>Komisia pokračovala vo svojom úsilí zabezpečiť rovnaké podmienky na trhu práce EÚ kontrolou úplnosti a správnosti transpozície smerníc členskými štátmi v oblastiach voľného pohybu pracovníkov a bezpečnosti a ochrany zdravia pri práci.</w:t>
      </w:r>
    </w:p>
    <w:p>
      <w:pPr>
        <w:rPr>
          <w:rFonts w:ascii="Arial" w:hAnsi="Arial" w:cs="Arial"/>
          <w:noProof/>
          <w:sz w:val="20"/>
        </w:rPr>
      </w:pPr>
      <w:r>
        <w:rPr>
          <w:rFonts w:ascii="Arial" w:hAnsi="Arial"/>
          <w:noProof/>
          <w:sz w:val="20"/>
        </w:rPr>
        <w:t>Lehota na transpozíciu dvoch dôležitých smerníc uplynula v roku 2016: jedna sa týka presadzovania práv v súvislosti so slobodou pohybu pracovníkov</w:t>
      </w:r>
      <w:r>
        <w:rPr>
          <w:rStyle w:val="FootnoteReference"/>
          <w:noProof/>
        </w:rPr>
        <w:footnoteReference w:id="8"/>
      </w:r>
      <w:r>
        <w:rPr>
          <w:rFonts w:ascii="Arial" w:hAnsi="Arial"/>
          <w:noProof/>
          <w:sz w:val="20"/>
        </w:rPr>
        <w:t>, druhá presadzovania práv vyslaných pracovníkov</w:t>
      </w:r>
      <w:r>
        <w:rPr>
          <w:rStyle w:val="FootnoteReference"/>
          <w:noProof/>
        </w:rPr>
        <w:footnoteReference w:id="9"/>
      </w:r>
      <w:r>
        <w:rPr>
          <w:noProof/>
        </w:rPr>
        <w:t>.</w:t>
      </w:r>
      <w:r>
        <w:rPr>
          <w:rFonts w:ascii="Arial" w:hAnsi="Arial"/>
          <w:noProof/>
          <w:sz w:val="20"/>
        </w:rPr>
        <w:t xml:space="preserve"> Keďže niekoľko členských štátov neoznámilo svoje transpozičné opatrenia v stanovenej lehote, Komisia začala v septembri 2016 niekoľko postupov v prípade nesplnenia povinnosti.</w:t>
      </w:r>
    </w:p>
    <w:p>
      <w:pPr>
        <w:rPr>
          <w:rFonts w:ascii="Arial" w:hAnsi="Arial" w:cs="Arial"/>
          <w:noProof/>
          <w:sz w:val="20"/>
        </w:rPr>
      </w:pPr>
      <w:r>
        <w:rPr>
          <w:rFonts w:ascii="Arial" w:hAnsi="Arial"/>
          <w:noProof/>
          <w:sz w:val="20"/>
        </w:rPr>
        <w:t>V oblasti bezpečnosti a ochrany zdravia pri práci lehota na transpozíciu smernice o zdravotných a bezpečnostných požiadavkách v prípade vystavenia účinkom elektromagnetických polí</w:t>
      </w:r>
      <w:r>
        <w:rPr>
          <w:rStyle w:val="FootnoteReference"/>
          <w:rFonts w:ascii="Arial" w:hAnsi="Arial"/>
          <w:noProof/>
          <w:sz w:val="20"/>
        </w:rPr>
        <w:footnoteReference w:id="10"/>
      </w:r>
      <w:r>
        <w:rPr>
          <w:rFonts w:ascii="Arial" w:hAnsi="Arial"/>
          <w:noProof/>
          <w:sz w:val="20"/>
        </w:rPr>
        <w:t xml:space="preserve"> uplynula 1. júla 2016. Táto smernica predstavuje dôležitý príspevok k ochrane zdravia pracovníkov. Komisia kontroluje vnútroštátne transpozičné opatrenia členských štátov a v roku 2016 začala niekoľko postupov v prípade nesplnenia povinnosti.</w:t>
      </w:r>
    </w:p>
    <w:p>
      <w:pPr>
        <w:rPr>
          <w:rFonts w:ascii="Arial" w:hAnsi="Arial" w:cs="Arial"/>
          <w:noProof/>
          <w:sz w:val="20"/>
        </w:rPr>
      </w:pPr>
    </w:p>
    <w:p>
      <w:pPr>
        <w:rPr>
          <w:rFonts w:ascii="Arial" w:hAnsi="Arial" w:cs="Arial"/>
          <w:noProof/>
          <w:sz w:val="20"/>
        </w:rPr>
      </w:pPr>
      <w:r>
        <w:rPr>
          <w:rFonts w:ascii="Arial" w:hAnsi="Arial"/>
          <w:noProof/>
          <w:sz w:val="20"/>
        </w:rPr>
        <w:t>Komisia pokračovala v kontrole transpozície smernice o klasifikácii, označovaní a balení látok a zmesí</w:t>
      </w:r>
      <w:r>
        <w:rPr>
          <w:rFonts w:ascii="Arial" w:hAnsi="Arial"/>
          <w:noProof/>
          <w:sz w:val="20"/>
          <w:vertAlign w:val="superscript"/>
        </w:rPr>
        <w:footnoteReference w:id="11"/>
      </w:r>
      <w:r>
        <w:rPr>
          <w:rFonts w:ascii="Arial" w:hAnsi="Arial"/>
          <w:noProof/>
          <w:sz w:val="20"/>
        </w:rPr>
        <w:t xml:space="preserve"> a požiadala osem členských štátov, aby overili správne vykonávanie smernice o ochrane pracovníkov pred poraneniami ostrými predmetmi v nemocničnom a zdravotníckom sektore</w:t>
      </w:r>
      <w:r>
        <w:rPr>
          <w:rStyle w:val="FootnoteReference"/>
          <w:rFonts w:ascii="Arial" w:hAnsi="Arial"/>
          <w:noProof/>
          <w:sz w:val="20"/>
        </w:rPr>
        <w:footnoteReference w:id="12"/>
      </w:r>
      <w:r>
        <w:rPr>
          <w:noProof/>
        </w:rPr>
        <w:t>.</w:t>
      </w:r>
    </w:p>
    <w:p>
      <w:pPr>
        <w:rPr>
          <w:rFonts w:ascii="Arial" w:hAnsi="Arial" w:cs="Arial"/>
          <w:i/>
          <w:noProof/>
          <w:sz w:val="20"/>
        </w:rPr>
      </w:pPr>
      <w:r>
        <w:rPr>
          <w:rFonts w:ascii="Arial" w:hAnsi="Arial"/>
          <w:i/>
          <w:noProof/>
          <w:sz w:val="20"/>
        </w:rPr>
        <w:t xml:space="preserve">Presadzovanie </w:t>
      </w:r>
      <w:r>
        <w:rPr>
          <w:rFonts w:ascii="Arial" w:hAnsi="Arial"/>
          <w:noProof/>
          <w:sz w:val="20"/>
        </w:rPr>
        <w:t>acquis</w:t>
      </w:r>
      <w:r>
        <w:rPr>
          <w:rFonts w:ascii="Arial" w:hAnsi="Arial"/>
          <w:i/>
          <w:noProof/>
          <w:sz w:val="20"/>
        </w:rPr>
        <w:t xml:space="preserve"> v oblasti životného prostredia</w:t>
      </w:r>
    </w:p>
    <w:p>
      <w:pPr>
        <w:rPr>
          <w:rFonts w:ascii="Arial" w:hAnsi="Arial" w:cs="Arial"/>
          <w:noProof/>
          <w:sz w:val="20"/>
        </w:rPr>
      </w:pPr>
      <w:r>
        <w:rPr>
          <w:rFonts w:ascii="Arial" w:hAnsi="Arial"/>
          <w:noProof/>
          <w:sz w:val="20"/>
        </w:rPr>
        <w:t>Komisia sa pri presadzovaní environmentálnych predpisov EÚ zameriava na prínos k zdravšiemu životnému prostrediu a k silnejšiemu a intenzívnejšiemu „obehovému“ hospodárstvu, v ktorom sa zdroje využívajú udržateľnejším spôsobom. Snažila sa takisto zabezpečiť rovnaké podmienky pre všetky členské štáty a hospodárske subjekty, ktoré musia spĺňať environmentálne požiadavky. Dôsledné presadzovanie takisto podnecuje trh, aby hľadal inovačné spôsoby, ako zvýšiť efektívnosť využívania zdrojov a znížiť závislosť od dovozu, čo následne prinesie konkurenčnú výhodu podnikom z EÚ a vytvorí pracovné miesta.</w:t>
      </w:r>
    </w:p>
    <w:p>
      <w:pPr>
        <w:rPr>
          <w:rFonts w:ascii="Arial" w:hAnsi="Arial" w:cs="Arial"/>
          <w:noProof/>
          <w:sz w:val="20"/>
        </w:rPr>
      </w:pPr>
      <w:r>
        <w:rPr>
          <w:rFonts w:ascii="Arial" w:hAnsi="Arial"/>
          <w:noProof/>
          <w:sz w:val="20"/>
        </w:rPr>
        <w:t>V niektorých členských štátoch pretrvávajú závažné nedostatky pri vykonávaní a presadzovaní právnych predpisov EÚ v oblasti životného prostredia, najmä v oblasti odpadového hospodárstva, infraštruktúry na čistenie odpadových vôd a súladu s limitnými hodnotami kvality ovzdušia.</w:t>
      </w:r>
    </w:p>
    <w:p>
      <w:pPr>
        <w:rPr>
          <w:rFonts w:ascii="Arial" w:hAnsi="Arial" w:cs="Arial"/>
          <w:noProof/>
          <w:sz w:val="20"/>
        </w:rPr>
      </w:pPr>
      <w:r>
        <w:rPr>
          <w:rFonts w:ascii="Arial" w:hAnsi="Arial"/>
          <w:noProof/>
          <w:sz w:val="20"/>
        </w:rPr>
        <w:t>Komisia sústavne riešila tieto nedostatky právnymi prostriedkami, najmä formou postupov v prípade nesplnenia povinnosti, ale aj úzkou spoluprácou s vnútroštátnymi orgánmi a inými zainteresovanými stranami s cieľom podporiť dodržiavanie predpisov. V tejto súvislosti v roku 2016 Komisia začala preskúmavať vykonávanie environmentálnych politík</w:t>
      </w:r>
      <w:r>
        <w:rPr>
          <w:rStyle w:val="FootnoteReference"/>
          <w:rFonts w:ascii="Arial" w:hAnsi="Arial"/>
          <w:noProof/>
          <w:sz w:val="20"/>
        </w:rPr>
        <w:footnoteReference w:id="13"/>
      </w:r>
      <w:r>
        <w:rPr>
          <w:noProof/>
        </w:rPr>
        <w:t>.</w:t>
      </w:r>
      <w:r>
        <w:rPr>
          <w:rFonts w:ascii="Arial" w:hAnsi="Arial"/>
          <w:noProof/>
          <w:sz w:val="20"/>
        </w:rPr>
        <w:t xml:space="preserve"> Cieľom tohto procesu je zlepšiť všeobecné poznatky o nedostatkoch pri vykonávaní environmentálnych právnych predpisov EÚ a politiky v jednotlivých členských štátoch a riešiť základné príčiny týchto nedostatkov. Snaží sa takisto poskytovať riešenia, ktoré dopĺňajú presadzovanie právnych predpisov a podporujú výmeny osvedčených postupov. Preskúmanie je založené na správach o jednotlivých krajinách vypracovaných každé dva roky, ktoré sa zamerajú na základné témy v oblasti environmentálnych právnych predpisov a politiky v jednotlivých členských štátoch. Správy budú slúžiť ako podklady v rámci rozhovorov s jednotlivými členskými štátmi.</w:t>
      </w:r>
    </w:p>
    <w:p>
      <w:pPr>
        <w:rPr>
          <w:rFonts w:ascii="Arial" w:hAnsi="Arial" w:cs="Arial"/>
          <w:i/>
          <w:noProof/>
          <w:sz w:val="20"/>
        </w:rPr>
      </w:pPr>
      <w:r>
        <w:rPr>
          <w:rFonts w:ascii="Arial" w:hAnsi="Arial"/>
          <w:i/>
          <w:noProof/>
          <w:sz w:val="20"/>
        </w:rPr>
        <w:t xml:space="preserve">Presadzovanie </w:t>
      </w:r>
      <w:r>
        <w:rPr>
          <w:rFonts w:ascii="Arial" w:hAnsi="Arial"/>
          <w:noProof/>
          <w:sz w:val="20"/>
        </w:rPr>
        <w:t>acquis</w:t>
      </w:r>
      <w:r>
        <w:rPr>
          <w:rFonts w:ascii="Arial" w:hAnsi="Arial"/>
          <w:i/>
          <w:noProof/>
          <w:sz w:val="20"/>
        </w:rPr>
        <w:t xml:space="preserve"> v oblasti poľnohospodárstva</w:t>
      </w:r>
    </w:p>
    <w:p>
      <w:pPr>
        <w:rPr>
          <w:rFonts w:ascii="Arial" w:hAnsi="Arial" w:cs="Arial"/>
          <w:noProof/>
          <w:sz w:val="20"/>
        </w:rPr>
      </w:pPr>
      <w:r>
        <w:rPr>
          <w:rFonts w:ascii="Arial" w:hAnsi="Arial"/>
          <w:noProof/>
          <w:sz w:val="20"/>
        </w:rPr>
        <w:t>Komisia zamerala svoju stratégiu presadzovania práva na to, aby sa zabezpečilo zavedenie poľnohospodárskych opatrení, ktoré majú najväčší potenciál na podporu zamestnanosti a rastu. Tieto opatrenia takisto prispievajú k prepracovanejšiemu a spravodlivejšiemu vnútornému trhu.</w:t>
      </w:r>
    </w:p>
    <w:p>
      <w:pPr>
        <w:rPr>
          <w:rFonts w:ascii="Arial" w:hAnsi="Arial" w:cs="Arial"/>
          <w:noProof/>
          <w:sz w:val="20"/>
        </w:rPr>
      </w:pPr>
      <w:r>
        <w:rPr>
          <w:rFonts w:ascii="Arial" w:hAnsi="Arial"/>
          <w:noProof/>
          <w:sz w:val="20"/>
        </w:rPr>
        <w:t>Spoločná poľnohospodárska politika (SPP) a presadzovanie súvisiacich pravidiel EÚ prispievajú k podpore konkurencieschopnosti a trhovej orientácie primárneho sektora a zároveň chráni poľnohospodárov pred náhlymi a vážnymi narušeniami trhu. Prvoradým cieľom je udržanie poľnohospodárstva v Európe.</w:t>
      </w:r>
    </w:p>
    <w:p>
      <w:pPr>
        <w:rPr>
          <w:rFonts w:ascii="Arial" w:hAnsi="Arial" w:cs="Arial"/>
          <w:noProof/>
          <w:sz w:val="20"/>
        </w:rPr>
      </w:pPr>
      <w:r>
        <w:rPr>
          <w:rFonts w:ascii="Arial" w:hAnsi="Arial"/>
          <w:noProof/>
          <w:sz w:val="20"/>
        </w:rPr>
        <w:t>V roku 2016 Komisia venovala osobitnú pozornosť uplatňovaniu ustanovení o priamych platbách, ktoré boli hlavným prvkom reformy SPP v roku 2014, všetkými členskými štátmi. Po preskúmaní zlučiteľnosti vnútroštátnych právnych predpisov s ustanoveniami EÚ Komisia začala rozhovory s viacerými členskými štátmi v rámci projektu EU Pilot.</w:t>
      </w:r>
    </w:p>
    <w:p>
      <w:pPr>
        <w:rPr>
          <w:rFonts w:ascii="Arial" w:hAnsi="Arial"/>
          <w:noProof/>
          <w:sz w:val="20"/>
        </w:rPr>
      </w:pPr>
      <w:r>
        <w:rPr>
          <w:rFonts w:ascii="Arial" w:hAnsi="Arial"/>
          <w:noProof/>
          <w:sz w:val="20"/>
        </w:rPr>
        <w:t>Komisia sa takisto zamerala na aktívne monitorovanie správnej, jasnej a včasnej transpozície smerníc EÚ o poľnohospodárstve vo všetkých členských štátoch. Cieľom bolo vytvoriť právnu istotu a umožniť občanom a podnikom využívať príležitosti jednotného trhu. Komisia poskytla pomoc členským štátom, aby mohli včas (najneskôr do 22. decembra 2016) zaviesť smernicu o kazeínoch a kazeinátoch</w:t>
      </w:r>
      <w:r>
        <w:rPr>
          <w:rStyle w:val="FootnoteReference"/>
          <w:rFonts w:ascii="Arial" w:hAnsi="Arial"/>
          <w:noProof/>
          <w:sz w:val="20"/>
        </w:rPr>
        <w:footnoteReference w:id="14"/>
      </w:r>
      <w:r>
        <w:rPr>
          <w:rFonts w:ascii="Arial" w:hAnsi="Arial"/>
          <w:noProof/>
          <w:sz w:val="20"/>
        </w:rPr>
        <w:t>.</w:t>
      </w:r>
    </w:p>
    <w:p>
      <w:pPr>
        <w:rPr>
          <w:rFonts w:ascii="Arial" w:hAnsi="Arial" w:cs="Arial"/>
          <w:i/>
          <w:noProof/>
          <w:sz w:val="20"/>
        </w:rPr>
      </w:pPr>
      <w:r>
        <w:rPr>
          <w:rFonts w:ascii="Arial" w:hAnsi="Arial"/>
          <w:i/>
          <w:noProof/>
          <w:sz w:val="20"/>
        </w:rPr>
        <w:t xml:space="preserve">Presadzovanie </w:t>
      </w:r>
      <w:r>
        <w:rPr>
          <w:rFonts w:ascii="Arial" w:hAnsi="Arial"/>
          <w:noProof/>
          <w:sz w:val="20"/>
        </w:rPr>
        <w:t>acquis</w:t>
      </w:r>
      <w:r>
        <w:rPr>
          <w:rFonts w:ascii="Arial" w:hAnsi="Arial"/>
          <w:i/>
          <w:noProof/>
          <w:sz w:val="20"/>
        </w:rPr>
        <w:t xml:space="preserve"> v oblasti námorných záležitostí a rybárstva</w:t>
      </w:r>
    </w:p>
    <w:p>
      <w:pPr>
        <w:rPr>
          <w:rFonts w:ascii="Arial" w:hAnsi="Arial" w:cs="Arial"/>
          <w:noProof/>
          <w:sz w:val="20"/>
        </w:rPr>
      </w:pPr>
      <w:r>
        <w:rPr>
          <w:rFonts w:ascii="Arial" w:hAnsi="Arial"/>
          <w:noProof/>
          <w:sz w:val="20"/>
        </w:rPr>
        <w:t>Stratégia presadzovania práva Komisie sa v roku 2016 sústredila na oblasti ochrany a kontroly rybolovu, ktoré sú nevyhnutné na vybudovanie „obehového“ hospodárstva, v ktorom sa rybolovné zdroje využívajú trvalo udržateľným spôsobom, čo v dlhodobom horizonte zabezpečí pracovné miesta a rast v odvetvi rybárstva. Osobitná pozornosť sa venovala systémovým nedostatkom vnútroštátnych systémov monitorovania rybolovu, ktoré umožňujú neodhalene vykonávať nezákonný rybolov, čo poškodzuje udržateľnosť tohto odvetvia. Komisia navyše konala v niekoľkých prípadoch, keď nebola dodržaná výlučná vonkajšia právomoc EÚ, aby sa podporil cieľ EÚ stať sa silnejším globálnym hráčom v oblasti rybárstva. Okrem toho, po uplynutí lehoty na transpozíciu niektorých ustanovení smernice o námornom priestorovom plánovaní</w:t>
      </w:r>
      <w:r>
        <w:rPr>
          <w:rStyle w:val="FootnoteReference"/>
          <w:rFonts w:ascii="Arial" w:hAnsi="Arial"/>
          <w:noProof/>
          <w:sz w:val="20"/>
        </w:rPr>
        <w:footnoteReference w:id="15"/>
      </w:r>
      <w:r>
        <w:rPr>
          <w:rFonts w:ascii="Arial" w:hAnsi="Arial"/>
          <w:noProof/>
          <w:sz w:val="20"/>
        </w:rPr>
        <w:t xml:space="preserve"> 18. septembra 2016 Komisia začala postupy v prípade nesplnenia povinnosti proti piatim členským štátom za to, že neoznámili nijaké vnútroštátne transpozičné opatrenia. V ďalších troch prípadoch Komisia začala konanie pre neúplnú transpozíciu smerníc.</w:t>
      </w:r>
    </w:p>
    <w:p>
      <w:pPr>
        <w:pStyle w:val="kop3"/>
        <w:rPr>
          <w:noProof/>
        </w:rPr>
      </w:pPr>
      <w:bookmarkStart w:id="15" w:name="_Toc444796647"/>
      <w:bookmarkStart w:id="16" w:name="_Toc484623687"/>
      <w:bookmarkStart w:id="17" w:name="_Toc484685976"/>
      <w:bookmarkStart w:id="18" w:name="_Toc486858008"/>
      <w:r>
        <w:rPr>
          <w:noProof/>
        </w:rPr>
        <w:t>Prepojený „jednotný digitálny trh</w:t>
      </w:r>
      <w:bookmarkEnd w:id="15"/>
      <w:r>
        <w:rPr>
          <w:noProof/>
        </w:rPr>
        <w:t>“</w:t>
      </w:r>
      <w:bookmarkEnd w:id="16"/>
      <w:bookmarkEnd w:id="17"/>
      <w:bookmarkEnd w:id="18"/>
    </w:p>
    <w:p>
      <w:pPr>
        <w:rPr>
          <w:rFonts w:ascii="Arial" w:hAnsi="Arial" w:cs="Arial"/>
          <w:noProof/>
          <w:sz w:val="20"/>
        </w:rPr>
      </w:pPr>
      <w:r>
        <w:rPr>
          <w:rFonts w:ascii="Arial" w:hAnsi="Arial"/>
          <w:noProof/>
          <w:sz w:val="20"/>
        </w:rPr>
        <w:t>Komisia sa vo svojej stratégii presadzovania práva v oblasti komunikačných sietí, obsahu a technológií v roku 2016 sústredila na stanovené priority v niekoľkých odvetviach. Medzi tieto priority patria napríklad štrukturálne prvky právnych predpisov v oblasti elektronických komunikácií, ako napríklad nezávislosť vnútroštátnych regulačných orgánov, dodržiavanie konzultačných postupov v procese preskúmavania trhu, správa frekvenčného spektra a sloboda usadiť sa. Úsilia zamerané na presadzovanie práva sa týkali aj kľúčových ustanovení pre zachovanie vnútorného trhu v oblasti audiovizuálnych služieb, napríklad krajiny pôvodu a zásad slobody príjmu.</w:t>
      </w:r>
    </w:p>
    <w:p>
      <w:pPr>
        <w:rPr>
          <w:rFonts w:ascii="Arial" w:hAnsi="Arial" w:cs="Arial"/>
          <w:noProof/>
          <w:spacing w:val="-2"/>
          <w:sz w:val="20"/>
        </w:rPr>
      </w:pPr>
      <w:r>
        <w:rPr>
          <w:rFonts w:ascii="Arial" w:hAnsi="Arial"/>
          <w:noProof/>
          <w:spacing w:val="-2"/>
          <w:sz w:val="20"/>
        </w:rPr>
        <w:t>Komisia začala postupy v prípade nesplnenia povinnosti proti väčšine členských štátov za to, že neúplne transponovali smernicu o znižovaní nákladov na širokopásmové pripojenie</w:t>
      </w:r>
      <w:r>
        <w:rPr>
          <w:rStyle w:val="FootnoteReference"/>
          <w:rFonts w:ascii="Arial" w:hAnsi="Arial"/>
          <w:noProof/>
          <w:spacing w:val="-2"/>
          <w:sz w:val="20"/>
        </w:rPr>
        <w:footnoteReference w:id="16"/>
      </w:r>
      <w:r>
        <w:rPr>
          <w:rFonts w:ascii="Arial" w:hAnsi="Arial"/>
          <w:noProof/>
          <w:spacing w:val="-2"/>
          <w:sz w:val="20"/>
        </w:rPr>
        <w:t xml:space="preserve"> a smernicu o kolektívnej správe práv</w:t>
      </w:r>
      <w:r>
        <w:rPr>
          <w:rStyle w:val="FootnoteReference"/>
          <w:rFonts w:ascii="Arial" w:hAnsi="Arial"/>
          <w:noProof/>
          <w:spacing w:val="-2"/>
          <w:sz w:val="20"/>
        </w:rPr>
        <w:footnoteReference w:id="17"/>
      </w:r>
      <w:r>
        <w:rPr>
          <w:noProof/>
          <w:spacing w:val="-2"/>
        </w:rPr>
        <w:t>.</w:t>
      </w:r>
      <w:r>
        <w:rPr>
          <w:rFonts w:ascii="Arial" w:hAnsi="Arial"/>
          <w:noProof/>
          <w:spacing w:val="-2"/>
          <w:sz w:val="20"/>
        </w:rPr>
        <w:t xml:space="preserve"> Uskutočnila ďalšie kroky v rámci postupov v prípade nesplnenia povinnosti, ktoré sa už začali v súvislosti s netransponovaním smernice o opakovanom použití informácií verejného sektora (ďalej len „smernica PSI“)</w:t>
      </w:r>
      <w:r>
        <w:rPr>
          <w:rStyle w:val="FootnoteReference"/>
          <w:rFonts w:ascii="Arial" w:hAnsi="Arial"/>
          <w:noProof/>
          <w:spacing w:val="-2"/>
          <w:sz w:val="20"/>
        </w:rPr>
        <w:footnoteReference w:id="18"/>
      </w:r>
      <w:r>
        <w:rPr>
          <w:noProof/>
          <w:spacing w:val="-2"/>
        </w:rPr>
        <w:t>.</w:t>
      </w:r>
      <w:r>
        <w:rPr>
          <w:rFonts w:ascii="Arial" w:hAnsi="Arial"/>
          <w:noProof/>
          <w:spacing w:val="-2"/>
          <w:sz w:val="20"/>
        </w:rPr>
        <w:t xml:space="preserve"> Komisia takisto viedla rozhovory s členskými štátmi s cieľom riešiť otázky týkajúce sa dodržiavania predpisov. Týkali sa napríklad praktických opatrení na správne zavedenie nariadenia e-IDAS a správne transponovanie smernice o kolektívnej správe práv.</w:t>
      </w:r>
    </w:p>
    <w:p>
      <w:pPr>
        <w:pStyle w:val="kop3"/>
        <w:rPr>
          <w:noProof/>
        </w:rPr>
      </w:pPr>
      <w:bookmarkStart w:id="19" w:name="_Toc444796648"/>
      <w:bookmarkStart w:id="20" w:name="_Toc484623688"/>
      <w:bookmarkStart w:id="21" w:name="_Toc484685977"/>
      <w:bookmarkStart w:id="22" w:name="_Toc486858009"/>
      <w:r>
        <w:rPr>
          <w:noProof/>
        </w:rPr>
        <w:t>Odolná energetická únia uplatňujúca výhľadovú politiku v oblasti zmeny klímy</w:t>
      </w:r>
      <w:bookmarkEnd w:id="19"/>
      <w:bookmarkEnd w:id="20"/>
      <w:bookmarkEnd w:id="21"/>
      <w:bookmarkEnd w:id="22"/>
    </w:p>
    <w:p>
      <w:pPr>
        <w:rPr>
          <w:rFonts w:ascii="Arial" w:hAnsi="Arial" w:cs="Arial"/>
          <w:noProof/>
          <w:sz w:val="20"/>
        </w:rPr>
      </w:pPr>
      <w:r>
        <w:rPr>
          <w:rFonts w:ascii="Arial" w:hAnsi="Arial"/>
          <w:noProof/>
          <w:sz w:val="20"/>
        </w:rPr>
        <w:t xml:space="preserve">V oznámení Komisie s názvom </w:t>
      </w:r>
      <w:r>
        <w:rPr>
          <w:rFonts w:ascii="Arial" w:hAnsi="Arial"/>
          <w:i/>
          <w:noProof/>
          <w:sz w:val="20"/>
        </w:rPr>
        <w:t>Rámcová stratégia odolnej energetickej únie s výhľadovou politikou v oblasti zmeny klímy</w:t>
      </w:r>
      <w:r>
        <w:rPr>
          <w:rStyle w:val="FootnoteReference"/>
          <w:noProof/>
        </w:rPr>
        <w:footnoteReference w:id="19"/>
      </w:r>
      <w:r>
        <w:rPr>
          <w:rFonts w:ascii="Arial" w:hAnsi="Arial"/>
          <w:noProof/>
          <w:sz w:val="20"/>
        </w:rPr>
        <w:t xml:space="preserve"> sa stanovuje, že „prvoradou prioritou vytvorenia energetickej únie je úplná implementácia a dôsledné presadzovanie existujúcej legislatívy v energetike a súvisiacich oblastiach</w:t>
      </w:r>
      <w:r>
        <w:rPr>
          <w:rFonts w:ascii="Arial" w:hAnsi="Arial"/>
          <w:i/>
          <w:noProof/>
          <w:sz w:val="20"/>
        </w:rPr>
        <w:t>.</w:t>
      </w:r>
      <w:r>
        <w:rPr>
          <w:rFonts w:ascii="Arial" w:hAnsi="Arial"/>
          <w:noProof/>
          <w:sz w:val="20"/>
        </w:rPr>
        <w:t>“</w:t>
      </w:r>
    </w:p>
    <w:p>
      <w:pPr>
        <w:rPr>
          <w:rFonts w:ascii="Arial" w:hAnsi="Arial" w:cs="Arial"/>
          <w:noProof/>
          <w:sz w:val="20"/>
        </w:rPr>
      </w:pPr>
      <w:r>
        <w:rPr>
          <w:rFonts w:ascii="Arial" w:hAnsi="Arial"/>
          <w:noProof/>
          <w:sz w:val="20"/>
        </w:rPr>
        <w:t xml:space="preserve">Komisia pozorne monitorovala uplatňovanie </w:t>
      </w:r>
      <w:r>
        <w:rPr>
          <w:rFonts w:ascii="Arial" w:hAnsi="Arial"/>
          <w:i/>
          <w:noProof/>
          <w:sz w:val="20"/>
        </w:rPr>
        <w:t>acquis</w:t>
      </w:r>
      <w:r>
        <w:rPr>
          <w:rFonts w:ascii="Arial" w:hAnsi="Arial"/>
          <w:noProof/>
          <w:sz w:val="20"/>
        </w:rPr>
        <w:t xml:space="preserve"> v oblasti klímy a energetickej politiky. Vykonávala systematické kontroly transpozície a súladu niekoľkých smerníc členskými štátmi. Ďalej pokračovala v otvorených postupoch v prípade nesplnenia povinnosti, pokiaľ ide o:</w:t>
      </w:r>
    </w:p>
    <w:p>
      <w:pPr>
        <w:pStyle w:val="ListParagraph"/>
        <w:numPr>
          <w:ilvl w:val="0"/>
          <w:numId w:val="37"/>
        </w:numPr>
        <w:rPr>
          <w:rFonts w:ascii="Arial" w:hAnsi="Arial" w:cs="Arial"/>
          <w:noProof/>
          <w:sz w:val="20"/>
        </w:rPr>
      </w:pPr>
      <w:r>
        <w:rPr>
          <w:rFonts w:ascii="Arial" w:hAnsi="Arial"/>
          <w:noProof/>
          <w:sz w:val="20"/>
        </w:rPr>
        <w:t>smernice tretieho energetického balíka</w:t>
      </w:r>
      <w:r>
        <w:rPr>
          <w:rStyle w:val="FootnoteReference"/>
          <w:rFonts w:ascii="Arial" w:hAnsi="Arial"/>
          <w:noProof/>
          <w:sz w:val="20"/>
        </w:rPr>
        <w:footnoteReference w:id="20"/>
      </w:r>
      <w:r>
        <w:rPr>
          <w:rFonts w:ascii="Arial" w:hAnsi="Arial"/>
          <w:noProof/>
          <w:sz w:val="20"/>
        </w:rPr>
        <w:t>,</w:t>
      </w:r>
    </w:p>
    <w:p>
      <w:pPr>
        <w:pStyle w:val="ListParagraph"/>
        <w:numPr>
          <w:ilvl w:val="0"/>
          <w:numId w:val="37"/>
        </w:numPr>
        <w:rPr>
          <w:rFonts w:ascii="Arial" w:hAnsi="Arial" w:cs="Arial"/>
          <w:noProof/>
          <w:sz w:val="20"/>
        </w:rPr>
      </w:pPr>
      <w:r>
        <w:rPr>
          <w:rFonts w:ascii="Arial" w:hAnsi="Arial"/>
          <w:noProof/>
          <w:sz w:val="20"/>
        </w:rPr>
        <w:t>smernicu o energetickej hospodárnosti budov</w:t>
      </w:r>
      <w:r>
        <w:rPr>
          <w:rStyle w:val="FootnoteReference"/>
          <w:rFonts w:ascii="Arial" w:hAnsi="Arial"/>
          <w:noProof/>
          <w:sz w:val="20"/>
        </w:rPr>
        <w:footnoteReference w:id="21"/>
      </w:r>
      <w:r>
        <w:rPr>
          <w:rFonts w:ascii="Arial" w:hAnsi="Arial"/>
          <w:noProof/>
          <w:sz w:val="20"/>
        </w:rPr>
        <w:t>,</w:t>
      </w:r>
    </w:p>
    <w:p>
      <w:pPr>
        <w:pStyle w:val="ListParagraph"/>
        <w:numPr>
          <w:ilvl w:val="0"/>
          <w:numId w:val="37"/>
        </w:numPr>
        <w:rPr>
          <w:rFonts w:ascii="Arial" w:hAnsi="Arial" w:cs="Arial"/>
          <w:noProof/>
          <w:sz w:val="20"/>
        </w:rPr>
      </w:pPr>
      <w:r>
        <w:rPr>
          <w:rFonts w:ascii="Arial" w:hAnsi="Arial"/>
          <w:noProof/>
          <w:sz w:val="20"/>
        </w:rPr>
        <w:t>smernicu na ochranu zdravia obyvateľstva vzhľadom na rádioaktívne látky obsiahnuté vo vode určenej na ľudskú spotrebu</w:t>
      </w:r>
      <w:r>
        <w:rPr>
          <w:rStyle w:val="FootnoteReference"/>
          <w:rFonts w:ascii="Arial" w:hAnsi="Arial"/>
          <w:noProof/>
          <w:sz w:val="20"/>
        </w:rPr>
        <w:footnoteReference w:id="22"/>
      </w:r>
      <w:r>
        <w:rPr>
          <w:rFonts w:ascii="Arial" w:hAnsi="Arial"/>
          <w:noProof/>
          <w:sz w:val="20"/>
        </w:rPr>
        <w:t>,</w:t>
      </w:r>
    </w:p>
    <w:p>
      <w:pPr>
        <w:pStyle w:val="ListParagraph"/>
        <w:numPr>
          <w:ilvl w:val="0"/>
          <w:numId w:val="37"/>
        </w:numPr>
        <w:rPr>
          <w:rFonts w:ascii="Arial" w:hAnsi="Arial" w:cs="Arial"/>
          <w:noProof/>
          <w:sz w:val="20"/>
        </w:rPr>
      </w:pPr>
      <w:r>
        <w:rPr>
          <w:rFonts w:ascii="Arial" w:hAnsi="Arial"/>
          <w:noProof/>
          <w:sz w:val="20"/>
        </w:rPr>
        <w:t>smernicu o rádioaktívnom odpade</w:t>
      </w:r>
      <w:r>
        <w:rPr>
          <w:rStyle w:val="FootnoteReference"/>
          <w:noProof/>
        </w:rPr>
        <w:footnoteReference w:id="23"/>
      </w:r>
      <w:r>
        <w:rPr>
          <w:rFonts w:ascii="Arial" w:hAnsi="Arial"/>
          <w:noProof/>
          <w:sz w:val="20"/>
        </w:rPr>
        <w:t>,</w:t>
      </w:r>
    </w:p>
    <w:p>
      <w:pPr>
        <w:pStyle w:val="ListParagraph"/>
        <w:numPr>
          <w:ilvl w:val="0"/>
          <w:numId w:val="37"/>
        </w:numPr>
        <w:rPr>
          <w:rFonts w:ascii="Arial" w:hAnsi="Arial" w:cs="Arial"/>
          <w:noProof/>
          <w:sz w:val="20"/>
        </w:rPr>
      </w:pPr>
      <w:r>
        <w:rPr>
          <w:rFonts w:ascii="Arial" w:hAnsi="Arial"/>
          <w:noProof/>
          <w:sz w:val="20"/>
        </w:rPr>
        <w:t>smernicu o energetickej efektívnosti</w:t>
      </w:r>
      <w:r>
        <w:rPr>
          <w:rStyle w:val="FootnoteReference"/>
          <w:rFonts w:ascii="Arial" w:hAnsi="Arial"/>
          <w:noProof/>
          <w:sz w:val="20"/>
        </w:rPr>
        <w:footnoteReference w:id="24"/>
      </w:r>
      <w:r>
        <w:rPr>
          <w:rFonts w:ascii="Arial" w:hAnsi="Arial"/>
          <w:noProof/>
          <w:sz w:val="20"/>
        </w:rPr>
        <w:t>,</w:t>
      </w:r>
    </w:p>
    <w:p>
      <w:pPr>
        <w:pStyle w:val="ListParagraph"/>
        <w:numPr>
          <w:ilvl w:val="0"/>
          <w:numId w:val="37"/>
        </w:numPr>
        <w:rPr>
          <w:rFonts w:ascii="Arial" w:hAnsi="Arial"/>
          <w:noProof/>
          <w:sz w:val="20"/>
        </w:rPr>
      </w:pPr>
      <w:r>
        <w:rPr>
          <w:rFonts w:ascii="Arial" w:hAnsi="Arial"/>
          <w:noProof/>
          <w:sz w:val="20"/>
        </w:rPr>
        <w:t>smernicu o bezpečnosti na mori</w:t>
      </w:r>
      <w:r>
        <w:rPr>
          <w:rStyle w:val="FootnoteReference"/>
          <w:rFonts w:ascii="Arial" w:hAnsi="Arial"/>
          <w:noProof/>
          <w:sz w:val="20"/>
        </w:rPr>
        <w:footnoteReference w:id="25"/>
      </w:r>
      <w:r>
        <w:rPr>
          <w:rFonts w:ascii="Arial" w:hAnsi="Arial"/>
          <w:noProof/>
          <w:sz w:val="20"/>
        </w:rPr>
        <w:t>,</w:t>
      </w:r>
    </w:p>
    <w:p>
      <w:pPr>
        <w:pStyle w:val="ListParagraph"/>
        <w:numPr>
          <w:ilvl w:val="0"/>
          <w:numId w:val="37"/>
        </w:numPr>
        <w:rPr>
          <w:rFonts w:ascii="Arial" w:hAnsi="Arial" w:cs="Arial"/>
          <w:noProof/>
          <w:sz w:val="20"/>
        </w:rPr>
      </w:pPr>
      <w:r>
        <w:rPr>
          <w:rFonts w:ascii="Arial" w:hAnsi="Arial"/>
          <w:noProof/>
          <w:sz w:val="20"/>
        </w:rPr>
        <w:t>smernicu o obnoviteľných zdrojoch energie</w:t>
      </w:r>
      <w:r>
        <w:rPr>
          <w:rStyle w:val="FootnoteReference"/>
          <w:rFonts w:ascii="Arial" w:hAnsi="Arial"/>
          <w:noProof/>
          <w:sz w:val="20"/>
        </w:rPr>
        <w:footnoteReference w:id="26"/>
      </w:r>
      <w:r>
        <w:rPr>
          <w:rFonts w:ascii="Arial" w:hAnsi="Arial"/>
          <w:noProof/>
          <w:sz w:val="20"/>
        </w:rPr>
        <w:t>,</w:t>
      </w:r>
    </w:p>
    <w:p>
      <w:pPr>
        <w:pStyle w:val="ListParagraph"/>
        <w:numPr>
          <w:ilvl w:val="0"/>
          <w:numId w:val="37"/>
        </w:numPr>
        <w:rPr>
          <w:rFonts w:ascii="Arial" w:hAnsi="Arial"/>
          <w:noProof/>
          <w:sz w:val="20"/>
        </w:rPr>
      </w:pPr>
      <w:r>
        <w:rPr>
          <w:rFonts w:ascii="Arial" w:hAnsi="Arial"/>
          <w:noProof/>
          <w:sz w:val="20"/>
        </w:rPr>
        <w:t>smernicu o zásobách ropy</w:t>
      </w:r>
      <w:r>
        <w:rPr>
          <w:rStyle w:val="FootnoteReference"/>
          <w:rFonts w:ascii="Arial" w:hAnsi="Arial"/>
          <w:noProof/>
          <w:sz w:val="20"/>
        </w:rPr>
        <w:footnoteReference w:id="27"/>
      </w:r>
      <w:r>
        <w:rPr>
          <w:rFonts w:ascii="Arial" w:hAnsi="Arial"/>
          <w:noProof/>
          <w:sz w:val="20"/>
        </w:rPr>
        <w:t>,</w:t>
      </w:r>
    </w:p>
    <w:p>
      <w:pPr>
        <w:pStyle w:val="ListParagraph"/>
        <w:numPr>
          <w:ilvl w:val="0"/>
          <w:numId w:val="37"/>
        </w:numPr>
        <w:rPr>
          <w:rFonts w:ascii="Arial" w:hAnsi="Arial" w:cs="Arial"/>
          <w:noProof/>
          <w:sz w:val="20"/>
        </w:rPr>
      </w:pPr>
      <w:r>
        <w:rPr>
          <w:rFonts w:ascii="Arial" w:hAnsi="Arial"/>
          <w:noProof/>
          <w:sz w:val="20"/>
        </w:rPr>
        <w:t>nariadenie o bezpečnosti dodávok plynu</w:t>
      </w:r>
      <w:r>
        <w:rPr>
          <w:rStyle w:val="FootnoteReference"/>
          <w:rFonts w:ascii="Arial" w:hAnsi="Arial"/>
          <w:noProof/>
          <w:sz w:val="20"/>
        </w:rPr>
        <w:footnoteReference w:id="28"/>
      </w:r>
      <w:r>
        <w:rPr>
          <w:rFonts w:ascii="Arial" w:hAnsi="Arial"/>
          <w:noProof/>
          <w:sz w:val="20"/>
        </w:rPr>
        <w:t>,</w:t>
      </w:r>
    </w:p>
    <w:p>
      <w:pPr>
        <w:pStyle w:val="ListParagraph"/>
        <w:numPr>
          <w:ilvl w:val="0"/>
          <w:numId w:val="37"/>
        </w:numPr>
        <w:spacing w:line="276" w:lineRule="auto"/>
        <w:rPr>
          <w:rFonts w:ascii="Arial" w:hAnsi="Arial"/>
          <w:noProof/>
          <w:sz w:val="20"/>
        </w:rPr>
      </w:pPr>
      <w:r>
        <w:rPr>
          <w:rFonts w:ascii="Arial" w:hAnsi="Arial"/>
          <w:noProof/>
          <w:sz w:val="20"/>
        </w:rPr>
        <w:t>smernice o systéme EÚ na obchodovanie s emisiami</w:t>
      </w:r>
      <w:r>
        <w:rPr>
          <w:rStyle w:val="FootnoteReference"/>
          <w:rFonts w:ascii="Arial" w:hAnsi="Arial"/>
          <w:noProof/>
          <w:sz w:val="20"/>
        </w:rPr>
        <w:footnoteReference w:id="29"/>
      </w:r>
      <w:r>
        <w:rPr>
          <w:rFonts w:ascii="Arial" w:hAnsi="Arial"/>
          <w:noProof/>
          <w:sz w:val="20"/>
        </w:rPr>
        <w:t>,</w:t>
      </w:r>
    </w:p>
    <w:p>
      <w:pPr>
        <w:pStyle w:val="ListParagraph"/>
        <w:numPr>
          <w:ilvl w:val="0"/>
          <w:numId w:val="37"/>
        </w:numPr>
        <w:spacing w:line="276" w:lineRule="auto"/>
        <w:rPr>
          <w:rFonts w:ascii="Arial" w:hAnsi="Arial" w:cs="Arial"/>
          <w:noProof/>
          <w:sz w:val="20"/>
        </w:rPr>
      </w:pPr>
      <w:r>
        <w:rPr>
          <w:rFonts w:ascii="Arial" w:hAnsi="Arial"/>
          <w:noProof/>
          <w:sz w:val="20"/>
        </w:rPr>
        <w:t>smernicu o kvalite palív</w:t>
      </w:r>
      <w:r>
        <w:rPr>
          <w:rStyle w:val="FootnoteReference"/>
          <w:rFonts w:ascii="Arial" w:hAnsi="Arial"/>
          <w:noProof/>
          <w:sz w:val="20"/>
        </w:rPr>
        <w:footnoteReference w:id="30"/>
      </w:r>
      <w:r>
        <w:rPr>
          <w:rFonts w:ascii="Arial" w:hAnsi="Arial"/>
          <w:noProof/>
          <w:sz w:val="20"/>
        </w:rPr>
        <w:t xml:space="preserve"> a</w:t>
      </w:r>
    </w:p>
    <w:p>
      <w:pPr>
        <w:pStyle w:val="ListParagraph"/>
        <w:numPr>
          <w:ilvl w:val="0"/>
          <w:numId w:val="37"/>
        </w:numPr>
        <w:spacing w:line="276" w:lineRule="auto"/>
        <w:rPr>
          <w:rFonts w:ascii="Arial" w:hAnsi="Arial" w:cs="Arial"/>
          <w:noProof/>
          <w:sz w:val="20"/>
        </w:rPr>
      </w:pPr>
      <w:r>
        <w:rPr>
          <w:rFonts w:ascii="Arial" w:hAnsi="Arial"/>
          <w:noProof/>
          <w:sz w:val="20"/>
        </w:rPr>
        <w:t>smernicu o geologickom ukladaní oxidu uhličitého</w:t>
      </w:r>
      <w:r>
        <w:rPr>
          <w:rStyle w:val="FootnoteReference"/>
          <w:rFonts w:ascii="Arial" w:hAnsi="Arial"/>
          <w:noProof/>
          <w:sz w:val="20"/>
        </w:rPr>
        <w:footnoteReference w:id="31"/>
      </w:r>
      <w:r>
        <w:rPr>
          <w:rFonts w:ascii="Arial" w:hAnsi="Arial"/>
          <w:noProof/>
          <w:sz w:val="20"/>
        </w:rPr>
        <w:t>.</w:t>
      </w:r>
    </w:p>
    <w:p>
      <w:pPr>
        <w:rPr>
          <w:rFonts w:ascii="Arial" w:hAnsi="Arial"/>
          <w:noProof/>
          <w:sz w:val="20"/>
        </w:rPr>
      </w:pPr>
      <w:r>
        <w:rPr>
          <w:rFonts w:ascii="Arial" w:hAnsi="Arial"/>
          <w:noProof/>
          <w:sz w:val="20"/>
        </w:rPr>
        <w:t>Po kontrolách súladu Komisia v roku 2016 začala rozhovory v rámci projektu EU Pilot s niekoľkými členskými štátmi. Komisia takisto začala 31 postupov v prípade nesplnenia povinnosti po systematických kontrolách zhody a nedostatočnom podávaní správ o energetickej účinnosti a v jadrovej oblasti.</w:t>
      </w:r>
    </w:p>
    <w:p>
      <w:pPr>
        <w:pStyle w:val="kop3"/>
        <w:rPr>
          <w:noProof/>
          <w:spacing w:val="-2"/>
        </w:rPr>
      </w:pPr>
      <w:bookmarkStart w:id="23" w:name="_Toc444796649"/>
      <w:bookmarkStart w:id="24" w:name="_Toc484623689"/>
      <w:bookmarkStart w:id="25" w:name="_Toc484685978"/>
      <w:bookmarkStart w:id="26" w:name="_Toc486858010"/>
      <w:r>
        <w:rPr>
          <w:noProof/>
          <w:spacing w:val="-2"/>
        </w:rPr>
        <w:t>Prepracovanejší a spravodlivejší vnútorný trh s posilnenou priemyselnou základňou</w:t>
      </w:r>
      <w:bookmarkEnd w:id="23"/>
      <w:bookmarkEnd w:id="24"/>
      <w:bookmarkEnd w:id="25"/>
      <w:bookmarkEnd w:id="26"/>
    </w:p>
    <w:p>
      <w:pPr>
        <w:rPr>
          <w:rFonts w:ascii="Arial" w:hAnsi="Arial" w:cs="Arial"/>
          <w:i/>
          <w:noProof/>
          <w:sz w:val="20"/>
        </w:rPr>
      </w:pPr>
      <w:r>
        <w:rPr>
          <w:rFonts w:ascii="Arial" w:hAnsi="Arial"/>
          <w:noProof/>
          <w:sz w:val="20"/>
        </w:rPr>
        <w:t>Jednotný trh ponúka obrovské príležitosti pre európske podniky, ako aj väčší výber a nižšie ceny pre spotrebiteľov. Umožňuje ľuďom cestovať, žiť, pracovať a študovať tam, kde si to želajú. Tieto prínosy sa však neukážu, ak sa pravidlá jednotného trhu neuplatňujú alebo nevykonávajú, alebo ak tomu bránia iné prekážky.</w:t>
      </w:r>
    </w:p>
    <w:p>
      <w:pPr>
        <w:rPr>
          <w:rFonts w:ascii="Arial" w:hAnsi="Arial" w:cs="Arial"/>
          <w:b/>
          <w:i/>
          <w:noProof/>
          <w:sz w:val="20"/>
        </w:rPr>
      </w:pPr>
      <w:r>
        <w:rPr>
          <w:rFonts w:ascii="Arial" w:hAnsi="Arial"/>
          <w:i/>
          <w:noProof/>
          <w:sz w:val="20"/>
        </w:rPr>
        <w:t xml:space="preserve">Presadzovanie </w:t>
      </w:r>
      <w:r>
        <w:rPr>
          <w:rFonts w:ascii="Arial" w:hAnsi="Arial"/>
          <w:noProof/>
          <w:sz w:val="20"/>
        </w:rPr>
        <w:t>acquis</w:t>
      </w:r>
      <w:r>
        <w:rPr>
          <w:rFonts w:ascii="Arial" w:hAnsi="Arial"/>
          <w:i/>
          <w:noProof/>
          <w:sz w:val="20"/>
        </w:rPr>
        <w:t xml:space="preserve"> v oblasti hospodárskej súťaže</w:t>
      </w:r>
    </w:p>
    <w:p>
      <w:pPr>
        <w:rPr>
          <w:rFonts w:ascii="Arial" w:hAnsi="Arial" w:cs="Arial"/>
          <w:noProof/>
          <w:sz w:val="20"/>
        </w:rPr>
      </w:pPr>
      <w:r>
        <w:rPr>
          <w:rFonts w:ascii="Arial" w:hAnsi="Arial"/>
          <w:noProof/>
          <w:sz w:val="20"/>
        </w:rPr>
        <w:t>Komisia svoje úsilie o presadzovania práva v oblasti hospodárskej súťaže zamerala na zabezpečenie súladu s pravidlami EÚ v oblasti antitrustových opatrení a štátnej pomoci. V roku 2016 Komisia pokračovala v postupe v prípade nesplnenia povinnosti zameranom na riešenie možného posilnenia dominantného postavenia etablovaného subjektu na trhu s elektrickou energiou v jednom členskom štáte. Vyplynulo to z opatrení prijatých členským štátom, prostredníctvom ktorých sa jednému subjektu udelila väčšina koncesií na hydroelektrárne na veľmi dlhé obdobie bez uskutočnenia verejného obstarávania.</w:t>
      </w:r>
    </w:p>
    <w:p>
      <w:pPr>
        <w:rPr>
          <w:rFonts w:ascii="Arial" w:hAnsi="Arial" w:cs="Arial"/>
          <w:noProof/>
          <w:sz w:val="20"/>
        </w:rPr>
      </w:pPr>
      <w:r>
        <w:rPr>
          <w:rFonts w:ascii="Arial" w:hAnsi="Arial"/>
          <w:noProof/>
          <w:sz w:val="20"/>
        </w:rPr>
        <w:t xml:space="preserve">Presadzovanie rozhodnutí o štátnej pomoci má zásadný význam pre dôveryhodnosť kontrol Komisie v oblasti štátnej pomoci. V roku 2016 Komisia začala konanie na Súdnom dvore proti Grécku podľa článku 260 ods. 2 ZFEÚ za to, že nevykonalo rozhodnutie Komisie o vrátení pomoci z roku 2008 vo veci </w:t>
      </w:r>
      <w:r>
        <w:rPr>
          <w:rFonts w:ascii="Arial" w:hAnsi="Arial"/>
          <w:i/>
          <w:noProof/>
          <w:sz w:val="20"/>
        </w:rPr>
        <w:t>Hellenic Shipyards</w:t>
      </w:r>
      <w:r>
        <w:rPr>
          <w:rFonts w:ascii="Arial" w:hAnsi="Arial"/>
          <w:noProof/>
          <w:sz w:val="20"/>
        </w:rPr>
        <w:t xml:space="preserve"> a za to, že nevyhovelo rozsudku Súdneho dvora z roku 2013</w:t>
      </w:r>
      <w:r>
        <w:rPr>
          <w:rStyle w:val="FootnoteReference"/>
          <w:rFonts w:ascii="Arial" w:hAnsi="Arial"/>
          <w:noProof/>
          <w:sz w:val="20"/>
        </w:rPr>
        <w:footnoteReference w:id="32"/>
      </w:r>
      <w:r>
        <w:rPr>
          <w:rFonts w:ascii="Arial" w:hAnsi="Arial"/>
          <w:noProof/>
          <w:sz w:val="20"/>
        </w:rPr>
        <w:t>.</w:t>
      </w:r>
    </w:p>
    <w:p>
      <w:pPr>
        <w:rPr>
          <w:rFonts w:ascii="Arial" w:hAnsi="Arial" w:cs="Arial"/>
          <w:noProof/>
          <w:sz w:val="20"/>
        </w:rPr>
      </w:pPr>
      <w:r>
        <w:rPr>
          <w:rFonts w:ascii="Arial" w:hAnsi="Arial"/>
          <w:noProof/>
          <w:sz w:val="20"/>
        </w:rPr>
        <w:t>Komisia pomáha členským štátom pri vykonávaní smernice o žalobách o náhradu škody utrpenej v dôsledku porušenia antitrustových pravidiel</w:t>
      </w:r>
      <w:r>
        <w:rPr>
          <w:rStyle w:val="FootnoteReference"/>
          <w:rFonts w:ascii="Arial" w:hAnsi="Arial"/>
          <w:noProof/>
          <w:sz w:val="20"/>
        </w:rPr>
        <w:footnoteReference w:id="33"/>
      </w:r>
      <w:r>
        <w:rPr>
          <w:rFonts w:ascii="Arial" w:hAnsi="Arial"/>
          <w:noProof/>
          <w:sz w:val="20"/>
        </w:rPr>
        <w:t xml:space="preserve"> a bude naďalej vynakladať značné úsilie na zabezpečenie včasného a riadneho vykonania smernice.</w:t>
      </w:r>
    </w:p>
    <w:p>
      <w:pPr>
        <w:rPr>
          <w:rFonts w:ascii="Arial" w:hAnsi="Arial" w:cs="Arial"/>
          <w:i/>
          <w:noProof/>
          <w:sz w:val="20"/>
        </w:rPr>
      </w:pPr>
      <w:r>
        <w:rPr>
          <w:rFonts w:ascii="Arial" w:hAnsi="Arial"/>
          <w:i/>
          <w:noProof/>
          <w:sz w:val="20"/>
        </w:rPr>
        <w:t xml:space="preserve">Presadzovanie </w:t>
      </w:r>
      <w:r>
        <w:rPr>
          <w:rFonts w:ascii="Arial" w:hAnsi="Arial"/>
          <w:noProof/>
          <w:sz w:val="20"/>
        </w:rPr>
        <w:t>acquis</w:t>
      </w:r>
      <w:r>
        <w:rPr>
          <w:rFonts w:ascii="Arial" w:hAnsi="Arial"/>
          <w:i/>
          <w:noProof/>
          <w:sz w:val="20"/>
        </w:rPr>
        <w:t xml:space="preserve"> v oblasti jednotného trhu, priemyslu, podnikania a MSP</w:t>
      </w:r>
    </w:p>
    <w:p>
      <w:pPr>
        <w:rPr>
          <w:rFonts w:ascii="Arial" w:hAnsi="Arial" w:cs="Arial"/>
          <w:noProof/>
          <w:sz w:val="20"/>
        </w:rPr>
      </w:pPr>
      <w:r>
        <w:rPr>
          <w:rFonts w:ascii="Arial" w:hAnsi="Arial"/>
          <w:noProof/>
          <w:sz w:val="20"/>
        </w:rPr>
        <w:t>V stratégii jednotného trhu</w:t>
      </w:r>
      <w:r>
        <w:rPr>
          <w:rStyle w:val="FootnoteReference"/>
          <w:rFonts w:ascii="Arial" w:hAnsi="Arial"/>
          <w:noProof/>
          <w:sz w:val="20"/>
        </w:rPr>
        <w:footnoteReference w:id="34"/>
      </w:r>
      <w:r>
        <w:rPr>
          <w:rFonts w:ascii="Arial" w:hAnsi="Arial"/>
          <w:noProof/>
          <w:sz w:val="20"/>
        </w:rPr>
        <w:t xml:space="preserve"> Komisie sa stanovuje vytvorenie kultúry dodržiavania a inteligentného presadzovania práva. Zahŕňa to celostný prístup k presadzovaniu pravidiel vnútorného trhu. Tento prístup zahŕňa všetky fázy tvorby politiky, od návrhu politiky až po jej transpozíciu, realizáciu a inteligentné presadzovanie pravidiel jednotného trhu, v súlade s prístupom založeným na zásade lepšej právnej regulácie. Zahŕňa lepšie začlenenie hodnotenia a presadzovania práva do návrhov politík a lepšie poskytovanie pomoci a usmernení členským štátom a hospodárskym subjektom o tom, ako vykonávať pravidlá vnútorného trhu. Celkovým cieľom je zlepšenie súladu konkrétne s pravidlami jednotného trhu a právom Únie vo všeobecnosti.</w:t>
      </w:r>
    </w:p>
    <w:p>
      <w:pPr>
        <w:rPr>
          <w:rFonts w:ascii="Arial" w:hAnsi="Arial" w:cs="Arial"/>
          <w:noProof/>
          <w:sz w:val="20"/>
        </w:rPr>
      </w:pPr>
      <w:r>
        <w:rPr>
          <w:rFonts w:ascii="Arial" w:hAnsi="Arial"/>
          <w:noProof/>
          <w:sz w:val="20"/>
        </w:rPr>
        <w:t>Komisia poskytuje členským štátom usmernenia v súlade s týmto prístupom. Urobila tak napríklad v roku 2016 poskytnutím právnej zrozumiteľnosti vo veci platných pravidiel EÚ v inovatívnych oblastiach kolaboratívneho hospodárstva a elektronického obchodu</w:t>
      </w:r>
      <w:r>
        <w:rPr>
          <w:rStyle w:val="FootnoteReference"/>
          <w:rFonts w:ascii="Arial" w:hAnsi="Arial"/>
          <w:noProof/>
          <w:sz w:val="20"/>
        </w:rPr>
        <w:footnoteReference w:id="35"/>
      </w:r>
      <w:r>
        <w:rPr>
          <w:rFonts w:ascii="Arial" w:hAnsi="Arial"/>
          <w:noProof/>
          <w:sz w:val="20"/>
        </w:rPr>
        <w:t>. Komisia takisto ponúka usmernenie pre občanov EÚ a podniky, aby mohli využívať svoje práva v rámci pravidiel jednotného trhu. Uskutočňuje to tak, že ich nasmeruje na príslušné mechanizmy nápravy, ako napríklad SOLVIT. Zároveň dôkazy získané z prípadov v sieti SOLVIT môžu pomôcť Komisii zistiť možné porušenia práva Únie, čím sa SOLVIT stáva nástrojom inteligentného presadzovania práva.</w:t>
      </w:r>
    </w:p>
    <w:p>
      <w:pPr>
        <w:rPr>
          <w:rFonts w:ascii="Arial" w:hAnsi="Arial" w:cs="Arial"/>
          <w:noProof/>
          <w:sz w:val="20"/>
        </w:rPr>
      </w:pPr>
      <w:r>
        <w:rPr>
          <w:rFonts w:ascii="Arial" w:hAnsi="Arial"/>
          <w:noProof/>
          <w:sz w:val="20"/>
        </w:rPr>
        <w:t>V roku 2016 Komisia okrem iného uplatnila svoj prístup inteligentného presadzovania práva v dvoch konkrétnych oblastiach. V odvetví služieb Komisia požiadala deväť členských štátov, aby odstránili neprimerané a neodôvodnené prekážky pre poskytovanie služieb v rámci vnútorného trhu. Komisia usúdila, že požiadavky uložené na niektorých poskytovateľov služieb v týchto členských štátoch sú v rozpore so smernicou o službách</w:t>
      </w:r>
      <w:r>
        <w:rPr>
          <w:rStyle w:val="FootnoteReference"/>
          <w:rFonts w:ascii="Arial" w:hAnsi="Arial"/>
          <w:noProof/>
          <w:sz w:val="20"/>
        </w:rPr>
        <w:footnoteReference w:id="36"/>
      </w:r>
      <w:r>
        <w:rPr>
          <w:noProof/>
        </w:rPr>
        <w:t>.</w:t>
      </w:r>
      <w:r>
        <w:rPr>
          <w:rFonts w:ascii="Arial" w:hAnsi="Arial"/>
          <w:noProof/>
          <w:sz w:val="20"/>
        </w:rPr>
        <w:t xml:space="preserve"> Komisia veľmi pozorne sleduje presadzovanie súčasných pravidiel EÚ v automobilovom sektore vnútroštátnymi orgánmi. V roku 2016 začala postupy v prípade nesplnenia povinnosti proti siedmim členským štátom pre neplnenie ich povinností vyplývajúcich z právnych predpisov EÚ v oblasti typového schválenia vozidiel</w:t>
      </w:r>
      <w:r>
        <w:rPr>
          <w:rStyle w:val="FootnoteReference"/>
          <w:rFonts w:ascii="Arial" w:hAnsi="Arial"/>
          <w:noProof/>
          <w:sz w:val="20"/>
        </w:rPr>
        <w:footnoteReference w:id="37"/>
      </w:r>
      <w:r>
        <w:rPr>
          <w:noProof/>
        </w:rPr>
        <w:t>.</w:t>
      </w:r>
      <w:r>
        <w:rPr>
          <w:rFonts w:ascii="Arial" w:hAnsi="Arial"/>
          <w:noProof/>
          <w:sz w:val="20"/>
        </w:rPr>
        <w:t xml:space="preserve"> Tieto kroky boli konkrétne zamerané na neschopnosť členských štátov zaviesť alebo uplatniť systémy sankcií na odradenie výrobcov automobilov od porušovania právnych predpisov o emisiách automobilov.</w:t>
      </w:r>
    </w:p>
    <w:p>
      <w:pPr>
        <w:rPr>
          <w:noProof/>
        </w:rPr>
      </w:pPr>
      <w:r>
        <w:rPr>
          <w:rFonts w:ascii="Arial" w:hAnsi="Arial"/>
          <w:noProof/>
          <w:sz w:val="20"/>
        </w:rPr>
        <w:t>Okrem toho Komisia začala postupy v prípade nesplnenia povinnosti proti väčšine členských štátov z dôvodu nedostatočnej transpozície smerníc o verejnom obstarávaní</w:t>
      </w:r>
      <w:r>
        <w:rPr>
          <w:rStyle w:val="FootnoteReference"/>
          <w:rFonts w:ascii="Arial" w:hAnsi="Arial"/>
          <w:noProof/>
          <w:sz w:val="20"/>
        </w:rPr>
        <w:footnoteReference w:id="38"/>
      </w:r>
      <w:r>
        <w:rPr>
          <w:rFonts w:ascii="Arial" w:hAnsi="Arial"/>
          <w:noProof/>
          <w:sz w:val="20"/>
        </w:rPr>
        <w:t>, legálnej metrológii</w:t>
      </w:r>
      <w:r>
        <w:rPr>
          <w:rStyle w:val="FootnoteReference"/>
          <w:rFonts w:ascii="Arial" w:hAnsi="Arial"/>
          <w:noProof/>
          <w:sz w:val="20"/>
        </w:rPr>
        <w:footnoteReference w:id="39"/>
      </w:r>
      <w:r>
        <w:rPr>
          <w:rFonts w:ascii="Arial" w:hAnsi="Arial"/>
          <w:noProof/>
          <w:sz w:val="20"/>
        </w:rPr>
        <w:t>, moderných technických a výrobných systémoch</w:t>
      </w:r>
      <w:r>
        <w:rPr>
          <w:rStyle w:val="FootnoteReference"/>
          <w:rFonts w:ascii="Arial" w:hAnsi="Arial"/>
          <w:noProof/>
          <w:sz w:val="20"/>
        </w:rPr>
        <w:footnoteReference w:id="40"/>
      </w:r>
      <w:r>
        <w:rPr>
          <w:rFonts w:ascii="Arial" w:hAnsi="Arial"/>
          <w:noProof/>
          <w:sz w:val="20"/>
        </w:rPr>
        <w:t>, výbušninách na civilné použitie a výrobkoch obranného priemyslu</w:t>
      </w:r>
      <w:r>
        <w:rPr>
          <w:rStyle w:val="FootnoteReference"/>
          <w:rFonts w:ascii="Arial" w:hAnsi="Arial"/>
          <w:noProof/>
          <w:sz w:val="20"/>
        </w:rPr>
        <w:footnoteReference w:id="41"/>
      </w:r>
      <w:r>
        <w:rPr>
          <w:rFonts w:ascii="Arial" w:hAnsi="Arial"/>
          <w:noProof/>
          <w:sz w:val="20"/>
        </w:rPr>
        <w:t xml:space="preserve"> a informačných systémoch vnútorného trhu</w:t>
      </w:r>
      <w:r>
        <w:rPr>
          <w:rStyle w:val="FootnoteReference"/>
          <w:rFonts w:ascii="Arial" w:hAnsi="Arial"/>
          <w:noProof/>
          <w:sz w:val="20"/>
        </w:rPr>
        <w:footnoteReference w:id="42"/>
      </w:r>
      <w:r>
        <w:rPr>
          <w:noProof/>
        </w:rPr>
        <w:t>.</w:t>
      </w:r>
    </w:p>
    <w:p>
      <w:pPr>
        <w:rPr>
          <w:rFonts w:ascii="Arial" w:hAnsi="Arial"/>
          <w:i/>
          <w:noProof/>
          <w:sz w:val="20"/>
        </w:rPr>
      </w:pPr>
      <w:r>
        <w:rPr>
          <w:rFonts w:ascii="Arial" w:hAnsi="Arial"/>
          <w:i/>
          <w:noProof/>
          <w:sz w:val="20"/>
        </w:rPr>
        <w:t xml:space="preserve">Presadzovanie </w:t>
      </w:r>
      <w:r>
        <w:rPr>
          <w:rFonts w:ascii="Arial" w:hAnsi="Arial"/>
          <w:noProof/>
          <w:sz w:val="20"/>
        </w:rPr>
        <w:t xml:space="preserve">acquis </w:t>
      </w:r>
      <w:r>
        <w:rPr>
          <w:rFonts w:ascii="Arial" w:hAnsi="Arial"/>
          <w:i/>
          <w:noProof/>
          <w:sz w:val="20"/>
        </w:rPr>
        <w:t>v oblasti únie kapitálových trhov a finančných služieb</w:t>
      </w:r>
    </w:p>
    <w:p>
      <w:pPr>
        <w:rPr>
          <w:rFonts w:ascii="Arial" w:hAnsi="Arial" w:cs="Arial"/>
          <w:noProof/>
          <w:sz w:val="20"/>
        </w:rPr>
      </w:pPr>
      <w:r>
        <w:rPr>
          <w:rFonts w:ascii="Arial" w:hAnsi="Arial"/>
          <w:noProof/>
          <w:sz w:val="20"/>
        </w:rPr>
        <w:t>Cieľom únie kapitálových trhov je uľahčiť prístup k financiám inovačným podnikom, začínajúcim podnikom a malým a stredným podnikom. Snaží sa zatraktívniť kapitálové trhy EÚ pre malých a inštitucionálnych investorov a ďalej rozširovať cezhraničné investície. Zámerom únie kapitálových trhov je takisto pomôcť obnoviť stabilitu a dôveru vo finančný sektor po kríze.</w:t>
      </w:r>
    </w:p>
    <w:p>
      <w:pPr>
        <w:rPr>
          <w:rFonts w:ascii="Arial" w:hAnsi="Arial" w:cs="Arial"/>
          <w:noProof/>
          <w:sz w:val="20"/>
        </w:rPr>
      </w:pPr>
      <w:r>
        <w:rPr>
          <w:rFonts w:ascii="Arial" w:hAnsi="Arial"/>
          <w:i/>
          <w:noProof/>
          <w:sz w:val="20"/>
        </w:rPr>
        <w:t>Akčný plán Komisie na vybudovanie únie kapitálových trhov</w:t>
      </w:r>
      <w:r>
        <w:rPr>
          <w:rStyle w:val="FootnoteReference"/>
          <w:rFonts w:ascii="Arial" w:hAnsi="Arial"/>
          <w:noProof/>
          <w:sz w:val="20"/>
        </w:rPr>
        <w:footnoteReference w:id="43"/>
      </w:r>
      <w:r>
        <w:rPr>
          <w:rFonts w:ascii="Arial" w:hAnsi="Arial"/>
          <w:noProof/>
          <w:sz w:val="20"/>
        </w:rPr>
        <w:t xml:space="preserve"> z roku 2015 bol doplnený v septembri 2016 oznámením s názvom </w:t>
      </w:r>
      <w:r>
        <w:rPr>
          <w:rFonts w:ascii="Arial" w:hAnsi="Arial"/>
          <w:i/>
          <w:noProof/>
          <w:sz w:val="20"/>
        </w:rPr>
        <w:t>Únia kapitálových trhov – urýchlenie reformy</w:t>
      </w:r>
      <w:r>
        <w:rPr>
          <w:rStyle w:val="FootnoteReference"/>
          <w:rFonts w:ascii="Arial" w:hAnsi="Arial"/>
          <w:noProof/>
          <w:sz w:val="20"/>
        </w:rPr>
        <w:footnoteReference w:id="44"/>
      </w:r>
      <w:r>
        <w:rPr>
          <w:noProof/>
        </w:rPr>
        <w:t>.</w:t>
      </w:r>
      <w:r>
        <w:rPr>
          <w:rFonts w:ascii="Arial" w:hAnsi="Arial"/>
          <w:noProof/>
          <w:sz w:val="20"/>
        </w:rPr>
        <w:t xml:space="preserve"> Opatrenie Komisie zamerané na presadzovanie práva podporuje túto iniciatívu odstránením cezhraničných investičných prekážok na vnútroštátnej úrovni [napr. v prípadoch zlatých akcií („golden shares“) a investičných obmedzení] a zabezpečením plného vykonávania smerníc o únii kapitálových trhov, pokiaľ ide o kapitálové trhy. Napríklad Komisia začala postupy v prípade nesplnenia povinnosti proti 21 členským štátom pre ich transpozície smernice o transparentnosti</w:t>
      </w:r>
      <w:r>
        <w:rPr>
          <w:rStyle w:val="FootnoteReference"/>
          <w:rFonts w:ascii="Arial" w:hAnsi="Arial"/>
          <w:noProof/>
          <w:sz w:val="20"/>
        </w:rPr>
        <w:footnoteReference w:id="45"/>
      </w:r>
      <w:r>
        <w:rPr>
          <w:rFonts w:ascii="Arial" w:hAnsi="Arial"/>
          <w:noProof/>
          <w:sz w:val="20"/>
        </w:rPr>
        <w:t>, ktorej cieľom je zabezpečiť, aby emitenti cenných papierov zverejňovali určité kľúčové informácie o svojich operáciách.</w:t>
      </w:r>
    </w:p>
    <w:p>
      <w:pPr>
        <w:rPr>
          <w:rFonts w:ascii="Arial" w:hAnsi="Arial" w:cs="Arial"/>
          <w:noProof/>
          <w:sz w:val="20"/>
        </w:rPr>
      </w:pPr>
      <w:r>
        <w:rPr>
          <w:rFonts w:ascii="Arial" w:hAnsi="Arial"/>
          <w:noProof/>
          <w:sz w:val="20"/>
        </w:rPr>
        <w:t>V dôsledku finančnej krízy bolo prijatých niekoľko smerníc na ďalšie otvorenie trhu EÚ s finančnými službami a posilnenie odolnosti a stability finančného sektora. Kľúčové opatrenia zahŕňajú smernice o účtovníctve a audite</w:t>
      </w:r>
      <w:r>
        <w:rPr>
          <w:rStyle w:val="FootnoteReference"/>
          <w:rFonts w:ascii="Arial" w:hAnsi="Arial"/>
          <w:noProof/>
          <w:sz w:val="20"/>
        </w:rPr>
        <w:footnoteReference w:id="46"/>
      </w:r>
      <w:r>
        <w:rPr>
          <w:rFonts w:ascii="Arial" w:hAnsi="Arial"/>
          <w:noProof/>
          <w:sz w:val="20"/>
        </w:rPr>
        <w:t>, smernicu o podnikoch kolektívneho investovania do prevoditeľných cenných papierov</w:t>
      </w:r>
      <w:r>
        <w:rPr>
          <w:rStyle w:val="FootnoteReference"/>
          <w:rFonts w:ascii="Arial" w:hAnsi="Arial"/>
          <w:noProof/>
          <w:sz w:val="20"/>
        </w:rPr>
        <w:footnoteReference w:id="47"/>
      </w:r>
      <w:r>
        <w:rPr>
          <w:rFonts w:ascii="Arial" w:hAnsi="Arial"/>
          <w:noProof/>
          <w:sz w:val="20"/>
        </w:rPr>
        <w:t xml:space="preserve"> a smernicu o hypotekárnych úveroch</w:t>
      </w:r>
      <w:r>
        <w:rPr>
          <w:rStyle w:val="FootnoteReference"/>
          <w:rFonts w:ascii="Arial" w:hAnsi="Arial"/>
          <w:noProof/>
          <w:sz w:val="20"/>
        </w:rPr>
        <w:footnoteReference w:id="48"/>
      </w:r>
      <w:r>
        <w:rPr>
          <w:noProof/>
        </w:rPr>
        <w:t>.</w:t>
      </w:r>
      <w:r>
        <w:rPr>
          <w:rFonts w:ascii="Arial" w:hAnsi="Arial"/>
          <w:noProof/>
          <w:sz w:val="20"/>
        </w:rPr>
        <w:t xml:space="preserve"> V roku 2016 sa Komisia vo svojich opatreniach na presadzovanie práva zamerala na zabezpečenie úplného vykonávania týchto smerníc prostredníctvom overovania úplnosti a správnosti ich transpozície. Začala napríklad postupy v prípade nesplnenia povinnosti v súvislosti s neskorou transpozíciou smernice o hypotekárnych úveroch proti 20 členským štátom, v prípade smernice o podnikoch kolektívneho investovania do prevoditeľných cenných papierov proti 16 členským štátom a v prípade smernice o audite proti 18 členským štátom.</w:t>
      </w:r>
    </w:p>
    <w:p>
      <w:pPr>
        <w:rPr>
          <w:rFonts w:ascii="Arial" w:hAnsi="Arial" w:cs="Arial"/>
          <w:i/>
          <w:noProof/>
          <w:sz w:val="20"/>
        </w:rPr>
      </w:pPr>
      <w:r>
        <w:rPr>
          <w:rFonts w:ascii="Arial" w:hAnsi="Arial"/>
          <w:i/>
          <w:noProof/>
          <w:sz w:val="20"/>
        </w:rPr>
        <w:t xml:space="preserve">Presadzovanie </w:t>
      </w:r>
      <w:r>
        <w:rPr>
          <w:rFonts w:ascii="Arial" w:hAnsi="Arial"/>
          <w:noProof/>
          <w:sz w:val="20"/>
        </w:rPr>
        <w:t xml:space="preserve">acquis </w:t>
      </w:r>
      <w:r>
        <w:rPr>
          <w:rFonts w:ascii="Arial" w:hAnsi="Arial"/>
          <w:i/>
          <w:noProof/>
          <w:sz w:val="20"/>
        </w:rPr>
        <w:t>v oblasti daní a cieľ</w:t>
      </w:r>
    </w:p>
    <w:p>
      <w:pPr>
        <w:rPr>
          <w:rFonts w:ascii="Arial" w:hAnsi="Arial" w:cs="Arial"/>
          <w:noProof/>
          <w:sz w:val="20"/>
        </w:rPr>
      </w:pPr>
      <w:r>
        <w:rPr>
          <w:rFonts w:ascii="Arial" w:hAnsi="Arial"/>
          <w:noProof/>
          <w:sz w:val="20"/>
        </w:rPr>
        <w:t>Po rozsudkoch Súdneho dvora, ktoré sa týkajú výkladu smernice o DPH a smerníc o spotrebnej dani, Komisia kládla dôraz na to, aby sa zabezpečilo uplatňovanie týchto rozsudkov vo všetkých členských štátoch. Okrem toho Komisia prešetrila niekoľko prípadov zdaňovania vozidiel, v ktorých zistila, že bola porušená neutralita dane za registráciu vozidiel.</w:t>
      </w:r>
    </w:p>
    <w:p>
      <w:pPr>
        <w:rPr>
          <w:rFonts w:ascii="Arial" w:hAnsi="Arial" w:cs="Arial"/>
          <w:noProof/>
          <w:sz w:val="20"/>
        </w:rPr>
      </w:pPr>
      <w:r>
        <w:rPr>
          <w:rFonts w:ascii="Arial" w:hAnsi="Arial"/>
          <w:noProof/>
          <w:sz w:val="20"/>
        </w:rPr>
        <w:t xml:space="preserve">V oblasti priamych daní Komisia pokračovala v kontrole rovnakého daňového zaobchádzania s cezhraničnými dedičstvami v celej EÚ, s cezhraničnými pracovníkmi (ktorí žijú v jednom členskom štáte, ale pracujú v druhom štáte) a s tzv. mobilnými osobami (ktoré sa skutočne presťahujú z jedného členského štátu EÚ do druhého). V rámci </w:t>
      </w:r>
      <w:r>
        <w:rPr>
          <w:rFonts w:ascii="Arial" w:hAnsi="Arial"/>
          <w:i/>
          <w:noProof/>
          <w:sz w:val="20"/>
        </w:rPr>
        <w:t>akčného plánu na vybudovanie únie kapitálových trhov</w:t>
      </w:r>
      <w:r>
        <w:rPr>
          <w:rFonts w:ascii="Arial" w:hAnsi="Arial"/>
          <w:noProof/>
          <w:sz w:val="20"/>
        </w:rPr>
        <w:t xml:space="preserve"> Komisia začala novú štúdiu o diskriminačných daňových prekážkach cezhraničných výsledkov investícií dôchodkových fondov a životných poisťovní.</w:t>
      </w:r>
    </w:p>
    <w:p>
      <w:pPr>
        <w:rPr>
          <w:rFonts w:ascii="Arial" w:hAnsi="Arial" w:cs="Arial"/>
          <w:noProof/>
          <w:sz w:val="20"/>
        </w:rPr>
      </w:pPr>
      <w:r>
        <w:rPr>
          <w:rFonts w:ascii="Arial" w:hAnsi="Arial"/>
          <w:noProof/>
          <w:sz w:val="20"/>
        </w:rPr>
        <w:t>Po rozsudku Súdneho dvora</w:t>
      </w:r>
      <w:r>
        <w:rPr>
          <w:rStyle w:val="FootnoteReference"/>
          <w:rFonts w:ascii="Arial" w:hAnsi="Arial"/>
          <w:noProof/>
          <w:sz w:val="20"/>
        </w:rPr>
        <w:footnoteReference w:id="49"/>
      </w:r>
      <w:r>
        <w:rPr>
          <w:rFonts w:ascii="Arial" w:hAnsi="Arial"/>
          <w:noProof/>
          <w:sz w:val="20"/>
        </w:rPr>
        <w:t xml:space="preserve"> Komisia začala takisto kontroly horizontálneho súladu s cieľom preskúmať primeranosť výšky pokút stanovených členskými štátmi o kontrole neohlásených peňažných prostriedkov v hotovosti, ktoré vstupujú do EÚ.</w:t>
      </w:r>
    </w:p>
    <w:p>
      <w:pPr>
        <w:rPr>
          <w:rFonts w:ascii="Arial" w:hAnsi="Arial" w:cs="Arial"/>
          <w:i/>
          <w:noProof/>
          <w:sz w:val="20"/>
        </w:rPr>
      </w:pPr>
      <w:r>
        <w:rPr>
          <w:rFonts w:ascii="Arial" w:hAnsi="Arial"/>
          <w:i/>
          <w:noProof/>
          <w:sz w:val="20"/>
        </w:rPr>
        <w:t xml:space="preserve">Presadzovanie </w:t>
      </w:r>
      <w:r>
        <w:rPr>
          <w:rFonts w:ascii="Arial" w:hAnsi="Arial"/>
          <w:noProof/>
          <w:sz w:val="20"/>
        </w:rPr>
        <w:t>acquis</w:t>
      </w:r>
      <w:r>
        <w:rPr>
          <w:rFonts w:ascii="Arial" w:hAnsi="Arial"/>
          <w:i/>
          <w:noProof/>
          <w:sz w:val="20"/>
        </w:rPr>
        <w:t xml:space="preserve"> v oblasti ochrany spotrebiteľa</w:t>
      </w:r>
    </w:p>
    <w:p>
      <w:pPr>
        <w:rPr>
          <w:rFonts w:ascii="Arial" w:hAnsi="Arial" w:cs="Arial"/>
          <w:noProof/>
          <w:sz w:val="20"/>
        </w:rPr>
      </w:pPr>
      <w:r>
        <w:rPr>
          <w:rFonts w:ascii="Arial" w:hAnsi="Arial"/>
          <w:noProof/>
          <w:sz w:val="20"/>
        </w:rPr>
        <w:t>Začiatkom roka 2016 Komisia zriadila platformu na riešenie sporov online</w:t>
      </w:r>
      <w:r>
        <w:rPr>
          <w:rStyle w:val="FootnoteReference"/>
          <w:rFonts w:ascii="Arial" w:hAnsi="Arial"/>
          <w:noProof/>
          <w:sz w:val="20"/>
        </w:rPr>
        <w:footnoteReference w:id="50"/>
      </w:r>
      <w:r>
        <w:rPr>
          <w:noProof/>
        </w:rPr>
        <w:t>.</w:t>
      </w:r>
      <w:r>
        <w:rPr>
          <w:rFonts w:ascii="Arial" w:hAnsi="Arial"/>
          <w:noProof/>
          <w:sz w:val="20"/>
        </w:rPr>
        <w:t xml:space="preserve"> Platforma uľahčuje mimosúdne riešenie sporov vyplývajúcich z kúpnych zmlúv alebo zmlúv o poskytnutí služby, ktoré spotrebitelia v EÚ uzavreli online. Predpokladom fungovania platformy je riadne vykonávanie a uplatňovanie smernice o alternatívnom riešení spotrebiteľských sporov v členských štátoch. Toto je teda prioritou práce Komisie v oblasti presadzovania práva</w:t>
      </w:r>
      <w:r>
        <w:rPr>
          <w:rStyle w:val="FootnoteReference"/>
          <w:rFonts w:ascii="Arial" w:hAnsi="Arial"/>
          <w:noProof/>
          <w:sz w:val="20"/>
        </w:rPr>
        <w:footnoteReference w:id="51"/>
      </w:r>
      <w:r>
        <w:rPr>
          <w:rFonts w:ascii="Arial" w:hAnsi="Arial"/>
          <w:noProof/>
          <w:sz w:val="20"/>
        </w:rPr>
        <w:t>.</w:t>
      </w:r>
    </w:p>
    <w:p>
      <w:pPr>
        <w:rPr>
          <w:rFonts w:ascii="Arial" w:hAnsi="Arial" w:cs="Arial"/>
          <w:noProof/>
          <w:sz w:val="20"/>
        </w:rPr>
      </w:pPr>
      <w:r>
        <w:rPr>
          <w:rFonts w:ascii="Arial" w:hAnsi="Arial"/>
          <w:noProof/>
          <w:sz w:val="20"/>
        </w:rPr>
        <w:t>V roku 2016 Komisia pokračovala vo svojom posudzovaní úplnosti a správnosti vnútroštátnych opatrení transponujúcich smernicu o právach spotrebiteľov</w:t>
      </w:r>
      <w:r>
        <w:rPr>
          <w:rStyle w:val="FootnoteReference"/>
          <w:rFonts w:ascii="Arial" w:hAnsi="Arial"/>
          <w:noProof/>
          <w:sz w:val="20"/>
        </w:rPr>
        <w:footnoteReference w:id="52"/>
      </w:r>
      <w:r>
        <w:rPr>
          <w:noProof/>
        </w:rPr>
        <w:t>.</w:t>
      </w:r>
    </w:p>
    <w:p>
      <w:pPr>
        <w:rPr>
          <w:rFonts w:ascii="Arial" w:hAnsi="Arial" w:cs="Arial"/>
          <w:noProof/>
          <w:sz w:val="20"/>
        </w:rPr>
      </w:pPr>
      <w:r>
        <w:rPr>
          <w:rFonts w:ascii="Arial" w:hAnsi="Arial"/>
          <w:noProof/>
          <w:sz w:val="20"/>
        </w:rPr>
        <w:t>Ku koncu roka 2016 bolo neukončených ešte trinásť konaní o nesplnení povinnosti týkajúcich sa transpozície smernice o nekalých obchodných praktikách</w:t>
      </w:r>
      <w:r>
        <w:rPr>
          <w:rStyle w:val="FootnoteReference"/>
          <w:rFonts w:ascii="Arial" w:hAnsi="Arial"/>
          <w:noProof/>
          <w:sz w:val="20"/>
        </w:rPr>
        <w:footnoteReference w:id="53"/>
      </w:r>
      <w:r>
        <w:rPr>
          <w:noProof/>
        </w:rPr>
        <w:t>.</w:t>
      </w:r>
      <w:r>
        <w:rPr>
          <w:rFonts w:ascii="Arial" w:hAnsi="Arial"/>
          <w:noProof/>
          <w:sz w:val="20"/>
        </w:rPr>
        <w:t xml:space="preserve"> Mnohé členské štáty iniciovali legislatívne zmeny s cieľom uviesť svoje právne predpisy do súladu s touto smernicou. Okrem toho v máji 2016 Komisia zverejnila revidovaný usmerňovací dokument o uplatňovaní tejto smernice. Cieľom tohto usmernenia je zlepšiť dodržiavanie smernice, najmä pokiaľ ide o nové obchodné modely a účastníkov trhu v rámci digitálneho hospodárstva.</w:t>
      </w:r>
    </w:p>
    <w:p>
      <w:pPr>
        <w:rPr>
          <w:rFonts w:ascii="Arial" w:hAnsi="Arial" w:cs="Arial"/>
          <w:noProof/>
          <w:sz w:val="20"/>
        </w:rPr>
      </w:pPr>
      <w:r>
        <w:rPr>
          <w:rFonts w:ascii="Arial" w:hAnsi="Arial"/>
          <w:noProof/>
          <w:sz w:val="20"/>
        </w:rPr>
        <w:t>Komisia takisto začala postupy v prípade nesplnenia povinnosti pre neoznámenie opatrení na transpozíciu smernice o platobných účtoch</w:t>
      </w:r>
      <w:r>
        <w:rPr>
          <w:rStyle w:val="FootnoteReference"/>
          <w:rFonts w:ascii="Arial" w:hAnsi="Arial"/>
          <w:noProof/>
          <w:sz w:val="20"/>
        </w:rPr>
        <w:footnoteReference w:id="54"/>
      </w:r>
      <w:r>
        <w:rPr>
          <w:noProof/>
        </w:rPr>
        <w:t>.</w:t>
      </w:r>
      <w:r>
        <w:rPr>
          <w:rFonts w:ascii="Arial" w:hAnsi="Arial"/>
          <w:noProof/>
          <w:sz w:val="20"/>
        </w:rPr>
        <w:t xml:space="preserve"> V smernici sa požaduje od všetkých členských štátov EÚ, aby zabezpečili spotrebiteľom prístup k základnému platobnému účtu a aby im uľahčili porovnávanie poplatkov, ktoré banky účtujú za tieto účty. Takisto stanovuje rýchly a jednoduchý postup pre spotrebiteľov, ktorí zmenia banku, v ktorej mali svoj platobný účet, alebo poskytovateľa platobných služieb.</w:t>
      </w:r>
    </w:p>
    <w:p>
      <w:pPr>
        <w:rPr>
          <w:rFonts w:ascii="Arial" w:hAnsi="Arial" w:cs="Arial"/>
          <w:noProof/>
          <w:sz w:val="20"/>
        </w:rPr>
      </w:pPr>
      <w:r>
        <w:rPr>
          <w:rFonts w:ascii="Arial" w:hAnsi="Arial"/>
          <w:noProof/>
          <w:sz w:val="20"/>
        </w:rPr>
        <w:t>Práca v oblasti presadzovania práva, ktorú vykonala Komisia pri zavádzaní smernice o balíku cestovných služieb</w:t>
      </w:r>
      <w:r>
        <w:rPr>
          <w:rStyle w:val="FootnoteReference"/>
          <w:rFonts w:ascii="Arial" w:hAnsi="Arial"/>
          <w:noProof/>
          <w:sz w:val="20"/>
        </w:rPr>
        <w:footnoteReference w:id="55"/>
      </w:r>
      <w:r>
        <w:rPr>
          <w:rFonts w:ascii="Arial" w:hAnsi="Arial"/>
          <w:noProof/>
          <w:sz w:val="20"/>
        </w:rPr>
        <w:t>, viedla k legislatívnym zmenám v piatich členských štátoch. V roku 2016 Komisia takisto pomáhala členským štátom v ich úsilí o transpozíciu smernice tým, že zorganizovala tri semináre o transpozícii pre národných expertov</w:t>
      </w:r>
      <w:r>
        <w:rPr>
          <w:rStyle w:val="FootnoteReference"/>
          <w:rFonts w:ascii="Arial" w:hAnsi="Arial"/>
          <w:noProof/>
          <w:sz w:val="20"/>
        </w:rPr>
        <w:footnoteReference w:id="56"/>
      </w:r>
      <w:r>
        <w:rPr>
          <w:noProof/>
        </w:rPr>
        <w:t>.</w:t>
      </w:r>
    </w:p>
    <w:p>
      <w:pPr>
        <w:rPr>
          <w:rFonts w:ascii="Arial" w:hAnsi="Arial" w:cs="Arial"/>
          <w:noProof/>
          <w:sz w:val="20"/>
        </w:rPr>
      </w:pPr>
      <w:r>
        <w:rPr>
          <w:rFonts w:ascii="Arial" w:hAnsi="Arial"/>
          <w:noProof/>
          <w:sz w:val="20"/>
        </w:rPr>
        <w:t>Jeden prípad nesplnenia povinnosti v súvislosti so správnou transpozíciou smernice o časovo vymedzenom užívaní ubytovacích zariadení</w:t>
      </w:r>
      <w:r>
        <w:rPr>
          <w:rStyle w:val="FootnoteReference"/>
          <w:rFonts w:ascii="Arial" w:hAnsi="Arial"/>
          <w:noProof/>
          <w:sz w:val="20"/>
        </w:rPr>
        <w:footnoteReference w:id="57"/>
      </w:r>
      <w:r>
        <w:rPr>
          <w:rFonts w:ascii="Arial" w:hAnsi="Arial"/>
          <w:noProof/>
          <w:sz w:val="20"/>
        </w:rPr>
        <w:t xml:space="preserve"> je ešte stále otvorený, zatiaľ čo Komisia v roku 2016 uzavrela ďalšie prípady po vykonaných legislatívnych zmenách v príslušných členských štátoch.</w:t>
      </w:r>
    </w:p>
    <w:p>
      <w:pPr>
        <w:rPr>
          <w:rFonts w:ascii="Arial" w:hAnsi="Arial" w:cs="Arial"/>
          <w:i/>
          <w:noProof/>
          <w:sz w:val="20"/>
        </w:rPr>
      </w:pPr>
      <w:r>
        <w:rPr>
          <w:rFonts w:ascii="Arial" w:hAnsi="Arial"/>
          <w:i/>
          <w:noProof/>
          <w:sz w:val="20"/>
        </w:rPr>
        <w:t xml:space="preserve">Presadzovanie </w:t>
      </w:r>
      <w:r>
        <w:rPr>
          <w:rFonts w:ascii="Arial" w:hAnsi="Arial"/>
          <w:noProof/>
          <w:sz w:val="20"/>
        </w:rPr>
        <w:t>acquis</w:t>
      </w:r>
      <w:r>
        <w:rPr>
          <w:rFonts w:ascii="Arial" w:hAnsi="Arial"/>
          <w:i/>
          <w:noProof/>
          <w:sz w:val="20"/>
        </w:rPr>
        <w:t xml:space="preserve"> v oblasti zdravia a bezpečnosti potravín</w:t>
      </w:r>
    </w:p>
    <w:p>
      <w:pPr>
        <w:rPr>
          <w:rFonts w:ascii="Arial" w:hAnsi="Arial" w:cs="Arial"/>
          <w:noProof/>
          <w:sz w:val="20"/>
        </w:rPr>
      </w:pPr>
      <w:r>
        <w:rPr>
          <w:rFonts w:ascii="Arial" w:hAnsi="Arial"/>
          <w:noProof/>
          <w:sz w:val="20"/>
        </w:rPr>
        <w:t>Stratégia presadzovania práva Komisie v oblasti zdravotníctva sa v roku 2016 zamerala na kontrolu súladu vnútroštátnych právnych predpisov so smernicami o ľudských tkanivách a bunkách</w:t>
      </w:r>
      <w:r>
        <w:rPr>
          <w:rStyle w:val="FootnoteReference"/>
          <w:rFonts w:ascii="Arial" w:hAnsi="Arial"/>
          <w:noProof/>
          <w:sz w:val="20"/>
        </w:rPr>
        <w:footnoteReference w:id="58"/>
      </w:r>
      <w:r>
        <w:rPr>
          <w:rFonts w:ascii="Arial" w:hAnsi="Arial"/>
          <w:noProof/>
          <w:sz w:val="20"/>
        </w:rPr>
        <w:t xml:space="preserve"> a cezhraničnej zdravotnej starostlivosti</w:t>
      </w:r>
      <w:r>
        <w:rPr>
          <w:rStyle w:val="FootnoteReference"/>
          <w:rFonts w:ascii="Arial" w:hAnsi="Arial"/>
          <w:noProof/>
          <w:sz w:val="20"/>
        </w:rPr>
        <w:footnoteReference w:id="59"/>
      </w:r>
      <w:r>
        <w:rPr>
          <w:rFonts w:ascii="Arial" w:hAnsi="Arial"/>
          <w:noProof/>
          <w:sz w:val="20"/>
        </w:rPr>
        <w:t xml:space="preserve"> a v príslušných prípadoch sa viedli postupy v prípade nesplnenia povinnosti.</w:t>
      </w:r>
    </w:p>
    <w:p>
      <w:pPr>
        <w:rPr>
          <w:rFonts w:ascii="Arial" w:hAnsi="Arial" w:cs="Arial"/>
          <w:noProof/>
          <w:sz w:val="20"/>
        </w:rPr>
      </w:pPr>
      <w:r>
        <w:rPr>
          <w:rFonts w:ascii="Arial" w:hAnsi="Arial"/>
          <w:noProof/>
          <w:sz w:val="20"/>
        </w:rPr>
        <w:t>V oblasti dobrých životných podmienok zvierat sa dosiahol súlad s požiadavkami smerníc pre nosnice a skupinové ustajnenie prasníc a väčšina postupov v prípade nesplnenia povinnosti bola ukončená</w:t>
      </w:r>
      <w:r>
        <w:rPr>
          <w:rStyle w:val="FootnoteReference"/>
          <w:rFonts w:ascii="Arial" w:hAnsi="Arial"/>
          <w:noProof/>
          <w:sz w:val="20"/>
        </w:rPr>
        <w:footnoteReference w:id="60"/>
      </w:r>
      <w:r>
        <w:rPr>
          <w:rFonts w:ascii="Arial" w:hAnsi="Arial"/>
          <w:noProof/>
          <w:sz w:val="20"/>
        </w:rPr>
        <w:t>.</w:t>
      </w:r>
    </w:p>
    <w:p>
      <w:pPr>
        <w:rPr>
          <w:rFonts w:ascii="Arial" w:hAnsi="Arial" w:cs="Arial"/>
          <w:i/>
          <w:noProof/>
        </w:rPr>
      </w:pPr>
      <w:r>
        <w:rPr>
          <w:rFonts w:ascii="Arial" w:hAnsi="Arial"/>
          <w:i/>
          <w:noProof/>
          <w:sz w:val="20"/>
        </w:rPr>
        <w:t xml:space="preserve">Presadzovanie </w:t>
      </w:r>
      <w:r>
        <w:rPr>
          <w:rFonts w:ascii="Arial" w:hAnsi="Arial"/>
          <w:noProof/>
          <w:sz w:val="20"/>
        </w:rPr>
        <w:t>acquis</w:t>
      </w:r>
      <w:r>
        <w:rPr>
          <w:rFonts w:ascii="Arial" w:hAnsi="Arial"/>
          <w:i/>
          <w:noProof/>
          <w:sz w:val="20"/>
        </w:rPr>
        <w:t xml:space="preserve"> v oblasti mobility a dopravy</w:t>
      </w:r>
    </w:p>
    <w:p>
      <w:pPr>
        <w:rPr>
          <w:rFonts w:ascii="Arial" w:hAnsi="Arial" w:cs="Arial"/>
          <w:noProof/>
          <w:sz w:val="20"/>
        </w:rPr>
      </w:pPr>
      <w:r>
        <w:rPr>
          <w:rFonts w:ascii="Arial" w:hAnsi="Arial"/>
          <w:noProof/>
          <w:sz w:val="20"/>
        </w:rPr>
        <w:t>Komisia v tejto oblasti iniciovala a viedla prípady nesplnenia povinnosti v súvislosti s otázkami, ktoré majú priamy vplyv na dobudovanie vnútorného trhu, a to konkrétne:</w:t>
      </w:r>
    </w:p>
    <w:p>
      <w:pPr>
        <w:pStyle w:val="ListParagraph"/>
        <w:numPr>
          <w:ilvl w:val="0"/>
          <w:numId w:val="33"/>
        </w:numPr>
        <w:spacing w:after="120"/>
        <w:rPr>
          <w:rFonts w:ascii="Arial" w:hAnsi="Arial" w:cs="Arial"/>
          <w:noProof/>
          <w:sz w:val="20"/>
        </w:rPr>
      </w:pPr>
      <w:r>
        <w:rPr>
          <w:rFonts w:ascii="Arial" w:hAnsi="Arial"/>
          <w:noProof/>
          <w:sz w:val="20"/>
        </w:rPr>
        <w:t>diskriminačné používateľské poplatky za osobné automobily,</w:t>
      </w:r>
    </w:p>
    <w:p>
      <w:pPr>
        <w:pStyle w:val="ListParagraph"/>
        <w:numPr>
          <w:ilvl w:val="0"/>
          <w:numId w:val="33"/>
        </w:numPr>
        <w:spacing w:after="120"/>
        <w:rPr>
          <w:rFonts w:ascii="Arial" w:hAnsi="Arial" w:cs="Arial"/>
          <w:noProof/>
          <w:sz w:val="20"/>
        </w:rPr>
      </w:pPr>
      <w:r>
        <w:rPr>
          <w:rFonts w:ascii="Arial" w:hAnsi="Arial"/>
          <w:noProof/>
          <w:sz w:val="20"/>
        </w:rPr>
        <w:t>obmedzenia prístupu k povolaniu prevádzkovateľa cestnej dopravy,</w:t>
      </w:r>
    </w:p>
    <w:p>
      <w:pPr>
        <w:pStyle w:val="ListParagraph"/>
        <w:numPr>
          <w:ilvl w:val="0"/>
          <w:numId w:val="33"/>
        </w:numPr>
        <w:spacing w:after="120"/>
        <w:rPr>
          <w:rFonts w:ascii="Arial" w:hAnsi="Arial"/>
          <w:noProof/>
          <w:sz w:val="20"/>
        </w:rPr>
      </w:pPr>
      <w:r>
        <w:rPr>
          <w:rFonts w:ascii="Arial" w:hAnsi="Arial"/>
          <w:noProof/>
          <w:sz w:val="20"/>
        </w:rPr>
        <w:t>prekážky z hľadiska slobody usadiť sa, spôsobené monopolnými podmienkami prijímania dokárov a</w:t>
      </w:r>
    </w:p>
    <w:p>
      <w:pPr>
        <w:pStyle w:val="ListParagraph"/>
        <w:numPr>
          <w:ilvl w:val="0"/>
          <w:numId w:val="33"/>
        </w:numPr>
        <w:spacing w:after="120"/>
        <w:rPr>
          <w:rFonts w:ascii="Arial" w:hAnsi="Arial" w:cs="Arial"/>
          <w:noProof/>
          <w:sz w:val="20"/>
        </w:rPr>
      </w:pPr>
      <w:r>
        <w:rPr>
          <w:rFonts w:ascii="Arial" w:hAnsi="Arial"/>
          <w:noProof/>
          <w:sz w:val="20"/>
        </w:rPr>
        <w:t>obmedzenia týkajúce sa poskytovania dopravných služieb a voľného pohybu tovaru, vyplývajúce z vnútroštátnych predpisov o minimálnej mzde.</w:t>
      </w:r>
    </w:p>
    <w:p>
      <w:pPr>
        <w:rPr>
          <w:rFonts w:ascii="Arial" w:hAnsi="Arial" w:cs="Arial"/>
          <w:noProof/>
          <w:sz w:val="20"/>
        </w:rPr>
      </w:pPr>
      <w:r>
        <w:rPr>
          <w:rFonts w:ascii="Arial" w:hAnsi="Arial"/>
          <w:noProof/>
          <w:sz w:val="20"/>
        </w:rPr>
        <w:t>V roku 2016 členské štáty zintenzívnili svoje úsilie na dosiahnutie súladu s ustanoveniami smernice o interoperabilite elektronických cestných mýtnych systémov</w:t>
      </w:r>
      <w:r>
        <w:rPr>
          <w:rStyle w:val="FootnoteReference"/>
          <w:rFonts w:ascii="Arial" w:hAnsi="Arial"/>
          <w:noProof/>
          <w:sz w:val="20"/>
        </w:rPr>
        <w:footnoteReference w:id="61"/>
      </w:r>
      <w:r>
        <w:rPr>
          <w:noProof/>
        </w:rPr>
        <w:t>.</w:t>
      </w:r>
      <w:r>
        <w:rPr>
          <w:rFonts w:ascii="Arial" w:hAnsi="Arial"/>
          <w:noProof/>
          <w:sz w:val="20"/>
        </w:rPr>
        <w:t xml:space="preserve"> Komisia preto mohla uzavrieť postupy v prípade nesplnenia povinnosti proti trom členským štátom. Väčšina členských štátov však nebola schopná v stanovenom termíne transponovať smernicu o zavedení infraštruktúry alternatívnych pohonných hmôt</w:t>
      </w:r>
      <w:r>
        <w:rPr>
          <w:rStyle w:val="FootnoteReference"/>
          <w:noProof/>
        </w:rPr>
        <w:footnoteReference w:id="62"/>
      </w:r>
      <w:r>
        <w:rPr>
          <w:rFonts w:ascii="Arial" w:hAnsi="Arial"/>
          <w:noProof/>
          <w:sz w:val="20"/>
        </w:rPr>
        <w:t>.</w:t>
      </w:r>
    </w:p>
    <w:p>
      <w:pPr>
        <w:rPr>
          <w:rFonts w:ascii="Arial" w:hAnsi="Arial" w:cs="Arial"/>
          <w:noProof/>
          <w:sz w:val="16"/>
        </w:rPr>
      </w:pPr>
      <w:r>
        <w:rPr>
          <w:rFonts w:ascii="Arial" w:hAnsi="Arial"/>
          <w:noProof/>
          <w:sz w:val="20"/>
        </w:rPr>
        <w:t>Komisia takisto sústredila svoje úsilie na otázky bezpečnosti, najmä v odvetví námornej dopravy. Zintenzívnila monitorovanie uplatňovania práva Únie v tejto oblasti a v roku 2016 začala alebo viedla niekoľko postupov v prípade nesplnenia povinnosti v súvislosti s uplatňovaním práva Únie, pokiaľ ide o vyšetrovanie nehôd</w:t>
      </w:r>
      <w:r>
        <w:rPr>
          <w:rStyle w:val="FootnoteReference"/>
          <w:rFonts w:ascii="Arial" w:hAnsi="Arial"/>
          <w:noProof/>
          <w:sz w:val="20"/>
        </w:rPr>
        <w:footnoteReference w:id="63"/>
      </w:r>
      <w:r>
        <w:rPr>
          <w:rFonts w:ascii="Arial" w:hAnsi="Arial"/>
          <w:noProof/>
          <w:sz w:val="20"/>
        </w:rPr>
        <w:t>, štátnu prístavnú kontrolu</w:t>
      </w:r>
      <w:r>
        <w:rPr>
          <w:rStyle w:val="FootnoteReference"/>
          <w:rFonts w:ascii="Arial" w:hAnsi="Arial"/>
          <w:noProof/>
          <w:sz w:val="20"/>
        </w:rPr>
        <w:footnoteReference w:id="64"/>
      </w:r>
      <w:r>
        <w:rPr>
          <w:rFonts w:ascii="Arial" w:hAnsi="Arial"/>
          <w:noProof/>
          <w:sz w:val="20"/>
        </w:rPr>
        <w:t xml:space="preserve"> a vlajkové štáty</w:t>
      </w:r>
      <w:r>
        <w:rPr>
          <w:rStyle w:val="FootnoteReference"/>
          <w:rFonts w:ascii="Arial" w:hAnsi="Arial"/>
          <w:noProof/>
          <w:sz w:val="20"/>
        </w:rPr>
        <w:footnoteReference w:id="65"/>
      </w:r>
      <w:r>
        <w:rPr>
          <w:noProof/>
        </w:rPr>
        <w:t>.</w:t>
      </w:r>
      <w:r>
        <w:rPr>
          <w:rFonts w:ascii="Arial" w:hAnsi="Arial"/>
          <w:noProof/>
          <w:sz w:val="20"/>
        </w:rPr>
        <w:t xml:space="preserve"> Komisia naďalej vykonávala kontroly súladu pri zavádzaní smernice o vodičských preukazoch</w:t>
      </w:r>
      <w:r>
        <w:rPr>
          <w:rStyle w:val="FootnoteReference"/>
          <w:noProof/>
        </w:rPr>
        <w:footnoteReference w:id="66"/>
      </w:r>
      <w:r>
        <w:rPr>
          <w:rFonts w:ascii="Arial" w:hAnsi="Arial"/>
          <w:noProof/>
          <w:sz w:val="20"/>
        </w:rPr>
        <w:t xml:space="preserve"> a troch smerníc o železnici</w:t>
      </w:r>
      <w:r>
        <w:rPr>
          <w:rStyle w:val="FootnoteReference"/>
          <w:rFonts w:ascii="Arial" w:hAnsi="Arial"/>
          <w:noProof/>
          <w:sz w:val="20"/>
        </w:rPr>
        <w:footnoteReference w:id="67"/>
      </w:r>
      <w:r>
        <w:rPr>
          <w:noProof/>
        </w:rPr>
        <w:t>.</w:t>
      </w:r>
      <w:bookmarkStart w:id="27" w:name="_Toc444796650"/>
    </w:p>
    <w:p>
      <w:pPr>
        <w:pStyle w:val="kop3"/>
        <w:spacing w:after="240"/>
        <w:ind w:left="357" w:hanging="357"/>
        <w:rPr>
          <w:noProof/>
        </w:rPr>
      </w:pPr>
      <w:bookmarkStart w:id="28" w:name="_Toc484623690"/>
      <w:bookmarkStart w:id="29" w:name="_Toc484685979"/>
      <w:bookmarkStart w:id="30" w:name="_Toc486858011"/>
      <w:r>
        <w:rPr>
          <w:noProof/>
        </w:rPr>
        <w:t>Prepracovanejšia a spravodlivejšia hospodárska a menová únia</w:t>
      </w:r>
      <w:bookmarkEnd w:id="27"/>
      <w:bookmarkEnd w:id="28"/>
      <w:bookmarkEnd w:id="29"/>
      <w:bookmarkEnd w:id="30"/>
    </w:p>
    <w:p>
      <w:pPr>
        <w:rPr>
          <w:rFonts w:ascii="Arial" w:hAnsi="Arial" w:cs="Arial"/>
          <w:noProof/>
          <w:sz w:val="20"/>
        </w:rPr>
      </w:pPr>
      <w:bookmarkStart w:id="31" w:name="_Toc444796651"/>
      <w:r>
        <w:rPr>
          <w:rFonts w:ascii="Arial" w:hAnsi="Arial"/>
          <w:noProof/>
          <w:sz w:val="20"/>
        </w:rPr>
        <w:t>Cieľom pravidiel bankovej únie EÚ je zabezpečiť, aby banky boli pod silnejším a lepším dohľadom a aby sa v prípade potreby problémy mohli riešiť jednoduchšie a bez použitia peňazí daňových poplatníkov. V dôsledku finančnej krízy EÚ prijala množstvo opatrení na ďalšie otvorenie jednotného trhu EÚ v sektore finančných služieb pre spotrebiteľov a podniky, na zlepšenie dohľadu nad finančnými inštitúciami a posilnenie odolnosti a stability finančného sektora. Tento nový rámec je založený na opatreniach, ako je napríklad smernica o kapitálových požiadavkách IV</w:t>
      </w:r>
      <w:r>
        <w:rPr>
          <w:rStyle w:val="FootnoteReference"/>
          <w:rFonts w:ascii="Arial" w:hAnsi="Arial"/>
          <w:noProof/>
          <w:sz w:val="20"/>
        </w:rPr>
        <w:footnoteReference w:id="68"/>
      </w:r>
      <w:r>
        <w:rPr>
          <w:rFonts w:ascii="Arial" w:hAnsi="Arial"/>
          <w:noProof/>
          <w:sz w:val="20"/>
        </w:rPr>
        <w:t>, smernica o systémoch ochrany vkladov</w:t>
      </w:r>
      <w:r>
        <w:rPr>
          <w:rStyle w:val="FootnoteReference"/>
          <w:rFonts w:ascii="Arial" w:hAnsi="Arial"/>
          <w:noProof/>
          <w:sz w:val="20"/>
        </w:rPr>
        <w:footnoteReference w:id="69"/>
      </w:r>
      <w:r>
        <w:rPr>
          <w:rFonts w:ascii="Arial" w:hAnsi="Arial"/>
          <w:noProof/>
          <w:sz w:val="20"/>
        </w:rPr>
        <w:t xml:space="preserve"> a smernica o ozdravení a riešení krízových situácií bánk</w:t>
      </w:r>
      <w:r>
        <w:rPr>
          <w:rStyle w:val="FootnoteReference"/>
          <w:rFonts w:ascii="Arial" w:hAnsi="Arial"/>
          <w:noProof/>
          <w:sz w:val="20"/>
        </w:rPr>
        <w:footnoteReference w:id="70"/>
      </w:r>
      <w:r>
        <w:rPr>
          <w:noProof/>
        </w:rPr>
        <w:t>.</w:t>
      </w:r>
      <w:r>
        <w:rPr>
          <w:rFonts w:ascii="Arial" w:hAnsi="Arial"/>
          <w:noProof/>
          <w:sz w:val="20"/>
        </w:rPr>
        <w:t xml:space="preserve"> Opatrenie Komisie na presadzovanie práva v roku 2016 bolo zamerané na kontrolu úplnosti a správnosti transpozície týchto smerníc. Napríklad Komisia zaslala odôvodnené stanoviská niekoľkým členským štátom v súvislosti s neúplnosťou transpozície smernice o kapitálových požiadavkách IV a smernice o ozdravení a riešení krízových situácií bánk.</w:t>
      </w:r>
    </w:p>
    <w:p>
      <w:pPr>
        <w:pStyle w:val="kop3"/>
        <w:rPr>
          <w:noProof/>
        </w:rPr>
      </w:pPr>
      <w:bookmarkStart w:id="32" w:name="_Toc484623691"/>
      <w:bookmarkStart w:id="33" w:name="_Toc484685980"/>
      <w:bookmarkStart w:id="34" w:name="_Toc486858012"/>
      <w:r>
        <w:rPr>
          <w:noProof/>
        </w:rPr>
        <w:t>Priestor spravodlivosti a základných práv založený na vzájomnej dôvere</w:t>
      </w:r>
      <w:bookmarkEnd w:id="31"/>
      <w:bookmarkEnd w:id="32"/>
      <w:bookmarkEnd w:id="33"/>
      <w:bookmarkEnd w:id="34"/>
    </w:p>
    <w:p>
      <w:pPr>
        <w:pStyle w:val="NormalWeb"/>
        <w:jc w:val="both"/>
        <w:rPr>
          <w:rFonts w:ascii="Arial" w:eastAsia="Times New Roman" w:hAnsi="Arial" w:cs="Arial"/>
          <w:noProof/>
          <w:sz w:val="20"/>
          <w:szCs w:val="20"/>
        </w:rPr>
      </w:pPr>
      <w:r>
        <w:rPr>
          <w:rFonts w:ascii="Arial" w:hAnsi="Arial"/>
          <w:noProof/>
          <w:sz w:val="20"/>
        </w:rPr>
        <w:t>Komisia dáva vysokú prioritu riešeniu prípadov nesplnenia povinnosti odhaľujúcich systémové nedostatky, ktoré narúšajú fungovanie inštitucionálneho rámca EÚ. Vzťahuje sa to najmä na tie, ktoré sa dotýkajú spôsobilosti vnútroštátnych systémov súdnictva prispievať k účinnému presadzovaniu práva Únie. Jednou z oblastí, v ktorej činnosť Komisie zohráva významnú úlohu, je, keď „vnútroštátne záruky právneho štátu“ už nie sú schopné riešiť sústavné ohrozovanie právneho štátu. Odráža to skutočnosť, že dodržiavanie zásady právneho štátu je nevyhnutným predpokladom na dodržiavanie všetkých práv a povinností vyplývajúcich zo zmlúv.</w:t>
      </w:r>
    </w:p>
    <w:p>
      <w:pPr>
        <w:pStyle w:val="NormalWeb"/>
        <w:jc w:val="both"/>
        <w:rPr>
          <w:i/>
          <w:iCs/>
          <w:noProof/>
        </w:rPr>
      </w:pPr>
      <w:r>
        <w:rPr>
          <w:rFonts w:ascii="Arial" w:hAnsi="Arial"/>
          <w:noProof/>
          <w:sz w:val="20"/>
        </w:rPr>
        <w:t>V tejto súvislosti Komisia podnikla kroky v súlade s rámcom právneho štátu</w:t>
      </w:r>
      <w:r>
        <w:rPr>
          <w:rStyle w:val="FootnoteReference"/>
          <w:rFonts w:ascii="Arial" w:hAnsi="Arial"/>
          <w:noProof/>
          <w:sz w:val="20"/>
        </w:rPr>
        <w:footnoteReference w:id="71"/>
      </w:r>
      <w:r>
        <w:rPr>
          <w:rFonts w:ascii="Arial" w:hAnsi="Arial"/>
          <w:noProof/>
          <w:sz w:val="20"/>
        </w:rPr>
        <w:t xml:space="preserve"> na riešenie významných zmien v poľskom právnom systéme, ktoré ohrozujú riadne fungovanie a účinnosť ústavného súdu. Po prijatí stanoviska k situácii v Poľsku 1. júna 2016 Komisia prijala 27. júla prvé odporúčanie a 21. decembra druhé odporúčanie. Komisia bola znepokojená zo sústavného ohrozovania právneho štátu v Poľsku. Bolo to v dôsledku toho, že po reformách zavedených v rokoch 2015 a 2016 Ústavný súd nemohol plne zabezpečiť účinné ústavné preskúmavanie. Táto situácia negatívne ovplyvňuje integritu, stabilitu a riadne fungovanie Ústavného súdu, ktorý je jednou zo základných záruk právneho štátu v Poľsku.</w:t>
      </w:r>
    </w:p>
    <w:p>
      <w:pPr>
        <w:rPr>
          <w:rFonts w:ascii="Arial" w:hAnsi="Arial" w:cs="Arial"/>
          <w:noProof/>
          <w:sz w:val="20"/>
        </w:rPr>
      </w:pPr>
      <w:r>
        <w:rPr>
          <w:rFonts w:ascii="Arial" w:hAnsi="Arial"/>
          <w:noProof/>
          <w:sz w:val="20"/>
        </w:rPr>
        <w:t xml:space="preserve">V oblasti </w:t>
      </w:r>
      <w:r>
        <w:rPr>
          <w:rFonts w:ascii="Arial" w:hAnsi="Arial"/>
          <w:b/>
          <w:noProof/>
          <w:sz w:val="20"/>
        </w:rPr>
        <w:t>voľného pohybu osôb</w:t>
      </w:r>
      <w:r>
        <w:rPr>
          <w:rFonts w:ascii="Arial" w:hAnsi="Arial"/>
          <w:noProof/>
          <w:sz w:val="20"/>
        </w:rPr>
        <w:t xml:space="preserve"> Komisia vykonala komplexné posúdenie súladu nových vnútroštátnych právnych predpisov prijatých v Českej republike, Írsku a na Slovensku s pravidlami EÚ o právach voľného pohybu a pobytu občanov EÚ.</w:t>
      </w:r>
    </w:p>
    <w:p>
      <w:pPr>
        <w:rPr>
          <w:rFonts w:ascii="Arial" w:hAnsi="Arial" w:cs="Arial"/>
          <w:noProof/>
          <w:sz w:val="20"/>
        </w:rPr>
      </w:pPr>
      <w:r>
        <w:rPr>
          <w:rFonts w:ascii="Arial" w:hAnsi="Arial"/>
          <w:noProof/>
          <w:sz w:val="20"/>
        </w:rPr>
        <w:t xml:space="preserve">V oblasti </w:t>
      </w:r>
      <w:r>
        <w:rPr>
          <w:rFonts w:ascii="Arial" w:hAnsi="Arial"/>
          <w:b/>
          <w:noProof/>
          <w:sz w:val="20"/>
        </w:rPr>
        <w:t>trestného a procesného práva</w:t>
      </w:r>
      <w:r>
        <w:rPr>
          <w:rFonts w:ascii="Arial" w:hAnsi="Arial"/>
          <w:noProof/>
          <w:sz w:val="20"/>
        </w:rPr>
        <w:t xml:space="preserve"> bol plán procesných práv ukončený prijatím troch nových smerníc. Týka sa to posilnenia určitých aspektov prezumpcie neviny a práva byť prítomný na svojom súdnom konaní</w:t>
      </w:r>
      <w:r>
        <w:rPr>
          <w:rStyle w:val="FootnoteReference"/>
          <w:rFonts w:ascii="Arial" w:hAnsi="Arial"/>
          <w:noProof/>
          <w:sz w:val="20"/>
        </w:rPr>
        <w:footnoteReference w:id="72"/>
      </w:r>
      <w:r>
        <w:rPr>
          <w:rFonts w:ascii="Arial" w:hAnsi="Arial"/>
          <w:noProof/>
          <w:sz w:val="20"/>
        </w:rPr>
        <w:t>, procesných záruk pre deti</w:t>
      </w:r>
      <w:r>
        <w:rPr>
          <w:rStyle w:val="FootnoteReference"/>
          <w:rFonts w:ascii="Arial" w:hAnsi="Arial"/>
          <w:noProof/>
          <w:sz w:val="20"/>
        </w:rPr>
        <w:footnoteReference w:id="73"/>
      </w:r>
      <w:r>
        <w:rPr>
          <w:rFonts w:ascii="Arial" w:hAnsi="Arial"/>
          <w:noProof/>
          <w:sz w:val="20"/>
        </w:rPr>
        <w:t xml:space="preserve"> a právnej pomoci</w:t>
      </w:r>
      <w:r>
        <w:rPr>
          <w:rStyle w:val="FootnoteReference"/>
          <w:rFonts w:ascii="Arial" w:hAnsi="Arial"/>
          <w:noProof/>
          <w:sz w:val="20"/>
        </w:rPr>
        <w:footnoteReference w:id="74"/>
      </w:r>
      <w:r>
        <w:rPr>
          <w:noProof/>
        </w:rPr>
        <w:t>.</w:t>
      </w:r>
      <w:r>
        <w:rPr>
          <w:rFonts w:ascii="Arial" w:hAnsi="Arial"/>
          <w:noProof/>
          <w:sz w:val="20"/>
        </w:rPr>
        <w:t xml:space="preserve"> Zároveň sú stále nedokončené transpozície smernice o právach obetí</w:t>
      </w:r>
      <w:r>
        <w:rPr>
          <w:rStyle w:val="FootnoteReference"/>
          <w:rFonts w:ascii="Arial" w:hAnsi="Arial"/>
          <w:noProof/>
          <w:sz w:val="20"/>
        </w:rPr>
        <w:footnoteReference w:id="75"/>
      </w:r>
      <w:r>
        <w:rPr>
          <w:rFonts w:ascii="Arial" w:hAnsi="Arial"/>
          <w:noProof/>
          <w:sz w:val="20"/>
        </w:rPr>
        <w:t xml:space="preserve"> v deviatich členských štátoch. V roku 2016 Komisia takisto posúdila správnosť transpozície smerníc členskými štátmi o práve na preklad a tlmočenie</w:t>
      </w:r>
      <w:r>
        <w:rPr>
          <w:rStyle w:val="FootnoteReference"/>
          <w:rFonts w:ascii="Arial" w:hAnsi="Arial"/>
          <w:noProof/>
          <w:sz w:val="20"/>
        </w:rPr>
        <w:footnoteReference w:id="76"/>
      </w:r>
      <w:r>
        <w:rPr>
          <w:rFonts w:ascii="Arial" w:hAnsi="Arial"/>
          <w:noProof/>
          <w:sz w:val="20"/>
        </w:rPr>
        <w:t xml:space="preserve"> a o práve na informácie v trestnom konaní</w:t>
      </w:r>
      <w:r>
        <w:rPr>
          <w:rStyle w:val="FootnoteReference"/>
          <w:rFonts w:ascii="Arial" w:hAnsi="Arial"/>
          <w:noProof/>
          <w:sz w:val="20"/>
        </w:rPr>
        <w:footnoteReference w:id="77"/>
      </w:r>
      <w:r>
        <w:rPr>
          <w:noProof/>
        </w:rPr>
        <w:t>.</w:t>
      </w:r>
    </w:p>
    <w:p>
      <w:pPr>
        <w:rPr>
          <w:rFonts w:ascii="Arial" w:hAnsi="Arial" w:cs="Arial"/>
          <w:noProof/>
          <w:sz w:val="20"/>
        </w:rPr>
      </w:pPr>
      <w:r>
        <w:rPr>
          <w:rFonts w:ascii="Arial" w:hAnsi="Arial"/>
          <w:noProof/>
          <w:sz w:val="20"/>
        </w:rPr>
        <w:t>Takmer všetky členské štáty ukončili transpozíciu smernice o európskom ochrannom príkaze</w:t>
      </w:r>
      <w:r>
        <w:rPr>
          <w:rStyle w:val="FootnoteReference"/>
          <w:rFonts w:ascii="Arial" w:hAnsi="Arial"/>
          <w:noProof/>
          <w:sz w:val="20"/>
        </w:rPr>
        <w:footnoteReference w:id="78"/>
      </w:r>
      <w:r>
        <w:rPr>
          <w:noProof/>
        </w:rPr>
        <w:t>.</w:t>
      </w:r>
      <w:r>
        <w:rPr>
          <w:rFonts w:ascii="Arial" w:hAnsi="Arial"/>
          <w:noProof/>
          <w:sz w:val="20"/>
        </w:rPr>
        <w:t xml:space="preserve"> Praktické uplatňovanie tohto nástroja závisí od informovanosti používateľov (obetí a ich právnych zástupcov). K dnešnému dňu bolo cezhranične uznaných len niekoľko ochranných opatrení. Komisia sa zaviazala uverejniť správu o uplatňovaní tohto nástroja, keď bude mať k dispozícii viac údajov o počte vydaných alebo uznaných príkazov.</w:t>
      </w:r>
    </w:p>
    <w:p>
      <w:pPr>
        <w:rPr>
          <w:noProof/>
        </w:rPr>
      </w:pPr>
      <w:r>
        <w:rPr>
          <w:rFonts w:ascii="Arial" w:hAnsi="Arial"/>
          <w:noProof/>
          <w:sz w:val="20"/>
        </w:rPr>
        <w:t>V septembri 2016 Komisia začala postupy v prípade nesplnenia povinnosti proti 18 členským štátom pre neoznámenie ich vnútroštátnych opatrení, prostredníctvom ktorých transponovali smernicu o trestných sankciách za zneužívanie trhu</w:t>
      </w:r>
      <w:r>
        <w:rPr>
          <w:rStyle w:val="FootnoteReference"/>
          <w:rFonts w:ascii="Arial" w:hAnsi="Arial"/>
          <w:noProof/>
          <w:sz w:val="20"/>
        </w:rPr>
        <w:footnoteReference w:id="79"/>
      </w:r>
      <w:r>
        <w:rPr>
          <w:noProof/>
        </w:rPr>
        <w:t>.</w:t>
      </w:r>
    </w:p>
    <w:p>
      <w:pPr>
        <w:rPr>
          <w:rFonts w:ascii="Arial" w:hAnsi="Arial" w:cs="Arial"/>
          <w:noProof/>
          <w:sz w:val="20"/>
        </w:rPr>
      </w:pPr>
      <w:r>
        <w:rPr>
          <w:rFonts w:ascii="Arial" w:hAnsi="Arial"/>
          <w:noProof/>
          <w:sz w:val="20"/>
        </w:rPr>
        <w:t xml:space="preserve">V oblasti </w:t>
      </w:r>
      <w:r>
        <w:rPr>
          <w:rFonts w:ascii="Arial" w:hAnsi="Arial"/>
          <w:b/>
          <w:noProof/>
          <w:sz w:val="20"/>
        </w:rPr>
        <w:t>ochrany údajov</w:t>
      </w:r>
      <w:r>
        <w:rPr>
          <w:rFonts w:ascii="Arial" w:hAnsi="Arial"/>
          <w:noProof/>
          <w:sz w:val="20"/>
        </w:rPr>
        <w:t xml:space="preserve"> nové všeobecné nariadenie o ochrane údajov</w:t>
      </w:r>
      <w:r>
        <w:rPr>
          <w:rStyle w:val="FootnoteReference"/>
          <w:rFonts w:ascii="Arial" w:hAnsi="Arial"/>
          <w:noProof/>
          <w:sz w:val="20"/>
        </w:rPr>
        <w:footnoteReference w:id="80"/>
      </w:r>
      <w:r>
        <w:rPr>
          <w:rFonts w:ascii="Arial" w:hAnsi="Arial"/>
          <w:noProof/>
          <w:sz w:val="20"/>
        </w:rPr>
        <w:t xml:space="preserve"> prijaté v roku 2016 zruší a nahradí existujúce právne predpisy s platnosťou od 25. mája 2018</w:t>
      </w:r>
      <w:r>
        <w:rPr>
          <w:rStyle w:val="FootnoteReference"/>
          <w:rFonts w:ascii="Arial" w:hAnsi="Arial"/>
          <w:noProof/>
          <w:sz w:val="20"/>
        </w:rPr>
        <w:footnoteReference w:id="81"/>
      </w:r>
      <w:r>
        <w:rPr>
          <w:noProof/>
        </w:rPr>
        <w:t>.</w:t>
      </w:r>
      <w:r>
        <w:rPr>
          <w:rFonts w:ascii="Arial" w:hAnsi="Arial"/>
          <w:noProof/>
          <w:sz w:val="20"/>
        </w:rPr>
        <w:t xml:space="preserve"> Komisia bude hodnotiť jeho účinnosť v oblasti presadzovania právnych predpisov z hľadiska nového </w:t>
      </w:r>
      <w:r>
        <w:rPr>
          <w:rFonts w:ascii="Arial" w:hAnsi="Arial"/>
          <w:i/>
          <w:noProof/>
          <w:sz w:val="20"/>
        </w:rPr>
        <w:t>acquis</w:t>
      </w:r>
      <w:r>
        <w:rPr>
          <w:rFonts w:ascii="Arial" w:hAnsi="Arial"/>
          <w:noProof/>
          <w:sz w:val="20"/>
        </w:rPr>
        <w:t>. Okrem toho Komisia začala prípravné práce, aby pomohla členským štátom a zainteresovaným stranám vykonávať a uplatňovať novú smernicu o polícii a orgánoch trestného súdnictva</w:t>
      </w:r>
      <w:r>
        <w:rPr>
          <w:rStyle w:val="FootnoteReference"/>
          <w:rFonts w:ascii="Arial" w:hAnsi="Arial"/>
          <w:noProof/>
          <w:sz w:val="20"/>
        </w:rPr>
        <w:footnoteReference w:id="82"/>
      </w:r>
      <w:r>
        <w:rPr>
          <w:rFonts w:ascii="Arial" w:hAnsi="Arial"/>
          <w:noProof/>
          <w:sz w:val="20"/>
        </w:rPr>
        <w:t>, ktorá nahradí súčasné rámcové rozhodnutie</w:t>
      </w:r>
      <w:r>
        <w:rPr>
          <w:rStyle w:val="FootnoteReference"/>
          <w:rFonts w:ascii="Arial" w:hAnsi="Arial"/>
          <w:noProof/>
          <w:sz w:val="20"/>
        </w:rPr>
        <w:footnoteReference w:id="83"/>
      </w:r>
      <w:r>
        <w:rPr>
          <w:noProof/>
        </w:rPr>
        <w:t>.</w:t>
      </w:r>
    </w:p>
    <w:p>
      <w:pPr>
        <w:rPr>
          <w:rFonts w:ascii="Arial" w:hAnsi="Arial" w:cs="Arial"/>
          <w:noProof/>
          <w:sz w:val="20"/>
        </w:rPr>
      </w:pPr>
      <w:bookmarkStart w:id="35" w:name="_Toc444796652"/>
      <w:r>
        <w:rPr>
          <w:rFonts w:ascii="Arial" w:hAnsi="Arial"/>
          <w:noProof/>
          <w:sz w:val="20"/>
        </w:rPr>
        <w:t xml:space="preserve">V roku 2016 sa práce v oblasti presadzovania právnych predpisov uskutočnili v kontexte </w:t>
      </w:r>
      <w:r>
        <w:rPr>
          <w:rFonts w:ascii="Arial" w:hAnsi="Arial"/>
          <w:b/>
          <w:noProof/>
          <w:sz w:val="20"/>
        </w:rPr>
        <w:t>Európskeho programu v oblasti bezpečnosti</w:t>
      </w:r>
      <w:r>
        <w:rPr>
          <w:rStyle w:val="FootnoteReference"/>
          <w:rFonts w:ascii="Arial" w:hAnsi="Arial"/>
          <w:noProof/>
          <w:sz w:val="20"/>
        </w:rPr>
        <w:footnoteReference w:id="84"/>
      </w:r>
      <w:r>
        <w:rPr>
          <w:rFonts w:ascii="Arial" w:hAnsi="Arial"/>
          <w:noProof/>
          <w:sz w:val="20"/>
        </w:rPr>
        <w:t xml:space="preserve"> a rozvoja bezpečnostnej únie. V septembri 2016 Komisia vytvorila osobitné portfólio a poverila komisára zodpovednosťou za zavedenie bezpečnostnej únie.</w:t>
      </w:r>
    </w:p>
    <w:p>
      <w:pPr>
        <w:rPr>
          <w:noProof/>
          <w:sz w:val="20"/>
        </w:rPr>
      </w:pPr>
      <w:r>
        <w:rPr>
          <w:rFonts w:ascii="Arial" w:hAnsi="Arial"/>
          <w:noProof/>
          <w:sz w:val="20"/>
        </w:rPr>
        <w:t>Práce v oblasti presadzovania právnych predpisov prispeli k reakcii Komisie na tragické teroristické útoky z roku 2016. Začali sa postupy v prípade nesplnenia povinnosti pre nesprávne vykonávanie nariadenia o uvádzaní prekurzorov výbušnín na trh a ich používaní</w:t>
      </w:r>
      <w:r>
        <w:rPr>
          <w:rStyle w:val="FootnoteReference"/>
          <w:rFonts w:ascii="Arial" w:hAnsi="Arial"/>
          <w:noProof/>
          <w:sz w:val="20"/>
        </w:rPr>
        <w:footnoteReference w:id="85"/>
      </w:r>
      <w:r>
        <w:rPr>
          <w:noProof/>
        </w:rPr>
        <w:t>.</w:t>
      </w:r>
      <w:r>
        <w:rPr>
          <w:rFonts w:ascii="Arial" w:hAnsi="Arial"/>
          <w:noProof/>
          <w:sz w:val="20"/>
        </w:rPr>
        <w:t xml:space="preserve"> Komisia takisto začala prvé postupy v prípade nesplnenia povinnosti v súvislosti s nástrojmi, ktoré patria do bývalého „tretieho piliera“. Tieto postupy boli zamerané na neoznámenie vnútroštátnych opatrení v súvislosti s vykonávaním „švédskej iniciatívy“</w:t>
      </w:r>
      <w:r>
        <w:rPr>
          <w:rStyle w:val="FootnoteReference"/>
          <w:rFonts w:ascii="Arial" w:hAnsi="Arial"/>
          <w:noProof/>
          <w:sz w:val="20"/>
        </w:rPr>
        <w:footnoteReference w:id="86"/>
      </w:r>
      <w:r>
        <w:rPr>
          <w:rFonts w:ascii="Arial" w:hAnsi="Arial"/>
          <w:noProof/>
          <w:sz w:val="20"/>
        </w:rPr>
        <w:t xml:space="preserve"> na zjednodušenie výmeny informácií a spravodajských informácií medzi orgánmi presadzovania práva Únie a pre nedodržanie prümských rozhodnutí</w:t>
      </w:r>
      <w:r>
        <w:rPr>
          <w:rStyle w:val="FootnoteReference"/>
          <w:rFonts w:ascii="Arial" w:hAnsi="Arial"/>
          <w:noProof/>
          <w:sz w:val="20"/>
        </w:rPr>
        <w:footnoteReference w:id="87"/>
      </w:r>
      <w:r>
        <w:rPr>
          <w:rFonts w:ascii="Arial" w:hAnsi="Arial"/>
          <w:noProof/>
          <w:sz w:val="20"/>
        </w:rPr>
        <w:t xml:space="preserve"> o výmene informácií v boji proti terorizmu a závažnej trestnej činnosti.</w:t>
      </w:r>
    </w:p>
    <w:p>
      <w:pPr>
        <w:rPr>
          <w:rFonts w:ascii="Arial" w:hAnsi="Arial" w:cs="Arial"/>
          <w:noProof/>
          <w:sz w:val="20"/>
        </w:rPr>
      </w:pPr>
      <w:r>
        <w:rPr>
          <w:rFonts w:ascii="Arial" w:hAnsi="Arial"/>
          <w:noProof/>
          <w:sz w:val="20"/>
        </w:rPr>
        <w:t>Komisia dokončila kontroly transpozície smerníc proti obchodovaniu s ľuďmi</w:t>
      </w:r>
      <w:r>
        <w:rPr>
          <w:rStyle w:val="FootnoteReference"/>
          <w:rFonts w:ascii="Arial" w:hAnsi="Arial"/>
          <w:noProof/>
          <w:sz w:val="20"/>
        </w:rPr>
        <w:footnoteReference w:id="88"/>
      </w:r>
      <w:r>
        <w:rPr>
          <w:rFonts w:ascii="Arial" w:hAnsi="Arial"/>
          <w:noProof/>
          <w:sz w:val="20"/>
        </w:rPr>
        <w:t xml:space="preserve"> a sexuálnemu vykorisťovaniu detí</w:t>
      </w:r>
      <w:r>
        <w:rPr>
          <w:rStyle w:val="FootnoteReference"/>
          <w:rFonts w:ascii="Arial" w:hAnsi="Arial"/>
          <w:noProof/>
          <w:sz w:val="20"/>
        </w:rPr>
        <w:footnoteReference w:id="89"/>
      </w:r>
      <w:r>
        <w:rPr>
          <w:noProof/>
        </w:rPr>
        <w:t>.</w:t>
      </w:r>
      <w:r>
        <w:rPr>
          <w:rFonts w:ascii="Arial" w:hAnsi="Arial"/>
          <w:noProof/>
          <w:sz w:val="20"/>
        </w:rPr>
        <w:t xml:space="preserve"> Uzavrela takmer všetky postupy v prípade nesplnenia povinnosti pre neoznámenie vnútroštátnych opatrení, ktorými sa vykonávajú tieto smernice. Komisia však začala postupy v prípade nesplnenia povinnosti pre neoznámenie vnútroštátnych opatrení, ktorými sa vykonáva smernica o útokoch na informačné systémy</w:t>
      </w:r>
      <w:r>
        <w:rPr>
          <w:rStyle w:val="FootnoteReference"/>
          <w:rFonts w:ascii="Arial" w:hAnsi="Arial"/>
          <w:noProof/>
          <w:sz w:val="20"/>
        </w:rPr>
        <w:footnoteReference w:id="90"/>
      </w:r>
      <w:r>
        <w:rPr>
          <w:noProof/>
        </w:rPr>
        <w:t>.</w:t>
      </w:r>
      <w:r>
        <w:rPr>
          <w:rFonts w:ascii="Arial" w:hAnsi="Arial"/>
          <w:noProof/>
          <w:sz w:val="20"/>
        </w:rPr>
        <w:t xml:space="preserve"> Takisto začala postup v prípade nesplnenia povinnosti pre neoznámenie vnútroštátnych opatrení, ktorými sa vykonáva smernica o zaistení a konfiškácii prostriedkov a príjmov z trestnej činnosti.</w:t>
      </w:r>
      <w:r>
        <w:rPr>
          <w:rStyle w:val="FootnoteReference"/>
          <w:rFonts w:ascii="Arial" w:hAnsi="Arial"/>
          <w:noProof/>
          <w:sz w:val="20"/>
        </w:rPr>
        <w:t xml:space="preserve"> </w:t>
      </w:r>
      <w:r>
        <w:rPr>
          <w:rStyle w:val="FootnoteReference"/>
          <w:rFonts w:ascii="Arial" w:hAnsi="Arial"/>
          <w:noProof/>
          <w:sz w:val="20"/>
        </w:rPr>
        <w:footnoteReference w:id="91"/>
      </w:r>
    </w:p>
    <w:p>
      <w:pPr>
        <w:rPr>
          <w:rFonts w:ascii="Arial" w:hAnsi="Arial" w:cs="Arial"/>
          <w:noProof/>
          <w:sz w:val="20"/>
        </w:rPr>
      </w:pPr>
      <w:r>
        <w:rPr>
          <w:rFonts w:ascii="Arial" w:hAnsi="Arial"/>
          <w:noProof/>
          <w:sz w:val="20"/>
        </w:rPr>
        <w:t>Komisia pravidelne podáva správy Európskemu parlamentu, Európskej rade a Rade o pokroku pri vytváraní účinnej a skutočnej bezpečnostnej únie. Zahŕňa to aj využívanie práce v oblasti presadzovania právnych predpisov, ktoré prispievajú k upevňovaniu bezpečnostnej únie.</w:t>
      </w:r>
    </w:p>
    <w:p>
      <w:pPr>
        <w:pStyle w:val="kop3"/>
        <w:rPr>
          <w:noProof/>
        </w:rPr>
      </w:pPr>
      <w:bookmarkStart w:id="36" w:name="_Toc484623692"/>
      <w:bookmarkStart w:id="37" w:name="_Toc484685981"/>
      <w:bookmarkStart w:id="38" w:name="_Toc486858013"/>
      <w:r>
        <w:rPr>
          <w:noProof/>
        </w:rPr>
        <w:t>Smerom k novej politike v oblasti migrácie</w:t>
      </w:r>
      <w:bookmarkEnd w:id="35"/>
      <w:bookmarkEnd w:id="36"/>
      <w:bookmarkEnd w:id="37"/>
      <w:bookmarkEnd w:id="38"/>
    </w:p>
    <w:p>
      <w:pPr>
        <w:rPr>
          <w:rFonts w:ascii="Arial" w:hAnsi="Arial" w:cs="Arial"/>
          <w:noProof/>
          <w:sz w:val="20"/>
        </w:rPr>
      </w:pPr>
      <w:bookmarkStart w:id="39" w:name="_Toc444796653"/>
      <w:bookmarkStart w:id="40" w:name="_Toc416339014"/>
      <w:r>
        <w:rPr>
          <w:rFonts w:ascii="Arial" w:hAnsi="Arial"/>
          <w:noProof/>
          <w:sz w:val="20"/>
        </w:rPr>
        <w:t xml:space="preserve">Reakcia Komisie na rozvoj migračnej a bezpečnostnej situácie zahŕňa jej prácu pri presadzovaní </w:t>
      </w:r>
      <w:r>
        <w:rPr>
          <w:rFonts w:ascii="Arial" w:hAnsi="Arial"/>
          <w:b/>
          <w:noProof/>
          <w:sz w:val="20"/>
        </w:rPr>
        <w:t>európskej migračnej agendy</w:t>
      </w:r>
      <w:r>
        <w:rPr>
          <w:rStyle w:val="FootnoteReference"/>
          <w:rFonts w:ascii="Arial" w:hAnsi="Arial"/>
          <w:noProof/>
          <w:sz w:val="20"/>
        </w:rPr>
        <w:footnoteReference w:id="92"/>
      </w:r>
      <w:r>
        <w:rPr>
          <w:rFonts w:ascii="Arial" w:hAnsi="Arial"/>
          <w:noProof/>
          <w:sz w:val="20"/>
        </w:rPr>
        <w:t>, ako aj pravidelných implementačných balíkov, ktoré predložila.</w:t>
      </w:r>
    </w:p>
    <w:p>
      <w:pPr>
        <w:rPr>
          <w:rFonts w:ascii="Arial" w:hAnsi="Arial" w:cs="Arial"/>
          <w:noProof/>
          <w:sz w:val="20"/>
        </w:rPr>
      </w:pPr>
      <w:r>
        <w:rPr>
          <w:rFonts w:ascii="Arial" w:hAnsi="Arial"/>
          <w:noProof/>
          <w:sz w:val="20"/>
        </w:rPr>
        <w:t>V tejto súvislosti Komisia v roku 2016 pokračovala v postupoch v prípade nesplnenia povinnosti, ktoré začala v roku 2015 pre neoznámenie alebo nesprávne vykonávanie nástrojov v rámci spoločného európskeho azylového systému. Zaslala odôvodnené stanoviská členským štátom, ktoré ešte neoznámili vnútroštátne opatrenia, ktorými sa transponujú smernice o konaní o azyle</w:t>
      </w:r>
      <w:r>
        <w:rPr>
          <w:rStyle w:val="FootnoteReference"/>
          <w:rFonts w:ascii="Arial" w:hAnsi="Arial"/>
          <w:noProof/>
          <w:sz w:val="20"/>
        </w:rPr>
        <w:footnoteReference w:id="93"/>
      </w:r>
      <w:r>
        <w:rPr>
          <w:rFonts w:ascii="Arial" w:hAnsi="Arial"/>
          <w:noProof/>
          <w:sz w:val="20"/>
        </w:rPr>
        <w:t xml:space="preserve"> a o podmienkach prijímania</w:t>
      </w:r>
      <w:r>
        <w:rPr>
          <w:rStyle w:val="FootnoteReference"/>
          <w:rFonts w:ascii="Arial" w:hAnsi="Arial"/>
          <w:noProof/>
          <w:sz w:val="20"/>
        </w:rPr>
        <w:footnoteReference w:id="94"/>
      </w:r>
      <w:r>
        <w:rPr>
          <w:noProof/>
        </w:rPr>
        <w:t>.</w:t>
      </w:r>
      <w:r>
        <w:rPr>
          <w:rFonts w:ascii="Arial" w:hAnsi="Arial"/>
          <w:noProof/>
          <w:sz w:val="20"/>
        </w:rPr>
        <w:t xml:space="preserve"> Takisto to urobila aj s členskými štátmi, ktoré neoznámili opatrenia na úplnú transpozíciu smernice o rozšírení pôsobnosti režimu dlhodobého pobytu na osoby požívajúce medzinárodnú ochranu</w:t>
      </w:r>
      <w:r>
        <w:rPr>
          <w:rStyle w:val="FootnoteReference"/>
          <w:rFonts w:ascii="Arial" w:hAnsi="Arial"/>
          <w:noProof/>
          <w:sz w:val="20"/>
        </w:rPr>
        <w:footnoteReference w:id="95"/>
      </w:r>
      <w:r>
        <w:rPr>
          <w:noProof/>
        </w:rPr>
        <w:t>.</w:t>
      </w:r>
      <w:r>
        <w:rPr>
          <w:rFonts w:ascii="Arial" w:hAnsi="Arial"/>
          <w:noProof/>
          <w:sz w:val="20"/>
        </w:rPr>
        <w:t xml:space="preserve"> Komisia rozhodla o ukončení troch postupov v prípade nesplnenia povinnosti, ktoré sa začali v roku 2015 pre nesprávne vykonávanie nariadenia o systéme Eurodac</w:t>
      </w:r>
      <w:r>
        <w:rPr>
          <w:rStyle w:val="FootnoteReference"/>
          <w:rFonts w:ascii="Arial" w:hAnsi="Arial"/>
          <w:noProof/>
          <w:sz w:val="20"/>
        </w:rPr>
        <w:footnoteReference w:id="96"/>
      </w:r>
      <w:r>
        <w:rPr>
          <w:noProof/>
        </w:rPr>
        <w:t>.</w:t>
      </w:r>
    </w:p>
    <w:p>
      <w:pPr>
        <w:rPr>
          <w:rFonts w:ascii="Arial" w:hAnsi="Arial"/>
          <w:noProof/>
          <w:sz w:val="20"/>
        </w:rPr>
      </w:pPr>
      <w:r>
        <w:rPr>
          <w:rFonts w:ascii="Arial" w:hAnsi="Arial"/>
          <w:noProof/>
          <w:sz w:val="20"/>
        </w:rPr>
        <w:t>Správne zavedenie smernice o návrate</w:t>
      </w:r>
      <w:r>
        <w:rPr>
          <w:rStyle w:val="FootnoteReference"/>
          <w:rFonts w:ascii="Arial" w:hAnsi="Arial"/>
          <w:noProof/>
          <w:sz w:val="20"/>
        </w:rPr>
        <w:footnoteReference w:id="97"/>
      </w:r>
      <w:r>
        <w:rPr>
          <w:rFonts w:ascii="Arial" w:hAnsi="Arial"/>
          <w:noProof/>
          <w:sz w:val="20"/>
        </w:rPr>
        <w:t xml:space="preserve"> je kľúčom k dosiahnutiu cieľov agendy v oblasti boja proti neregulárnej migrácii a jej prevencie. Komisia zaslala jednému členskému štátu odôvodnené stanovisko pre nesprávne vykonávanie tejto smernice. Komisia pravidelne podáva správy o vykonávaní európskej migračnej agendy.</w:t>
      </w:r>
    </w:p>
    <w:p>
      <w:pPr>
        <w:rPr>
          <w:rFonts w:ascii="Arial" w:hAnsi="Arial" w:cs="Arial"/>
          <w:noProof/>
          <w:sz w:val="20"/>
        </w:rPr>
      </w:pPr>
      <w:r>
        <w:rPr>
          <w:rFonts w:ascii="Arial" w:hAnsi="Arial"/>
          <w:noProof/>
          <w:sz w:val="20"/>
        </w:rPr>
        <w:t>Komisia takisto začala postupy v prípade nesplnenia povinnosti pre neoznámenie vnútroštátnych opatrení, ktorými sa vykonáva smernica o podmienkach vstupu a pobytu štátnych príslušníkov tretích krajín na účel zamestnania ako sezónni pracovníci</w:t>
      </w:r>
      <w:r>
        <w:rPr>
          <w:rStyle w:val="FootnoteReference"/>
          <w:rFonts w:ascii="Arial" w:hAnsi="Arial"/>
          <w:noProof/>
          <w:sz w:val="20"/>
        </w:rPr>
        <w:footnoteReference w:id="98"/>
      </w:r>
      <w:r>
        <w:rPr>
          <w:noProof/>
        </w:rPr>
        <w:t>.</w:t>
      </w:r>
    </w:p>
    <w:p>
      <w:pPr>
        <w:pStyle w:val="kop3"/>
        <w:rPr>
          <w:noProof/>
          <w:spacing w:val="-2"/>
        </w:rPr>
      </w:pPr>
      <w:bookmarkStart w:id="41" w:name="_Toc484623693"/>
      <w:bookmarkStart w:id="42" w:name="_Toc484685982"/>
      <w:bookmarkStart w:id="43" w:name="_Toc486858014"/>
      <w:r>
        <w:rPr>
          <w:noProof/>
          <w:spacing w:val="-2"/>
        </w:rPr>
        <w:t>Spolupráca s členskými štátmi s cieľom zabezpečiť riadne vykonávanie práva Únie</w:t>
      </w:r>
      <w:bookmarkEnd w:id="39"/>
      <w:bookmarkEnd w:id="41"/>
      <w:bookmarkEnd w:id="42"/>
      <w:bookmarkEnd w:id="43"/>
    </w:p>
    <w:p>
      <w:pPr>
        <w:pStyle w:val="Kop4"/>
        <w:rPr>
          <w:rFonts w:eastAsia="MS Gothic"/>
          <w:b w:val="0"/>
          <w:noProof/>
        </w:rPr>
      </w:pPr>
      <w:bookmarkStart w:id="44" w:name="_Toc444796654"/>
      <w:bookmarkStart w:id="45" w:name="_Toc484623694"/>
      <w:bookmarkStart w:id="46" w:name="_Toc484685983"/>
      <w:bookmarkStart w:id="47" w:name="_Toc486858015"/>
      <w:bookmarkEnd w:id="40"/>
      <w:r>
        <w:rPr>
          <w:b w:val="0"/>
          <w:noProof/>
        </w:rPr>
        <w:t>Plány vykonávania: súčasný stav</w:t>
      </w:r>
      <w:bookmarkEnd w:id="44"/>
      <w:bookmarkEnd w:id="45"/>
      <w:bookmarkEnd w:id="46"/>
      <w:bookmarkEnd w:id="47"/>
    </w:p>
    <w:p>
      <w:pPr>
        <w:spacing w:before="120" w:after="120"/>
        <w:rPr>
          <w:rFonts w:ascii="Arial" w:hAnsi="Arial" w:cs="Arial"/>
          <w:noProof/>
          <w:sz w:val="20"/>
        </w:rPr>
      </w:pPr>
      <w:r>
        <w:rPr>
          <w:rFonts w:ascii="Arial" w:hAnsi="Arial"/>
          <w:noProof/>
          <w:sz w:val="20"/>
        </w:rPr>
        <w:t>V balíku lepšej právnej regulácie sa Komisia zaviazala aktívne pomáhať členským štátom pri transpozícii a vykonávaní právnych predpisov prostredníctvom vypracovania plánov vykonávania k určitým smerniciam a nariadeniam. Hoci zodpovednosť za uplatňovanie práva Únie nesú členské štáty, cieľom plánov vykonávania je pomôcť im uplatňovať právne predpisy účinne a včas. V plánoch sa identifikujú výzvy, ktorým budú členské štáty čeliť a ktoré je potrebné zohľadniť pri príprave transpozície a vykonávania právneho predpisu. V plánoch sa zároveň poskytuje široká škála nástrojov, ktoré majú členským štátom pomôcť vykonávať právne predpisy EÚ, ako napríklad usmerňovacie dokumenty, expertné skupiny a špecializované webové sídla.</w:t>
      </w:r>
    </w:p>
    <w:p>
      <w:pPr>
        <w:spacing w:before="120" w:after="120"/>
        <w:rPr>
          <w:rFonts w:ascii="Arial" w:hAnsi="Arial" w:cs="Arial"/>
          <w:noProof/>
          <w:sz w:val="20"/>
        </w:rPr>
      </w:pPr>
      <w:r>
        <w:rPr>
          <w:rFonts w:ascii="Arial" w:hAnsi="Arial"/>
          <w:noProof/>
          <w:sz w:val="20"/>
        </w:rPr>
        <w:t>V roku 2016 Komisia pripravila plán vykonávania na zabezpečenie účinnej transpozície a vykonávania troch návrhov, ktoré vydala pre smernice týkajúce sa bezpečnosti osobných lodí</w:t>
      </w:r>
      <w:r>
        <w:rPr>
          <w:rStyle w:val="FootnoteReference"/>
          <w:rFonts w:ascii="Arial" w:hAnsi="Arial"/>
          <w:noProof/>
          <w:sz w:val="20"/>
        </w:rPr>
        <w:footnoteReference w:id="99"/>
      </w:r>
      <w:r>
        <w:rPr>
          <w:noProof/>
        </w:rPr>
        <w:t>.</w:t>
      </w:r>
      <w:r>
        <w:rPr>
          <w:rFonts w:ascii="Arial" w:hAnsi="Arial"/>
          <w:noProof/>
          <w:sz w:val="20"/>
        </w:rPr>
        <w:t xml:space="preserve"> Tento plán obsahuje zoznam krokov potrebných na vykonanie zjednodušujúcich opatrení a na určenie hlavných technických, právnych a časových výziev pri vykonávaní.</w:t>
      </w:r>
    </w:p>
    <w:p>
      <w:pPr>
        <w:spacing w:before="120" w:after="120"/>
        <w:rPr>
          <w:rFonts w:ascii="Arial" w:hAnsi="Arial" w:cs="Arial"/>
          <w:noProof/>
          <w:sz w:val="20"/>
        </w:rPr>
      </w:pPr>
      <w:r>
        <w:rPr>
          <w:rFonts w:ascii="Arial" w:hAnsi="Arial"/>
          <w:noProof/>
          <w:sz w:val="20"/>
        </w:rPr>
        <w:t>Pokiaľ ide o podpornú akciu na úrovni EÚ, Komisia predpokladá rozsiahle využívanie existujúcej expertnej skupiny pre bezpečnosť osobných lodí s cieľom vypracovať vykonávacie opatrenia a uľahčiť proces transpozície. Expertné skupiny bude takisto využívať na inšpekcie štátnej prístavnej kontroly a vykonávanie národného jednotného kontaktného miesta. V spolupráci s Európskou námornou bezpečnostnou agentúrou (EMSA) bude organizovať niekoľko osobitných seminárov a korešpondenčných skupín s cieľom ďalej rozvíjať technickejšie otázky a poskytovať technickú pomoc počas transpozičného obdobia. Na žiadosť členských štátov by agentúra EMSA mohla navštíviť dotknuté štáty s cieľom určiť problémy súvisiace s transpozíciou a v prípade potreby im poskytnúť technickú pomoc.</w:t>
      </w:r>
    </w:p>
    <w:p>
      <w:pPr>
        <w:spacing w:before="120" w:after="120"/>
        <w:rPr>
          <w:rFonts w:ascii="Arial" w:hAnsi="Arial" w:cs="Arial"/>
          <w:noProof/>
          <w:sz w:val="20"/>
        </w:rPr>
      </w:pPr>
      <w:r>
        <w:rPr>
          <w:rFonts w:ascii="Arial" w:hAnsi="Arial"/>
          <w:noProof/>
          <w:sz w:val="20"/>
        </w:rPr>
        <w:t>Členské štáty budú zodpovedné na vnútroštátnej úrovni za koordináciu medzi relevantnými príslušnými orgánmi, hospodárskymi subjektmi, ako sú lodenice, vlastníci lodí a ich prevádzkovatelia, a združeniami cestujúcich.</w:t>
      </w:r>
    </w:p>
    <w:p>
      <w:pPr>
        <w:spacing w:before="120" w:after="120"/>
        <w:rPr>
          <w:rFonts w:ascii="Arial" w:hAnsi="Arial" w:cs="Arial"/>
          <w:noProof/>
          <w:sz w:val="20"/>
        </w:rPr>
      </w:pPr>
      <w:r>
        <w:rPr>
          <w:rFonts w:ascii="Arial" w:hAnsi="Arial"/>
          <w:noProof/>
          <w:sz w:val="20"/>
        </w:rPr>
        <w:t>Komisia bude monitorovať, ako členské štáty využívajú plány vykonávania.</w:t>
      </w:r>
    </w:p>
    <w:p>
      <w:pPr>
        <w:spacing w:before="120" w:after="120"/>
        <w:rPr>
          <w:rFonts w:ascii="Arial" w:hAnsi="Arial" w:cs="Arial"/>
          <w:noProof/>
          <w:sz w:val="20"/>
        </w:rPr>
      </w:pPr>
    </w:p>
    <w:p>
      <w:pPr>
        <w:pStyle w:val="Kop4"/>
        <w:rPr>
          <w:rFonts w:eastAsia="MS Gothic"/>
          <w:b w:val="0"/>
          <w:noProof/>
        </w:rPr>
      </w:pPr>
      <w:bookmarkStart w:id="48" w:name="_Toc444796655"/>
      <w:bookmarkStart w:id="49" w:name="_Toc484623695"/>
      <w:bookmarkStart w:id="50" w:name="_Toc484685984"/>
      <w:bookmarkStart w:id="51" w:name="_Toc486858016"/>
      <w:r>
        <w:rPr>
          <w:b w:val="0"/>
          <w:noProof/>
        </w:rPr>
        <w:t>Vysvetľujúce dokumenty: súčasný stav</w:t>
      </w:r>
      <w:bookmarkEnd w:id="48"/>
      <w:bookmarkEnd w:id="49"/>
      <w:bookmarkEnd w:id="50"/>
      <w:bookmarkEnd w:id="51"/>
    </w:p>
    <w:p>
      <w:pPr>
        <w:spacing w:before="120"/>
        <w:rPr>
          <w:rFonts w:ascii="Arial" w:hAnsi="Arial" w:cs="Arial"/>
          <w:noProof/>
          <w:sz w:val="20"/>
        </w:rPr>
      </w:pPr>
      <w:r>
        <w:rPr>
          <w:rFonts w:ascii="Arial" w:hAnsi="Arial"/>
          <w:noProof/>
          <w:sz w:val="20"/>
        </w:rPr>
        <w:t>Inštitúcie EÚ a členské štáty sa v roku 2011 dohodli, že členským štátom pri oznamovaní vnútroštátnych transpozičných opatrení Komisii možno uložiť aj povinnosť poskytnúť vysvetľujúce dokumenty k tomu, ako transponovali smernice do svojich právnych predpisov</w:t>
      </w:r>
      <w:r>
        <w:rPr>
          <w:rStyle w:val="FootnoteReference"/>
          <w:noProof/>
        </w:rPr>
        <w:footnoteReference w:id="100"/>
      </w:r>
      <w:r>
        <w:rPr>
          <w:rFonts w:ascii="Arial" w:hAnsi="Arial"/>
          <w:noProof/>
          <w:sz w:val="20"/>
        </w:rPr>
        <w:t>. Komisia môže požiadať členské štáty, aby v odôvodnených prípadoch predložili tieto „vysvetľujúce dokumenty“</w:t>
      </w:r>
      <w:r>
        <w:rPr>
          <w:rStyle w:val="FootnoteReference"/>
          <w:noProof/>
        </w:rPr>
        <w:footnoteReference w:id="101"/>
      </w:r>
      <w:r>
        <w:rPr>
          <w:rFonts w:ascii="Arial" w:hAnsi="Arial"/>
          <w:noProof/>
          <w:sz w:val="20"/>
        </w:rPr>
        <w:t>.</w:t>
      </w:r>
    </w:p>
    <w:p>
      <w:pPr>
        <w:spacing w:before="120"/>
        <w:rPr>
          <w:rFonts w:ascii="Arial" w:hAnsi="Arial" w:cs="Arial"/>
          <w:noProof/>
          <w:sz w:val="20"/>
        </w:rPr>
      </w:pPr>
      <w:r>
        <w:rPr>
          <w:rFonts w:ascii="Arial" w:hAnsi="Arial"/>
          <w:noProof/>
          <w:sz w:val="20"/>
        </w:rPr>
        <w:t>Vysvetľujúce dokumenty zohrávajú významnú úlohu pri podpore správneho chápania vnútroštátnych transpozičných opatrení. Pomáhajú zjednodušiť monitorovanie súladu: Bez dokumentov by Komisia potrebovala značné zdroje a početné kontakty s vnútroštátnymi orgánmi na zistenie metód transpozície vo všetkých členských štátoch. Transpozičné opatrenia sa musia zlúčiť s komplexným existujúcim právnym rámcom. Pri výslednej transpozičnej činnosti vzniknú stovky opatrení, ktoré treba preskúmať.</w:t>
      </w:r>
    </w:p>
    <w:p>
      <w:pPr>
        <w:spacing w:before="120"/>
        <w:rPr>
          <w:rFonts w:ascii="Arial" w:hAnsi="Arial" w:cs="Arial"/>
          <w:noProof/>
          <w:sz w:val="20"/>
        </w:rPr>
      </w:pPr>
      <w:r>
        <w:rPr>
          <w:rFonts w:ascii="Arial" w:hAnsi="Arial"/>
          <w:noProof/>
          <w:sz w:val="20"/>
        </w:rPr>
        <w:t>V roku 2016 si Komisia vyžiadala vysvetľujúce dokumenty v 20 zo 40 návrhov smerníc predložených Európskemu parlamentu a Rade. Z 37 smerníc, ktoré Európsky parlament a Rada prijali počas roku, si Komisia vyžiadala vysvetľujúce dokumenty k ôsmim smerniciam. Vo všetkých ôsmich aktoch sa schválené odôvodnenie o potrebe takýchto dokumentov zachovalo aj v konečnom znení.</w:t>
      </w:r>
    </w:p>
    <w:p>
      <w:pPr>
        <w:spacing w:before="120"/>
        <w:rPr>
          <w:rFonts w:ascii="Arial" w:hAnsi="Arial" w:cs="Arial"/>
          <w:noProof/>
          <w:sz w:val="20"/>
        </w:rPr>
      </w:pPr>
      <w:r>
        <w:rPr>
          <w:rFonts w:ascii="Arial" w:hAnsi="Arial"/>
          <w:noProof/>
          <w:sz w:val="20"/>
        </w:rPr>
        <w:t>Členské štáty mali počas roka transponovať 70 smerníc</w:t>
      </w:r>
      <w:r>
        <w:rPr>
          <w:rStyle w:val="FootnoteReference"/>
          <w:noProof/>
        </w:rPr>
        <w:footnoteReference w:id="102"/>
      </w:r>
      <w:r>
        <w:rPr>
          <w:rFonts w:ascii="Arial" w:hAnsi="Arial"/>
          <w:noProof/>
          <w:sz w:val="20"/>
        </w:rPr>
        <w:t>. Vysvetľujúce dokumenty sa zaviazali predložiť k 20 z nich. Proces posúdenia vnútroštátnych opatrení pre tieto smernice práve prebieha.</w:t>
      </w:r>
    </w:p>
    <w:p>
      <w:pPr>
        <w:spacing w:before="120" w:after="120"/>
        <w:rPr>
          <w:rFonts w:ascii="Arial" w:hAnsi="Arial" w:cs="Arial"/>
          <w:noProof/>
          <w:spacing w:val="-2"/>
          <w:sz w:val="20"/>
        </w:rPr>
      </w:pPr>
      <w:r>
        <w:rPr>
          <w:rFonts w:ascii="Arial" w:hAnsi="Arial"/>
          <w:noProof/>
          <w:spacing w:val="-2"/>
          <w:sz w:val="20"/>
        </w:rPr>
        <w:t xml:space="preserve">Päť z 20 smerníc, ku ktorým sa členské štáty zaviazali poskytnúť vysvetľujúce dokumenty v roku 2016, sa týkajú </w:t>
      </w:r>
      <w:r>
        <w:rPr>
          <w:rFonts w:ascii="Arial" w:hAnsi="Arial"/>
          <w:b/>
          <w:noProof/>
          <w:spacing w:val="-2"/>
          <w:sz w:val="20"/>
        </w:rPr>
        <w:t>finančných trhov</w:t>
      </w:r>
      <w:r>
        <w:rPr>
          <w:rFonts w:ascii="Arial" w:hAnsi="Arial"/>
          <w:noProof/>
          <w:spacing w:val="-2"/>
          <w:sz w:val="20"/>
        </w:rPr>
        <w:t>. Členské štáty oznámil Komisii tieto počty vysvetľujúcich dokumentov:</w:t>
      </w:r>
    </w:p>
    <w:p>
      <w:pPr>
        <w:numPr>
          <w:ilvl w:val="0"/>
          <w:numId w:val="44"/>
        </w:numPr>
        <w:spacing w:after="120"/>
        <w:ind w:left="714" w:hanging="357"/>
        <w:rPr>
          <w:rFonts w:ascii="Arial" w:hAnsi="Arial"/>
          <w:noProof/>
          <w:sz w:val="20"/>
        </w:rPr>
      </w:pPr>
      <w:r>
        <w:rPr>
          <w:rFonts w:ascii="Arial" w:hAnsi="Arial"/>
          <w:noProof/>
          <w:sz w:val="20"/>
        </w:rPr>
        <w:t>26 pre smernicu o hypotekárnych úveroch</w:t>
      </w:r>
      <w:r>
        <w:rPr>
          <w:rStyle w:val="FootnoteReference"/>
          <w:rFonts w:ascii="Arial" w:hAnsi="Arial"/>
          <w:noProof/>
          <w:sz w:val="20"/>
        </w:rPr>
        <w:footnoteReference w:id="103"/>
      </w:r>
      <w:r>
        <w:rPr>
          <w:rFonts w:ascii="Arial" w:hAnsi="Arial"/>
          <w:noProof/>
          <w:sz w:val="20"/>
        </w:rPr>
        <w:t xml:space="preserve"> (vrátane 7 tabuliek zhody),</w:t>
      </w:r>
    </w:p>
    <w:p>
      <w:pPr>
        <w:numPr>
          <w:ilvl w:val="0"/>
          <w:numId w:val="44"/>
        </w:numPr>
        <w:spacing w:after="120"/>
        <w:ind w:left="714" w:hanging="357"/>
        <w:rPr>
          <w:rFonts w:ascii="Arial" w:hAnsi="Arial"/>
          <w:noProof/>
          <w:sz w:val="20"/>
        </w:rPr>
      </w:pPr>
      <w:r>
        <w:rPr>
          <w:rFonts w:ascii="Arial" w:hAnsi="Arial"/>
          <w:noProof/>
          <w:sz w:val="20"/>
        </w:rPr>
        <w:t>13 pre smernicu o systémoch ochrany vkladov</w:t>
      </w:r>
      <w:r>
        <w:rPr>
          <w:rStyle w:val="FootnoteReference"/>
          <w:rFonts w:ascii="Arial" w:hAnsi="Arial"/>
          <w:noProof/>
          <w:sz w:val="20"/>
        </w:rPr>
        <w:footnoteReference w:id="104"/>
      </w:r>
      <w:r>
        <w:rPr>
          <w:rFonts w:ascii="Arial" w:hAnsi="Arial"/>
          <w:noProof/>
          <w:sz w:val="20"/>
        </w:rPr>
        <w:t xml:space="preserve"> (vrátane 9 tabuliek zhody),</w:t>
      </w:r>
    </w:p>
    <w:p>
      <w:pPr>
        <w:numPr>
          <w:ilvl w:val="0"/>
          <w:numId w:val="44"/>
        </w:numPr>
        <w:spacing w:after="120"/>
        <w:ind w:left="714" w:hanging="357"/>
        <w:rPr>
          <w:rFonts w:ascii="Arial" w:hAnsi="Arial"/>
          <w:noProof/>
          <w:sz w:val="20"/>
        </w:rPr>
      </w:pPr>
      <w:r>
        <w:rPr>
          <w:rFonts w:ascii="Arial" w:hAnsi="Arial"/>
          <w:noProof/>
          <w:sz w:val="20"/>
        </w:rPr>
        <w:t>12 pre smernicu o audite</w:t>
      </w:r>
      <w:r>
        <w:rPr>
          <w:rStyle w:val="FootnoteReference"/>
          <w:rFonts w:ascii="Arial" w:hAnsi="Arial"/>
          <w:noProof/>
          <w:sz w:val="20"/>
        </w:rPr>
        <w:footnoteReference w:id="105"/>
      </w:r>
      <w:r>
        <w:rPr>
          <w:rFonts w:ascii="Arial" w:hAnsi="Arial"/>
          <w:noProof/>
          <w:sz w:val="20"/>
        </w:rPr>
        <w:t xml:space="preserve"> (vrátane 8 tabuliek zhody),</w:t>
      </w:r>
    </w:p>
    <w:p>
      <w:pPr>
        <w:numPr>
          <w:ilvl w:val="0"/>
          <w:numId w:val="44"/>
        </w:numPr>
        <w:spacing w:after="120"/>
        <w:ind w:left="714" w:hanging="357"/>
        <w:rPr>
          <w:rFonts w:ascii="Arial" w:hAnsi="Arial"/>
          <w:noProof/>
          <w:sz w:val="20"/>
        </w:rPr>
      </w:pPr>
      <w:r>
        <w:rPr>
          <w:rFonts w:ascii="Arial" w:hAnsi="Arial"/>
          <w:noProof/>
          <w:sz w:val="20"/>
        </w:rPr>
        <w:t>19 pre smernicu o podnikoch kolektívneho investovania do prevoditeľných cenných papierov</w:t>
      </w:r>
      <w:r>
        <w:rPr>
          <w:rStyle w:val="FootnoteReference"/>
          <w:rFonts w:ascii="Arial" w:hAnsi="Arial"/>
          <w:noProof/>
          <w:sz w:val="20"/>
        </w:rPr>
        <w:footnoteReference w:id="106"/>
      </w:r>
      <w:r>
        <w:rPr>
          <w:rFonts w:ascii="Arial" w:hAnsi="Arial"/>
          <w:noProof/>
          <w:sz w:val="20"/>
        </w:rPr>
        <w:t xml:space="preserve"> (vrátane 14 tabuliek zhody) a</w:t>
      </w:r>
    </w:p>
    <w:p>
      <w:pPr>
        <w:numPr>
          <w:ilvl w:val="0"/>
          <w:numId w:val="44"/>
        </w:numPr>
        <w:spacing w:after="120"/>
        <w:ind w:left="714" w:hanging="357"/>
        <w:rPr>
          <w:rFonts w:ascii="Arial" w:hAnsi="Arial"/>
          <w:noProof/>
          <w:sz w:val="20"/>
        </w:rPr>
      </w:pPr>
      <w:r>
        <w:rPr>
          <w:rFonts w:ascii="Arial" w:hAnsi="Arial"/>
          <w:noProof/>
          <w:sz w:val="20"/>
        </w:rPr>
        <w:t>16 pre smernicu o platobných účtoch</w:t>
      </w:r>
      <w:r>
        <w:rPr>
          <w:rStyle w:val="FootnoteReference"/>
          <w:rFonts w:ascii="Arial" w:hAnsi="Arial"/>
          <w:noProof/>
          <w:sz w:val="20"/>
        </w:rPr>
        <w:footnoteReference w:id="107"/>
      </w:r>
      <w:r>
        <w:rPr>
          <w:rFonts w:ascii="Arial" w:hAnsi="Arial"/>
          <w:noProof/>
          <w:sz w:val="20"/>
        </w:rPr>
        <w:t xml:space="preserve"> (vrátane 5 tabuliek zhody).</w:t>
      </w:r>
    </w:p>
    <w:p>
      <w:pPr>
        <w:spacing w:before="120" w:after="120"/>
        <w:rPr>
          <w:rFonts w:ascii="Arial" w:hAnsi="Arial" w:cs="Arial"/>
          <w:noProof/>
          <w:sz w:val="20"/>
        </w:rPr>
      </w:pPr>
      <w:r>
        <w:rPr>
          <w:rFonts w:ascii="Arial" w:hAnsi="Arial"/>
          <w:noProof/>
          <w:sz w:val="20"/>
        </w:rPr>
        <w:t>Vo všeobecnosti členské štáty zasielajú vysvetľujúce dokumenty týkajúce sa finančných trhov spolu s posledným dokumentom, ktorý odosielajú, keď vyhlasujú úplnú transpozíciu, aj keď niekedy zašlú vysvetľujúce dokumenty neskôr. Vo väčšine prípadov sú vysvetľujúce dokumenty poskytnuté ako tabuľky zhody, ktoré vo všeobecnosti obsahujú informácie o transpozícii ustanovení smernice a súvisiacich vnútroštátnych ustanoveniach. Kvalita predkladaných dokumentov sa líši. V mnohých prípadoch je tabuľka zhody veľmi schematická a obsahuje iba krížové odkazy medzi právnym aktom EÚ (napr. smernica o podnikoch kolektívneho investovania do prevoditeľných cenných papierov) a znením vnútroštátneho aktu. V iných prípadoch vysvetľujúci dokument obsahuje aj znenie transpozičných opatrení a poznámky alebo vysvetlivky na ďalšie uľahčenie kontroly transpozície. V troch prípadoch vysvetľujúce dokumenty obsahovali znenie transpozičných opatrení smernice o audite a preklad do anglického jazyka, ako aj niektoré vysvetlenia týkajúce sa interakcie medzi jednotlivými transpozičnými opatreniami.</w:t>
      </w:r>
    </w:p>
    <w:p>
      <w:pPr>
        <w:spacing w:before="120" w:after="120"/>
        <w:rPr>
          <w:rFonts w:ascii="Arial" w:hAnsi="Arial" w:cs="Arial"/>
          <w:noProof/>
          <w:sz w:val="20"/>
        </w:rPr>
      </w:pPr>
      <w:r>
        <w:rPr>
          <w:rFonts w:ascii="Arial" w:hAnsi="Arial"/>
          <w:noProof/>
          <w:sz w:val="20"/>
        </w:rPr>
        <w:t xml:space="preserve">Päť z 20 smerníc, ku ktorým sa členské štáty zaviazali poskytnúť vysvetľujúce dokumenty, sa týkajú </w:t>
      </w:r>
      <w:r>
        <w:rPr>
          <w:rFonts w:ascii="Arial" w:hAnsi="Arial"/>
          <w:b/>
          <w:noProof/>
          <w:sz w:val="20"/>
        </w:rPr>
        <w:t>vnútorného trhu</w:t>
      </w:r>
      <w:r>
        <w:rPr>
          <w:rFonts w:ascii="Arial" w:hAnsi="Arial"/>
          <w:noProof/>
          <w:sz w:val="20"/>
        </w:rPr>
        <w:t>.</w:t>
      </w:r>
      <w:r>
        <w:rPr>
          <w:rFonts w:ascii="Arial" w:hAnsi="Arial"/>
          <w:b/>
          <w:noProof/>
          <w:sz w:val="20"/>
        </w:rPr>
        <w:t xml:space="preserve"> </w:t>
      </w:r>
      <w:r>
        <w:rPr>
          <w:rFonts w:ascii="Arial" w:hAnsi="Arial"/>
          <w:noProof/>
          <w:sz w:val="20"/>
        </w:rPr>
        <w:t>Členské štáty oznámil Komisii tieto počty vysvetľujúcich dokumentov:</w:t>
      </w:r>
    </w:p>
    <w:p>
      <w:pPr>
        <w:numPr>
          <w:ilvl w:val="0"/>
          <w:numId w:val="45"/>
        </w:numPr>
        <w:spacing w:before="120" w:after="120"/>
        <w:rPr>
          <w:rFonts w:ascii="Arial" w:hAnsi="Arial" w:cs="Arial"/>
          <w:noProof/>
          <w:sz w:val="20"/>
        </w:rPr>
      </w:pPr>
      <w:r>
        <w:rPr>
          <w:rFonts w:ascii="Arial" w:hAnsi="Arial"/>
          <w:noProof/>
          <w:sz w:val="20"/>
        </w:rPr>
        <w:t>37 pre smernicu o uznávaní odborných kvalifikácií</w:t>
      </w:r>
      <w:r>
        <w:rPr>
          <w:rStyle w:val="FootnoteReference"/>
          <w:rFonts w:ascii="Arial" w:hAnsi="Arial"/>
          <w:noProof/>
          <w:sz w:val="20"/>
        </w:rPr>
        <w:footnoteReference w:id="108"/>
      </w:r>
      <w:r>
        <w:rPr>
          <w:rFonts w:ascii="Arial" w:hAnsi="Arial"/>
          <w:noProof/>
          <w:sz w:val="20"/>
        </w:rPr>
        <w:t xml:space="preserve"> (vrátane 11 tabuliek zhody),</w:t>
      </w:r>
    </w:p>
    <w:p>
      <w:pPr>
        <w:numPr>
          <w:ilvl w:val="0"/>
          <w:numId w:val="45"/>
        </w:numPr>
        <w:spacing w:before="120" w:after="120"/>
        <w:rPr>
          <w:rFonts w:ascii="Arial" w:hAnsi="Arial"/>
          <w:noProof/>
          <w:sz w:val="20"/>
        </w:rPr>
      </w:pPr>
      <w:r>
        <w:rPr>
          <w:rFonts w:ascii="Arial" w:hAnsi="Arial"/>
          <w:noProof/>
          <w:sz w:val="20"/>
        </w:rPr>
        <w:t>14 pre smernicu o udeľovaní koncesií</w:t>
      </w:r>
      <w:r>
        <w:rPr>
          <w:rStyle w:val="FootnoteReference"/>
          <w:rFonts w:ascii="Arial" w:hAnsi="Arial"/>
          <w:noProof/>
          <w:sz w:val="20"/>
        </w:rPr>
        <w:footnoteReference w:id="109"/>
      </w:r>
      <w:r>
        <w:rPr>
          <w:rFonts w:ascii="Arial" w:hAnsi="Arial"/>
          <w:noProof/>
          <w:sz w:val="20"/>
        </w:rPr>
        <w:t xml:space="preserve"> (vrátane 7 tabuliek zhody),</w:t>
      </w:r>
    </w:p>
    <w:p>
      <w:pPr>
        <w:numPr>
          <w:ilvl w:val="0"/>
          <w:numId w:val="45"/>
        </w:numPr>
        <w:spacing w:before="120" w:after="120"/>
        <w:rPr>
          <w:rFonts w:ascii="Arial" w:hAnsi="Arial"/>
          <w:noProof/>
          <w:sz w:val="20"/>
        </w:rPr>
      </w:pPr>
      <w:r>
        <w:rPr>
          <w:rFonts w:ascii="Arial" w:hAnsi="Arial"/>
          <w:noProof/>
          <w:sz w:val="20"/>
        </w:rPr>
        <w:t>32 pre smernicu o verejnom obstarávaní</w:t>
      </w:r>
      <w:r>
        <w:rPr>
          <w:rStyle w:val="FootnoteReference"/>
          <w:rFonts w:ascii="Arial" w:hAnsi="Arial"/>
          <w:noProof/>
          <w:sz w:val="20"/>
        </w:rPr>
        <w:footnoteReference w:id="110"/>
      </w:r>
      <w:r>
        <w:rPr>
          <w:rFonts w:ascii="Arial" w:hAnsi="Arial"/>
          <w:noProof/>
          <w:sz w:val="20"/>
        </w:rPr>
        <w:t xml:space="preserve"> (vrátane 14 tabuliek zhody) a</w:t>
      </w:r>
    </w:p>
    <w:p>
      <w:pPr>
        <w:numPr>
          <w:ilvl w:val="0"/>
          <w:numId w:val="45"/>
        </w:numPr>
        <w:spacing w:before="120" w:after="120"/>
        <w:rPr>
          <w:rFonts w:ascii="Arial" w:hAnsi="Arial" w:cs="Arial"/>
          <w:noProof/>
          <w:sz w:val="20"/>
        </w:rPr>
      </w:pPr>
      <w:r>
        <w:rPr>
          <w:rFonts w:ascii="Arial" w:hAnsi="Arial"/>
          <w:noProof/>
          <w:sz w:val="20"/>
        </w:rPr>
        <w:t>12 pre smernicu o výrobkoch obranného priemyslu</w:t>
      </w:r>
      <w:r>
        <w:rPr>
          <w:rStyle w:val="FootnoteReference"/>
          <w:rFonts w:ascii="Arial" w:hAnsi="Arial"/>
          <w:noProof/>
          <w:sz w:val="20"/>
        </w:rPr>
        <w:footnoteReference w:id="111"/>
      </w:r>
      <w:r>
        <w:rPr>
          <w:rFonts w:ascii="Arial" w:hAnsi="Arial"/>
          <w:noProof/>
          <w:sz w:val="20"/>
        </w:rPr>
        <w:t xml:space="preserve"> (vrátane 2 tabuliek zhody).</w:t>
      </w:r>
    </w:p>
    <w:p>
      <w:pPr>
        <w:rPr>
          <w:noProof/>
          <w:color w:val="1F497D"/>
        </w:rPr>
      </w:pPr>
      <w:r>
        <w:rPr>
          <w:rFonts w:ascii="Arial" w:hAnsi="Arial"/>
          <w:noProof/>
          <w:sz w:val="20"/>
        </w:rPr>
        <w:t xml:space="preserve">Tri z 20 smerníc sú z oblasti </w:t>
      </w:r>
      <w:r>
        <w:rPr>
          <w:rFonts w:ascii="Arial" w:hAnsi="Arial"/>
          <w:b/>
          <w:noProof/>
          <w:sz w:val="20"/>
        </w:rPr>
        <w:t>zamestnanosti</w:t>
      </w:r>
      <w:r>
        <w:rPr>
          <w:rFonts w:ascii="Arial" w:hAnsi="Arial"/>
          <w:noProof/>
          <w:sz w:val="20"/>
        </w:rPr>
        <w:t>. Komisii bolo doručených 25 vysvetľujúcich dokumentov k smernici</w:t>
      </w:r>
      <w:r>
        <w:rPr>
          <w:noProof/>
        </w:rPr>
        <w:t xml:space="preserve"> o </w:t>
      </w:r>
      <w:r>
        <w:rPr>
          <w:rFonts w:ascii="Arial" w:hAnsi="Arial"/>
          <w:noProof/>
          <w:sz w:val="20"/>
        </w:rPr>
        <w:t>požiadavkách na bezpečnosť a ochranu zdravia v prípade vystavenia elektromagnetickým poliam</w:t>
      </w:r>
      <w:r>
        <w:rPr>
          <w:rStyle w:val="FootnoteReference"/>
          <w:rFonts w:ascii="Arial" w:hAnsi="Arial"/>
          <w:noProof/>
          <w:sz w:val="20"/>
        </w:rPr>
        <w:footnoteReference w:id="112"/>
      </w:r>
      <w:r>
        <w:rPr>
          <w:rFonts w:ascii="Arial" w:hAnsi="Arial"/>
          <w:noProof/>
          <w:sz w:val="20"/>
        </w:rPr>
        <w:t xml:space="preserve"> (vrátane 15 tabuliek zhody), 25 k smernici</w:t>
      </w:r>
      <w:r>
        <w:rPr>
          <w:noProof/>
        </w:rPr>
        <w:t xml:space="preserve"> o </w:t>
      </w:r>
      <w:r>
        <w:rPr>
          <w:rFonts w:ascii="Arial" w:hAnsi="Arial"/>
          <w:noProof/>
          <w:sz w:val="20"/>
        </w:rPr>
        <w:t>právach v súvislosti so slobodou pohybu pracovníkov</w:t>
      </w:r>
      <w:r>
        <w:rPr>
          <w:rStyle w:val="FootnoteReference"/>
          <w:rFonts w:ascii="Arial" w:hAnsi="Arial"/>
          <w:noProof/>
          <w:sz w:val="20"/>
        </w:rPr>
        <w:footnoteReference w:id="113"/>
      </w:r>
      <w:r>
        <w:rPr>
          <w:rFonts w:ascii="Arial" w:hAnsi="Arial"/>
          <w:noProof/>
          <w:sz w:val="20"/>
        </w:rPr>
        <w:t xml:space="preserve"> (vrátane 9 tabuliek zhody) a 7 k smernici o pracovnom čase vo vnútrozemskej vodnej doprave</w:t>
      </w:r>
      <w:r>
        <w:rPr>
          <w:rStyle w:val="FootnoteReference"/>
          <w:rFonts w:ascii="Arial" w:hAnsi="Arial"/>
          <w:noProof/>
          <w:sz w:val="20"/>
        </w:rPr>
        <w:footnoteReference w:id="114"/>
      </w:r>
      <w:r>
        <w:rPr>
          <w:rFonts w:ascii="Arial" w:hAnsi="Arial"/>
          <w:noProof/>
          <w:sz w:val="20"/>
        </w:rPr>
        <w:t xml:space="preserve"> (vrátane 2 tabuliek zhody). Kvalita prijatých dokumentov sa značne líši. V niektorých zriedkavých prípadoch je ich kvalita neuspokojivá, napríklad pokiaľ odkazuje len na právny predpis, ktorým sa transponuje ustanovenie smernice, a neuvádzajú, ktoré presné ustanovenie vnútroštátneho právneho predpisu preberá konkrétne ustanovenie smernice. Postup hodnotenia vnútroštátnych opatrení k týmto smerniciam práve prebieha, takže Komisia zatiaľ nemohla vyvodiť definitívne závery o kvalite prijatých vysvetľujúcich dokumentov.</w:t>
      </w:r>
    </w:p>
    <w:p>
      <w:pPr>
        <w:spacing w:before="120" w:after="180"/>
        <w:rPr>
          <w:rFonts w:ascii="Arial" w:hAnsi="Arial"/>
          <w:noProof/>
          <w:spacing w:val="-2"/>
          <w:sz w:val="20"/>
        </w:rPr>
      </w:pPr>
      <w:r>
        <w:rPr>
          <w:rFonts w:ascii="Arial" w:hAnsi="Arial"/>
          <w:noProof/>
          <w:spacing w:val="-2"/>
          <w:sz w:val="20"/>
        </w:rPr>
        <w:t xml:space="preserve">Dve z 20 smerníc sú z oblasti </w:t>
      </w:r>
      <w:r>
        <w:rPr>
          <w:rFonts w:ascii="Arial" w:hAnsi="Arial"/>
          <w:b/>
          <w:noProof/>
          <w:spacing w:val="-2"/>
          <w:sz w:val="20"/>
        </w:rPr>
        <w:t>migrácie a vnútorných záležitostí</w:t>
      </w:r>
      <w:r>
        <w:rPr>
          <w:rFonts w:ascii="Arial" w:hAnsi="Arial"/>
          <w:noProof/>
          <w:spacing w:val="-2"/>
          <w:sz w:val="20"/>
        </w:rPr>
        <w:t>.</w:t>
      </w:r>
      <w:r>
        <w:rPr>
          <w:noProof/>
          <w:spacing w:val="-2"/>
        </w:rPr>
        <w:t xml:space="preserve"> </w:t>
      </w:r>
      <w:r>
        <w:rPr>
          <w:rFonts w:ascii="Arial" w:hAnsi="Arial"/>
          <w:noProof/>
          <w:spacing w:val="-2"/>
          <w:sz w:val="20"/>
        </w:rPr>
        <w:t>Komisii bolo doručených 10 vysvetľujúcich dokumentov týkajúcich sa smernice o podmienkach vstupu a pobytu štátnych príslušníkov tretích krajín na účel zamestnania ako sezónni pracovníci</w:t>
      </w:r>
      <w:r>
        <w:rPr>
          <w:rStyle w:val="FootnoteReference"/>
          <w:rFonts w:ascii="Arial" w:hAnsi="Arial"/>
          <w:noProof/>
          <w:spacing w:val="-2"/>
          <w:sz w:val="20"/>
        </w:rPr>
        <w:footnoteReference w:id="115"/>
      </w:r>
      <w:r>
        <w:rPr>
          <w:rFonts w:ascii="Arial" w:hAnsi="Arial"/>
          <w:noProof/>
          <w:spacing w:val="-2"/>
          <w:sz w:val="20"/>
        </w:rPr>
        <w:t xml:space="preserve"> (vrátane 2 tabuliek zhody). Komisii bolo doručených 11 vysvetľujúcich dokumentov týkajúcich sa smernice o podmienkach vstupu a pobytu štátnych príslušníkov tretích krajín v rámci vnútropodnikového presunu</w:t>
      </w:r>
      <w:r>
        <w:rPr>
          <w:rStyle w:val="FootnoteReference"/>
          <w:rFonts w:ascii="Arial" w:hAnsi="Arial"/>
          <w:noProof/>
          <w:spacing w:val="-2"/>
          <w:sz w:val="20"/>
        </w:rPr>
        <w:footnoteReference w:id="116"/>
      </w:r>
      <w:r>
        <w:rPr>
          <w:rFonts w:ascii="Arial" w:hAnsi="Arial"/>
          <w:noProof/>
          <w:spacing w:val="-2"/>
          <w:sz w:val="20"/>
        </w:rPr>
        <w:t xml:space="preserve"> (vrátane 2 tabuliek zhody).</w:t>
      </w:r>
    </w:p>
    <w:p>
      <w:pPr>
        <w:spacing w:after="180"/>
        <w:rPr>
          <w:noProof/>
        </w:rPr>
      </w:pPr>
      <w:r>
        <w:rPr>
          <w:rFonts w:ascii="Arial" w:hAnsi="Arial"/>
          <w:noProof/>
          <w:sz w:val="20"/>
        </w:rPr>
        <w:t xml:space="preserve">Jedna z 20 smerníc sa týka </w:t>
      </w:r>
      <w:r>
        <w:rPr>
          <w:rFonts w:ascii="Arial" w:hAnsi="Arial"/>
          <w:b/>
          <w:noProof/>
          <w:sz w:val="20"/>
        </w:rPr>
        <w:t>komunikačných sietí</w:t>
      </w:r>
      <w:r>
        <w:rPr>
          <w:rFonts w:ascii="Arial" w:hAnsi="Arial"/>
          <w:noProof/>
          <w:sz w:val="20"/>
        </w:rPr>
        <w:t>. Komisii bolo doručených 7 vysvetľujúcich dokumentov k smernici o kolektívnej správe autorských práv</w:t>
      </w:r>
      <w:r>
        <w:rPr>
          <w:rStyle w:val="FootnoteReference"/>
          <w:rFonts w:ascii="Arial" w:hAnsi="Arial"/>
          <w:noProof/>
          <w:sz w:val="20"/>
        </w:rPr>
        <w:footnoteReference w:id="117"/>
      </w:r>
      <w:r>
        <w:rPr>
          <w:rFonts w:ascii="Arial" w:hAnsi="Arial"/>
          <w:noProof/>
          <w:sz w:val="20"/>
        </w:rPr>
        <w:t xml:space="preserve"> (vrátane 4 tabuliek zhody). Táto prierezová smernica je zložitá a často sa vykonáva prostredníctvom viacerých aktov a/alebo zavedením zmien do existujúcich právnych dokumentov. V dôsledku toho je jej transpozícia takisto zložitá a vysvetľujúce dokumenty značne uľahčujú posúdenie vnútroštátnych transpozičných opatrení zo strany Komisie.</w:t>
      </w:r>
    </w:p>
    <w:p>
      <w:pPr>
        <w:spacing w:before="120" w:after="180"/>
        <w:rPr>
          <w:rFonts w:ascii="Arial" w:hAnsi="Arial" w:cs="Arial"/>
          <w:noProof/>
          <w:sz w:val="20"/>
        </w:rPr>
      </w:pPr>
      <w:r>
        <w:rPr>
          <w:rFonts w:ascii="Arial" w:hAnsi="Arial"/>
          <w:noProof/>
          <w:sz w:val="20"/>
        </w:rPr>
        <w:t xml:space="preserve">Jedna z 20 smerníc je z oblasti </w:t>
      </w:r>
      <w:r>
        <w:rPr>
          <w:rFonts w:ascii="Arial" w:hAnsi="Arial"/>
          <w:b/>
          <w:noProof/>
          <w:sz w:val="20"/>
        </w:rPr>
        <w:t>hospodárskej súťaže</w:t>
      </w:r>
      <w:r>
        <w:rPr>
          <w:rFonts w:ascii="Arial" w:hAnsi="Arial"/>
          <w:noProof/>
          <w:sz w:val="20"/>
        </w:rPr>
        <w:t>. Komisii bolo doručených 7 vysvetľujúcich dokumentov (vrátane 1 tabuľky zhody) k smernici o náhrade škody</w:t>
      </w:r>
      <w:r>
        <w:rPr>
          <w:rStyle w:val="FootnoteReference"/>
          <w:rFonts w:ascii="Arial" w:hAnsi="Arial"/>
          <w:noProof/>
          <w:sz w:val="20"/>
        </w:rPr>
        <w:footnoteReference w:id="118"/>
      </w:r>
      <w:r>
        <w:rPr>
          <w:noProof/>
        </w:rPr>
        <w:t>.</w:t>
      </w:r>
    </w:p>
    <w:p>
      <w:pPr>
        <w:spacing w:before="120" w:after="180"/>
        <w:rPr>
          <w:rFonts w:ascii="Arial" w:hAnsi="Arial"/>
          <w:noProof/>
          <w:sz w:val="20"/>
        </w:rPr>
      </w:pPr>
      <w:r>
        <w:rPr>
          <w:rFonts w:ascii="Arial" w:hAnsi="Arial"/>
          <w:noProof/>
          <w:sz w:val="20"/>
        </w:rPr>
        <w:t xml:space="preserve">Jedna z 20 smerníc sa týka odvetvia </w:t>
      </w:r>
      <w:r>
        <w:rPr>
          <w:rFonts w:ascii="Arial" w:hAnsi="Arial"/>
          <w:b/>
          <w:noProof/>
          <w:sz w:val="20"/>
        </w:rPr>
        <w:t>životného prostredia</w:t>
      </w:r>
      <w:r>
        <w:rPr>
          <w:rFonts w:ascii="Arial" w:hAnsi="Arial"/>
          <w:noProof/>
          <w:sz w:val="20"/>
        </w:rPr>
        <w:t>. Komisii bolo doručených 9 vysvetľujúcich dokumentov k smernici na hodnotenie kvality okolitého ovzdušia</w:t>
      </w:r>
      <w:r>
        <w:rPr>
          <w:rStyle w:val="FootnoteReference"/>
          <w:rFonts w:ascii="Arial" w:hAnsi="Arial"/>
          <w:noProof/>
          <w:sz w:val="20"/>
        </w:rPr>
        <w:footnoteReference w:id="119"/>
      </w:r>
      <w:r>
        <w:rPr>
          <w:rFonts w:ascii="Arial" w:hAnsi="Arial"/>
          <w:noProof/>
          <w:sz w:val="20"/>
        </w:rPr>
        <w:t xml:space="preserve"> (vrátane 2 tabuliek zhody).</w:t>
      </w:r>
    </w:p>
    <w:p>
      <w:pPr>
        <w:spacing w:before="120" w:after="180"/>
        <w:rPr>
          <w:rFonts w:ascii="Arial" w:hAnsi="Arial" w:cs="Arial"/>
          <w:noProof/>
          <w:sz w:val="20"/>
        </w:rPr>
      </w:pPr>
      <w:r>
        <w:rPr>
          <w:rFonts w:ascii="Arial" w:hAnsi="Arial"/>
          <w:noProof/>
          <w:sz w:val="20"/>
        </w:rPr>
        <w:t xml:space="preserve">Jedna z 20 smerníc je z oblasti </w:t>
      </w:r>
      <w:r>
        <w:rPr>
          <w:rFonts w:ascii="Arial" w:hAnsi="Arial"/>
          <w:b/>
          <w:noProof/>
          <w:sz w:val="20"/>
        </w:rPr>
        <w:t>spravodlivosti a spotrebiteľov</w:t>
      </w:r>
      <w:r>
        <w:rPr>
          <w:rFonts w:ascii="Arial" w:hAnsi="Arial"/>
          <w:noProof/>
          <w:sz w:val="20"/>
        </w:rPr>
        <w:t>. Komisii bolo doručených 10 vysvetľujúcich dokumentov k smernici o práve na prístup k obhajcovi v trestnom konaní</w:t>
      </w:r>
      <w:r>
        <w:rPr>
          <w:rStyle w:val="FootnoteReference"/>
          <w:rFonts w:ascii="Arial" w:hAnsi="Arial"/>
          <w:noProof/>
          <w:sz w:val="20"/>
        </w:rPr>
        <w:footnoteReference w:id="120"/>
      </w:r>
      <w:r>
        <w:rPr>
          <w:rFonts w:ascii="Arial" w:hAnsi="Arial"/>
          <w:noProof/>
          <w:sz w:val="20"/>
        </w:rPr>
        <w:t xml:space="preserve"> (vrátane 1 tabuľky zhody).</w:t>
      </w:r>
    </w:p>
    <w:p>
      <w:pPr>
        <w:spacing w:before="120" w:after="180"/>
        <w:rPr>
          <w:rFonts w:ascii="Arial" w:hAnsi="Arial" w:cs="Arial"/>
          <w:noProof/>
          <w:sz w:val="20"/>
        </w:rPr>
      </w:pPr>
      <w:r>
        <w:rPr>
          <w:rFonts w:ascii="Arial" w:hAnsi="Arial"/>
          <w:noProof/>
          <w:sz w:val="20"/>
        </w:rPr>
        <w:t xml:space="preserve">Jedna z 20 smerníc sa týka </w:t>
      </w:r>
      <w:r>
        <w:rPr>
          <w:rFonts w:ascii="Arial" w:hAnsi="Arial"/>
          <w:b/>
          <w:noProof/>
          <w:sz w:val="20"/>
        </w:rPr>
        <w:t>zdravia a bezpečnosti potravín</w:t>
      </w:r>
      <w:r>
        <w:rPr>
          <w:rFonts w:ascii="Arial" w:hAnsi="Arial"/>
          <w:noProof/>
          <w:sz w:val="20"/>
        </w:rPr>
        <w:t>. Komisii bolo doručených 16 vysvetľujúcich dokumentov k smernici o tabaku</w:t>
      </w:r>
      <w:r>
        <w:rPr>
          <w:rStyle w:val="FootnoteReference"/>
          <w:rFonts w:ascii="Arial" w:hAnsi="Arial"/>
          <w:noProof/>
          <w:sz w:val="20"/>
        </w:rPr>
        <w:footnoteReference w:id="121"/>
      </w:r>
      <w:r>
        <w:rPr>
          <w:rFonts w:ascii="Arial" w:hAnsi="Arial"/>
          <w:noProof/>
          <w:sz w:val="20"/>
        </w:rPr>
        <w:t xml:space="preserve"> (vrátane 10 tabuliek zhody). Majú rôzne formy, ako napríklad tabuľky zhody, súhrnné správy a vysvetlivky.</w:t>
      </w:r>
    </w:p>
    <w:p>
      <w:pPr>
        <w:spacing w:before="120" w:after="180"/>
        <w:rPr>
          <w:rFonts w:ascii="Arial" w:hAnsi="Arial" w:cs="Arial"/>
          <w:noProof/>
          <w:sz w:val="20"/>
        </w:rPr>
      </w:pPr>
      <w:r>
        <w:rPr>
          <w:rFonts w:ascii="Arial" w:hAnsi="Arial"/>
          <w:noProof/>
          <w:sz w:val="20"/>
        </w:rPr>
        <w:t>Celkovo v roku 2016 členské štáty nesplnili vo všetkých prípadoch záväzok poskytnúť vysvetľujúce dokumenty spolu s vnútroštátnymi opatreniami na transpozíciu smerníc do svojich právnych poriadkov. Z počiatočného posúdenia vysvetľujúcich dokumentov, ktoré boli predložené, vyplýva, že ich kvalita je rozdielna.</w:t>
      </w:r>
    </w:p>
    <w:p>
      <w:pPr>
        <w:spacing w:before="120" w:after="180"/>
        <w:rPr>
          <w:rFonts w:ascii="Arial" w:hAnsi="Arial" w:cs="Arial"/>
          <w:noProof/>
          <w:sz w:val="20"/>
        </w:rPr>
      </w:pPr>
      <w:r>
        <w:rPr>
          <w:rFonts w:ascii="Arial" w:hAnsi="Arial"/>
          <w:noProof/>
          <w:sz w:val="20"/>
        </w:rPr>
        <w:t>Komisia bude naďalej podávať správy Európskemu parlamentu a Rade o vysvetľujúcich dokumentoch vo svojich výročných správach o uplatňovaní práva Únie.</w:t>
      </w:r>
    </w:p>
    <w:p>
      <w:pPr>
        <w:spacing w:after="0"/>
        <w:jc w:val="left"/>
        <w:rPr>
          <w:rFonts w:ascii="Arial" w:eastAsia="MS Gothic" w:hAnsi="Arial" w:cs="Arial"/>
          <w:noProof/>
          <w:color w:val="4F81BD"/>
          <w:kern w:val="20"/>
          <w:sz w:val="8"/>
          <w:szCs w:val="8"/>
        </w:rPr>
      </w:pPr>
      <w:bookmarkStart w:id="52" w:name="_Toc437944189"/>
      <w:bookmarkStart w:id="53" w:name="_Toc444796656"/>
      <w:bookmarkEnd w:id="10"/>
      <w:r>
        <w:rPr>
          <w:noProof/>
        </w:rPr>
        <w:br w:type="page"/>
      </w:r>
    </w:p>
    <w:p>
      <w:pPr>
        <w:pStyle w:val="kop2"/>
        <w:ind w:left="720"/>
        <w:rPr>
          <w:caps w:val="0"/>
          <w:noProof/>
        </w:rPr>
      </w:pPr>
      <w:bookmarkStart w:id="54" w:name="_Toc484623696"/>
      <w:bookmarkStart w:id="55" w:name="_Toc484685985"/>
      <w:bookmarkStart w:id="56" w:name="_Toc486858017"/>
      <w:r>
        <w:rPr>
          <w:noProof/>
        </w:rPr>
        <w:t>Postupy v prípade nesplnenia povinnosti</w:t>
      </w:r>
      <w:bookmarkEnd w:id="52"/>
      <w:bookmarkEnd w:id="53"/>
      <w:bookmarkEnd w:id="54"/>
      <w:bookmarkEnd w:id="55"/>
      <w:bookmarkEnd w:id="56"/>
    </w:p>
    <w:p>
      <w:pPr>
        <w:ind w:left="360"/>
        <w:rPr>
          <w:rFonts w:ascii="Arial" w:hAnsi="Arial" w:cs="Arial"/>
          <w:noProof/>
          <w:sz w:val="20"/>
        </w:rPr>
      </w:pPr>
      <w:r>
        <w:rPr>
          <w:rFonts w:ascii="Arial" w:hAnsi="Arial"/>
          <w:noProof/>
          <w:sz w:val="20"/>
        </w:rPr>
        <w:t>Existujú štyri hlavné druhy prípadov nesplnenia povinnosti vyplývajúcej z práva Únie:</w:t>
      </w:r>
    </w:p>
    <w:p>
      <w:pPr>
        <w:numPr>
          <w:ilvl w:val="0"/>
          <w:numId w:val="22"/>
        </w:numPr>
        <w:tabs>
          <w:tab w:val="num" w:pos="765"/>
        </w:tabs>
        <w:spacing w:after="200"/>
        <w:ind w:left="1797" w:hanging="357"/>
        <w:contextualSpacing/>
        <w:rPr>
          <w:rFonts w:ascii="Arial" w:eastAsia="Calibri" w:hAnsi="Arial" w:cs="Arial"/>
          <w:noProof/>
          <w:kern w:val="20"/>
          <w:sz w:val="20"/>
        </w:rPr>
      </w:pPr>
      <w:r>
        <w:rPr>
          <w:rFonts w:ascii="Arial" w:hAnsi="Arial"/>
          <w:b/>
          <w:noProof/>
          <w:kern w:val="20"/>
          <w:sz w:val="20"/>
        </w:rPr>
        <w:t>neoznámenie:</w:t>
      </w:r>
      <w:r>
        <w:rPr>
          <w:rFonts w:ascii="Arial" w:hAnsi="Arial"/>
          <w:noProof/>
          <w:kern w:val="20"/>
          <w:sz w:val="20"/>
        </w:rPr>
        <w:t xml:space="preserve"> členský štát neinformuje Komisiu včas o opatreniach, ktoré prijal na transpozíciu smernice;</w:t>
      </w:r>
    </w:p>
    <w:p>
      <w:pPr>
        <w:numPr>
          <w:ilvl w:val="0"/>
          <w:numId w:val="22"/>
        </w:numPr>
        <w:tabs>
          <w:tab w:val="num" w:pos="765"/>
        </w:tabs>
        <w:spacing w:after="200"/>
        <w:ind w:left="1797" w:hanging="357"/>
        <w:contextualSpacing/>
        <w:rPr>
          <w:rFonts w:ascii="Arial" w:eastAsia="Calibri" w:hAnsi="Arial" w:cs="Arial"/>
          <w:noProof/>
          <w:kern w:val="20"/>
          <w:sz w:val="20"/>
        </w:rPr>
      </w:pPr>
      <w:r>
        <w:rPr>
          <w:rFonts w:ascii="Arial" w:hAnsi="Arial"/>
          <w:b/>
          <w:noProof/>
          <w:kern w:val="20"/>
          <w:sz w:val="20"/>
        </w:rPr>
        <w:t>nesúlad/nedodržanie:</w:t>
      </w:r>
      <w:r>
        <w:rPr>
          <w:rFonts w:ascii="Arial" w:hAnsi="Arial"/>
          <w:noProof/>
          <w:kern w:val="20"/>
          <w:sz w:val="20"/>
        </w:rPr>
        <w:t xml:space="preserve"> Komisia sa domnieva, že právne predpisy členského štátu nie sú v súlade s požiadavkami smerníc EÚ;</w:t>
      </w:r>
    </w:p>
    <w:p>
      <w:pPr>
        <w:numPr>
          <w:ilvl w:val="0"/>
          <w:numId w:val="22"/>
        </w:numPr>
        <w:tabs>
          <w:tab w:val="num" w:pos="765"/>
        </w:tabs>
        <w:spacing w:after="200"/>
        <w:ind w:left="1797" w:hanging="357"/>
        <w:contextualSpacing/>
        <w:rPr>
          <w:rFonts w:ascii="Arial" w:eastAsia="Calibri" w:hAnsi="Arial" w:cs="Arial"/>
          <w:noProof/>
          <w:kern w:val="20"/>
          <w:sz w:val="20"/>
        </w:rPr>
      </w:pPr>
      <w:r>
        <w:rPr>
          <w:rFonts w:ascii="Arial" w:hAnsi="Arial"/>
          <w:b/>
          <w:noProof/>
          <w:kern w:val="20"/>
          <w:sz w:val="20"/>
        </w:rPr>
        <w:t>porušenie zmlúv, nariadení a rozhodnutí</w:t>
      </w:r>
      <w:r>
        <w:rPr>
          <w:rFonts w:ascii="Arial" w:hAnsi="Arial"/>
          <w:noProof/>
          <w:kern w:val="20"/>
          <w:sz w:val="20"/>
        </w:rPr>
        <w:t>: Komisia sa domnieva, že právne predpisy členského štátu nie sú v súlade s požiadavkami zmlúv, nariadení a rozhodnutí EÚ;</w:t>
      </w:r>
    </w:p>
    <w:p>
      <w:pPr>
        <w:numPr>
          <w:ilvl w:val="0"/>
          <w:numId w:val="22"/>
        </w:numPr>
        <w:tabs>
          <w:tab w:val="num" w:pos="765"/>
        </w:tabs>
        <w:spacing w:after="200"/>
        <w:ind w:left="1797" w:hanging="357"/>
        <w:rPr>
          <w:rFonts w:ascii="Arial" w:eastAsia="Calibri" w:hAnsi="Arial" w:cs="Arial"/>
          <w:noProof/>
          <w:kern w:val="20"/>
          <w:sz w:val="20"/>
        </w:rPr>
      </w:pPr>
      <w:r>
        <w:rPr>
          <w:rFonts w:ascii="Arial" w:hAnsi="Arial"/>
          <w:b/>
          <w:noProof/>
          <w:kern w:val="20"/>
          <w:sz w:val="20"/>
        </w:rPr>
        <w:t>nesprávne/zlé uplatňovanie:</w:t>
      </w:r>
      <w:r>
        <w:rPr>
          <w:rFonts w:ascii="Arial" w:hAnsi="Arial"/>
          <w:noProof/>
          <w:kern w:val="20"/>
          <w:sz w:val="20"/>
        </w:rPr>
        <w:t xml:space="preserve"> právo Únie nie je uplatňované správne alebo vôbec zo strany vnútroštátnych orgánov.</w:t>
      </w:r>
    </w:p>
    <w:p>
      <w:pPr>
        <w:ind w:left="357"/>
        <w:rPr>
          <w:rFonts w:ascii="Arial" w:hAnsi="Arial" w:cs="Arial"/>
          <w:noProof/>
          <w:sz w:val="20"/>
        </w:rPr>
      </w:pPr>
      <w:r>
        <w:rPr>
          <w:rFonts w:ascii="Arial" w:hAnsi="Arial"/>
          <w:noProof/>
          <w:sz w:val="20"/>
        </w:rPr>
        <w:t>Porušovanie predpisov možno odhaliť vlastným vyšetrovaním zo strany Komisie, prípadne Komisia môže byť upozornená prostredníctvom sťažností alebo petícií od verejnosti, podnikov, mimovládnych organizácií alebo iných organizácií, alebo iným spôsobom. Komisia aktívne informuje sťažovateľa o prijatých rozhodnutiach vo všetkých fázach postupu</w:t>
      </w:r>
      <w:r>
        <w:rPr>
          <w:rStyle w:val="FootnoteReference"/>
          <w:rFonts w:ascii="Arial" w:hAnsi="Arial"/>
          <w:noProof/>
          <w:sz w:val="20"/>
        </w:rPr>
        <w:footnoteReference w:id="122"/>
      </w:r>
      <w:r>
        <w:rPr>
          <w:noProof/>
        </w:rPr>
        <w:t>.</w:t>
      </w:r>
    </w:p>
    <w:p>
      <w:pPr>
        <w:ind w:left="360"/>
        <w:rPr>
          <w:rFonts w:ascii="Arial" w:hAnsi="Arial" w:cs="Arial"/>
          <w:noProof/>
          <w:sz w:val="20"/>
        </w:rPr>
      </w:pPr>
      <w:r>
        <w:rPr>
          <w:rFonts w:ascii="Arial" w:hAnsi="Arial"/>
          <w:noProof/>
          <w:sz w:val="20"/>
        </w:rPr>
        <w:t>Postup v prípade nesplnenia povinnosti podľa článku 258 ZFEÚ pozostáva z </w:t>
      </w:r>
      <w:r>
        <w:rPr>
          <w:rFonts w:ascii="Arial" w:hAnsi="Arial"/>
          <w:b/>
          <w:noProof/>
          <w:sz w:val="20"/>
        </w:rPr>
        <w:t>fázy pred začatím súdneho konania</w:t>
      </w:r>
      <w:r>
        <w:rPr>
          <w:rFonts w:ascii="Arial" w:hAnsi="Arial"/>
          <w:noProof/>
          <w:sz w:val="20"/>
        </w:rPr>
        <w:t xml:space="preserve"> a z </w:t>
      </w:r>
      <w:r>
        <w:rPr>
          <w:rFonts w:ascii="Arial" w:hAnsi="Arial"/>
          <w:b/>
          <w:noProof/>
          <w:sz w:val="20"/>
        </w:rPr>
        <w:t>fázy súdneho konania</w:t>
      </w:r>
      <w:r>
        <w:rPr>
          <w:rFonts w:ascii="Arial" w:hAnsi="Arial"/>
          <w:noProof/>
          <w:sz w:val="20"/>
        </w:rPr>
        <w:t>.</w:t>
      </w:r>
    </w:p>
    <w:p>
      <w:pPr>
        <w:ind w:left="360"/>
        <w:rPr>
          <w:rFonts w:ascii="Arial" w:hAnsi="Arial" w:cs="Arial"/>
          <w:noProof/>
          <w:sz w:val="20"/>
        </w:rPr>
      </w:pPr>
      <w:r>
        <w:rPr>
          <w:rFonts w:ascii="Arial" w:hAnsi="Arial"/>
          <w:noProof/>
          <w:sz w:val="20"/>
        </w:rPr>
        <w:t xml:space="preserve">Vo </w:t>
      </w:r>
      <w:r>
        <w:rPr>
          <w:rFonts w:ascii="Arial" w:hAnsi="Arial"/>
          <w:b/>
          <w:noProof/>
          <w:sz w:val="20"/>
        </w:rPr>
        <w:t>fáze pred začatím súdneho konania</w:t>
      </w:r>
      <w:r>
        <w:rPr>
          <w:rFonts w:ascii="Arial" w:hAnsi="Arial"/>
          <w:noProof/>
          <w:sz w:val="20"/>
        </w:rPr>
        <w:t xml:space="preserve"> Komisia najskôr zašle </w:t>
      </w:r>
      <w:r>
        <w:rPr>
          <w:rFonts w:ascii="Arial" w:hAnsi="Arial"/>
          <w:b/>
          <w:noProof/>
          <w:sz w:val="20"/>
        </w:rPr>
        <w:t>formálnu výzvu</w:t>
      </w:r>
      <w:r>
        <w:rPr>
          <w:rFonts w:ascii="Arial" w:hAnsi="Arial"/>
          <w:noProof/>
          <w:sz w:val="20"/>
        </w:rPr>
        <w:t xml:space="preserve"> členskému štátu so žiadosťou o podanie vysvetlenia v stanovenej lehote. Ak je odpoveď členského štátu neuspokojivá alebo ak sa členský štát vôbec nevyjadrí, Komisia mu zašle </w:t>
      </w:r>
      <w:r>
        <w:rPr>
          <w:rFonts w:ascii="Arial" w:hAnsi="Arial"/>
          <w:b/>
          <w:noProof/>
          <w:sz w:val="20"/>
        </w:rPr>
        <w:t>odôvodnené stanovisko</w:t>
      </w:r>
      <w:r>
        <w:rPr>
          <w:rFonts w:ascii="Arial" w:hAnsi="Arial"/>
          <w:noProof/>
          <w:sz w:val="20"/>
        </w:rPr>
        <w:t>, v ktorom ho požiada, aby jej žiadosti v stanovenej lehote vyhovel.</w:t>
      </w:r>
    </w:p>
    <w:p>
      <w:pPr>
        <w:ind w:left="360"/>
        <w:rPr>
          <w:rFonts w:ascii="Arial" w:hAnsi="Arial" w:cs="Arial"/>
          <w:noProof/>
          <w:sz w:val="20"/>
        </w:rPr>
      </w:pPr>
      <w:r>
        <w:rPr>
          <w:rFonts w:ascii="Arial" w:hAnsi="Arial"/>
          <w:noProof/>
          <w:sz w:val="20"/>
        </w:rPr>
        <w:t xml:space="preserve">Ak členský štát nevyhovie odôvodnenému stanovisku, Komisia môže začať </w:t>
      </w:r>
      <w:r>
        <w:rPr>
          <w:rFonts w:ascii="Arial" w:hAnsi="Arial"/>
          <w:b/>
          <w:noProof/>
          <w:sz w:val="20"/>
        </w:rPr>
        <w:t>súdne konanie</w:t>
      </w:r>
      <w:r>
        <w:rPr>
          <w:rFonts w:ascii="Arial" w:hAnsi="Arial"/>
          <w:noProof/>
          <w:sz w:val="20"/>
        </w:rPr>
        <w:t xml:space="preserve"> predložením veci Súdnemu dvoru podľa článku 258 ZFEÚ.</w:t>
      </w:r>
    </w:p>
    <w:p>
      <w:pPr>
        <w:ind w:left="360"/>
        <w:rPr>
          <w:rFonts w:ascii="Arial" w:hAnsi="Arial" w:cs="Arial"/>
          <w:noProof/>
          <w:sz w:val="20"/>
        </w:rPr>
      </w:pPr>
      <w:r>
        <w:rPr>
          <w:rFonts w:ascii="Arial" w:hAnsi="Arial"/>
          <w:noProof/>
          <w:sz w:val="20"/>
        </w:rPr>
        <w:t>Keď Komisia predloží Súdnemu dvoru vec proti členskému štátu pre nesplnenie povinnosti oznámiť opatrenia, ktorými transponoval smernicu prijatú v súlade s legislatívnym postupom, môže navrhnúť pokutu alebo penále podľa článku 260 ods. 3 ZFEÚ.</w:t>
      </w:r>
    </w:p>
    <w:p>
      <w:pPr>
        <w:ind w:left="360"/>
        <w:rPr>
          <w:rFonts w:ascii="Arial" w:hAnsi="Arial" w:cs="Arial"/>
          <w:noProof/>
          <w:sz w:val="20"/>
        </w:rPr>
      </w:pPr>
      <w:r>
        <w:rPr>
          <w:rFonts w:ascii="Arial" w:hAnsi="Arial"/>
          <w:noProof/>
          <w:sz w:val="20"/>
        </w:rPr>
        <w:t>Súd sa môže stotožniť s Komisiou a rozhodnúť, že členský štát porušil svoje povinnosti vyplývajúce z práva Únie. Ak tak súd rozhodne, ale členský štát napriek tomu neprijme opatrenia potrebné na zabezpečenie súladu, Komisia môže pokračovať v postupe v prípade nesplnenia povinnosti podľa článku 260 ods. 2 ZFEÚ. Zahŕňa to opätovné predvolanie členského štátu na Súdny dvor po zaslaní formálnej výzvy podľa článku 260 ods. 2 ZFEÚ. V takýchto prípadoch môže Komisia navrhnúť a Súdny dvor uložiť finančné sankcie vo forme paušálnej pokuty a/alebo penále za deň alebo za iné stanovené obdobie.</w:t>
      </w:r>
    </w:p>
    <w:p>
      <w:pPr>
        <w:ind w:left="360"/>
        <w:rPr>
          <w:noProof/>
        </w:rPr>
      </w:pPr>
      <w:r>
        <w:rPr>
          <w:rFonts w:ascii="Arial" w:hAnsi="Arial"/>
          <w:noProof/>
          <w:sz w:val="20"/>
        </w:rPr>
        <w:t>Komisia pravidelne uverejňuje informácie o svojich rozhodnutiach o postupoch v prípade nesplnenia povinnosti na portáli Europa</w:t>
      </w:r>
      <w:r>
        <w:rPr>
          <w:rStyle w:val="FootnoteReference"/>
          <w:rFonts w:ascii="Arial" w:hAnsi="Arial"/>
          <w:noProof/>
          <w:sz w:val="20"/>
        </w:rPr>
        <w:footnoteReference w:id="123"/>
      </w:r>
      <w:r>
        <w:rPr>
          <w:noProof/>
        </w:rPr>
        <w:t>.</w:t>
      </w:r>
    </w:p>
    <w:p>
      <w:pPr>
        <w:ind w:left="360"/>
        <w:rPr>
          <w:rFonts w:ascii="Arial" w:hAnsi="Arial"/>
          <w:noProof/>
          <w:sz w:val="20"/>
        </w:rPr>
      </w:pPr>
      <w:r>
        <w:rPr>
          <w:rFonts w:ascii="Arial" w:hAnsi="Arial"/>
          <w:noProof/>
          <w:sz w:val="20"/>
        </w:rPr>
        <w:t>Na žiadosť vnútroštátnych súdov môže Súdny dvor takisto vydať predbežné rozhodnutie podľa článku 267 ZFEÚ, ktoré sa týka otázok súladu vnútroštátnych právnych predpisov s právnymi predpismi EÚ. Hoci prejudiciálne rozhodnutia nie sú rozsudkami vo veci nesplnenia povinnosti, poskytujú Komisii ďalšiu príležitosť na zabezpečenie nápravy porušenia práva Únie vyplývajúceho z vnútroštátnych právnych predpisov alebo ich uplatňovania. Komisia systematicky sleduje predbežné rozhodnutia, v ktorých Súdny dvor zistí nezhody s vnútroštátnymi právnymi predpismi.</w:t>
      </w:r>
    </w:p>
    <w:p>
      <w:pPr>
        <w:ind w:left="360"/>
        <w:rPr>
          <w:rFonts w:ascii="Arial" w:hAnsi="Arial" w:cs="Arial"/>
          <w:noProof/>
        </w:rPr>
      </w:pPr>
      <w:bookmarkStart w:id="57" w:name="_Toc437944190"/>
      <w:r>
        <w:rPr>
          <w:noProof/>
        </w:rPr>
        <w:br w:type="page"/>
      </w:r>
    </w:p>
    <w:p>
      <w:pPr>
        <w:pStyle w:val="kop2"/>
        <w:ind w:left="720"/>
        <w:rPr>
          <w:caps w:val="0"/>
          <w:noProof/>
        </w:rPr>
      </w:pPr>
      <w:bookmarkStart w:id="58" w:name="_Toc444796657"/>
      <w:bookmarkStart w:id="59" w:name="_Toc484623697"/>
      <w:bookmarkStart w:id="60" w:name="_Toc484685986"/>
      <w:bookmarkStart w:id="61" w:name="_Toc486858018"/>
      <w:r>
        <w:rPr>
          <w:noProof/>
        </w:rPr>
        <w:t xml:space="preserve">Pred </w:t>
      </w:r>
      <w:bookmarkEnd w:id="57"/>
      <w:r>
        <w:rPr>
          <w:noProof/>
        </w:rPr>
        <w:t>začatím postupu v prípade nesplnenia povinnosti</w:t>
      </w:r>
      <w:bookmarkEnd w:id="58"/>
      <w:bookmarkEnd w:id="59"/>
      <w:bookmarkEnd w:id="60"/>
      <w:bookmarkEnd w:id="61"/>
    </w:p>
    <w:p>
      <w:pPr>
        <w:pStyle w:val="kop3"/>
        <w:numPr>
          <w:ilvl w:val="0"/>
          <w:numId w:val="28"/>
        </w:numPr>
        <w:rPr>
          <w:noProof/>
        </w:rPr>
      </w:pPr>
      <w:bookmarkStart w:id="62" w:name="_Toc437944191"/>
      <w:bookmarkStart w:id="63" w:name="_Toc444796658"/>
      <w:bookmarkStart w:id="64" w:name="_Toc484623698"/>
      <w:bookmarkStart w:id="65" w:name="_Toc484685987"/>
      <w:bookmarkStart w:id="66" w:name="_Toc486858019"/>
      <w:r>
        <w:rPr>
          <w:noProof/>
        </w:rPr>
        <w:t>Odhaľovanie problémov</w:t>
      </w:r>
      <w:bookmarkEnd w:id="62"/>
      <w:bookmarkEnd w:id="63"/>
      <w:bookmarkEnd w:id="64"/>
      <w:bookmarkEnd w:id="65"/>
      <w:bookmarkEnd w:id="66"/>
    </w:p>
    <w:p>
      <w:pPr>
        <w:pStyle w:val="Kop4"/>
        <w:rPr>
          <w:b w:val="0"/>
          <w:noProof/>
        </w:rPr>
      </w:pPr>
      <w:bookmarkStart w:id="67" w:name="_Toc437944192"/>
      <w:bookmarkStart w:id="68" w:name="_Toc444796659"/>
      <w:bookmarkStart w:id="69" w:name="_Toc484623699"/>
      <w:bookmarkStart w:id="70" w:name="_Toc484685988"/>
      <w:bookmarkStart w:id="71" w:name="_Toc486858020"/>
      <w:r>
        <w:rPr>
          <w:b w:val="0"/>
          <w:noProof/>
        </w:rPr>
        <w:t>Veci začaté z vlastnej iniciatívy</w:t>
      </w:r>
      <w:bookmarkEnd w:id="67"/>
      <w:bookmarkEnd w:id="68"/>
      <w:bookmarkEnd w:id="69"/>
      <w:bookmarkEnd w:id="70"/>
      <w:bookmarkEnd w:id="71"/>
    </w:p>
    <w:p>
      <w:pPr>
        <w:ind w:left="709"/>
        <w:rPr>
          <w:rFonts w:ascii="Arial" w:hAnsi="Arial" w:cs="Arial"/>
          <w:noProof/>
          <w:sz w:val="20"/>
        </w:rPr>
      </w:pPr>
      <w:r>
        <w:rPr>
          <w:rFonts w:ascii="Arial" w:hAnsi="Arial"/>
          <w:noProof/>
          <w:sz w:val="20"/>
        </w:rPr>
        <w:t>Pri preskúmavaní vykonávania práva Únie Komisia otvára prípady z vlastnej iniciatívy. V roku 2016 začala 520 takýchto vyšetrovaní prostredníctvom mechanizmu EU Pilot (mechanizmus EU Pilot je vysvetlený v bode 2 nižšie), oproti 578 v roku 2015.</w:t>
      </w:r>
    </w:p>
    <w:p>
      <w:pPr>
        <w:pStyle w:val="Kop4"/>
        <w:rPr>
          <w:b w:val="0"/>
          <w:noProof/>
        </w:rPr>
      </w:pPr>
      <w:bookmarkStart w:id="72" w:name="_Toc437944193"/>
      <w:bookmarkStart w:id="73" w:name="_Toc444796660"/>
      <w:bookmarkStart w:id="74" w:name="_Toc484623700"/>
      <w:bookmarkStart w:id="75" w:name="_Toc484685989"/>
      <w:bookmarkStart w:id="76" w:name="_Toc486858021"/>
      <w:r>
        <w:rPr>
          <w:b w:val="0"/>
          <w:noProof/>
        </w:rPr>
        <w:t>Sťažnosti a petície</w:t>
      </w:r>
      <w:bookmarkEnd w:id="72"/>
      <w:bookmarkEnd w:id="73"/>
      <w:bookmarkEnd w:id="74"/>
      <w:bookmarkEnd w:id="75"/>
      <w:bookmarkEnd w:id="76"/>
    </w:p>
    <w:p>
      <w:pPr>
        <w:ind w:left="709"/>
        <w:rPr>
          <w:rFonts w:ascii="Arial" w:hAnsi="Arial"/>
          <w:noProof/>
          <w:sz w:val="20"/>
        </w:rPr>
      </w:pPr>
      <w:r>
        <w:rPr>
          <w:rFonts w:ascii="Arial" w:hAnsi="Arial"/>
          <w:noProof/>
          <w:sz w:val="20"/>
        </w:rPr>
        <w:t>Počet nových sťažností v roku 2016 je najvyšší od roku 2011. V roku 2015 sa tento počet po prvýkrát od roku 2011 znížil (približne o 9 % oproti roku 2014).</w:t>
      </w:r>
    </w:p>
    <w:p>
      <w:pPr>
        <w:pStyle w:val="Body"/>
        <w:ind w:firstLine="352"/>
        <w:rPr>
          <w:noProof/>
        </w:rPr>
      </w:pPr>
      <w:r>
        <w:rPr>
          <w:noProof/>
          <w:lang w:val="en-US" w:eastAsia="en-US" w:bidi="ar-SA"/>
        </w:rPr>
        <w:drawing>
          <wp:inline distT="0" distB="0" distL="0" distR="0">
            <wp:extent cx="4557395" cy="2435860"/>
            <wp:effectExtent l="0" t="0" r="0" b="0"/>
            <wp:docPr id="21"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pPr>
        <w:pStyle w:val="Body"/>
        <w:spacing w:after="120"/>
        <w:rPr>
          <w:rStyle w:val="Strong"/>
          <w:i w:val="0"/>
          <w:noProof/>
          <w:color w:val="auto"/>
        </w:rPr>
      </w:pPr>
      <w:r>
        <w:rPr>
          <w:rStyle w:val="Strong"/>
          <w:i w:val="0"/>
          <w:noProof/>
          <w:color w:val="auto"/>
        </w:rPr>
        <w:t>V nasledujúcom prehľade sa uvádzajú ďalšie kľúčové údaje o sťažnostiach od verejnosti</w:t>
      </w:r>
      <w:r>
        <w:rPr>
          <w:rStyle w:val="FootnoteReference"/>
          <w:noProof/>
        </w:rPr>
        <w:footnoteReference w:id="124"/>
      </w:r>
      <w:r>
        <w:rPr>
          <w:noProof/>
        </w:rPr>
        <w:t>:</w:t>
      </w:r>
    </w:p>
    <w:p>
      <w:pPr>
        <w:pStyle w:val="Body"/>
        <w:spacing w:after="120"/>
        <w:ind w:left="0"/>
        <w:jc w:val="center"/>
        <w:rPr>
          <w:rStyle w:val="Strong"/>
          <w:noProof/>
        </w:rPr>
      </w:pPr>
      <w:r>
        <w:rPr>
          <w:noProof/>
          <w:color w:val="002060"/>
          <w:sz w:val="22"/>
        </w:rPr>
        <w:t>Sťažnosti od verejnosti otvorené ku koncu roka</w:t>
      </w:r>
    </w:p>
    <w:tbl>
      <w:tblPr>
        <w:tblW w:w="0" w:type="auto"/>
        <w:jc w:val="center"/>
        <w:tblLook w:val="04A0" w:firstRow="1" w:lastRow="0" w:firstColumn="1" w:lastColumn="0" w:noHBand="0" w:noVBand="1"/>
      </w:tblPr>
      <w:tblGrid>
        <w:gridCol w:w="868"/>
        <w:gridCol w:w="333"/>
        <w:gridCol w:w="4617"/>
      </w:tblGrid>
      <w:tr>
        <w:trPr>
          <w:trHeight w:val="368"/>
          <w:jc w:val="center"/>
        </w:trPr>
        <w:tc>
          <w:tcPr>
            <w:tcW w:w="868" w:type="dxa"/>
            <w:shd w:val="clear" w:color="auto" w:fill="auto"/>
            <w:vAlign w:val="center"/>
          </w:tcPr>
          <w:p>
            <w:pPr>
              <w:spacing w:after="0"/>
              <w:ind w:right="-25"/>
              <w:jc w:val="right"/>
              <w:rPr>
                <w:rFonts w:ascii="Arial" w:hAnsi="Arial" w:cs="Arial"/>
                <w:noProof/>
                <w:color w:val="548DD4"/>
                <w:sz w:val="20"/>
                <w:szCs w:val="28"/>
              </w:rPr>
            </w:pPr>
            <w:r>
              <w:rPr>
                <w:rFonts w:ascii="Arial" w:hAnsi="Arial"/>
                <w:noProof/>
                <w:color w:val="548DD4"/>
                <w:sz w:val="20"/>
              </w:rPr>
              <w:t>3 098</w:t>
            </w:r>
          </w:p>
        </w:tc>
        <w:tc>
          <w:tcPr>
            <w:tcW w:w="333" w:type="dxa"/>
            <w:shd w:val="clear" w:color="auto" w:fill="auto"/>
            <w:vAlign w:val="center"/>
          </w:tcPr>
          <w:p>
            <w:pPr>
              <w:spacing w:after="0"/>
              <w:jc w:val="right"/>
              <w:rPr>
                <w:rFonts w:ascii="Arial" w:hAnsi="Arial" w:cs="Arial"/>
                <w:noProof/>
                <w:color w:val="548DD4"/>
                <w:sz w:val="20"/>
                <w:szCs w:val="28"/>
              </w:rPr>
            </w:pPr>
            <w:r>
              <w:rPr>
                <w:rFonts w:ascii="Arial" w:hAnsi="Arial"/>
                <w:noProof/>
                <w:color w:val="548DD4"/>
                <w:sz w:val="20"/>
              </w:rPr>
              <w:t>&gt;</w:t>
            </w:r>
          </w:p>
        </w:tc>
        <w:tc>
          <w:tcPr>
            <w:tcW w:w="4617" w:type="dxa"/>
            <w:shd w:val="clear" w:color="auto" w:fill="auto"/>
            <w:vAlign w:val="center"/>
          </w:tcPr>
          <w:p>
            <w:pPr>
              <w:spacing w:after="0"/>
              <w:jc w:val="left"/>
              <w:rPr>
                <w:rFonts w:ascii="Arial" w:hAnsi="Arial" w:cs="Arial"/>
                <w:noProof/>
                <w:color w:val="548DD4"/>
                <w:sz w:val="20"/>
                <w:szCs w:val="28"/>
              </w:rPr>
            </w:pPr>
            <w:r>
              <w:rPr>
                <w:rFonts w:ascii="Arial" w:hAnsi="Arial"/>
                <w:noProof/>
                <w:color w:val="548DD4"/>
                <w:sz w:val="20"/>
              </w:rPr>
              <w:t>Sťažnosti otvorené ku koncu roka 2015</w:t>
            </w:r>
          </w:p>
        </w:tc>
      </w:tr>
      <w:tr>
        <w:trPr>
          <w:trHeight w:val="368"/>
          <w:jc w:val="center"/>
        </w:trPr>
        <w:tc>
          <w:tcPr>
            <w:tcW w:w="868" w:type="dxa"/>
            <w:shd w:val="clear" w:color="auto" w:fill="auto"/>
            <w:vAlign w:val="center"/>
          </w:tcPr>
          <w:p>
            <w:pPr>
              <w:spacing w:after="0"/>
              <w:ind w:right="-25"/>
              <w:jc w:val="right"/>
              <w:rPr>
                <w:rFonts w:ascii="Arial" w:hAnsi="Arial" w:cs="Arial"/>
                <w:noProof/>
                <w:color w:val="548DD4"/>
                <w:sz w:val="20"/>
                <w:szCs w:val="28"/>
              </w:rPr>
            </w:pPr>
            <w:r>
              <w:rPr>
                <w:rFonts w:ascii="Arial" w:hAnsi="Arial"/>
                <w:noProof/>
                <w:color w:val="548DD4"/>
                <w:sz w:val="20"/>
              </w:rPr>
              <w:t>3 783</w:t>
            </w:r>
          </w:p>
        </w:tc>
        <w:tc>
          <w:tcPr>
            <w:tcW w:w="333" w:type="dxa"/>
            <w:shd w:val="clear" w:color="auto" w:fill="auto"/>
            <w:vAlign w:val="center"/>
          </w:tcPr>
          <w:p>
            <w:pPr>
              <w:spacing w:after="0"/>
              <w:jc w:val="right"/>
              <w:rPr>
                <w:rFonts w:ascii="Arial" w:hAnsi="Arial" w:cs="Arial"/>
                <w:noProof/>
                <w:color w:val="548DD4"/>
                <w:sz w:val="20"/>
                <w:szCs w:val="28"/>
              </w:rPr>
            </w:pPr>
            <w:r>
              <w:rPr>
                <w:rFonts w:ascii="Arial" w:hAnsi="Arial"/>
                <w:noProof/>
                <w:color w:val="548DD4"/>
                <w:sz w:val="20"/>
              </w:rPr>
              <w:t>&gt;</w:t>
            </w:r>
          </w:p>
        </w:tc>
        <w:tc>
          <w:tcPr>
            <w:tcW w:w="4617" w:type="dxa"/>
            <w:shd w:val="clear" w:color="auto" w:fill="auto"/>
            <w:vAlign w:val="center"/>
          </w:tcPr>
          <w:p>
            <w:pPr>
              <w:spacing w:after="0"/>
              <w:jc w:val="left"/>
              <w:rPr>
                <w:rFonts w:ascii="Arial" w:hAnsi="Arial" w:cs="Arial"/>
                <w:noProof/>
                <w:color w:val="548DD4"/>
                <w:sz w:val="20"/>
                <w:szCs w:val="28"/>
              </w:rPr>
            </w:pPr>
            <w:r>
              <w:rPr>
                <w:rFonts w:ascii="Arial" w:hAnsi="Arial"/>
                <w:noProof/>
                <w:color w:val="548DD4"/>
                <w:sz w:val="20"/>
              </w:rPr>
              <w:t>Nové sťažnosti zaregistrované v roku 2016</w:t>
            </w:r>
          </w:p>
        </w:tc>
      </w:tr>
      <w:tr>
        <w:trPr>
          <w:trHeight w:val="368"/>
          <w:jc w:val="center"/>
        </w:trPr>
        <w:tc>
          <w:tcPr>
            <w:tcW w:w="868" w:type="dxa"/>
            <w:tcBorders>
              <w:bottom w:val="single" w:sz="24" w:space="0" w:color="548DD4"/>
            </w:tcBorders>
            <w:shd w:val="clear" w:color="auto" w:fill="auto"/>
            <w:vAlign w:val="center"/>
          </w:tcPr>
          <w:p>
            <w:pPr>
              <w:spacing w:after="0"/>
              <w:ind w:right="-25"/>
              <w:jc w:val="right"/>
              <w:rPr>
                <w:rFonts w:ascii="Arial" w:hAnsi="Arial" w:cs="Arial"/>
                <w:noProof/>
                <w:color w:val="548DD4"/>
                <w:sz w:val="20"/>
                <w:szCs w:val="28"/>
              </w:rPr>
            </w:pPr>
            <w:r>
              <w:rPr>
                <w:rFonts w:ascii="Arial" w:hAnsi="Arial"/>
                <w:noProof/>
                <w:color w:val="548DD4"/>
                <w:sz w:val="20"/>
              </w:rPr>
              <w:t>3 458</w:t>
            </w:r>
          </w:p>
        </w:tc>
        <w:tc>
          <w:tcPr>
            <w:tcW w:w="333" w:type="dxa"/>
            <w:shd w:val="clear" w:color="auto" w:fill="auto"/>
            <w:vAlign w:val="center"/>
          </w:tcPr>
          <w:p>
            <w:pPr>
              <w:spacing w:after="0"/>
              <w:jc w:val="right"/>
              <w:rPr>
                <w:rFonts w:ascii="Arial" w:hAnsi="Arial" w:cs="Arial"/>
                <w:noProof/>
                <w:color w:val="548DD4"/>
                <w:sz w:val="20"/>
                <w:szCs w:val="28"/>
              </w:rPr>
            </w:pPr>
            <w:r>
              <w:rPr>
                <w:rFonts w:ascii="Arial" w:hAnsi="Arial"/>
                <w:noProof/>
                <w:color w:val="548DD4"/>
                <w:sz w:val="20"/>
              </w:rPr>
              <w:t>&gt;</w:t>
            </w:r>
          </w:p>
        </w:tc>
        <w:tc>
          <w:tcPr>
            <w:tcW w:w="4617" w:type="dxa"/>
            <w:shd w:val="clear" w:color="auto" w:fill="auto"/>
            <w:vAlign w:val="center"/>
          </w:tcPr>
          <w:p>
            <w:pPr>
              <w:spacing w:after="0"/>
              <w:jc w:val="left"/>
              <w:rPr>
                <w:rFonts w:ascii="Arial" w:hAnsi="Arial" w:cs="Arial"/>
                <w:noProof/>
                <w:color w:val="548DD4"/>
                <w:sz w:val="20"/>
                <w:szCs w:val="28"/>
              </w:rPr>
            </w:pPr>
            <w:r>
              <w:rPr>
                <w:rFonts w:ascii="Arial" w:hAnsi="Arial"/>
                <w:noProof/>
                <w:color w:val="548DD4"/>
                <w:sz w:val="20"/>
              </w:rPr>
              <w:t>Sťažnosti vybavené v roku 2016</w:t>
            </w:r>
          </w:p>
        </w:tc>
      </w:tr>
      <w:tr>
        <w:trPr>
          <w:trHeight w:val="368"/>
          <w:jc w:val="center"/>
        </w:trPr>
        <w:tc>
          <w:tcPr>
            <w:tcW w:w="868" w:type="dxa"/>
            <w:tcBorders>
              <w:top w:val="single" w:sz="24" w:space="0" w:color="548DD4"/>
            </w:tcBorders>
            <w:shd w:val="clear" w:color="auto" w:fill="auto"/>
            <w:vAlign w:val="center"/>
          </w:tcPr>
          <w:p>
            <w:pPr>
              <w:spacing w:after="0"/>
              <w:ind w:right="-25"/>
              <w:jc w:val="right"/>
              <w:rPr>
                <w:rFonts w:ascii="Arial" w:hAnsi="Arial" w:cs="Arial"/>
                <w:noProof/>
                <w:color w:val="C00000"/>
                <w:sz w:val="20"/>
                <w:szCs w:val="28"/>
              </w:rPr>
            </w:pPr>
            <w:r>
              <w:rPr>
                <w:rFonts w:ascii="Arial" w:hAnsi="Arial"/>
                <w:noProof/>
                <w:color w:val="C00000"/>
                <w:sz w:val="20"/>
              </w:rPr>
              <w:t xml:space="preserve">= 3 423 </w:t>
            </w:r>
          </w:p>
        </w:tc>
        <w:tc>
          <w:tcPr>
            <w:tcW w:w="333" w:type="dxa"/>
            <w:shd w:val="clear" w:color="auto" w:fill="auto"/>
            <w:vAlign w:val="center"/>
          </w:tcPr>
          <w:p>
            <w:pPr>
              <w:spacing w:after="0"/>
              <w:jc w:val="right"/>
              <w:rPr>
                <w:rFonts w:ascii="Arial" w:hAnsi="Arial" w:cs="Arial"/>
                <w:noProof/>
                <w:color w:val="548DD4"/>
                <w:sz w:val="20"/>
                <w:szCs w:val="28"/>
              </w:rPr>
            </w:pPr>
            <w:r>
              <w:rPr>
                <w:rFonts w:ascii="Arial" w:hAnsi="Arial"/>
                <w:noProof/>
                <w:color w:val="548DD4"/>
                <w:sz w:val="20"/>
              </w:rPr>
              <w:t>&gt;</w:t>
            </w:r>
          </w:p>
        </w:tc>
        <w:tc>
          <w:tcPr>
            <w:tcW w:w="4617" w:type="dxa"/>
            <w:shd w:val="clear" w:color="auto" w:fill="auto"/>
            <w:vAlign w:val="center"/>
          </w:tcPr>
          <w:p>
            <w:pPr>
              <w:spacing w:after="0"/>
              <w:jc w:val="left"/>
              <w:rPr>
                <w:rFonts w:ascii="Arial" w:hAnsi="Arial" w:cs="Arial"/>
                <w:noProof/>
                <w:color w:val="548DD4"/>
                <w:sz w:val="20"/>
                <w:szCs w:val="28"/>
              </w:rPr>
            </w:pPr>
            <w:r>
              <w:rPr>
                <w:rFonts w:ascii="Arial" w:hAnsi="Arial"/>
                <w:noProof/>
                <w:color w:val="548DD4"/>
                <w:sz w:val="20"/>
              </w:rPr>
              <w:t>Sťažnosti otvorené ku koncu roka 2016</w:t>
            </w:r>
          </w:p>
        </w:tc>
      </w:tr>
    </w:tbl>
    <w:p>
      <w:pPr>
        <w:spacing w:before="120"/>
        <w:ind w:left="709"/>
        <w:rPr>
          <w:rFonts w:ascii="Arial" w:hAnsi="Arial" w:cs="Arial"/>
          <w:noProof/>
          <w:sz w:val="20"/>
        </w:rPr>
      </w:pPr>
      <w:r>
        <w:rPr>
          <w:rFonts w:ascii="Arial" w:hAnsi="Arial"/>
          <w:b/>
          <w:noProof/>
          <w:sz w:val="20"/>
        </w:rPr>
        <w:t>Komisia v roku 2016 zaregistrovala 3 783 nových sťažností.</w:t>
      </w:r>
      <w:r>
        <w:rPr>
          <w:rFonts w:ascii="Arial" w:hAnsi="Arial"/>
          <w:noProof/>
          <w:sz w:val="20"/>
        </w:rPr>
        <w:t xml:space="preserve"> Tri členské štáty, proti ktorým bolo podaných najviac sťažností, boli Taliansko, Španielsko a Francúzsko.</w:t>
      </w:r>
    </w:p>
    <w:p>
      <w:pPr>
        <w:spacing w:after="120"/>
        <w:ind w:left="1440" w:hanging="731"/>
        <w:rPr>
          <w:rFonts w:ascii="Arial" w:hAnsi="Arial" w:cs="Arial"/>
          <w:noProof/>
          <w:sz w:val="20"/>
        </w:rPr>
      </w:pPr>
      <w:r>
        <w:rPr>
          <w:rFonts w:ascii="Arial" w:hAnsi="Arial"/>
          <w:noProof/>
          <w:sz w:val="20"/>
        </w:rPr>
        <w:t>•</w:t>
      </w:r>
      <w:r>
        <w:rPr>
          <w:noProof/>
        </w:rPr>
        <w:tab/>
      </w:r>
      <w:r>
        <w:rPr>
          <w:rFonts w:ascii="Arial" w:hAnsi="Arial"/>
          <w:b/>
          <w:noProof/>
          <w:sz w:val="20"/>
        </w:rPr>
        <w:t>Taliansko:</w:t>
      </w:r>
      <w:r>
        <w:rPr>
          <w:rFonts w:ascii="Arial" w:hAnsi="Arial"/>
          <w:noProof/>
          <w:sz w:val="20"/>
        </w:rPr>
        <w:t xml:space="preserve"> 753 sťažností, väčšina z nich súvisí s týmito oblasťami: zamestnanosť, sociálne záležitosti a začlenenie (322 sťažností); vnútorný trh, priemysel, podnikanie a MSP (129 sťažností) a životné prostredie (76 sťažností).</w:t>
      </w:r>
    </w:p>
    <w:p>
      <w:pPr>
        <w:spacing w:after="120"/>
        <w:ind w:left="1440" w:hanging="731"/>
        <w:rPr>
          <w:rFonts w:ascii="Arial" w:hAnsi="Arial"/>
          <w:noProof/>
          <w:sz w:val="20"/>
        </w:rPr>
      </w:pPr>
      <w:r>
        <w:rPr>
          <w:rFonts w:ascii="Arial" w:hAnsi="Arial"/>
          <w:noProof/>
          <w:sz w:val="20"/>
        </w:rPr>
        <w:t>•</w:t>
      </w:r>
      <w:r>
        <w:rPr>
          <w:noProof/>
        </w:rPr>
        <w:tab/>
      </w:r>
      <w:r>
        <w:rPr>
          <w:rFonts w:ascii="Arial" w:hAnsi="Arial"/>
          <w:b/>
          <w:noProof/>
          <w:sz w:val="20"/>
        </w:rPr>
        <w:t>Španielsko:</w:t>
      </w:r>
      <w:r>
        <w:rPr>
          <w:rFonts w:ascii="Arial" w:hAnsi="Arial"/>
          <w:noProof/>
          <w:sz w:val="20"/>
        </w:rPr>
        <w:t xml:space="preserve"> 424 sťažností, najmä v súvislosti s týmito oblasťami: spravodlivosť a spotrebitelia (149 sťažností); zamestnanosť, sociálne záležitosti a začlenenie (57 sťažností) a dane a colná únia (44 sťažností).</w:t>
      </w:r>
    </w:p>
    <w:p>
      <w:pPr>
        <w:ind w:left="1440" w:hanging="731"/>
        <w:rPr>
          <w:rFonts w:ascii="Arial" w:hAnsi="Arial" w:cs="Arial"/>
          <w:noProof/>
          <w:sz w:val="20"/>
        </w:rPr>
      </w:pPr>
      <w:r>
        <w:rPr>
          <w:rFonts w:ascii="Arial" w:hAnsi="Arial"/>
          <w:noProof/>
          <w:sz w:val="20"/>
        </w:rPr>
        <w:t>•</w:t>
      </w:r>
      <w:r>
        <w:rPr>
          <w:noProof/>
        </w:rPr>
        <w:tab/>
      </w:r>
      <w:r>
        <w:rPr>
          <w:rFonts w:ascii="Arial" w:hAnsi="Arial"/>
          <w:b/>
          <w:noProof/>
          <w:sz w:val="20"/>
        </w:rPr>
        <w:t xml:space="preserve">Francúzsko: </w:t>
      </w:r>
      <w:r>
        <w:rPr>
          <w:rFonts w:ascii="Arial" w:hAnsi="Arial"/>
          <w:noProof/>
          <w:sz w:val="20"/>
        </w:rPr>
        <w:t>325 sťažností súvisiacich najmä s týmito oblasťami: mobilita a doprava (79 sťažností); zamestnanosť, sociálne záležitosti a začlenenie (60 sťažností) a spravodlivosť a spotrebitelia (58 sťažností).</w:t>
      </w:r>
    </w:p>
    <w:p>
      <w:pPr>
        <w:spacing w:after="120"/>
        <w:ind w:left="709"/>
        <w:rPr>
          <w:rFonts w:ascii="Arial" w:hAnsi="Arial" w:cs="Arial"/>
          <w:noProof/>
          <w:sz w:val="20"/>
        </w:rPr>
      </w:pPr>
      <w:r>
        <w:rPr>
          <w:rFonts w:ascii="Arial" w:hAnsi="Arial"/>
          <w:noProof/>
          <w:sz w:val="20"/>
        </w:rPr>
        <w:t>V nasledujúcom grafe je uvedených päť oblastí politiky s najvyšším počtom nových sťažností. Spolu predstavujú 75 % všetkých sťažností podaných proti všetkým členským štátom v roku 2016.</w:t>
      </w:r>
    </w:p>
    <w:p>
      <w:pPr>
        <w:pStyle w:val="Body"/>
        <w:ind w:left="709"/>
        <w:rPr>
          <w:noProof/>
        </w:rPr>
      </w:pPr>
      <w:r>
        <w:rPr>
          <w:noProof/>
          <w:lang w:val="en-US" w:eastAsia="en-US" w:bidi="ar-SA"/>
        </w:rPr>
        <w:drawing>
          <wp:inline distT="0" distB="0" distL="0" distR="0">
            <wp:extent cx="5179060" cy="2816225"/>
            <wp:effectExtent l="0" t="0" r="21590" b="22225"/>
            <wp:docPr id="20" name="Grafiek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pPr>
        <w:ind w:left="709"/>
        <w:rPr>
          <w:rFonts w:ascii="Arial" w:hAnsi="Arial" w:cs="Arial"/>
          <w:noProof/>
          <w:sz w:val="20"/>
        </w:rPr>
      </w:pPr>
      <w:r>
        <w:rPr>
          <w:rFonts w:ascii="Arial" w:hAnsi="Arial"/>
          <w:b/>
          <w:noProof/>
          <w:sz w:val="20"/>
        </w:rPr>
        <w:t>Komisia zaregistrovala 3 458 sťažností v roku 2016.</w:t>
      </w:r>
      <w:r>
        <w:rPr>
          <w:rFonts w:ascii="Arial" w:hAnsi="Arial"/>
          <w:noProof/>
          <w:sz w:val="20"/>
        </w:rPr>
        <w:t xml:space="preserve"> Po posúdení sťažnosti môže Komisia začať vyšetrovanie s využitím mechanizmu EU Pilot, aby objasnila, či boli porušené pravidlá EÚ.</w:t>
      </w:r>
      <w:r>
        <w:rPr>
          <w:noProof/>
        </w:rPr>
        <w:t xml:space="preserve"> </w:t>
      </w:r>
      <w:r>
        <w:rPr>
          <w:rFonts w:ascii="Arial" w:hAnsi="Arial"/>
          <w:noProof/>
          <w:sz w:val="20"/>
        </w:rPr>
        <w:t>Nie všetky sťažnosti v roku 2016 viedli k takému vyšetrovanie, a to z týchto dôvodov: nedošlo k porušeniu právnych predpisov EÚ (2 253), Komisia nemala právomoc konať (86) alebo podanie nebolo kvalifikované ako sťažnosť (667). Komisia sa nezaoberala 20 prípadmi, lebo sťažovatelia stiahli svoje sťažnosti. Týchto 3 026 sťažností sa preto uzavrelo.</w:t>
      </w:r>
    </w:p>
    <w:p>
      <w:pPr>
        <w:ind w:left="709"/>
        <w:rPr>
          <w:rFonts w:ascii="Arial" w:hAnsi="Arial"/>
          <w:noProof/>
          <w:sz w:val="20"/>
        </w:rPr>
      </w:pPr>
      <w:r>
        <w:rPr>
          <w:rFonts w:ascii="Arial" w:hAnsi="Arial"/>
          <w:noProof/>
          <w:sz w:val="20"/>
        </w:rPr>
        <w:t>Sťažnosti, ktoré viedli k vyšetrovaniam pomocou mechanizmu EU Pilot sa najčastejšie týkali daní a ciel (68 otvorených prípadov v rámci projektu EU Pilot), vnútorného trhu, priemyslu, podnikania a MSP (48 otvorených prípadov) a spravodlivosti a spotrebiteľov (26 otvorených prípadov).</w:t>
      </w:r>
    </w:p>
    <w:p>
      <w:pPr>
        <w:ind w:left="709"/>
        <w:rPr>
          <w:rFonts w:ascii="Arial" w:hAnsi="Arial" w:cs="Arial"/>
          <w:noProof/>
          <w:sz w:val="20"/>
        </w:rPr>
      </w:pPr>
      <w:r>
        <w:rPr>
          <w:rFonts w:ascii="Arial" w:hAnsi="Arial"/>
          <w:noProof/>
          <w:sz w:val="20"/>
        </w:rPr>
        <w:t xml:space="preserve"> Aj tieto sťažnosti sa týkali predovšetkým Španielska, Francúzska a Talianska.</w:t>
      </w:r>
    </w:p>
    <w:p>
      <w:pPr>
        <w:ind w:left="1440" w:hanging="731"/>
        <w:rPr>
          <w:rFonts w:ascii="Arial" w:hAnsi="Arial" w:cs="Arial"/>
          <w:noProof/>
          <w:sz w:val="20"/>
        </w:rPr>
      </w:pPr>
      <w:r>
        <w:rPr>
          <w:rFonts w:ascii="Arial" w:hAnsi="Arial"/>
          <w:noProof/>
          <w:sz w:val="20"/>
        </w:rPr>
        <w:t>•</w:t>
      </w:r>
      <w:r>
        <w:rPr>
          <w:noProof/>
        </w:rPr>
        <w:tab/>
      </w:r>
      <w:r>
        <w:rPr>
          <w:rFonts w:ascii="Arial" w:hAnsi="Arial"/>
          <w:b/>
          <w:noProof/>
          <w:sz w:val="20"/>
        </w:rPr>
        <w:t>Španielsko:</w:t>
      </w:r>
      <w:r>
        <w:rPr>
          <w:rFonts w:ascii="Arial" w:hAnsi="Arial"/>
          <w:noProof/>
          <w:sz w:val="20"/>
        </w:rPr>
        <w:t xml:space="preserve"> 34 nových prípadov v rámci projektu EU Pilot, väčšina z nich v súvislosti so sťažnosťami týkajúcimi sa daní a ciel (7); zamestnanosti (6); vnútorného trhu, priemyslu, podnikania a MSP (5); a mobility a dopravy (4).</w:t>
      </w:r>
    </w:p>
    <w:p>
      <w:pPr>
        <w:ind w:left="1440" w:hanging="731"/>
        <w:rPr>
          <w:rFonts w:ascii="Arial" w:hAnsi="Arial" w:cs="Arial"/>
          <w:noProof/>
          <w:sz w:val="20"/>
        </w:rPr>
      </w:pPr>
      <w:r>
        <w:rPr>
          <w:rFonts w:ascii="Arial" w:hAnsi="Arial"/>
          <w:noProof/>
          <w:sz w:val="20"/>
        </w:rPr>
        <w:t>•</w:t>
      </w:r>
      <w:r>
        <w:rPr>
          <w:noProof/>
        </w:rPr>
        <w:tab/>
      </w:r>
      <w:r>
        <w:rPr>
          <w:rFonts w:ascii="Arial" w:hAnsi="Arial"/>
          <w:b/>
          <w:noProof/>
          <w:sz w:val="20"/>
        </w:rPr>
        <w:t xml:space="preserve">Francúzsko: </w:t>
      </w:r>
      <w:r>
        <w:rPr>
          <w:rFonts w:ascii="Arial" w:hAnsi="Arial"/>
          <w:noProof/>
          <w:sz w:val="20"/>
        </w:rPr>
        <w:t>33 nových prípadov v rámci projektu EU Pilot, najmä v súvislosti so sťažnosťami týkajúcimi sa daní a ciel (6); zamestnanosti (4); vnútorného trhu, priemyslu, podnikania a MSP (4); a spravodlivosti a spotrebiteľov (4).</w:t>
      </w:r>
    </w:p>
    <w:p>
      <w:pPr>
        <w:ind w:left="1440" w:hanging="731"/>
        <w:rPr>
          <w:rFonts w:ascii="Arial" w:hAnsi="Arial" w:cs="Arial"/>
          <w:noProof/>
          <w:sz w:val="20"/>
        </w:rPr>
      </w:pPr>
      <w:r>
        <w:rPr>
          <w:rFonts w:ascii="Arial" w:hAnsi="Arial"/>
          <w:noProof/>
          <w:sz w:val="20"/>
        </w:rPr>
        <w:t>•</w:t>
      </w:r>
      <w:r>
        <w:rPr>
          <w:noProof/>
        </w:rPr>
        <w:tab/>
      </w:r>
      <w:r>
        <w:rPr>
          <w:rFonts w:ascii="Arial" w:hAnsi="Arial"/>
          <w:b/>
          <w:noProof/>
          <w:sz w:val="20"/>
        </w:rPr>
        <w:t>Taliansko:</w:t>
      </w:r>
      <w:r>
        <w:rPr>
          <w:rFonts w:ascii="Arial" w:hAnsi="Arial"/>
          <w:noProof/>
          <w:sz w:val="20"/>
        </w:rPr>
        <w:t xml:space="preserve"> 23 nových prípadov v rámci projektu EU Pilot, väčšina z nich v súvislosti so sťažnosťami týkajúcimi sa daní a ciel (7), vnútorného trhu, priemyslu, podnikania a MSP (6); a zamestnanosti (5).</w:t>
      </w:r>
    </w:p>
    <w:p>
      <w:pPr>
        <w:ind w:left="720"/>
        <w:rPr>
          <w:rFonts w:ascii="Arial" w:hAnsi="Arial" w:cs="Arial"/>
          <w:noProof/>
          <w:sz w:val="20"/>
        </w:rPr>
      </w:pPr>
      <w:r>
        <w:rPr>
          <w:rFonts w:ascii="Arial" w:hAnsi="Arial"/>
          <w:noProof/>
          <w:sz w:val="20"/>
        </w:rPr>
        <w:t>Európsky parlament prostredníctvom petícií a otázok upozornil Komisiu na nedostatky v tom, ako členské štáty vykonávali a uplatňovali určité právne predpisy EÚ v roku 2016. Týkajú sa týchto oblastí:</w:t>
      </w:r>
    </w:p>
    <w:p>
      <w:pPr>
        <w:pStyle w:val="ListParagraph"/>
        <w:numPr>
          <w:ilvl w:val="0"/>
          <w:numId w:val="42"/>
        </w:numPr>
        <w:spacing w:after="0"/>
        <w:rPr>
          <w:rFonts w:eastAsia="MS Mincho"/>
          <w:noProof/>
        </w:rPr>
      </w:pPr>
      <w:r>
        <w:rPr>
          <w:rFonts w:ascii="Arial" w:hAnsi="Arial"/>
          <w:b/>
          <w:noProof/>
          <w:sz w:val="20"/>
        </w:rPr>
        <w:t>Životné prostredie:</w:t>
      </w:r>
      <w:r>
        <w:rPr>
          <w:rFonts w:ascii="Arial" w:hAnsi="Arial"/>
          <w:noProof/>
          <w:sz w:val="20"/>
        </w:rPr>
        <w:t xml:space="preserve"> Komisia vydala odôvodnené stanovisko proti jednému členskému štátu pre nesúlad jeho transpozície smernice o prístupe verejnosti k informáciám o životnom prostredí</w:t>
      </w:r>
      <w:r>
        <w:rPr>
          <w:rStyle w:val="FootnoteReference"/>
          <w:rFonts w:ascii="Arial" w:hAnsi="Arial"/>
          <w:noProof/>
          <w:sz w:val="20"/>
        </w:rPr>
        <w:footnoteReference w:id="125"/>
      </w:r>
      <w:r>
        <w:rPr>
          <w:noProof/>
        </w:rPr>
        <w:t>.</w:t>
      </w:r>
      <w:r>
        <w:rPr>
          <w:rFonts w:ascii="Arial" w:hAnsi="Arial"/>
          <w:noProof/>
          <w:sz w:val="20"/>
        </w:rPr>
        <w:t xml:space="preserve"> V ďalšom prípade z oblasti odpadového hospodárstva Komisia začala dvojstranné rozhovory s príslušnými členskými štátmi.</w:t>
      </w:r>
    </w:p>
    <w:p>
      <w:pPr>
        <w:spacing w:after="0" w:line="276" w:lineRule="auto"/>
        <w:ind w:left="1429"/>
        <w:jc w:val="left"/>
        <w:rPr>
          <w:rFonts w:ascii="Arial" w:eastAsia="MS Mincho" w:hAnsi="Arial" w:cs="Arial"/>
          <w:noProof/>
          <w:sz w:val="20"/>
        </w:rPr>
      </w:pPr>
    </w:p>
    <w:p>
      <w:pPr>
        <w:pStyle w:val="ListParagraph"/>
        <w:numPr>
          <w:ilvl w:val="0"/>
          <w:numId w:val="31"/>
        </w:numPr>
        <w:ind w:hanging="357"/>
        <w:rPr>
          <w:rFonts w:ascii="Arial" w:hAnsi="Arial" w:cs="Arial"/>
          <w:noProof/>
          <w:sz w:val="20"/>
        </w:rPr>
      </w:pPr>
      <w:r>
        <w:rPr>
          <w:rFonts w:ascii="Arial" w:hAnsi="Arial"/>
          <w:b/>
          <w:noProof/>
          <w:sz w:val="20"/>
        </w:rPr>
        <w:t>Spravodlivosť a spotrebitelia:</w:t>
      </w:r>
      <w:r>
        <w:rPr>
          <w:rFonts w:ascii="Arial" w:hAnsi="Arial"/>
          <w:noProof/>
          <w:sz w:val="20"/>
        </w:rPr>
        <w:t xml:space="preserve"> Komisia začala dvojstranný rozhovor s členským štátom o uznávaní manželských mien.</w:t>
      </w:r>
    </w:p>
    <w:p>
      <w:pPr>
        <w:pStyle w:val="ListParagraph"/>
        <w:ind w:left="1429"/>
        <w:rPr>
          <w:rFonts w:ascii="Arial" w:hAnsi="Arial" w:cs="Arial"/>
          <w:noProof/>
          <w:sz w:val="20"/>
        </w:rPr>
      </w:pPr>
    </w:p>
    <w:p>
      <w:pPr>
        <w:pStyle w:val="ListParagraph"/>
        <w:numPr>
          <w:ilvl w:val="0"/>
          <w:numId w:val="31"/>
        </w:numPr>
        <w:ind w:hanging="357"/>
        <w:rPr>
          <w:rFonts w:ascii="Arial" w:hAnsi="Arial" w:cs="Arial"/>
          <w:noProof/>
          <w:sz w:val="20"/>
        </w:rPr>
      </w:pPr>
      <w:r>
        <w:rPr>
          <w:rFonts w:ascii="Arial" w:hAnsi="Arial"/>
          <w:b/>
          <w:noProof/>
          <w:sz w:val="20"/>
        </w:rPr>
        <w:t xml:space="preserve">Dane: </w:t>
      </w:r>
      <w:r>
        <w:rPr>
          <w:rFonts w:ascii="Arial" w:hAnsi="Arial"/>
          <w:noProof/>
          <w:sz w:val="20"/>
        </w:rPr>
        <w:t>V oblasti priamych daní Komisia nadviazala na petíciu k dani z nehnuteľného majetku. Začala dvojstranné diskusie s príslušným členským štátom o možnej diskriminácii dôchodcov v EÚ. V colnej oblasti Komisia začala dvojstranné diskusie s niektorými členskými štátmi týkajúce sa oslobodenia výrobkov pre osoby so zdravotným postihnutím od cla.</w:t>
      </w:r>
    </w:p>
    <w:p>
      <w:pPr>
        <w:pStyle w:val="ListParagraph"/>
        <w:ind w:left="1429"/>
        <w:rPr>
          <w:rFonts w:ascii="Arial" w:hAnsi="Arial" w:cs="Arial"/>
          <w:noProof/>
          <w:sz w:val="20"/>
        </w:rPr>
      </w:pPr>
    </w:p>
    <w:p>
      <w:pPr>
        <w:pStyle w:val="ListParagraph"/>
        <w:numPr>
          <w:ilvl w:val="0"/>
          <w:numId w:val="31"/>
        </w:numPr>
        <w:ind w:hanging="357"/>
        <w:rPr>
          <w:rFonts w:ascii="Arial" w:hAnsi="Arial" w:cs="Arial"/>
          <w:noProof/>
          <w:sz w:val="20"/>
        </w:rPr>
      </w:pPr>
      <w:r>
        <w:rPr>
          <w:rFonts w:ascii="Arial" w:hAnsi="Arial"/>
          <w:b/>
          <w:noProof/>
          <w:sz w:val="20"/>
        </w:rPr>
        <w:t>Vnútorný trh:</w:t>
      </w:r>
      <w:r>
        <w:rPr>
          <w:rFonts w:ascii="Calibri" w:hAnsi="Calibri"/>
          <w:noProof/>
          <w:sz w:val="22"/>
        </w:rPr>
        <w:t xml:space="preserve"> </w:t>
      </w:r>
      <w:r>
        <w:rPr>
          <w:rFonts w:ascii="Arial" w:hAnsi="Arial"/>
          <w:noProof/>
          <w:sz w:val="20"/>
        </w:rPr>
        <w:t>Komisia začala dvojstranných diskusie s členským štátom vo veci dodržiavania pravidiel o verejnom obstarávaní.</w:t>
      </w:r>
    </w:p>
    <w:p>
      <w:pPr>
        <w:pStyle w:val="kop3"/>
        <w:rPr>
          <w:noProof/>
        </w:rPr>
      </w:pPr>
      <w:bookmarkStart w:id="77" w:name="_Toc484623701"/>
      <w:bookmarkStart w:id="78" w:name="_Toc484685990"/>
      <w:bookmarkStart w:id="79" w:name="_Toc486858022"/>
      <w:r>
        <w:rPr>
          <w:noProof/>
        </w:rPr>
        <w:t>Projekt EU Pilot</w:t>
      </w:r>
      <w:bookmarkEnd w:id="77"/>
      <w:bookmarkEnd w:id="78"/>
      <w:bookmarkEnd w:id="79"/>
    </w:p>
    <w:p>
      <w:pPr>
        <w:ind w:left="360"/>
        <w:rPr>
          <w:rFonts w:ascii="Arial" w:hAnsi="Arial" w:cs="Arial"/>
          <w:noProof/>
          <w:sz w:val="20"/>
        </w:rPr>
      </w:pPr>
      <w:r>
        <w:rPr>
          <w:rFonts w:ascii="Arial" w:hAnsi="Arial"/>
          <w:noProof/>
          <w:sz w:val="20"/>
        </w:rPr>
        <w:t xml:space="preserve">Dialóg v rámci nástroja EU Pilot medzi Komisiou a členskými štátmi bol zriadený, aby sa vo vhodných prípadoch možné porušenia práva Únie vyriešili rýchlo v počiatočnej fáze. Nie je však určený na to, aby predlžoval proces porušovania povinnosti, ktorý je sám osebe dôvodom na začatie dialógu o riešení problému s členským štátom. V súlade s oznámením Komisie </w:t>
      </w:r>
      <w:r>
        <w:rPr>
          <w:rFonts w:ascii="Arial" w:hAnsi="Arial"/>
          <w:i/>
          <w:noProof/>
          <w:sz w:val="20"/>
        </w:rPr>
        <w:t>Právo EÚ</w:t>
      </w:r>
      <w:r>
        <w:rPr>
          <w:rFonts w:ascii="Arial" w:hAnsi="Arial"/>
          <w:noProof/>
          <w:sz w:val="20"/>
        </w:rPr>
        <w:t>:</w:t>
      </w:r>
      <w:r>
        <w:rPr>
          <w:rFonts w:ascii="Arial" w:hAnsi="Arial"/>
          <w:i/>
          <w:noProof/>
          <w:sz w:val="20"/>
        </w:rPr>
        <w:t xml:space="preserve"> Lepšie výsledky pomocou lepšieho uplatňovania práva</w:t>
      </w:r>
      <w:r>
        <w:rPr>
          <w:rStyle w:val="FootnoteReference"/>
          <w:rFonts w:ascii="Arial" w:hAnsi="Arial"/>
          <w:noProof/>
          <w:sz w:val="20"/>
        </w:rPr>
        <w:footnoteReference w:id="126"/>
      </w:r>
      <w:r>
        <w:rPr>
          <w:rFonts w:ascii="Arial" w:hAnsi="Arial"/>
          <w:noProof/>
          <w:sz w:val="20"/>
        </w:rPr>
        <w:t xml:space="preserve"> Komisia začne postupy v prípade nesplnenia povinnosti bez toho, aby využila mechanizmus EU Pilot, pokiaľ v danom prípade nepovažuje použitie nástroja EU Pilot za užitočné.</w:t>
      </w:r>
    </w:p>
    <w:p>
      <w:pPr>
        <w:ind w:left="357"/>
        <w:rPr>
          <w:rFonts w:ascii="Arial" w:hAnsi="Arial" w:cs="Arial"/>
          <w:noProof/>
          <w:sz w:val="20"/>
        </w:rPr>
      </w:pPr>
      <w:r>
        <w:rPr>
          <w:rFonts w:ascii="Arial" w:hAnsi="Arial"/>
          <w:noProof/>
          <w:sz w:val="20"/>
        </w:rPr>
        <w:t>V roku 2016 počet nových prípadov v rámci projektu EU Pilot dosiahol najnižšiu úroveň od roku 2011 (pozri nasledujúci graf).</w:t>
      </w:r>
    </w:p>
    <w:p>
      <w:pPr>
        <w:pStyle w:val="Body"/>
        <w:spacing w:after="0"/>
        <w:ind w:firstLine="352"/>
        <w:rPr>
          <w:noProof/>
        </w:rPr>
      </w:pPr>
      <w:r>
        <w:rPr>
          <w:noProof/>
          <w:lang w:val="en-US" w:eastAsia="en-US" w:bidi="ar-SA"/>
        </w:rPr>
        <w:drawing>
          <wp:inline distT="0" distB="0" distL="0" distR="0">
            <wp:extent cx="5398770" cy="2260600"/>
            <wp:effectExtent l="0" t="0" r="0" b="0"/>
            <wp:docPr id="19"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pPr>
        <w:spacing w:after="0"/>
        <w:jc w:val="left"/>
        <w:rPr>
          <w:rFonts w:ascii="Arial" w:hAnsi="Arial" w:cs="Arial"/>
          <w:noProof/>
          <w:sz w:val="20"/>
        </w:rPr>
      </w:pPr>
      <w:r>
        <w:rPr>
          <w:noProof/>
        </w:rPr>
        <w:br w:type="page"/>
      </w:r>
    </w:p>
    <w:p>
      <w:pPr>
        <w:pStyle w:val="Body"/>
        <w:spacing w:after="120"/>
        <w:ind w:left="709"/>
        <w:rPr>
          <w:noProof/>
        </w:rPr>
      </w:pPr>
      <w:r>
        <w:rPr>
          <w:noProof/>
        </w:rPr>
        <w:t>Nasledujúci graf obsahuje hlavné údaje o projekte EU Pilot za rok 2016</w:t>
      </w:r>
      <w:r>
        <w:rPr>
          <w:rStyle w:val="FootnoteReference"/>
          <w:noProof/>
        </w:rPr>
        <w:footnoteReference w:id="127"/>
      </w:r>
      <w:r>
        <w:rPr>
          <w:noProof/>
        </w:rPr>
        <w:t>:</w:t>
      </w:r>
    </w:p>
    <w:p>
      <w:pPr>
        <w:pStyle w:val="Body"/>
        <w:spacing w:after="120"/>
        <w:ind w:left="0"/>
        <w:jc w:val="center"/>
        <w:rPr>
          <w:noProof/>
          <w:color w:val="002060"/>
          <w:sz w:val="22"/>
          <w:szCs w:val="22"/>
        </w:rPr>
      </w:pPr>
      <w:r>
        <w:rPr>
          <w:noProof/>
          <w:color w:val="002060"/>
          <w:sz w:val="22"/>
        </w:rPr>
        <w:t>Prípady v rámci projektu EU Pilot otvorené ku koncu roka</w:t>
      </w:r>
    </w:p>
    <w:tbl>
      <w:tblPr>
        <w:tblW w:w="0" w:type="auto"/>
        <w:jc w:val="center"/>
        <w:tblInd w:w="392" w:type="dxa"/>
        <w:tblLook w:val="04A0" w:firstRow="1" w:lastRow="0" w:firstColumn="1" w:lastColumn="0" w:noHBand="0" w:noVBand="1"/>
      </w:tblPr>
      <w:tblGrid>
        <w:gridCol w:w="942"/>
        <w:gridCol w:w="333"/>
        <w:gridCol w:w="4625"/>
      </w:tblGrid>
      <w:tr>
        <w:trPr>
          <w:trHeight w:val="339"/>
          <w:jc w:val="center"/>
        </w:trPr>
        <w:tc>
          <w:tcPr>
            <w:tcW w:w="942" w:type="dxa"/>
            <w:shd w:val="clear" w:color="auto" w:fill="auto"/>
          </w:tcPr>
          <w:p>
            <w:pPr>
              <w:spacing w:after="0"/>
              <w:jc w:val="right"/>
              <w:rPr>
                <w:rFonts w:ascii="Arial" w:hAnsi="Arial" w:cs="Arial"/>
                <w:noProof/>
                <w:color w:val="548DD4"/>
                <w:sz w:val="20"/>
                <w:szCs w:val="28"/>
              </w:rPr>
            </w:pPr>
            <w:r>
              <w:rPr>
                <w:rFonts w:ascii="Arial" w:hAnsi="Arial"/>
                <w:noProof/>
                <w:color w:val="548DD4"/>
                <w:sz w:val="20"/>
              </w:rPr>
              <w:t>1 260</w:t>
            </w:r>
          </w:p>
        </w:tc>
        <w:tc>
          <w:tcPr>
            <w:tcW w:w="333" w:type="dxa"/>
            <w:shd w:val="clear" w:color="auto" w:fill="auto"/>
          </w:tcPr>
          <w:p>
            <w:pPr>
              <w:spacing w:after="0"/>
              <w:jc w:val="right"/>
              <w:rPr>
                <w:rFonts w:ascii="Arial" w:hAnsi="Arial" w:cs="Arial"/>
                <w:noProof/>
                <w:color w:val="548DD4"/>
                <w:sz w:val="20"/>
                <w:szCs w:val="28"/>
              </w:rPr>
            </w:pPr>
            <w:r>
              <w:rPr>
                <w:rFonts w:ascii="Arial" w:hAnsi="Arial"/>
                <w:noProof/>
                <w:color w:val="548DD4"/>
                <w:sz w:val="20"/>
              </w:rPr>
              <w:t>&gt;</w:t>
            </w:r>
          </w:p>
        </w:tc>
        <w:tc>
          <w:tcPr>
            <w:tcW w:w="4625" w:type="dxa"/>
            <w:shd w:val="clear" w:color="auto" w:fill="auto"/>
          </w:tcPr>
          <w:p>
            <w:pPr>
              <w:spacing w:after="0"/>
              <w:jc w:val="left"/>
              <w:rPr>
                <w:rFonts w:ascii="Arial" w:hAnsi="Arial" w:cs="Arial"/>
                <w:noProof/>
                <w:color w:val="548DD4"/>
                <w:sz w:val="20"/>
                <w:szCs w:val="28"/>
              </w:rPr>
            </w:pPr>
            <w:r>
              <w:rPr>
                <w:rFonts w:ascii="Arial" w:hAnsi="Arial"/>
                <w:noProof/>
                <w:color w:val="548DD4"/>
                <w:sz w:val="20"/>
              </w:rPr>
              <w:t>Prípady v rámci projektu EU Pilot otvorené ku koncu roka 2015</w:t>
            </w:r>
          </w:p>
        </w:tc>
      </w:tr>
      <w:tr>
        <w:trPr>
          <w:trHeight w:val="339"/>
          <w:jc w:val="center"/>
        </w:trPr>
        <w:tc>
          <w:tcPr>
            <w:tcW w:w="942" w:type="dxa"/>
            <w:shd w:val="clear" w:color="auto" w:fill="auto"/>
          </w:tcPr>
          <w:p>
            <w:pPr>
              <w:spacing w:after="0"/>
              <w:jc w:val="right"/>
              <w:rPr>
                <w:rFonts w:ascii="Arial" w:hAnsi="Arial" w:cs="Arial"/>
                <w:noProof/>
                <w:color w:val="548DD4"/>
                <w:sz w:val="20"/>
                <w:szCs w:val="28"/>
              </w:rPr>
            </w:pPr>
            <w:r>
              <w:rPr>
                <w:rFonts w:ascii="Arial" w:hAnsi="Arial"/>
                <w:noProof/>
                <w:color w:val="548DD4"/>
                <w:sz w:val="20"/>
              </w:rPr>
              <w:t>790</w:t>
            </w:r>
          </w:p>
        </w:tc>
        <w:tc>
          <w:tcPr>
            <w:tcW w:w="333" w:type="dxa"/>
            <w:shd w:val="clear" w:color="auto" w:fill="auto"/>
          </w:tcPr>
          <w:p>
            <w:pPr>
              <w:spacing w:after="0"/>
              <w:jc w:val="right"/>
              <w:rPr>
                <w:rFonts w:ascii="Arial" w:hAnsi="Arial" w:cs="Arial"/>
                <w:noProof/>
                <w:color w:val="548DD4"/>
                <w:sz w:val="20"/>
                <w:szCs w:val="28"/>
              </w:rPr>
            </w:pPr>
            <w:r>
              <w:rPr>
                <w:rFonts w:ascii="Arial" w:hAnsi="Arial"/>
                <w:noProof/>
                <w:color w:val="548DD4"/>
                <w:sz w:val="20"/>
              </w:rPr>
              <w:t>&gt;</w:t>
            </w:r>
          </w:p>
        </w:tc>
        <w:tc>
          <w:tcPr>
            <w:tcW w:w="4625" w:type="dxa"/>
            <w:shd w:val="clear" w:color="auto" w:fill="auto"/>
          </w:tcPr>
          <w:p>
            <w:pPr>
              <w:spacing w:after="0"/>
              <w:jc w:val="left"/>
              <w:rPr>
                <w:rFonts w:ascii="Arial" w:hAnsi="Arial" w:cs="Arial"/>
                <w:noProof/>
                <w:color w:val="548DD4"/>
                <w:sz w:val="20"/>
                <w:szCs w:val="28"/>
              </w:rPr>
            </w:pPr>
            <w:r>
              <w:rPr>
                <w:rFonts w:ascii="Arial" w:hAnsi="Arial"/>
                <w:noProof/>
                <w:color w:val="548DD4"/>
                <w:sz w:val="20"/>
              </w:rPr>
              <w:t>Nové prípady v rámci projektu EU Pilot zaregistrované v roku 2016</w:t>
            </w:r>
          </w:p>
        </w:tc>
      </w:tr>
      <w:tr>
        <w:trPr>
          <w:trHeight w:val="307"/>
          <w:jc w:val="center"/>
        </w:trPr>
        <w:tc>
          <w:tcPr>
            <w:tcW w:w="942" w:type="dxa"/>
            <w:tcBorders>
              <w:bottom w:val="single" w:sz="24" w:space="0" w:color="548DD4"/>
            </w:tcBorders>
            <w:shd w:val="clear" w:color="auto" w:fill="auto"/>
          </w:tcPr>
          <w:p>
            <w:pPr>
              <w:spacing w:after="0"/>
              <w:jc w:val="right"/>
              <w:rPr>
                <w:rFonts w:ascii="Arial" w:hAnsi="Arial" w:cs="Arial"/>
                <w:noProof/>
                <w:color w:val="548DD4"/>
                <w:sz w:val="20"/>
                <w:szCs w:val="28"/>
              </w:rPr>
            </w:pPr>
            <w:r>
              <w:rPr>
                <w:rFonts w:ascii="Arial" w:hAnsi="Arial"/>
                <w:noProof/>
                <w:color w:val="548DD4"/>
                <w:sz w:val="20"/>
              </w:rPr>
              <w:t>875</w:t>
            </w:r>
          </w:p>
        </w:tc>
        <w:tc>
          <w:tcPr>
            <w:tcW w:w="333" w:type="dxa"/>
            <w:shd w:val="clear" w:color="auto" w:fill="auto"/>
          </w:tcPr>
          <w:p>
            <w:pPr>
              <w:spacing w:after="0"/>
              <w:jc w:val="right"/>
              <w:rPr>
                <w:rFonts w:ascii="Arial" w:hAnsi="Arial" w:cs="Arial"/>
                <w:noProof/>
                <w:color w:val="548DD4"/>
                <w:sz w:val="20"/>
                <w:szCs w:val="28"/>
              </w:rPr>
            </w:pPr>
            <w:r>
              <w:rPr>
                <w:rFonts w:ascii="Arial" w:hAnsi="Arial"/>
                <w:noProof/>
                <w:color w:val="548DD4"/>
                <w:sz w:val="20"/>
              </w:rPr>
              <w:t>&gt;</w:t>
            </w:r>
          </w:p>
        </w:tc>
        <w:tc>
          <w:tcPr>
            <w:tcW w:w="4625" w:type="dxa"/>
            <w:shd w:val="clear" w:color="auto" w:fill="auto"/>
          </w:tcPr>
          <w:p>
            <w:pPr>
              <w:spacing w:after="0"/>
              <w:jc w:val="left"/>
              <w:rPr>
                <w:rFonts w:ascii="Arial" w:hAnsi="Arial" w:cs="Arial"/>
                <w:noProof/>
                <w:color w:val="548DD4"/>
                <w:sz w:val="20"/>
                <w:szCs w:val="28"/>
              </w:rPr>
            </w:pPr>
            <w:r>
              <w:rPr>
                <w:rFonts w:ascii="Arial" w:hAnsi="Arial"/>
                <w:noProof/>
                <w:color w:val="548DD4"/>
                <w:sz w:val="20"/>
              </w:rPr>
              <w:t>Prípady v rámci projektu EU Pilot vybavené v roku 2016</w:t>
            </w:r>
          </w:p>
        </w:tc>
      </w:tr>
      <w:tr>
        <w:trPr>
          <w:trHeight w:val="339"/>
          <w:jc w:val="center"/>
        </w:trPr>
        <w:tc>
          <w:tcPr>
            <w:tcW w:w="942" w:type="dxa"/>
            <w:tcBorders>
              <w:top w:val="single" w:sz="24" w:space="0" w:color="548DD4"/>
            </w:tcBorders>
            <w:shd w:val="clear" w:color="auto" w:fill="auto"/>
          </w:tcPr>
          <w:p>
            <w:pPr>
              <w:spacing w:before="60" w:after="0"/>
              <w:jc w:val="right"/>
              <w:rPr>
                <w:rFonts w:ascii="Arial" w:hAnsi="Arial" w:cs="Arial"/>
                <w:noProof/>
                <w:color w:val="C00000"/>
                <w:sz w:val="20"/>
                <w:szCs w:val="28"/>
              </w:rPr>
            </w:pPr>
            <w:r>
              <w:rPr>
                <w:rFonts w:ascii="Arial" w:hAnsi="Arial"/>
                <w:noProof/>
                <w:color w:val="C00000"/>
                <w:sz w:val="20"/>
              </w:rPr>
              <w:t>= 1 175</w:t>
            </w:r>
          </w:p>
        </w:tc>
        <w:tc>
          <w:tcPr>
            <w:tcW w:w="333" w:type="dxa"/>
            <w:shd w:val="clear" w:color="auto" w:fill="auto"/>
          </w:tcPr>
          <w:p>
            <w:pPr>
              <w:spacing w:before="60" w:after="0"/>
              <w:jc w:val="right"/>
              <w:rPr>
                <w:rFonts w:ascii="Arial" w:hAnsi="Arial" w:cs="Arial"/>
                <w:noProof/>
                <w:color w:val="548DD4"/>
                <w:sz w:val="20"/>
                <w:szCs w:val="28"/>
              </w:rPr>
            </w:pPr>
            <w:r>
              <w:rPr>
                <w:rFonts w:ascii="Arial" w:hAnsi="Arial"/>
                <w:noProof/>
                <w:color w:val="548DD4"/>
                <w:sz w:val="20"/>
              </w:rPr>
              <w:t>&gt;</w:t>
            </w:r>
          </w:p>
        </w:tc>
        <w:tc>
          <w:tcPr>
            <w:tcW w:w="4625" w:type="dxa"/>
            <w:shd w:val="clear" w:color="auto" w:fill="auto"/>
          </w:tcPr>
          <w:p>
            <w:pPr>
              <w:spacing w:before="60" w:after="0"/>
              <w:jc w:val="left"/>
              <w:rPr>
                <w:rFonts w:ascii="Arial" w:hAnsi="Arial" w:cs="Arial"/>
                <w:noProof/>
                <w:color w:val="548DD4"/>
                <w:sz w:val="20"/>
                <w:szCs w:val="28"/>
              </w:rPr>
            </w:pPr>
            <w:r>
              <w:rPr>
                <w:rFonts w:ascii="Arial" w:hAnsi="Arial"/>
                <w:noProof/>
                <w:color w:val="548DD4"/>
                <w:sz w:val="20"/>
              </w:rPr>
              <w:t>Prípady v rámci projektu EU Pilot otvorené ku koncu roka 2016</w:t>
            </w:r>
          </w:p>
        </w:tc>
      </w:tr>
    </w:tbl>
    <w:p>
      <w:pPr>
        <w:spacing w:before="120" w:after="0"/>
        <w:ind w:left="720"/>
        <w:rPr>
          <w:rFonts w:ascii="Arial" w:hAnsi="Arial" w:cs="Arial"/>
          <w:i/>
          <w:noProof/>
          <w:sz w:val="20"/>
        </w:rPr>
      </w:pPr>
      <w:r>
        <w:rPr>
          <w:rFonts w:ascii="Arial" w:hAnsi="Arial"/>
          <w:b/>
          <w:noProof/>
          <w:sz w:val="20"/>
        </w:rPr>
        <w:t xml:space="preserve">V roku 2016 bolo v rámci projektu EU Pilot otvorených 790 nových prípadov. </w:t>
      </w:r>
      <w:r>
        <w:rPr>
          <w:rFonts w:ascii="Arial" w:hAnsi="Arial"/>
          <w:noProof/>
          <w:sz w:val="20"/>
        </w:rPr>
        <w:t>Z nich 270 prípadov bolo otvorených na základe sťažností a vyšetrovaní a 520 prípadov začala Komisia z vlastnej iniciatívy.</w:t>
      </w:r>
    </w:p>
    <w:p>
      <w:pPr>
        <w:spacing w:before="120" w:after="0"/>
        <w:ind w:left="720"/>
        <w:rPr>
          <w:rFonts w:ascii="Arial" w:hAnsi="Arial" w:cs="Arial"/>
          <w:noProof/>
          <w:sz w:val="20"/>
        </w:rPr>
      </w:pPr>
    </w:p>
    <w:p>
      <w:pPr>
        <w:spacing w:after="120"/>
        <w:ind w:left="709"/>
        <w:rPr>
          <w:rFonts w:ascii="Arial" w:hAnsi="Arial" w:cs="Arial"/>
          <w:noProof/>
          <w:sz w:val="20"/>
        </w:rPr>
      </w:pPr>
      <w:r>
        <w:rPr>
          <w:rFonts w:ascii="Arial" w:hAnsi="Arial"/>
          <w:noProof/>
          <w:sz w:val="20"/>
        </w:rPr>
        <w:t>Nasledujúci graf znázorňuje oblasti politiky, v ktorých bola v roku 2016 otvorená väčšina nových prípadov v rámci projektu EU Pilot:</w:t>
      </w:r>
    </w:p>
    <w:p>
      <w:pPr>
        <w:pStyle w:val="Body"/>
        <w:ind w:left="709"/>
        <w:rPr>
          <w:noProof/>
        </w:rPr>
      </w:pPr>
      <w:r>
        <w:rPr>
          <w:noProof/>
          <w:lang w:val="en-US" w:eastAsia="en-US" w:bidi="ar-SA"/>
        </w:rPr>
        <w:drawing>
          <wp:inline distT="0" distB="0" distL="0" distR="0">
            <wp:extent cx="5259705" cy="3028315"/>
            <wp:effectExtent l="0" t="0" r="17145" b="19685"/>
            <wp:docPr id="5" name="Grafiek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pPr>
        <w:ind w:left="709"/>
        <w:rPr>
          <w:rFonts w:ascii="Arial" w:hAnsi="Arial" w:cs="Arial"/>
          <w:noProof/>
          <w:sz w:val="20"/>
        </w:rPr>
      </w:pPr>
      <w:r>
        <w:rPr>
          <w:rFonts w:ascii="Arial" w:hAnsi="Arial"/>
          <w:b/>
          <w:noProof/>
          <w:sz w:val="20"/>
        </w:rPr>
        <w:t>Komisia v roku 2016 riešila 875 prípadov v rámci projektu EU Pilot</w:t>
      </w:r>
      <w:r>
        <w:rPr>
          <w:noProof/>
        </w:rPr>
        <w:t>.</w:t>
      </w:r>
      <w:r>
        <w:rPr>
          <w:rFonts w:ascii="Arial" w:hAnsi="Arial"/>
          <w:noProof/>
          <w:sz w:val="20"/>
        </w:rPr>
        <w:t xml:space="preserve"> Komisia uzavrela 630 prípadov po prijatí uspokojivých odpovedí od príslušných členských štátov. Predstavuje to </w:t>
      </w:r>
      <w:r>
        <w:rPr>
          <w:rFonts w:ascii="Arial" w:hAnsi="Arial"/>
          <w:b/>
          <w:noProof/>
          <w:sz w:val="20"/>
        </w:rPr>
        <w:t>72 %</w:t>
      </w:r>
      <w:r>
        <w:rPr>
          <w:rFonts w:ascii="Arial" w:hAnsi="Arial"/>
          <w:noProof/>
          <w:sz w:val="20"/>
        </w:rPr>
        <w:t xml:space="preserve"> mieru úspešne vyriešených prípadov, čo je menej ako v roku 2015 a 2014.</w:t>
      </w:r>
    </w:p>
    <w:p>
      <w:pPr>
        <w:ind w:left="709"/>
        <w:rPr>
          <w:rFonts w:ascii="Arial" w:hAnsi="Arial" w:cs="Arial"/>
          <w:i/>
          <w:noProof/>
          <w:sz w:val="20"/>
        </w:rPr>
      </w:pPr>
      <w:r>
        <w:rPr>
          <w:rFonts w:ascii="Arial" w:hAnsi="Arial"/>
          <w:noProof/>
          <w:sz w:val="20"/>
        </w:rPr>
        <w:t xml:space="preserve">Celkovo sa uzavrelo </w:t>
      </w:r>
      <w:r>
        <w:rPr>
          <w:rFonts w:ascii="Arial" w:hAnsi="Arial"/>
          <w:b/>
          <w:noProof/>
          <w:sz w:val="20"/>
        </w:rPr>
        <w:t>245 prípadov v rámci projektu EU Pilot</w:t>
      </w:r>
      <w:r>
        <w:rPr>
          <w:rFonts w:ascii="Arial" w:hAnsi="Arial"/>
          <w:noProof/>
          <w:sz w:val="20"/>
        </w:rPr>
        <w:t>, lebo Komisia zamietla odpovede poskytnuté členskými štátmi. Z tohto počtu sa v 233 prípadoch začalo formálne konanie o nesplnení povinnosti (v roku 2015 bolo takýchto prípadov 201). Kým 65 týchto konaní sa začalo na základe sťažností a vyšetrovaní, Komisia začala zostávajúcich 168 konaní z vlastnej iniciatívy.</w:t>
      </w:r>
    </w:p>
    <w:p>
      <w:pPr>
        <w:pStyle w:val="Body"/>
        <w:ind w:left="709"/>
        <w:rPr>
          <w:noProof/>
        </w:rPr>
      </w:pPr>
      <w:r>
        <w:rPr>
          <w:noProof/>
        </w:rPr>
        <w:t>Väčšina prípadov v rámci projektu EU Pilot, ktoré viedli k formálnemu konaniu o nesplnení povinnosti, sa týkala týchto oblastí politiky: životné prostredie (53 prípadov), vnútorný trh, priemysel, podnikanie a MSP (38), energetika (29) a dane a clá (25). Maďarsko a Nemecko mali najvyšší počet prípadov v rámci projektu EU Pilot, ktoré boli vedené prostredníctvom postupov v prípade nesplnenia povinnosti (18, resp. 14 prípadov), nasleduje Španielsko a Poľsko (po 13 prípadov).</w:t>
      </w:r>
    </w:p>
    <w:p>
      <w:pPr>
        <w:ind w:left="357"/>
        <w:rPr>
          <w:rFonts w:ascii="Arial" w:hAnsi="Arial" w:cs="Arial"/>
          <w:noProof/>
          <w:sz w:val="20"/>
        </w:rPr>
      </w:pPr>
      <w:r>
        <w:rPr>
          <w:rFonts w:ascii="Arial" w:hAnsi="Arial" w:cs="Arial"/>
          <w:noProof/>
          <w:sz w:val="20"/>
          <w:lang w:val="en-US" w:eastAsia="en-US" w:bidi="ar-SA"/>
        </w:rPr>
        <w:drawing>
          <wp:inline distT="0" distB="0" distL="0" distR="0">
            <wp:extent cx="5179060" cy="2282190"/>
            <wp:effectExtent l="0" t="0" r="0" b="0"/>
            <wp:docPr id="6"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pPr>
        <w:ind w:left="357"/>
        <w:rPr>
          <w:rFonts w:ascii="Arial" w:hAnsi="Arial" w:cs="Arial"/>
          <w:noProof/>
          <w:sz w:val="20"/>
        </w:rPr>
      </w:pPr>
      <w:r>
        <w:rPr>
          <w:rFonts w:ascii="Arial" w:hAnsi="Arial"/>
          <w:b/>
          <w:noProof/>
          <w:sz w:val="20"/>
        </w:rPr>
        <w:t>Na konci roka 2016 bolo otvorených 1 175 prípadov v rámci projektu EU Pilot.</w:t>
      </w:r>
      <w:r>
        <w:rPr>
          <w:rFonts w:ascii="Arial" w:hAnsi="Arial"/>
          <w:noProof/>
          <w:sz w:val="20"/>
        </w:rPr>
        <w:t xml:space="preserve"> Hlavnými dotknutými členskými štátmi boli Taliansko (98), Španielsko (75) a Francúzsko (73). Životné prostredie zostáva naďalej hlavnou dotknutou oblasťou politiky (295 otvorených prípadov), za ktorou nasleduje oblasť spravodlivosti (161) a vnútorného trhu, priemyslu, podnikania a MSP (143).</w:t>
      </w:r>
    </w:p>
    <w:p>
      <w:pPr>
        <w:ind w:left="357"/>
        <w:rPr>
          <w:rFonts w:ascii="Arial" w:eastAsia="Calibri" w:hAnsi="Arial" w:cs="Arial"/>
          <w:noProof/>
          <w:sz w:val="20"/>
        </w:rPr>
      </w:pPr>
      <w:r>
        <w:rPr>
          <w:rFonts w:ascii="Arial" w:hAnsi="Arial"/>
          <w:noProof/>
          <w:sz w:val="20"/>
        </w:rPr>
        <w:t>Na nasledujúcom grafe je znázornená miera úspešne vyriešených prípadov v rámci projektu EU Pilot. Ide o percento prípadov, ktoré Komisia riešila v roku 2016 a ktoré mohla ukončiť bez začatia postupu v prípade nesplnenia povinnosti.</w:t>
      </w:r>
    </w:p>
    <w:p>
      <w:pPr>
        <w:pStyle w:val="Body"/>
        <w:ind w:firstLine="69"/>
        <w:rPr>
          <w:noProof/>
        </w:rPr>
      </w:pPr>
      <w:r>
        <w:rPr>
          <w:noProof/>
          <w:lang w:val="en-US" w:eastAsia="en-US" w:bidi="ar-SA"/>
        </w:rPr>
        <w:drawing>
          <wp:inline distT="0" distB="0" distL="0" distR="0">
            <wp:extent cx="5354955" cy="3057525"/>
            <wp:effectExtent l="0" t="0" r="17145" b="9525"/>
            <wp:docPr id="22"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pPr>
        <w:ind w:left="357"/>
        <w:rPr>
          <w:rFonts w:ascii="Arial" w:hAnsi="Arial"/>
          <w:noProof/>
          <w:sz w:val="20"/>
        </w:rPr>
      </w:pPr>
      <w:r>
        <w:rPr>
          <w:rFonts w:ascii="Arial" w:hAnsi="Arial"/>
          <w:noProof/>
          <w:sz w:val="20"/>
        </w:rPr>
        <w:t>Na odpoveď na žiadosť Komisie o informácie o prípadoch EU Pilot majú členské štáty štandardný časový rámec desať týždňov (70 dní). Nasledujúci graf predstavuje priemerný čas reakcie zo strany členských štátov na žiadosti Komisie v roku 2016. Ak odpoveď nie je dostatočne jasná alebo uspokojivá, Komisia si môže vyžiadať ďalšie objasnenie alebo môže začať postup v prípade nesplnenia povinnosti.</w:t>
      </w:r>
    </w:p>
    <w:p>
      <w:pPr>
        <w:pStyle w:val="Body"/>
        <w:rPr>
          <w:b/>
          <w:noProof/>
        </w:rPr>
      </w:pPr>
      <w:r>
        <w:rPr>
          <w:b/>
          <w:noProof/>
          <w:lang w:val="en-US" w:eastAsia="en-US" w:bidi="ar-SA"/>
        </w:rPr>
        <w:drawing>
          <wp:inline distT="0" distB="0" distL="0" distR="0">
            <wp:extent cx="5325745" cy="3116580"/>
            <wp:effectExtent l="0" t="0" r="27305" b="26670"/>
            <wp:docPr id="8"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pPr>
        <w:pStyle w:val="kop2"/>
        <w:rPr>
          <w:noProof/>
        </w:rPr>
      </w:pPr>
      <w:bookmarkStart w:id="80" w:name="_Toc437944195"/>
      <w:bookmarkStart w:id="81" w:name="_Toc444796662"/>
      <w:bookmarkStart w:id="82" w:name="_Toc484623702"/>
      <w:bookmarkStart w:id="83" w:name="_Toc484685991"/>
      <w:bookmarkStart w:id="84" w:name="_Toc486858023"/>
      <w:r>
        <w:rPr>
          <w:noProof/>
        </w:rPr>
        <w:t>Fázy postupov v prípade nesplnenia povinnosti</w:t>
      </w:r>
      <w:bookmarkEnd w:id="80"/>
      <w:bookmarkEnd w:id="81"/>
      <w:bookmarkEnd w:id="82"/>
      <w:bookmarkEnd w:id="83"/>
      <w:bookmarkEnd w:id="84"/>
    </w:p>
    <w:p>
      <w:pPr>
        <w:pStyle w:val="kop3"/>
        <w:numPr>
          <w:ilvl w:val="0"/>
          <w:numId w:val="26"/>
        </w:numPr>
        <w:rPr>
          <w:noProof/>
        </w:rPr>
      </w:pPr>
      <w:bookmarkStart w:id="85" w:name="_Toc437944196"/>
      <w:bookmarkStart w:id="86" w:name="_Toc444796663"/>
      <w:bookmarkStart w:id="87" w:name="_Toc484623703"/>
      <w:bookmarkStart w:id="88" w:name="_Toc484685992"/>
      <w:bookmarkStart w:id="89" w:name="_Toc486858024"/>
      <w:r>
        <w:rPr>
          <w:noProof/>
        </w:rPr>
        <w:t>Fáza pred začatím súdneho konania</w:t>
      </w:r>
      <w:bookmarkEnd w:id="85"/>
      <w:bookmarkEnd w:id="86"/>
      <w:bookmarkEnd w:id="87"/>
      <w:bookmarkEnd w:id="88"/>
      <w:bookmarkEnd w:id="89"/>
    </w:p>
    <w:p>
      <w:pPr>
        <w:ind w:left="720"/>
        <w:rPr>
          <w:rFonts w:ascii="Arial" w:hAnsi="Arial" w:cs="Arial"/>
          <w:noProof/>
          <w:sz w:val="20"/>
        </w:rPr>
      </w:pPr>
      <w:r>
        <w:rPr>
          <w:rFonts w:ascii="Arial" w:hAnsi="Arial"/>
          <w:noProof/>
          <w:sz w:val="20"/>
        </w:rPr>
        <w:t xml:space="preserve">V roku 2016 Komisia začala </w:t>
      </w:r>
      <w:r>
        <w:rPr>
          <w:rFonts w:ascii="Arial" w:hAnsi="Arial"/>
          <w:b/>
          <w:noProof/>
          <w:sz w:val="20"/>
        </w:rPr>
        <w:t>986</w:t>
      </w:r>
      <w:r>
        <w:rPr>
          <w:rFonts w:ascii="Arial" w:hAnsi="Arial"/>
          <w:noProof/>
          <w:sz w:val="20"/>
        </w:rPr>
        <w:t> nových konaní zaslaním formálnej výzvy. V nasledujúcom grafe sa uvádza rozpis podľa jednotlivých členských štátov.</w:t>
      </w:r>
    </w:p>
    <w:p>
      <w:pPr>
        <w:ind w:left="720"/>
        <w:rPr>
          <w:rFonts w:ascii="Verdana" w:hAnsi="Verdana"/>
          <w:noProof/>
          <w:sz w:val="20"/>
        </w:rPr>
      </w:pPr>
      <w:r>
        <w:rPr>
          <w:noProof/>
          <w:lang w:val="en-US" w:eastAsia="en-US" w:bidi="ar-SA"/>
        </w:rPr>
        <w:drawing>
          <wp:inline distT="0" distB="0" distL="0" distR="0">
            <wp:extent cx="5295900" cy="2443480"/>
            <wp:effectExtent l="0" t="0" r="19050" b="13970"/>
            <wp:docPr id="9"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pPr>
        <w:spacing w:after="0"/>
        <w:jc w:val="left"/>
        <w:rPr>
          <w:rFonts w:ascii="Arial" w:hAnsi="Arial" w:cs="Arial"/>
          <w:noProof/>
          <w:sz w:val="20"/>
        </w:rPr>
      </w:pPr>
      <w:r>
        <w:rPr>
          <w:noProof/>
        </w:rPr>
        <w:br w:type="page"/>
      </w:r>
    </w:p>
    <w:p>
      <w:pPr>
        <w:spacing w:after="0"/>
        <w:jc w:val="left"/>
        <w:rPr>
          <w:rFonts w:ascii="Arial" w:hAnsi="Arial" w:cs="Arial"/>
          <w:noProof/>
          <w:sz w:val="20"/>
        </w:rPr>
      </w:pPr>
    </w:p>
    <w:p>
      <w:pPr>
        <w:pStyle w:val="Body"/>
        <w:spacing w:after="120"/>
        <w:ind w:firstLine="363"/>
        <w:rPr>
          <w:noProof/>
        </w:rPr>
      </w:pPr>
      <w:r>
        <w:rPr>
          <w:noProof/>
        </w:rPr>
        <w:t>V nasledujúcom grafe sú uvedené hlavné oblasti politiky, v ktorých sa otvorili nové prípady.</w:t>
      </w:r>
    </w:p>
    <w:p>
      <w:pPr>
        <w:spacing w:after="120"/>
        <w:ind w:left="720"/>
        <w:rPr>
          <w:rFonts w:ascii="Verdana" w:hAnsi="Verdana"/>
          <w:noProof/>
          <w:sz w:val="20"/>
        </w:rPr>
      </w:pPr>
      <w:r>
        <w:rPr>
          <w:noProof/>
          <w:lang w:val="en-US" w:eastAsia="en-US" w:bidi="ar-SA"/>
        </w:rPr>
        <w:drawing>
          <wp:inline distT="0" distB="0" distL="0" distR="0">
            <wp:extent cx="4557395" cy="2560320"/>
            <wp:effectExtent l="0" t="0" r="14605" b="11430"/>
            <wp:docPr id="10" name="Grafiek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pPr>
        <w:spacing w:after="120"/>
        <w:ind w:left="720"/>
        <w:rPr>
          <w:rFonts w:ascii="Arial" w:hAnsi="Arial" w:cs="Arial"/>
          <w:noProof/>
          <w:sz w:val="20"/>
        </w:rPr>
      </w:pPr>
      <w:r>
        <w:rPr>
          <w:rFonts w:ascii="Arial" w:hAnsi="Arial"/>
          <w:noProof/>
          <w:sz w:val="20"/>
        </w:rPr>
        <w:t>Komisia okrem toho zaslala v roku 2016 členským štátom 292 odôvodnených stanovísk. Hlavnými dotknutými oblasťami politiky sú vnútorný trh (92), mobilita a doprava (42), finančné služby (37) a životné prostredie (33).</w:t>
      </w:r>
    </w:p>
    <w:p>
      <w:pPr>
        <w:ind w:left="720"/>
        <w:rPr>
          <w:rFonts w:ascii="Arial" w:hAnsi="Arial" w:cs="Arial"/>
          <w:noProof/>
          <w:sz w:val="20"/>
        </w:rPr>
      </w:pPr>
      <w:r>
        <w:rPr>
          <w:rFonts w:ascii="Arial" w:hAnsi="Arial"/>
          <w:noProof/>
          <w:sz w:val="20"/>
        </w:rPr>
        <w:t>V nasledujúcom grafe sa uvádza rozpis podľa jednotlivých členských štátov.</w:t>
      </w:r>
    </w:p>
    <w:p>
      <w:pPr>
        <w:spacing w:after="120"/>
        <w:ind w:left="720"/>
        <w:rPr>
          <w:rFonts w:ascii="Arial" w:hAnsi="Arial" w:cs="Arial"/>
          <w:noProof/>
          <w:sz w:val="20"/>
        </w:rPr>
      </w:pPr>
      <w:r>
        <w:rPr>
          <w:noProof/>
          <w:lang w:val="en-US" w:eastAsia="en-US" w:bidi="ar-SA"/>
        </w:rPr>
        <w:drawing>
          <wp:inline distT="0" distB="0" distL="0" distR="0">
            <wp:extent cx="5295900" cy="2179955"/>
            <wp:effectExtent l="0" t="0" r="0" b="0"/>
            <wp:docPr id="11"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pPr>
        <w:ind w:left="720"/>
        <w:rPr>
          <w:rFonts w:ascii="Arial" w:hAnsi="Arial" w:cs="Arial"/>
          <w:noProof/>
          <w:sz w:val="20"/>
        </w:rPr>
      </w:pPr>
      <w:r>
        <w:rPr>
          <w:rFonts w:ascii="Arial" w:hAnsi="Arial"/>
          <w:noProof/>
          <w:sz w:val="20"/>
        </w:rPr>
        <w:t xml:space="preserve">Na konci roka 2016 zostalo otvorených </w:t>
      </w:r>
      <w:r>
        <w:rPr>
          <w:rFonts w:ascii="Arial" w:hAnsi="Arial"/>
          <w:b/>
          <w:noProof/>
          <w:sz w:val="20"/>
        </w:rPr>
        <w:t>1 657</w:t>
      </w:r>
      <w:r>
        <w:rPr>
          <w:rFonts w:ascii="Arial" w:hAnsi="Arial"/>
          <w:noProof/>
          <w:sz w:val="20"/>
        </w:rPr>
        <w:t xml:space="preserve"> prípadov nesplnenia povinnosti. Ide o významný nárast v porovnaní s predchádzajúcim rokom a najvyšší počet za všetky predchádzajúce roky, ako vidno na nasledujúcom grafe.</w:t>
      </w:r>
    </w:p>
    <w:p>
      <w:pPr>
        <w:spacing w:after="120"/>
        <w:ind w:left="720"/>
        <w:rPr>
          <w:rFonts w:ascii="Verdana" w:hAnsi="Verdana"/>
          <w:noProof/>
          <w:sz w:val="20"/>
        </w:rPr>
      </w:pPr>
      <w:r>
        <w:rPr>
          <w:noProof/>
          <w:lang w:val="en-US" w:eastAsia="en-US" w:bidi="ar-SA"/>
        </w:rPr>
        <w:drawing>
          <wp:inline distT="0" distB="0" distL="0" distR="0">
            <wp:extent cx="4806315" cy="2348230"/>
            <wp:effectExtent l="0" t="0" r="0" b="0"/>
            <wp:docPr id="12"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pPr>
        <w:spacing w:after="0"/>
        <w:jc w:val="left"/>
        <w:rPr>
          <w:rFonts w:ascii="Arial" w:hAnsi="Arial" w:cs="Arial"/>
          <w:noProof/>
          <w:sz w:val="20"/>
        </w:rPr>
      </w:pPr>
    </w:p>
    <w:p>
      <w:pPr>
        <w:pStyle w:val="Body"/>
        <w:rPr>
          <w:noProof/>
        </w:rPr>
      </w:pPr>
      <w:r>
        <w:rPr>
          <w:noProof/>
        </w:rPr>
        <w:t>Nasledujúci graf predstavuje počet otvorených prípadov nesplnenia povinnosti podľa jednotlivých členských štátov na konci roka 2016:</w:t>
      </w:r>
    </w:p>
    <w:p>
      <w:pPr>
        <w:pStyle w:val="Lijstje3"/>
        <w:numPr>
          <w:ilvl w:val="0"/>
          <w:numId w:val="0"/>
        </w:numPr>
        <w:ind w:firstLine="720"/>
        <w:rPr>
          <w:noProof/>
        </w:rPr>
      </w:pPr>
      <w:r>
        <w:rPr>
          <w:noProof/>
          <w:lang w:val="en-US" w:eastAsia="en-US" w:bidi="ar-SA"/>
        </w:rPr>
        <w:drawing>
          <wp:inline distT="0" distB="0" distL="0" distR="0">
            <wp:extent cx="4937760" cy="3460115"/>
            <wp:effectExtent l="0" t="0" r="15240" b="26035"/>
            <wp:docPr id="4" name="Objec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pPr>
        <w:spacing w:after="0"/>
        <w:jc w:val="left"/>
        <w:rPr>
          <w:rFonts w:ascii="Arial" w:hAnsi="Arial" w:cs="Arial"/>
          <w:noProof/>
          <w:sz w:val="20"/>
        </w:rPr>
      </w:pPr>
      <w:r>
        <w:rPr>
          <w:noProof/>
        </w:rPr>
        <w:br w:type="page"/>
      </w:r>
    </w:p>
    <w:p>
      <w:pPr>
        <w:spacing w:after="0"/>
        <w:jc w:val="left"/>
        <w:rPr>
          <w:rFonts w:ascii="Arial" w:hAnsi="Arial" w:cs="Arial"/>
          <w:noProof/>
          <w:sz w:val="20"/>
        </w:rPr>
      </w:pPr>
      <w:r>
        <w:rPr>
          <w:rFonts w:ascii="Arial" w:hAnsi="Arial"/>
          <w:noProof/>
          <w:sz w:val="20"/>
        </w:rPr>
        <w:t>Nasledujúci graf predstavuje rozdelenie prípadov nesplnenia povinnosti otvorených na konci roka 2016 podľa oblasti politiky:</w:t>
      </w:r>
    </w:p>
    <w:p>
      <w:pPr>
        <w:pStyle w:val="Lijstje3"/>
        <w:numPr>
          <w:ilvl w:val="0"/>
          <w:numId w:val="0"/>
        </w:numPr>
        <w:ind w:left="1069" w:hanging="283"/>
        <w:rPr>
          <w:noProof/>
        </w:rPr>
      </w:pPr>
      <w:r>
        <w:rPr>
          <w:noProof/>
          <w:lang w:val="en-US" w:eastAsia="en-US" w:bidi="ar-SA"/>
        </w:rPr>
        <w:drawing>
          <wp:inline distT="0" distB="0" distL="0" distR="0">
            <wp:extent cx="5288915" cy="4191635"/>
            <wp:effectExtent l="0" t="0" r="26035" b="18415"/>
            <wp:docPr id="3" name="Grafiek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pPr>
        <w:ind w:left="720"/>
        <w:rPr>
          <w:rStyle w:val="BodyChar"/>
          <w:noProof/>
          <w:sz w:val="20"/>
        </w:rPr>
      </w:pPr>
      <w:r>
        <w:rPr>
          <w:rStyle w:val="BodyChar"/>
          <w:noProof/>
          <w:sz w:val="20"/>
        </w:rPr>
        <w:t>Komisia aj po začatí postupu v prípade nesplnenia povinnosti pokračuje v dialógu s členským štátom s cieľom dosiahnuť súlad. Štatistiky potvrdzujú, že členské štáty vyvíjajú značné úsilie na vyriešenie prípadov nesplnenia povinnosti skôr, než o veci rozhodne Súdny dvor</w:t>
      </w:r>
      <w:r>
        <w:rPr>
          <w:rStyle w:val="FootnoteReference"/>
          <w:noProof/>
        </w:rPr>
        <w:footnoteReference w:id="128"/>
      </w:r>
      <w:r>
        <w:rPr>
          <w:noProof/>
        </w:rPr>
        <w:t>.</w:t>
      </w:r>
    </w:p>
    <w:p>
      <w:pPr>
        <w:ind w:left="720"/>
        <w:rPr>
          <w:rFonts w:ascii="Arial" w:hAnsi="Arial" w:cs="Arial"/>
          <w:noProof/>
          <w:sz w:val="20"/>
        </w:rPr>
      </w:pPr>
      <w:r>
        <w:rPr>
          <w:rFonts w:ascii="Arial" w:hAnsi="Arial"/>
          <w:noProof/>
          <w:sz w:val="20"/>
        </w:rPr>
        <w:t>V roku 2016 Komisia uzatvorila:</w:t>
      </w:r>
    </w:p>
    <w:p>
      <w:pPr>
        <w:numPr>
          <w:ilvl w:val="0"/>
          <w:numId w:val="29"/>
        </w:numPr>
        <w:spacing w:after="200" w:line="276" w:lineRule="auto"/>
        <w:ind w:left="1077" w:hanging="357"/>
        <w:contextualSpacing/>
        <w:rPr>
          <w:rFonts w:ascii="Arial" w:hAnsi="Arial" w:cs="Arial"/>
          <w:noProof/>
          <w:sz w:val="20"/>
        </w:rPr>
      </w:pPr>
      <w:r>
        <w:rPr>
          <w:rFonts w:ascii="Arial" w:hAnsi="Arial"/>
          <w:noProof/>
          <w:sz w:val="20"/>
        </w:rPr>
        <w:t>520 prípadov nesplnenia povinnosti po odoslaní formálnej výzvy,</w:t>
      </w:r>
    </w:p>
    <w:p>
      <w:pPr>
        <w:numPr>
          <w:ilvl w:val="0"/>
          <w:numId w:val="29"/>
        </w:numPr>
        <w:spacing w:after="200" w:line="276" w:lineRule="auto"/>
        <w:ind w:left="1077" w:hanging="357"/>
        <w:contextualSpacing/>
        <w:rPr>
          <w:rFonts w:ascii="Arial" w:hAnsi="Arial" w:cs="Arial"/>
          <w:noProof/>
          <w:sz w:val="20"/>
        </w:rPr>
      </w:pPr>
      <w:r>
        <w:rPr>
          <w:rFonts w:ascii="Arial" w:hAnsi="Arial"/>
          <w:noProof/>
          <w:sz w:val="20"/>
        </w:rPr>
        <w:t>126 prípadov po odoslaní odôvodnených stanovísk, a</w:t>
      </w:r>
    </w:p>
    <w:p>
      <w:pPr>
        <w:numPr>
          <w:ilvl w:val="0"/>
          <w:numId w:val="29"/>
        </w:numPr>
        <w:spacing w:after="200" w:line="276" w:lineRule="auto"/>
        <w:ind w:left="1077" w:hanging="357"/>
        <w:contextualSpacing/>
        <w:rPr>
          <w:rFonts w:ascii="Arial" w:hAnsi="Arial" w:cs="Arial"/>
          <w:noProof/>
          <w:sz w:val="20"/>
        </w:rPr>
      </w:pPr>
      <w:r>
        <w:rPr>
          <w:rFonts w:ascii="Arial" w:hAnsi="Arial"/>
          <w:noProof/>
          <w:kern w:val="20"/>
          <w:sz w:val="20"/>
        </w:rPr>
        <w:t>18 prípadov po rozhodnutí postúpiť vec Súdnemu dvoru, ale pred podaním žiadosti. Okrem toho Komisia vzala späť deväť prípadov zo Súdneho dvora skôr, než súd vydal rozhodnutie.</w:t>
      </w:r>
    </w:p>
    <w:p>
      <w:pPr>
        <w:pStyle w:val="kop3"/>
        <w:rPr>
          <w:rStyle w:val="Strong"/>
          <w:rFonts w:ascii="Verdana" w:hAnsi="Verdana" w:cs="Times New Roman"/>
          <w:i w:val="0"/>
          <w:noProof/>
          <w:color w:val="006FB4"/>
        </w:rPr>
      </w:pPr>
      <w:bookmarkStart w:id="90" w:name="_Toc437944197"/>
      <w:bookmarkStart w:id="91" w:name="_Toc444796664"/>
      <w:bookmarkStart w:id="92" w:name="_Toc484623704"/>
      <w:bookmarkStart w:id="93" w:name="_Toc484685993"/>
      <w:bookmarkStart w:id="94" w:name="_Toc486858025"/>
      <w:r>
        <w:rPr>
          <w:noProof/>
        </w:rPr>
        <w:t>Rozhodnutia Súdneho dvora podľa článku 258 a článku 260 ods. 2 ZFEÚ</w:t>
      </w:r>
      <w:bookmarkEnd w:id="90"/>
      <w:bookmarkEnd w:id="91"/>
      <w:bookmarkEnd w:id="92"/>
      <w:bookmarkEnd w:id="93"/>
      <w:bookmarkEnd w:id="94"/>
    </w:p>
    <w:p>
      <w:pPr>
        <w:pStyle w:val="Body"/>
        <w:ind w:left="709"/>
        <w:rPr>
          <w:noProof/>
        </w:rPr>
      </w:pPr>
      <w:r>
        <w:rPr>
          <w:noProof/>
        </w:rPr>
        <w:t>V roku 2016 vydal Súdny dvor 28 rozsudkov podľa článku 258 ZFEÚ, z ktorých 23 bolo v prospech Komisie. Súdny dvor vydal najviac rozsudkov proti:</w:t>
      </w:r>
    </w:p>
    <w:p>
      <w:pPr>
        <w:pStyle w:val="Body"/>
        <w:numPr>
          <w:ilvl w:val="0"/>
          <w:numId w:val="36"/>
        </w:numPr>
        <w:spacing w:after="120"/>
        <w:ind w:hanging="357"/>
        <w:rPr>
          <w:noProof/>
        </w:rPr>
      </w:pPr>
      <w:r>
        <w:rPr>
          <w:noProof/>
        </w:rPr>
        <w:t>Portugalsku (4, všetky v prospech Komisie),</w:t>
      </w:r>
    </w:p>
    <w:p>
      <w:pPr>
        <w:pStyle w:val="Body"/>
        <w:numPr>
          <w:ilvl w:val="0"/>
          <w:numId w:val="36"/>
        </w:numPr>
        <w:spacing w:after="120"/>
        <w:ind w:hanging="357"/>
        <w:rPr>
          <w:noProof/>
        </w:rPr>
      </w:pPr>
      <w:r>
        <w:rPr>
          <w:noProof/>
        </w:rPr>
        <w:t>Grécku (3, všetky v prospech Komisie),</w:t>
      </w:r>
    </w:p>
    <w:p>
      <w:pPr>
        <w:pStyle w:val="Body"/>
        <w:numPr>
          <w:ilvl w:val="0"/>
          <w:numId w:val="36"/>
        </w:numPr>
        <w:spacing w:after="120"/>
        <w:ind w:hanging="357"/>
        <w:rPr>
          <w:noProof/>
        </w:rPr>
      </w:pPr>
      <w:r>
        <w:rPr>
          <w:noProof/>
        </w:rPr>
        <w:t>Španielsku (3, všetky v prospech Komisie),</w:t>
      </w:r>
    </w:p>
    <w:p>
      <w:pPr>
        <w:pStyle w:val="Body"/>
        <w:numPr>
          <w:ilvl w:val="0"/>
          <w:numId w:val="36"/>
        </w:numPr>
        <w:spacing w:after="120"/>
        <w:ind w:hanging="357"/>
        <w:rPr>
          <w:noProof/>
        </w:rPr>
      </w:pPr>
      <w:r>
        <w:rPr>
          <w:noProof/>
        </w:rPr>
        <w:t>Spojenému kráľovstvu (2, jedno z nich v prospech Spojeného kráľovstva),</w:t>
      </w:r>
    </w:p>
    <w:p>
      <w:pPr>
        <w:pStyle w:val="Body"/>
        <w:numPr>
          <w:ilvl w:val="0"/>
          <w:numId w:val="36"/>
        </w:numPr>
        <w:spacing w:after="120"/>
        <w:ind w:hanging="357"/>
        <w:rPr>
          <w:noProof/>
        </w:rPr>
      </w:pPr>
      <w:r>
        <w:rPr>
          <w:noProof/>
        </w:rPr>
        <w:t>Holandsku (2, jedno z nich v prospech Holandska),</w:t>
      </w:r>
    </w:p>
    <w:p>
      <w:pPr>
        <w:pStyle w:val="Body"/>
        <w:numPr>
          <w:ilvl w:val="0"/>
          <w:numId w:val="36"/>
        </w:numPr>
        <w:spacing w:after="120"/>
        <w:ind w:hanging="357"/>
        <w:rPr>
          <w:noProof/>
        </w:rPr>
      </w:pPr>
      <w:r>
        <w:rPr>
          <w:noProof/>
        </w:rPr>
        <w:t>Poľsku (2, obidve v prospech Komisie),</w:t>
      </w:r>
    </w:p>
    <w:p>
      <w:pPr>
        <w:pStyle w:val="Body"/>
        <w:numPr>
          <w:ilvl w:val="0"/>
          <w:numId w:val="36"/>
        </w:numPr>
        <w:spacing w:after="120"/>
        <w:ind w:hanging="357"/>
        <w:rPr>
          <w:noProof/>
        </w:rPr>
      </w:pPr>
      <w:r>
        <w:rPr>
          <w:noProof/>
        </w:rPr>
        <w:t>Rakúsku (1, v prospech Rakúska),</w:t>
      </w:r>
    </w:p>
    <w:p>
      <w:pPr>
        <w:pStyle w:val="Body"/>
        <w:numPr>
          <w:ilvl w:val="0"/>
          <w:numId w:val="36"/>
        </w:numPr>
        <w:spacing w:after="120"/>
        <w:ind w:hanging="357"/>
        <w:rPr>
          <w:noProof/>
        </w:rPr>
      </w:pPr>
      <w:r>
        <w:rPr>
          <w:noProof/>
        </w:rPr>
        <w:t>Belgicku (1, v prospech Komisie),</w:t>
      </w:r>
    </w:p>
    <w:p>
      <w:pPr>
        <w:pStyle w:val="Body"/>
        <w:numPr>
          <w:ilvl w:val="0"/>
          <w:numId w:val="36"/>
        </w:numPr>
        <w:spacing w:after="120"/>
        <w:ind w:hanging="357"/>
        <w:rPr>
          <w:noProof/>
        </w:rPr>
      </w:pPr>
      <w:r>
        <w:rPr>
          <w:noProof/>
        </w:rPr>
        <w:t>Bulharsku (1, v prospech Komisie),</w:t>
      </w:r>
    </w:p>
    <w:p>
      <w:pPr>
        <w:pStyle w:val="Body"/>
        <w:numPr>
          <w:ilvl w:val="0"/>
          <w:numId w:val="36"/>
        </w:numPr>
        <w:spacing w:after="120"/>
        <w:ind w:hanging="357"/>
        <w:rPr>
          <w:noProof/>
        </w:rPr>
      </w:pPr>
      <w:r>
        <w:rPr>
          <w:noProof/>
        </w:rPr>
        <w:t>Cypru (1, v prospech Komisie),</w:t>
      </w:r>
    </w:p>
    <w:p>
      <w:pPr>
        <w:pStyle w:val="Body"/>
        <w:numPr>
          <w:ilvl w:val="0"/>
          <w:numId w:val="36"/>
        </w:numPr>
        <w:spacing w:after="120"/>
        <w:ind w:hanging="357"/>
        <w:rPr>
          <w:noProof/>
        </w:rPr>
      </w:pPr>
      <w:r>
        <w:rPr>
          <w:noProof/>
        </w:rPr>
        <w:t>Českej republike (1, v prospech Komisie),</w:t>
      </w:r>
    </w:p>
    <w:p>
      <w:pPr>
        <w:pStyle w:val="Body"/>
        <w:numPr>
          <w:ilvl w:val="0"/>
          <w:numId w:val="36"/>
        </w:numPr>
        <w:spacing w:after="120"/>
        <w:ind w:hanging="357"/>
        <w:rPr>
          <w:noProof/>
        </w:rPr>
      </w:pPr>
      <w:r>
        <w:rPr>
          <w:noProof/>
        </w:rPr>
        <w:t>Nemecku (1, v prospech Komisie),</w:t>
      </w:r>
    </w:p>
    <w:p>
      <w:pPr>
        <w:pStyle w:val="Body"/>
        <w:numPr>
          <w:ilvl w:val="0"/>
          <w:numId w:val="36"/>
        </w:numPr>
        <w:spacing w:after="120"/>
        <w:ind w:hanging="357"/>
        <w:rPr>
          <w:noProof/>
        </w:rPr>
      </w:pPr>
      <w:r>
        <w:rPr>
          <w:noProof/>
        </w:rPr>
        <w:t>Francúzsku (1, v prospech Komisie),</w:t>
      </w:r>
    </w:p>
    <w:p>
      <w:pPr>
        <w:pStyle w:val="Body"/>
        <w:numPr>
          <w:ilvl w:val="0"/>
          <w:numId w:val="36"/>
        </w:numPr>
        <w:spacing w:after="120"/>
        <w:ind w:hanging="357"/>
        <w:rPr>
          <w:noProof/>
        </w:rPr>
      </w:pPr>
      <w:r>
        <w:rPr>
          <w:noProof/>
        </w:rPr>
        <w:t>Maďarsku (1, v prospech Komisie),</w:t>
      </w:r>
    </w:p>
    <w:p>
      <w:pPr>
        <w:pStyle w:val="Body"/>
        <w:numPr>
          <w:ilvl w:val="0"/>
          <w:numId w:val="36"/>
        </w:numPr>
        <w:spacing w:after="120"/>
        <w:ind w:hanging="357"/>
        <w:rPr>
          <w:noProof/>
        </w:rPr>
      </w:pPr>
      <w:r>
        <w:rPr>
          <w:noProof/>
        </w:rPr>
        <w:t>Taliansku (1, v prospech Komisie),</w:t>
      </w:r>
    </w:p>
    <w:p>
      <w:pPr>
        <w:pStyle w:val="Body"/>
        <w:numPr>
          <w:ilvl w:val="0"/>
          <w:numId w:val="36"/>
        </w:numPr>
        <w:spacing w:after="120"/>
        <w:ind w:hanging="357"/>
        <w:rPr>
          <w:noProof/>
        </w:rPr>
      </w:pPr>
      <w:r>
        <w:rPr>
          <w:noProof/>
        </w:rPr>
        <w:t>Luxembursku (1, v prospech Komisie),</w:t>
      </w:r>
    </w:p>
    <w:p>
      <w:pPr>
        <w:pStyle w:val="Body"/>
        <w:numPr>
          <w:ilvl w:val="0"/>
          <w:numId w:val="36"/>
        </w:numPr>
        <w:spacing w:after="120"/>
        <w:ind w:hanging="357"/>
        <w:rPr>
          <w:noProof/>
        </w:rPr>
      </w:pPr>
      <w:r>
        <w:rPr>
          <w:noProof/>
        </w:rPr>
        <w:t>Malte (1, v prospech Malty) a</w:t>
      </w:r>
    </w:p>
    <w:p>
      <w:pPr>
        <w:pStyle w:val="Body"/>
        <w:numPr>
          <w:ilvl w:val="0"/>
          <w:numId w:val="36"/>
        </w:numPr>
        <w:spacing w:after="120"/>
        <w:ind w:hanging="357"/>
        <w:rPr>
          <w:noProof/>
        </w:rPr>
      </w:pPr>
      <w:r>
        <w:rPr>
          <w:noProof/>
        </w:rPr>
        <w:t>Rumunsku (1, v prospech Komisie).</w:t>
      </w:r>
    </w:p>
    <w:p>
      <w:pPr>
        <w:pStyle w:val="Body"/>
        <w:spacing w:after="120"/>
        <w:ind w:left="1429"/>
        <w:rPr>
          <w:noProof/>
        </w:rPr>
      </w:pPr>
    </w:p>
    <w:p>
      <w:pPr>
        <w:pStyle w:val="Body"/>
        <w:ind w:left="709"/>
        <w:rPr>
          <w:bCs/>
          <w:noProof/>
        </w:rPr>
      </w:pPr>
      <w:r>
        <w:rPr>
          <w:noProof/>
        </w:rPr>
        <w:t>Predmetom väčšiny rozsudkov Súdneho dvora podľa článku 258 ZFEÚ v roku 2016 boli Portugalsko (4), Grécko (3) a Španielsko (3).</w:t>
      </w:r>
    </w:p>
    <w:p>
      <w:pPr>
        <w:spacing w:after="0"/>
        <w:ind w:left="720"/>
        <w:rPr>
          <w:rFonts w:ascii="Arial" w:hAnsi="Arial" w:cs="Arial"/>
          <w:noProof/>
          <w:sz w:val="20"/>
        </w:rPr>
      </w:pPr>
      <w:r>
        <w:rPr>
          <w:rFonts w:ascii="Arial" w:hAnsi="Arial"/>
          <w:noProof/>
          <w:sz w:val="20"/>
        </w:rPr>
        <w:t>Členské štáty často urýchlene prijmú opatrenia potrebné na dosiahnutie súladu s rozsudkom Súdneho dvora. Na konci roka však bolo stále otvorených 95 postupov v prípade nesplnenia povinnosti aj po vydaní rozhodnutia Súdneho dvora, lebo Komisia sa domnievala, že dotknuté členské štáty ešte nevyhoveli rozsudkom podľa článku 258 ZFEÚ. Hlavnými dotknutými členskými štátmi boli Grécko (14), Španielsko (8), Nemecko a Taliansko (obidva 7). Prípady sa týkali najmä životného prostredia (37), dopravy a mobility (13), daní a ciel (9) a vnútorného trhu (8).</w:t>
      </w:r>
    </w:p>
    <w:p>
      <w:pPr>
        <w:spacing w:after="0"/>
        <w:ind w:left="720"/>
        <w:rPr>
          <w:rFonts w:ascii="Arial" w:hAnsi="Arial" w:cs="Arial"/>
          <w:noProof/>
          <w:sz w:val="20"/>
        </w:rPr>
      </w:pPr>
    </w:p>
    <w:p>
      <w:pPr>
        <w:spacing w:after="0"/>
        <w:ind w:left="720"/>
        <w:rPr>
          <w:rFonts w:ascii="Arial" w:hAnsi="Arial" w:cs="Arial"/>
          <w:noProof/>
          <w:sz w:val="20"/>
        </w:rPr>
      </w:pPr>
      <w:r>
        <w:rPr>
          <w:rFonts w:ascii="Arial" w:hAnsi="Arial"/>
          <w:noProof/>
          <w:sz w:val="20"/>
        </w:rPr>
        <w:t xml:space="preserve">Z týchto 95 prípadov boli tri postúpené Súdnemu dvoru už druhýkrát. Keď Súdny dvor uloží penále podľa článku 260 ods. 2 ZFEÚ, členský štát, ktorý si nesplnil povinnosť, musí okamžite zaplatiť paušálnu pokutu a naďalej platiť pravidelné penále, až kým úplne nevyhovie prvému a druhému rozsudku Súdneho dvora. V roku 2016 Súdny dvor vydal dva rozsudky podľa článku 260 ods. 2 ZFEÚ. Platbu penále uložil Grécku </w:t>
      </w:r>
      <w:r>
        <w:rPr>
          <w:rStyle w:val="FootnoteReference"/>
          <w:rFonts w:ascii="Arial" w:hAnsi="Arial"/>
          <w:noProof/>
          <w:sz w:val="20"/>
        </w:rPr>
        <w:footnoteReference w:id="129"/>
      </w:r>
      <w:r>
        <w:rPr>
          <w:rFonts w:ascii="Arial" w:hAnsi="Arial"/>
          <w:noProof/>
          <w:sz w:val="20"/>
        </w:rPr>
        <w:t xml:space="preserve"> a Portugalsku</w:t>
      </w:r>
      <w:r>
        <w:rPr>
          <w:rStyle w:val="FootnoteReference"/>
          <w:rFonts w:ascii="Arial" w:hAnsi="Arial"/>
          <w:noProof/>
          <w:sz w:val="20"/>
        </w:rPr>
        <w:footnoteReference w:id="130"/>
      </w:r>
      <w:r>
        <w:rPr>
          <w:rFonts w:ascii="Arial" w:hAnsi="Arial"/>
          <w:noProof/>
          <w:sz w:val="20"/>
        </w:rPr>
        <w:t>. Na konci roka 2016 bolo po rozhodnutí Súdneho dvora podľa článku 260 ods. 2 ZFEÚ stále otvorených desať postupov v prípade nesplnenia povinnosti.</w:t>
      </w:r>
    </w:p>
    <w:p>
      <w:pPr>
        <w:spacing w:after="0"/>
        <w:rPr>
          <w:rFonts w:ascii="Arial" w:eastAsia="MS Gothic" w:hAnsi="Arial" w:cs="Arial"/>
          <w:caps/>
          <w:noProof/>
          <w:color w:val="4F81BD"/>
          <w:kern w:val="20"/>
          <w:szCs w:val="24"/>
        </w:rPr>
      </w:pPr>
      <w:bookmarkStart w:id="95" w:name="_Toc437944198"/>
      <w:r>
        <w:rPr>
          <w:noProof/>
        </w:rPr>
        <w:br w:type="page"/>
      </w:r>
    </w:p>
    <w:p>
      <w:pPr>
        <w:pStyle w:val="kop2"/>
        <w:ind w:left="720"/>
        <w:rPr>
          <w:caps w:val="0"/>
          <w:noProof/>
        </w:rPr>
      </w:pPr>
      <w:bookmarkStart w:id="96" w:name="_Toc444796665"/>
      <w:bookmarkStart w:id="97" w:name="_Toc484623705"/>
      <w:bookmarkStart w:id="98" w:name="_Toc484685994"/>
      <w:bookmarkStart w:id="99" w:name="_Toc486858026"/>
      <w:r>
        <w:rPr>
          <w:noProof/>
        </w:rPr>
        <w:t>Transpozícia smerníc</w:t>
      </w:r>
      <w:bookmarkEnd w:id="95"/>
      <w:bookmarkEnd w:id="96"/>
      <w:bookmarkEnd w:id="97"/>
      <w:bookmarkEnd w:id="98"/>
      <w:bookmarkEnd w:id="99"/>
    </w:p>
    <w:p>
      <w:pPr>
        <w:pStyle w:val="kop3"/>
        <w:numPr>
          <w:ilvl w:val="0"/>
          <w:numId w:val="27"/>
        </w:numPr>
        <w:rPr>
          <w:noProof/>
        </w:rPr>
      </w:pPr>
      <w:bookmarkStart w:id="100" w:name="_Toc437944199"/>
      <w:bookmarkStart w:id="101" w:name="_Toc444796666"/>
      <w:bookmarkStart w:id="102" w:name="_Toc484623706"/>
      <w:bookmarkStart w:id="103" w:name="_Toc484685995"/>
      <w:bookmarkStart w:id="104" w:name="_Toc486858027"/>
      <w:r>
        <w:rPr>
          <w:noProof/>
        </w:rPr>
        <w:t>Neskorá transpozícia</w:t>
      </w:r>
      <w:bookmarkEnd w:id="100"/>
      <w:bookmarkEnd w:id="101"/>
      <w:bookmarkEnd w:id="102"/>
      <w:bookmarkEnd w:id="103"/>
      <w:bookmarkEnd w:id="104"/>
    </w:p>
    <w:p>
      <w:pPr>
        <w:rPr>
          <w:rFonts w:ascii="Arial" w:hAnsi="Arial" w:cs="Arial"/>
          <w:noProof/>
          <w:sz w:val="20"/>
        </w:rPr>
      </w:pPr>
      <w:r>
        <w:rPr>
          <w:rFonts w:ascii="Arial" w:hAnsi="Arial"/>
          <w:noProof/>
          <w:sz w:val="20"/>
        </w:rPr>
        <w:t>Boj proti neskorej transpozícii je dlhodobou prioritou Komisie. Komisia preto navrhuje finančné sankcie vždy, keď predloží vec týkajúcu sa členského štátu Súdnemu dvoru podľa článku 258 a článku 260 ods. 3 ZFEÚ za to, že včas neoznámil opatrenia, ktorým transponoval smernicu prijatú v súlade s legislatívnym postupom (pozri podrobnosti v pododdiele VI.2).</w:t>
      </w:r>
    </w:p>
    <w:p>
      <w:pPr>
        <w:rPr>
          <w:noProof/>
        </w:rPr>
      </w:pPr>
      <w:r>
        <w:rPr>
          <w:noProof/>
          <w:lang w:val="en-US" w:eastAsia="en-US" w:bidi="ar-SA"/>
        </w:rPr>
        <w:drawing>
          <wp:inline distT="0" distB="0" distL="0" distR="0">
            <wp:extent cx="4798695" cy="2348230"/>
            <wp:effectExtent l="0" t="0" r="0" b="0"/>
            <wp:docPr id="15"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pPr>
        <w:pStyle w:val="Body"/>
        <w:rPr>
          <w:noProof/>
        </w:rPr>
      </w:pPr>
      <w:r>
        <w:rPr>
          <w:noProof/>
        </w:rPr>
        <w:t xml:space="preserve">V roku 2016 sa malo transponovať 70 smerníc, pričom v roku 2015 ich bolo 56. </w:t>
      </w:r>
      <w:r>
        <w:rPr>
          <w:b/>
          <w:noProof/>
        </w:rPr>
        <w:t xml:space="preserve">Počet nových prípadov nesplnenia povinnosti v súvislosti s neskorou transpozíciou prudko vzrástol </w:t>
      </w:r>
      <w:r>
        <w:rPr>
          <w:noProof/>
        </w:rPr>
        <w:t xml:space="preserve">z 543 </w:t>
      </w:r>
      <w:r>
        <w:rPr>
          <w:b/>
          <w:noProof/>
        </w:rPr>
        <w:t>na 847.</w:t>
      </w:r>
    </w:p>
    <w:p>
      <w:pPr>
        <w:pStyle w:val="Body"/>
        <w:rPr>
          <w:noProof/>
        </w:rPr>
      </w:pPr>
      <w:r>
        <w:rPr>
          <w:noProof/>
        </w:rPr>
        <w:t>Na konci roka 2016</w:t>
      </w:r>
      <w:r>
        <w:rPr>
          <w:b/>
          <w:noProof/>
        </w:rPr>
        <w:t xml:space="preserve"> bolo stále otvorených 868 prípadov nesplnenia povinnosti v súvislosti s neskorou transpozíciou</w:t>
      </w:r>
      <w:r>
        <w:rPr>
          <w:noProof/>
        </w:rPr>
        <w:t>, čo je zvýšenie o 67,5 % v porovnaní so 518 prípadmi otvorenými na konci roku 2015.</w:t>
      </w:r>
    </w:p>
    <w:p>
      <w:pPr>
        <w:pStyle w:val="Body"/>
        <w:spacing w:after="120"/>
        <w:ind w:left="0"/>
        <w:jc w:val="center"/>
        <w:rPr>
          <w:noProof/>
          <w:color w:val="002060"/>
          <w:sz w:val="22"/>
          <w:szCs w:val="22"/>
        </w:rPr>
      </w:pPr>
      <w:r>
        <w:rPr>
          <w:noProof/>
          <w:color w:val="002060"/>
          <w:sz w:val="22"/>
        </w:rPr>
        <w:t>Prípady nesplnenia povinnosti v súvislosti s neskorou transpozíciou otvorené ku koncu roka</w:t>
      </w:r>
    </w:p>
    <w:tbl>
      <w:tblPr>
        <w:tblW w:w="6505" w:type="dxa"/>
        <w:tblInd w:w="2235" w:type="dxa"/>
        <w:tblLook w:val="04A0" w:firstRow="1" w:lastRow="0" w:firstColumn="1" w:lastColumn="0" w:noHBand="0" w:noVBand="1"/>
      </w:tblPr>
      <w:tblGrid>
        <w:gridCol w:w="850"/>
        <w:gridCol w:w="345"/>
        <w:gridCol w:w="5310"/>
      </w:tblGrid>
      <w:tr>
        <w:trPr>
          <w:trHeight w:val="403"/>
        </w:trPr>
        <w:tc>
          <w:tcPr>
            <w:tcW w:w="850" w:type="dxa"/>
            <w:shd w:val="clear" w:color="auto" w:fill="auto"/>
            <w:vAlign w:val="center"/>
          </w:tcPr>
          <w:p>
            <w:pPr>
              <w:spacing w:after="0"/>
              <w:jc w:val="right"/>
              <w:rPr>
                <w:rFonts w:ascii="Arial" w:hAnsi="Arial" w:cs="Arial"/>
                <w:noProof/>
                <w:color w:val="548DD4"/>
                <w:sz w:val="20"/>
              </w:rPr>
            </w:pPr>
            <w:r>
              <w:rPr>
                <w:rFonts w:ascii="Arial" w:hAnsi="Arial"/>
                <w:noProof/>
                <w:color w:val="548DD4"/>
                <w:sz w:val="20"/>
              </w:rPr>
              <w:t>518</w:t>
            </w:r>
          </w:p>
        </w:tc>
        <w:tc>
          <w:tcPr>
            <w:tcW w:w="345" w:type="dxa"/>
            <w:shd w:val="clear" w:color="auto" w:fill="auto"/>
            <w:vAlign w:val="center"/>
          </w:tcPr>
          <w:p>
            <w:pPr>
              <w:spacing w:after="0"/>
              <w:jc w:val="right"/>
              <w:rPr>
                <w:rFonts w:ascii="Arial" w:hAnsi="Arial" w:cs="Arial"/>
                <w:noProof/>
                <w:color w:val="548DD4"/>
                <w:sz w:val="20"/>
              </w:rPr>
            </w:pPr>
            <w:r>
              <w:rPr>
                <w:rFonts w:ascii="Arial" w:hAnsi="Arial"/>
                <w:noProof/>
                <w:color w:val="548DD4"/>
                <w:sz w:val="20"/>
              </w:rPr>
              <w:t>&gt;</w:t>
            </w:r>
          </w:p>
        </w:tc>
        <w:tc>
          <w:tcPr>
            <w:tcW w:w="5310" w:type="dxa"/>
            <w:shd w:val="clear" w:color="auto" w:fill="auto"/>
            <w:vAlign w:val="center"/>
          </w:tcPr>
          <w:p>
            <w:pPr>
              <w:spacing w:after="0"/>
              <w:jc w:val="left"/>
              <w:rPr>
                <w:rFonts w:ascii="Arial" w:hAnsi="Arial" w:cs="Arial"/>
                <w:noProof/>
                <w:color w:val="548DD4"/>
                <w:sz w:val="22"/>
                <w:szCs w:val="28"/>
              </w:rPr>
            </w:pPr>
            <w:r>
              <w:rPr>
                <w:rFonts w:ascii="Arial" w:hAnsi="Arial"/>
                <w:noProof/>
                <w:color w:val="548DD4"/>
                <w:sz w:val="20"/>
              </w:rPr>
              <w:t>Prípady neskorej transpozície otvorené ku koncu roka 2015</w:t>
            </w:r>
          </w:p>
        </w:tc>
      </w:tr>
      <w:tr>
        <w:trPr>
          <w:trHeight w:val="403"/>
        </w:trPr>
        <w:tc>
          <w:tcPr>
            <w:tcW w:w="850" w:type="dxa"/>
            <w:shd w:val="clear" w:color="auto" w:fill="auto"/>
            <w:vAlign w:val="center"/>
          </w:tcPr>
          <w:p>
            <w:pPr>
              <w:spacing w:after="0"/>
              <w:jc w:val="right"/>
              <w:rPr>
                <w:rFonts w:ascii="Arial" w:hAnsi="Arial" w:cs="Arial"/>
                <w:noProof/>
                <w:color w:val="548DD4"/>
                <w:sz w:val="20"/>
              </w:rPr>
            </w:pPr>
            <w:r>
              <w:rPr>
                <w:rFonts w:ascii="Arial" w:hAnsi="Arial"/>
                <w:noProof/>
                <w:color w:val="548DD4"/>
                <w:sz w:val="20"/>
              </w:rPr>
              <w:t>847</w:t>
            </w:r>
          </w:p>
        </w:tc>
        <w:tc>
          <w:tcPr>
            <w:tcW w:w="345" w:type="dxa"/>
            <w:shd w:val="clear" w:color="auto" w:fill="auto"/>
            <w:vAlign w:val="center"/>
          </w:tcPr>
          <w:p>
            <w:pPr>
              <w:spacing w:after="0"/>
              <w:jc w:val="right"/>
              <w:rPr>
                <w:rFonts w:ascii="Arial" w:hAnsi="Arial" w:cs="Arial"/>
                <w:noProof/>
                <w:color w:val="548DD4"/>
                <w:sz w:val="20"/>
              </w:rPr>
            </w:pPr>
            <w:r>
              <w:rPr>
                <w:rFonts w:ascii="Arial" w:hAnsi="Arial"/>
                <w:noProof/>
                <w:color w:val="548DD4"/>
                <w:sz w:val="20"/>
              </w:rPr>
              <w:t>&gt;</w:t>
            </w:r>
          </w:p>
        </w:tc>
        <w:tc>
          <w:tcPr>
            <w:tcW w:w="5310" w:type="dxa"/>
            <w:shd w:val="clear" w:color="auto" w:fill="auto"/>
            <w:vAlign w:val="center"/>
          </w:tcPr>
          <w:p>
            <w:pPr>
              <w:spacing w:after="0"/>
              <w:jc w:val="left"/>
              <w:rPr>
                <w:rFonts w:ascii="Arial" w:hAnsi="Arial" w:cs="Arial"/>
                <w:noProof/>
                <w:color w:val="548DD4"/>
                <w:sz w:val="22"/>
                <w:szCs w:val="28"/>
              </w:rPr>
            </w:pPr>
            <w:r>
              <w:rPr>
                <w:rFonts w:ascii="Arial" w:hAnsi="Arial"/>
                <w:noProof/>
                <w:color w:val="548DD4"/>
                <w:sz w:val="20"/>
              </w:rPr>
              <w:t>Nové prípady neskorej transpozície zaregistrované v roku 2016</w:t>
            </w:r>
          </w:p>
        </w:tc>
      </w:tr>
      <w:tr>
        <w:trPr>
          <w:trHeight w:val="403"/>
        </w:trPr>
        <w:tc>
          <w:tcPr>
            <w:tcW w:w="850" w:type="dxa"/>
            <w:tcBorders>
              <w:bottom w:val="single" w:sz="24" w:space="0" w:color="548DD4"/>
            </w:tcBorders>
            <w:shd w:val="clear" w:color="auto" w:fill="auto"/>
            <w:vAlign w:val="center"/>
          </w:tcPr>
          <w:p>
            <w:pPr>
              <w:spacing w:after="0"/>
              <w:jc w:val="right"/>
              <w:rPr>
                <w:rFonts w:ascii="Arial" w:hAnsi="Arial" w:cs="Arial"/>
                <w:noProof/>
                <w:color w:val="548DD4"/>
                <w:sz w:val="20"/>
              </w:rPr>
            </w:pPr>
            <w:r>
              <w:rPr>
                <w:rFonts w:ascii="Arial" w:hAnsi="Arial"/>
                <w:noProof/>
                <w:color w:val="548DD4"/>
                <w:sz w:val="20"/>
              </w:rPr>
              <w:t>498</w:t>
            </w:r>
          </w:p>
        </w:tc>
        <w:tc>
          <w:tcPr>
            <w:tcW w:w="345" w:type="dxa"/>
            <w:shd w:val="clear" w:color="auto" w:fill="auto"/>
            <w:vAlign w:val="center"/>
          </w:tcPr>
          <w:p>
            <w:pPr>
              <w:spacing w:after="0"/>
              <w:jc w:val="right"/>
              <w:rPr>
                <w:rFonts w:ascii="Arial" w:hAnsi="Arial" w:cs="Arial"/>
                <w:noProof/>
                <w:color w:val="548DD4"/>
                <w:sz w:val="20"/>
              </w:rPr>
            </w:pPr>
            <w:r>
              <w:rPr>
                <w:rFonts w:ascii="Arial" w:hAnsi="Arial"/>
                <w:noProof/>
                <w:color w:val="548DD4"/>
                <w:sz w:val="20"/>
              </w:rPr>
              <w:t>&gt;</w:t>
            </w:r>
          </w:p>
        </w:tc>
        <w:tc>
          <w:tcPr>
            <w:tcW w:w="5310" w:type="dxa"/>
            <w:shd w:val="clear" w:color="auto" w:fill="auto"/>
            <w:vAlign w:val="center"/>
          </w:tcPr>
          <w:p>
            <w:pPr>
              <w:spacing w:after="0"/>
              <w:jc w:val="left"/>
              <w:rPr>
                <w:rFonts w:ascii="Arial" w:hAnsi="Arial" w:cs="Arial"/>
                <w:noProof/>
                <w:color w:val="548DD4"/>
                <w:sz w:val="22"/>
                <w:szCs w:val="28"/>
              </w:rPr>
            </w:pPr>
            <w:r>
              <w:rPr>
                <w:rFonts w:ascii="Arial" w:hAnsi="Arial"/>
                <w:noProof/>
                <w:color w:val="548DD4"/>
                <w:sz w:val="20"/>
              </w:rPr>
              <w:t>Prípady neskorej transpozície uzatvorené v roku 2016</w:t>
            </w:r>
          </w:p>
        </w:tc>
      </w:tr>
      <w:tr>
        <w:trPr>
          <w:trHeight w:val="403"/>
        </w:trPr>
        <w:tc>
          <w:tcPr>
            <w:tcW w:w="850" w:type="dxa"/>
            <w:tcBorders>
              <w:top w:val="single" w:sz="24" w:space="0" w:color="548DD4"/>
            </w:tcBorders>
            <w:shd w:val="clear" w:color="auto" w:fill="auto"/>
            <w:vAlign w:val="center"/>
          </w:tcPr>
          <w:p>
            <w:pPr>
              <w:spacing w:after="0"/>
              <w:jc w:val="right"/>
              <w:rPr>
                <w:rFonts w:ascii="Arial" w:hAnsi="Arial" w:cs="Arial"/>
                <w:noProof/>
                <w:color w:val="C00000"/>
                <w:sz w:val="20"/>
              </w:rPr>
            </w:pPr>
            <w:r>
              <w:rPr>
                <w:rFonts w:ascii="Arial" w:hAnsi="Arial"/>
                <w:noProof/>
                <w:color w:val="C00000"/>
                <w:sz w:val="20"/>
              </w:rPr>
              <w:t>= 868</w:t>
            </w:r>
          </w:p>
        </w:tc>
        <w:tc>
          <w:tcPr>
            <w:tcW w:w="345" w:type="dxa"/>
            <w:shd w:val="clear" w:color="auto" w:fill="auto"/>
            <w:vAlign w:val="center"/>
          </w:tcPr>
          <w:p>
            <w:pPr>
              <w:spacing w:after="0"/>
              <w:jc w:val="right"/>
              <w:rPr>
                <w:rFonts w:ascii="Arial" w:hAnsi="Arial" w:cs="Arial"/>
                <w:noProof/>
                <w:color w:val="548DD4"/>
                <w:sz w:val="20"/>
              </w:rPr>
            </w:pPr>
            <w:r>
              <w:rPr>
                <w:rFonts w:ascii="Arial" w:hAnsi="Arial"/>
                <w:noProof/>
                <w:color w:val="548DD4"/>
                <w:sz w:val="20"/>
              </w:rPr>
              <w:t>&gt;</w:t>
            </w:r>
          </w:p>
        </w:tc>
        <w:tc>
          <w:tcPr>
            <w:tcW w:w="5310" w:type="dxa"/>
            <w:shd w:val="clear" w:color="auto" w:fill="auto"/>
            <w:vAlign w:val="center"/>
          </w:tcPr>
          <w:p>
            <w:pPr>
              <w:spacing w:after="0"/>
              <w:jc w:val="left"/>
              <w:rPr>
                <w:rFonts w:ascii="Arial" w:hAnsi="Arial" w:cs="Arial"/>
                <w:noProof/>
                <w:color w:val="548DD4"/>
                <w:sz w:val="22"/>
                <w:szCs w:val="28"/>
              </w:rPr>
            </w:pPr>
            <w:r>
              <w:rPr>
                <w:rFonts w:ascii="Arial" w:hAnsi="Arial"/>
                <w:noProof/>
                <w:color w:val="548DD4"/>
                <w:sz w:val="20"/>
              </w:rPr>
              <w:t>Prípady neskorej transpozície otvorené ku koncu roka 2016</w:t>
            </w:r>
          </w:p>
        </w:tc>
      </w:tr>
    </w:tbl>
    <w:p>
      <w:pPr>
        <w:spacing w:after="0"/>
        <w:jc w:val="left"/>
        <w:rPr>
          <w:noProof/>
        </w:rPr>
      </w:pPr>
    </w:p>
    <w:p>
      <w:pPr>
        <w:spacing w:after="0"/>
        <w:jc w:val="left"/>
        <w:rPr>
          <w:rFonts w:ascii="Arial" w:hAnsi="Arial" w:cs="Arial"/>
          <w:noProof/>
          <w:sz w:val="20"/>
        </w:rPr>
      </w:pPr>
      <w:r>
        <w:rPr>
          <w:noProof/>
        </w:rPr>
        <w:br w:type="page"/>
      </w:r>
    </w:p>
    <w:p>
      <w:pPr>
        <w:pStyle w:val="Body"/>
        <w:rPr>
          <w:noProof/>
        </w:rPr>
      </w:pPr>
      <w:r>
        <w:rPr>
          <w:noProof/>
        </w:rPr>
        <w:t>V nasledujúcom grafe sa uvádza počet prípadov nesplnenia povinnosti v súvislosti s neskorou transpozíciou otvorených ku koncu roka 2016 podľa jednotlivých členských štátov bez ohľadu na rok, v ktorom bol prípad otvorený.</w:t>
      </w:r>
    </w:p>
    <w:p>
      <w:pPr>
        <w:pStyle w:val="Body"/>
        <w:rPr>
          <w:noProof/>
        </w:rPr>
      </w:pPr>
      <w:r>
        <w:rPr>
          <w:noProof/>
          <w:lang w:val="en-US" w:eastAsia="en-US" w:bidi="ar-SA"/>
        </w:rPr>
        <w:drawing>
          <wp:inline distT="0" distB="0" distL="0" distR="0">
            <wp:extent cx="5486400" cy="3649980"/>
            <wp:effectExtent l="0" t="0" r="0" b="0"/>
            <wp:docPr id="16"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pPr>
        <w:pStyle w:val="Body"/>
        <w:rPr>
          <w:noProof/>
        </w:rPr>
      </w:pPr>
      <w:r>
        <w:rPr>
          <w:noProof/>
        </w:rPr>
        <w:t xml:space="preserve">Nasledujúci graf predstavuje nové prípady nesplnenia povinnosti v súvislosti s neskorou transpozíciou (spolu </w:t>
      </w:r>
      <w:r>
        <w:rPr>
          <w:b/>
          <w:noProof/>
        </w:rPr>
        <w:t>847</w:t>
      </w:r>
      <w:r>
        <w:rPr>
          <w:noProof/>
        </w:rPr>
        <w:t>) otvorené v roku 2016 podľa členských štátov.</w:t>
      </w:r>
    </w:p>
    <w:p>
      <w:pPr>
        <w:pStyle w:val="Body"/>
        <w:rPr>
          <w:noProof/>
        </w:rPr>
      </w:pPr>
      <w:r>
        <w:rPr>
          <w:noProof/>
          <w:lang w:val="en-US" w:eastAsia="en-US" w:bidi="ar-SA"/>
        </w:rPr>
        <w:drawing>
          <wp:inline distT="0" distB="0" distL="0" distR="0">
            <wp:extent cx="5361940" cy="3620770"/>
            <wp:effectExtent l="0" t="0" r="0" b="0"/>
            <wp:docPr id="2"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pPr>
        <w:pStyle w:val="Body"/>
        <w:rPr>
          <w:noProof/>
        </w:rPr>
      </w:pPr>
      <w:r>
        <w:rPr>
          <w:noProof/>
        </w:rPr>
        <w:br w:type="page"/>
      </w:r>
    </w:p>
    <w:p>
      <w:pPr>
        <w:pStyle w:val="Body"/>
        <w:rPr>
          <w:noProof/>
        </w:rPr>
      </w:pPr>
      <w:r>
        <w:rPr>
          <w:noProof/>
        </w:rPr>
        <w:t>Oblasti politiky, v ktorých sa v roku 2016 začali nové prípady, sú uvedené v tomto grafe:</w:t>
      </w:r>
    </w:p>
    <w:p>
      <w:pPr>
        <w:pStyle w:val="Body"/>
        <w:ind w:left="709" w:firstLine="11"/>
        <w:rPr>
          <w:noProof/>
        </w:rPr>
      </w:pPr>
      <w:r>
        <w:rPr>
          <w:noProof/>
          <w:lang w:val="en-US" w:eastAsia="en-US" w:bidi="ar-SA"/>
        </w:rPr>
        <w:drawing>
          <wp:inline distT="0" distB="0" distL="0" distR="0">
            <wp:extent cx="4798695" cy="3218815"/>
            <wp:effectExtent l="0" t="0" r="20955" b="19685"/>
            <wp:docPr id="1" name="Grafiek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pPr>
        <w:pStyle w:val="Body"/>
        <w:ind w:left="709"/>
        <w:rPr>
          <w:noProof/>
        </w:rPr>
      </w:pPr>
      <w:r>
        <w:rPr>
          <w:noProof/>
        </w:rPr>
        <w:t>Nové prípady sa začali proti 27 členských štátov pre neskorú transpozíciu smernice o opatreniach na zníženie nákladov na zavedenie vysokorýchlostných elektronických komunikačných sietí</w:t>
      </w:r>
      <w:r>
        <w:rPr>
          <w:rStyle w:val="FootnoteReference"/>
          <w:noProof/>
        </w:rPr>
        <w:footnoteReference w:id="131"/>
      </w:r>
      <w:r>
        <w:rPr>
          <w:noProof/>
        </w:rPr>
        <w:t>. Okrem toho, 26 členských štátov bolo zapojených v prípadoch neskorej transpozície smernice o ľudských tkanivách a bunkách</w:t>
      </w:r>
      <w:r>
        <w:rPr>
          <w:rStyle w:val="FootnoteReference"/>
          <w:noProof/>
        </w:rPr>
        <w:footnoteReference w:id="132"/>
      </w:r>
      <w:r>
        <w:rPr>
          <w:noProof/>
        </w:rPr>
        <w:t>. Komisia začala 23 postupov v súvislosti s neskorou transpozíciou smernice o kolektívnej správe autorských práv a práv súvisiacich s autorským právom</w:t>
      </w:r>
      <w:r>
        <w:rPr>
          <w:rStyle w:val="FootnoteReference"/>
          <w:noProof/>
        </w:rPr>
        <w:footnoteReference w:id="133"/>
      </w:r>
      <w:r>
        <w:rPr>
          <w:noProof/>
        </w:rPr>
        <w:t>.</w:t>
      </w:r>
    </w:p>
    <w:p>
      <w:pPr>
        <w:pStyle w:val="kop3"/>
        <w:rPr>
          <w:noProof/>
        </w:rPr>
      </w:pPr>
      <w:bookmarkStart w:id="105" w:name="_Toc437944200"/>
      <w:bookmarkStart w:id="106" w:name="_Toc444796667"/>
      <w:bookmarkStart w:id="107" w:name="_Toc484623707"/>
      <w:bookmarkStart w:id="108" w:name="_Toc484685996"/>
      <w:bookmarkStart w:id="109" w:name="_Toc486858028"/>
      <w:r>
        <w:rPr>
          <w:noProof/>
        </w:rPr>
        <w:t>Veci predložené Súdnemu dvoru podľa článku 258 a článku 260 ods. 3 ZFEÚ</w:t>
      </w:r>
      <w:bookmarkEnd w:id="105"/>
      <w:bookmarkEnd w:id="106"/>
      <w:bookmarkEnd w:id="107"/>
      <w:bookmarkEnd w:id="108"/>
      <w:bookmarkEnd w:id="109"/>
    </w:p>
    <w:p>
      <w:pPr>
        <w:pStyle w:val="Body"/>
        <w:ind w:left="709"/>
        <w:rPr>
          <w:noProof/>
        </w:rPr>
      </w:pPr>
      <w:r>
        <w:rPr>
          <w:noProof/>
        </w:rPr>
        <w:t>V zmysle článku 260 ods. 3 ZFEÚ môže Komisia navrhnúť penále aj pri prvom postúpení veci Súdnemu dvoru podľa článku 258 ZFEÚ z dôvodu neúplnej transpozície legislatívnej smernice. Tento nový prvok, ktorý sa zaviedol v Lisabonskej zmluve, má poskytnúť členským štátom väčšiu motiváciu k včasnej transpozícii smerníc. O výške penále rozhoduje Komisia, ktorá ho navrhuje v súlade s politikou stanovenou vo svojom oznámení o vykonávaní článku 260 ods. 3 ZFEÚ</w:t>
      </w:r>
      <w:r>
        <w:rPr>
          <w:rStyle w:val="FootnoteReference"/>
          <w:noProof/>
        </w:rPr>
        <w:footnoteReference w:id="134"/>
      </w:r>
      <w:r>
        <w:rPr>
          <w:noProof/>
        </w:rPr>
        <w:t xml:space="preserve">. Vo svojom oznámení o politike presadzovania: </w:t>
      </w:r>
      <w:r>
        <w:rPr>
          <w:i/>
          <w:noProof/>
        </w:rPr>
        <w:t>Právo EÚ: Lepšie výsledky prostredníctvom lepšieho uplatňovania práva</w:t>
      </w:r>
      <w:r>
        <w:rPr>
          <w:rStyle w:val="FootnoteReference"/>
          <w:noProof/>
        </w:rPr>
        <w:footnoteReference w:id="135"/>
      </w:r>
      <w:r>
        <w:rPr>
          <w:i/>
          <w:noProof/>
        </w:rPr>
        <w:t xml:space="preserve"> </w:t>
      </w:r>
      <w:r>
        <w:rPr>
          <w:noProof/>
        </w:rPr>
        <w:t>Komisia oznámila, že v prípadoch nesplnenia povinnosti po uverejnení oznámenia bude systematicky žiadať Súdny dvor o uloženie paušálnej pokuty, ako aj pravidelného penále.</w:t>
      </w:r>
    </w:p>
    <w:p>
      <w:pPr>
        <w:pStyle w:val="Body"/>
        <w:ind w:left="709"/>
        <w:rPr>
          <w:noProof/>
        </w:rPr>
      </w:pPr>
      <w:r>
        <w:rPr>
          <w:noProof/>
        </w:rPr>
        <w:t>V roku 2016 Komisia pokračovala v predkladaní prípadov nesplnenia povinnosti v súvislosti s neskorou transpozíciou Súdnemu dvoru so žiadosťou o uloženie denného penále podľa článku 260 ods. 3 ZFEÚ. V roku 2016 boli Súdnemu dvoru predložené veci týkajúce sa dvoch členských štátov: Luxemburska (2 prípady)</w:t>
      </w:r>
      <w:r>
        <w:rPr>
          <w:rStyle w:val="FootnoteReference"/>
          <w:noProof/>
        </w:rPr>
        <w:footnoteReference w:id="136"/>
      </w:r>
      <w:r>
        <w:rPr>
          <w:noProof/>
        </w:rPr>
        <w:t xml:space="preserve"> a Rumunska (1 prípad)</w:t>
      </w:r>
      <w:r>
        <w:rPr>
          <w:rStyle w:val="FootnoteReference"/>
          <w:noProof/>
        </w:rPr>
        <w:footnoteReference w:id="137"/>
      </w:r>
      <w:r>
        <w:rPr>
          <w:noProof/>
        </w:rPr>
        <w:t>. V ďalších štyroch prípadoch Komisia prijala rozhodnutie o predložení veci, ale členský štát prijal transpozičné opatrenia skôr, než bol návrh odoslaný Súdnemu dvoru, takže sa predišlo súdnemu konaniu. Tieto prípady sa týkali neskorej transpozície smernice o vytvorení jednotného európskeho železničného priestoru (Grécko)</w:t>
      </w:r>
      <w:r>
        <w:rPr>
          <w:rStyle w:val="FootnoteReference"/>
          <w:noProof/>
        </w:rPr>
        <w:footnoteReference w:id="138"/>
      </w:r>
      <w:r>
        <w:rPr>
          <w:noProof/>
        </w:rPr>
        <w:t>, smernice o ozdravení a riešení krízových situácií bánk</w:t>
      </w:r>
      <w:r>
        <w:rPr>
          <w:rStyle w:val="FootnoteReference"/>
          <w:noProof/>
        </w:rPr>
        <w:footnoteReference w:id="139"/>
      </w:r>
      <w:r>
        <w:rPr>
          <w:noProof/>
        </w:rPr>
        <w:t xml:space="preserve"> (Rumunsko a Česká republika) a smernice o nadmernom spoliehaní sa na úverové ratingy</w:t>
      </w:r>
      <w:r>
        <w:rPr>
          <w:rStyle w:val="FootnoteReference"/>
          <w:noProof/>
        </w:rPr>
        <w:footnoteReference w:id="140"/>
      </w:r>
      <w:r>
        <w:rPr>
          <w:noProof/>
        </w:rPr>
        <w:t xml:space="preserve"> (Luxembursko).</w:t>
      </w:r>
    </w:p>
    <w:p>
      <w:pPr>
        <w:pStyle w:val="Body"/>
        <w:ind w:left="709"/>
        <w:rPr>
          <w:noProof/>
        </w:rPr>
      </w:pPr>
      <w:r>
        <w:rPr>
          <w:noProof/>
        </w:rPr>
        <w:t>V roku 2016 členské štáty zintenzívnili svoje úsilie zamerané na dokončenie transpozície ešte pred tým, než Súdny dvor vydá svoj rozsudok. Päť prípadov, v ktorých sa navrhuje denné penále, však zostáva otvorených: proti každej krajine, Belgicku, Holandsku, Poľsku, Rumunsku a Švédsku, jeden prípad.</w:t>
      </w:r>
    </w:p>
    <w:p>
      <w:pPr>
        <w:spacing w:after="0"/>
        <w:jc w:val="left"/>
        <w:rPr>
          <w:rFonts w:ascii="Arial" w:hAnsi="Arial" w:cs="Arial"/>
          <w:noProof/>
          <w:sz w:val="20"/>
        </w:rPr>
      </w:pPr>
      <w:r>
        <w:rPr>
          <w:noProof/>
        </w:rPr>
        <w:br w:type="page"/>
      </w:r>
    </w:p>
    <w:p>
      <w:pPr>
        <w:pStyle w:val="kop2"/>
        <w:ind w:left="720"/>
        <w:rPr>
          <w:caps w:val="0"/>
          <w:noProof/>
        </w:rPr>
      </w:pPr>
      <w:bookmarkStart w:id="110" w:name="_Toc437944201"/>
      <w:bookmarkStart w:id="111" w:name="_Toc444796668"/>
      <w:bookmarkStart w:id="112" w:name="_Toc484623708"/>
      <w:bookmarkStart w:id="113" w:name="_Toc484685997"/>
      <w:bookmarkStart w:id="114" w:name="_Toc486858029"/>
      <w:r>
        <w:rPr>
          <w:noProof/>
        </w:rPr>
        <w:t>Závery</w:t>
      </w:r>
      <w:bookmarkEnd w:id="110"/>
      <w:bookmarkEnd w:id="111"/>
      <w:bookmarkEnd w:id="112"/>
      <w:bookmarkEnd w:id="113"/>
      <w:bookmarkEnd w:id="114"/>
    </w:p>
    <w:p>
      <w:pPr>
        <w:rPr>
          <w:rFonts w:ascii="Arial" w:hAnsi="Arial" w:cs="Arial"/>
          <w:noProof/>
          <w:sz w:val="20"/>
        </w:rPr>
      </w:pPr>
    </w:p>
    <w:p>
      <w:pPr>
        <w:rPr>
          <w:rFonts w:ascii="Arial" w:hAnsi="Arial" w:cs="Arial"/>
          <w:noProof/>
          <w:sz w:val="20"/>
        </w:rPr>
      </w:pPr>
      <w:r>
        <w:rPr>
          <w:rFonts w:ascii="Arial" w:hAnsi="Arial"/>
          <w:noProof/>
          <w:sz w:val="20"/>
        </w:rPr>
        <w:t>Vysoký počet postupov v prípade nesplnenia povinnosti, ktorý v 2016 vzrástol na päťročné maximum, vyvoláva vážne obavy. Nezabezpečenie včasnej a správnej transpozície právnych predpisov EÚ v konečnom dôsledku zbavuje občanov a podniky ich výhod vyplývajúcich z práva Únie. Komisia preto prikladá veľký význam zabezpečeniu účinného uplatňovania práva.</w:t>
      </w:r>
    </w:p>
    <w:p>
      <w:pPr>
        <w:rPr>
          <w:rFonts w:ascii="Arial" w:hAnsi="Arial" w:cs="Arial"/>
          <w:noProof/>
          <w:sz w:val="20"/>
        </w:rPr>
      </w:pPr>
      <w:r>
        <w:rPr>
          <w:rFonts w:ascii="Arial" w:hAnsi="Arial"/>
          <w:noProof/>
          <w:sz w:val="20"/>
        </w:rPr>
        <w:t xml:space="preserve">Úloha uplatňovať, vykonávať a presadzovať právne predpisy EÚ sa rieši spoločne na úrovni EÚ a členských štátov. Komisia bude naďalej poskytovať členským štátom podporu a pomoc, ktorú potrebujú počas fázy vykonávania. V súlade s oznámením Komisie </w:t>
      </w:r>
      <w:r>
        <w:rPr>
          <w:rFonts w:ascii="Arial" w:hAnsi="Arial"/>
          <w:i/>
          <w:noProof/>
          <w:sz w:val="20"/>
        </w:rPr>
        <w:t>Právo EÚ</w:t>
      </w:r>
      <w:r>
        <w:rPr>
          <w:rFonts w:ascii="Arial" w:hAnsi="Arial"/>
          <w:noProof/>
          <w:sz w:val="20"/>
        </w:rPr>
        <w:t>:</w:t>
      </w:r>
      <w:r>
        <w:rPr>
          <w:rFonts w:ascii="Arial" w:hAnsi="Arial"/>
          <w:i/>
          <w:noProof/>
          <w:sz w:val="20"/>
        </w:rPr>
        <w:t xml:space="preserve"> Lepšie výsledky prostredníctvom lepšieho uplatňovania</w:t>
      </w:r>
      <w:r>
        <w:rPr>
          <w:rFonts w:ascii="Arial" w:hAnsi="Arial"/>
          <w:noProof/>
          <w:sz w:val="20"/>
        </w:rPr>
        <w:t xml:space="preserve"> Komisia sústredí svoje úsilie na problémy, pri ktorých môže mať opatrenie na presadzovanie práva veľký význam. Zároveň posilní svoju reakciu pri porušovaní práva Únie prostredníctvom postupov v prípade nesplnenia povinnosti. S cieľom zabezpečiť rýchlejšie dodržiavanie predpisov a plniť svoje politické priority bude Komisia odteraz začínať postup v prípade nesplnenia povinnosti bez toho, aby sa spoliehala na mechanizmus EU Pilot, pokiaľ sa v danom prípade nepovažuje použitie nástroja EU Pilot za užitočné. Komisia takisto posilnila sankčný režim podľa článku 260 ods. 3 ZFEÚ pre prípady, keď členské štáty včas neoznámia svoje opatrenia, ktorými transponovali smernicu prijatú v súlade s legislatívnym postupom.</w:t>
      </w:r>
    </w:p>
    <w:p>
      <w:pPr>
        <w:rPr>
          <w:rFonts w:ascii="Arial" w:hAnsi="Arial"/>
          <w:noProof/>
          <w:sz w:val="20"/>
        </w:rPr>
      </w:pPr>
      <w:r>
        <w:rPr>
          <w:rFonts w:ascii="Arial" w:hAnsi="Arial"/>
          <w:noProof/>
          <w:sz w:val="20"/>
        </w:rPr>
        <w:t>Tento strategickejší prístup k presadzovaniu práva v kombinácii s včasnými a účinnými opatreniami Komisie sa zameriava na zabezpečenie lepšieho uplatňovania práva EÚ v prospech všetkých.</w:t>
      </w:r>
    </w:p>
    <w:p>
      <w:pPr>
        <w:rPr>
          <w:rFonts w:ascii="Arial" w:hAnsi="Arial" w:cs="Arial"/>
          <w:noProof/>
          <w:sz w:val="20"/>
        </w:rPr>
      </w:pPr>
    </w:p>
    <w:p>
      <w:pPr>
        <w:rPr>
          <w:rFonts w:ascii="Arial" w:hAnsi="Arial" w:cs="Arial"/>
          <w:noProof/>
          <w:sz w:val="20"/>
        </w:rPr>
        <w:sectPr>
          <w:headerReference w:type="even" r:id="rId42"/>
          <w:headerReference w:type="default" r:id="rId43"/>
          <w:footerReference w:type="even" r:id="rId44"/>
          <w:footerReference w:type="default" r:id="rId45"/>
          <w:headerReference w:type="first" r:id="rId46"/>
          <w:footerReference w:type="first" r:id="rId47"/>
          <w:pgSz w:w="11907" w:h="16839" w:code="9"/>
          <w:pgMar w:top="1843" w:right="1418" w:bottom="737" w:left="1418" w:header="567" w:footer="352" w:gutter="0"/>
          <w:cols w:space="720"/>
          <w:titlePg/>
          <w:docGrid w:linePitch="326"/>
        </w:sectPr>
      </w:pPr>
    </w:p>
    <w:p>
      <w:pPr>
        <w:jc w:val="center"/>
        <w:rPr>
          <w:rFonts w:ascii="Arial" w:hAnsi="Arial"/>
          <w:noProof/>
          <w:color w:val="BFBFBF"/>
          <w:szCs w:val="24"/>
        </w:rPr>
      </w:pPr>
      <w:bookmarkStart w:id="115" w:name="_Toc413173792"/>
      <w:r>
        <w:rPr>
          <w:rFonts w:ascii="Arial" w:hAnsi="Arial"/>
          <w:noProof/>
          <w:color w:val="BFBFBF"/>
        </w:rPr>
        <w:t>METODIKA A VYSVETLENIA</w:t>
      </w:r>
      <w:bookmarkEnd w:id="115"/>
    </w:p>
    <w:p>
      <w:pPr>
        <w:keepNext/>
        <w:keepLines/>
        <w:numPr>
          <w:ilvl w:val="0"/>
          <w:numId w:val="39"/>
        </w:numPr>
        <w:spacing w:after="120"/>
        <w:outlineLvl w:val="1"/>
        <w:rPr>
          <w:rFonts w:ascii="Arial" w:eastAsia="MS Gothic" w:hAnsi="Arial" w:cs="Arial"/>
          <w:caps/>
          <w:noProof/>
          <w:color w:val="4F81BD"/>
          <w:kern w:val="20"/>
          <w:szCs w:val="24"/>
        </w:rPr>
      </w:pPr>
      <w:bookmarkStart w:id="116" w:name="_Toc413173793"/>
      <w:bookmarkStart w:id="117" w:name="_Toc484623709"/>
      <w:bookmarkStart w:id="118" w:name="_Toc484685998"/>
      <w:bookmarkStart w:id="119" w:name="_Toc486858030"/>
      <w:r>
        <w:rPr>
          <w:rFonts w:ascii="Arial" w:hAnsi="Arial"/>
          <w:noProof/>
          <w:color w:val="4F81BD"/>
          <w:kern w:val="20"/>
        </w:rPr>
        <w:t>Výročná správa</w:t>
      </w:r>
      <w:bookmarkEnd w:id="116"/>
      <w:bookmarkEnd w:id="117"/>
      <w:bookmarkEnd w:id="118"/>
      <w:bookmarkEnd w:id="119"/>
    </w:p>
    <w:p>
      <w:pPr>
        <w:keepNext/>
        <w:keepLines/>
        <w:numPr>
          <w:ilvl w:val="1"/>
          <w:numId w:val="40"/>
        </w:numPr>
        <w:outlineLvl w:val="2"/>
        <w:rPr>
          <w:rFonts w:ascii="Arial" w:eastAsia="MS Gothic" w:hAnsi="Arial" w:cs="Arial"/>
          <w:bCs/>
          <w:noProof/>
          <w:color w:val="006FB4"/>
          <w:kern w:val="20"/>
          <w:sz w:val="20"/>
        </w:rPr>
      </w:pPr>
      <w:bookmarkStart w:id="120" w:name="_Toc413173794"/>
      <w:bookmarkStart w:id="121" w:name="_Toc484685999"/>
      <w:bookmarkStart w:id="122" w:name="_Toc486858031"/>
      <w:r>
        <w:rPr>
          <w:rFonts w:ascii="Arial" w:hAnsi="Arial"/>
          <w:noProof/>
          <w:color w:val="006FB4"/>
          <w:kern w:val="20"/>
          <w:sz w:val="20"/>
        </w:rPr>
        <w:t>Odhaľovanie problémov</w:t>
      </w:r>
      <w:bookmarkEnd w:id="120"/>
      <w:bookmarkEnd w:id="121"/>
      <w:bookmarkEnd w:id="122"/>
    </w:p>
    <w:p>
      <w:pPr>
        <w:rPr>
          <w:rFonts w:ascii="Arial" w:hAnsi="Arial" w:cs="Arial"/>
          <w:b/>
          <w:noProof/>
          <w:color w:val="002060"/>
          <w:sz w:val="20"/>
        </w:rPr>
      </w:pPr>
      <w:r>
        <w:rPr>
          <w:rFonts w:ascii="Arial" w:hAnsi="Arial"/>
          <w:b/>
          <w:noProof/>
          <w:color w:val="002060"/>
          <w:sz w:val="20"/>
        </w:rPr>
        <w:t>Prvý graf: Počet sťažností (2012 – 2016)</w:t>
      </w:r>
    </w:p>
    <w:p>
      <w:pPr>
        <w:rPr>
          <w:rFonts w:ascii="Arial" w:hAnsi="Arial" w:cs="Arial"/>
          <w:noProof/>
          <w:sz w:val="20"/>
        </w:rPr>
      </w:pPr>
      <w:r>
        <w:rPr>
          <w:rFonts w:ascii="Arial" w:hAnsi="Arial"/>
          <w:noProof/>
          <w:sz w:val="20"/>
        </w:rPr>
        <w:t>Zobrazuje celkový počet sťažností, ktoré Komisia zaregistrovala v období rokov 2012 – 2016.</w:t>
      </w:r>
    </w:p>
    <w:p>
      <w:pPr>
        <w:rPr>
          <w:rFonts w:ascii="Arial" w:hAnsi="Arial" w:cs="Arial"/>
          <w:b/>
          <w:noProof/>
          <w:color w:val="002060"/>
          <w:sz w:val="20"/>
        </w:rPr>
      </w:pPr>
      <w:r>
        <w:rPr>
          <w:rFonts w:ascii="Arial" w:hAnsi="Arial"/>
          <w:b/>
          <w:noProof/>
          <w:color w:val="002060"/>
          <w:sz w:val="20"/>
        </w:rPr>
        <w:t>Druhý graf: Sťažnosti od verejnosti otvorené ku koncu roka</w:t>
      </w:r>
    </w:p>
    <w:p>
      <w:pPr>
        <w:rPr>
          <w:rFonts w:ascii="Arial" w:hAnsi="Arial" w:cs="Arial"/>
          <w:noProof/>
          <w:sz w:val="20"/>
        </w:rPr>
      </w:pPr>
      <w:r>
        <w:rPr>
          <w:rFonts w:ascii="Arial" w:hAnsi="Arial"/>
          <w:noProof/>
          <w:sz w:val="20"/>
        </w:rPr>
        <w:t>Na začiatku je zobrazený počet otvorených sťažností prenesených z roku 2015 (prvý stĺpec). Druhý stĺpec zobrazuje počet nových sťažností zaregistrovaných v roku 2016. Tretí stĺpec znázorňuje počet sťažností, pre ktoré Komisia prijala rozhodnutie v roku 2016. Štvrtý stĺpec zobrazuje počet sťažností otvorených na konci roku 2016 (vypočítané s prvým údajom, pridaním druhého a odpočítaním tretieho).</w:t>
      </w:r>
    </w:p>
    <w:p>
      <w:pPr>
        <w:rPr>
          <w:rFonts w:ascii="Arial" w:hAnsi="Arial" w:cs="Arial"/>
          <w:b/>
          <w:noProof/>
          <w:color w:val="002060"/>
          <w:sz w:val="20"/>
        </w:rPr>
      </w:pPr>
      <w:r>
        <w:rPr>
          <w:rFonts w:ascii="Arial" w:hAnsi="Arial"/>
          <w:b/>
          <w:noProof/>
          <w:color w:val="002060"/>
          <w:sz w:val="20"/>
        </w:rPr>
        <w:t>Tretí graf: Nové sťažnosti zaregistrované v roku 2016: hlavné oblasti politiky</w:t>
      </w:r>
      <w:r>
        <w:rPr>
          <w:rStyle w:val="FootnoteReference"/>
          <w:noProof/>
        </w:rPr>
        <w:footnoteReference w:id="141"/>
      </w:r>
    </w:p>
    <w:p>
      <w:pPr>
        <w:rPr>
          <w:rFonts w:ascii="Arial" w:hAnsi="Arial" w:cs="Arial"/>
          <w:noProof/>
          <w:sz w:val="20"/>
        </w:rPr>
      </w:pPr>
      <w:r>
        <w:rPr>
          <w:rFonts w:ascii="Arial" w:hAnsi="Arial"/>
          <w:noProof/>
          <w:sz w:val="20"/>
        </w:rPr>
        <w:t>Znázorňuje hlavné oblasti politiky, v ktorých boli v roku 2016 zaregistrované nové sťažnosti.</w:t>
      </w:r>
    </w:p>
    <w:p>
      <w:pPr>
        <w:keepNext/>
        <w:keepLines/>
        <w:numPr>
          <w:ilvl w:val="1"/>
          <w:numId w:val="40"/>
        </w:numPr>
        <w:outlineLvl w:val="2"/>
        <w:rPr>
          <w:rFonts w:ascii="Arial" w:eastAsia="MS Gothic" w:hAnsi="Arial" w:cs="Arial"/>
          <w:bCs/>
          <w:noProof/>
          <w:color w:val="006FB4"/>
          <w:kern w:val="20"/>
          <w:sz w:val="20"/>
        </w:rPr>
      </w:pPr>
      <w:bookmarkStart w:id="123" w:name="_Toc484686000"/>
      <w:bookmarkStart w:id="124" w:name="_Toc486858032"/>
      <w:r>
        <w:rPr>
          <w:rFonts w:ascii="Arial" w:hAnsi="Arial"/>
          <w:noProof/>
          <w:color w:val="006FB4"/>
          <w:kern w:val="20"/>
          <w:sz w:val="20"/>
        </w:rPr>
        <w:t>Projekt EU Pilot</w:t>
      </w:r>
      <w:bookmarkEnd w:id="123"/>
      <w:bookmarkEnd w:id="124"/>
    </w:p>
    <w:p>
      <w:pPr>
        <w:rPr>
          <w:rFonts w:ascii="Arial" w:hAnsi="Arial" w:cs="Arial"/>
          <w:b/>
          <w:noProof/>
          <w:color w:val="002060"/>
          <w:sz w:val="20"/>
        </w:rPr>
      </w:pPr>
      <w:r>
        <w:rPr>
          <w:rFonts w:ascii="Arial" w:hAnsi="Arial"/>
          <w:b/>
          <w:noProof/>
          <w:color w:val="002060"/>
          <w:sz w:val="20"/>
        </w:rPr>
        <w:t>Prvý graf: Počet prípadov v rámci projektu EU Pilot (2012 – 2016)</w:t>
      </w:r>
    </w:p>
    <w:p>
      <w:pPr>
        <w:rPr>
          <w:rFonts w:ascii="Arial" w:hAnsi="Arial" w:cs="Arial"/>
          <w:noProof/>
          <w:sz w:val="20"/>
        </w:rPr>
      </w:pPr>
      <w:r>
        <w:rPr>
          <w:rFonts w:ascii="Arial" w:hAnsi="Arial"/>
          <w:noProof/>
          <w:sz w:val="20"/>
        </w:rPr>
        <w:t>Ukazuje celkový počet prípadov v rámci projektu EU Pilot, ktoré Komisia otvorila v rokoch 2012 – 2016.</w:t>
      </w:r>
    </w:p>
    <w:p>
      <w:pPr>
        <w:rPr>
          <w:rFonts w:ascii="Arial" w:hAnsi="Arial" w:cs="Arial"/>
          <w:noProof/>
          <w:color w:val="002060"/>
          <w:sz w:val="20"/>
        </w:rPr>
      </w:pPr>
      <w:r>
        <w:rPr>
          <w:rFonts w:ascii="Arial" w:hAnsi="Arial"/>
          <w:b/>
          <w:noProof/>
          <w:color w:val="002060"/>
          <w:sz w:val="20"/>
        </w:rPr>
        <w:t>Druhý graf: Prípady v rámci projektu EU Pilot otvorené ku koncu roka</w:t>
      </w:r>
    </w:p>
    <w:p>
      <w:pPr>
        <w:rPr>
          <w:rFonts w:ascii="Arial" w:hAnsi="Arial" w:cs="Arial"/>
          <w:b/>
          <w:noProof/>
          <w:sz w:val="20"/>
        </w:rPr>
      </w:pPr>
      <w:r>
        <w:rPr>
          <w:rFonts w:ascii="Arial" w:hAnsi="Arial"/>
          <w:noProof/>
          <w:sz w:val="20"/>
        </w:rPr>
        <w:t>Na začiatku je zobrazený počet otvorených prípadov v rámci projektu EU Pilot prenesených z roku 2015 (prvý stĺpec). Druhý stĺpec zobrazuje počet nových prípadov v rámci projektu EU Pilot otvorených v roku 2016. Tretí stĺpec znázorňuje počet prípadov, pre ktoré Komisia prijala rozhodnutia v roku 2016. Štvrtý stĺpec zobrazuje počet prípadov v rámci projektu EU Pilot otvorených na konci roku 2016 (vypočítané s prvým údajom, pridaním druhého a odpočítaním tretieho).</w:t>
      </w:r>
    </w:p>
    <w:p>
      <w:pPr>
        <w:rPr>
          <w:rFonts w:ascii="Arial" w:hAnsi="Arial" w:cs="Arial"/>
          <w:b/>
          <w:noProof/>
          <w:color w:val="002060"/>
          <w:sz w:val="20"/>
        </w:rPr>
      </w:pPr>
      <w:r>
        <w:rPr>
          <w:rFonts w:ascii="Arial" w:hAnsi="Arial"/>
          <w:b/>
          <w:noProof/>
          <w:color w:val="002060"/>
          <w:sz w:val="20"/>
        </w:rPr>
        <w:t>Tretí graf: Prípady v rámci projektu EU Pilot otvorené v roku 2016: hlavné oblasti politiky</w:t>
      </w:r>
    </w:p>
    <w:p>
      <w:pPr>
        <w:rPr>
          <w:rFonts w:ascii="Arial" w:hAnsi="Arial" w:cs="Arial"/>
          <w:noProof/>
          <w:sz w:val="20"/>
        </w:rPr>
      </w:pPr>
      <w:r>
        <w:rPr>
          <w:rFonts w:ascii="Arial" w:hAnsi="Arial"/>
          <w:noProof/>
          <w:sz w:val="20"/>
        </w:rPr>
        <w:t>Graf znázorňuje oblasti politiky, v ktorých boli v roku 2016 otvorené nové prípady v rámci projektu EU Pilot.</w:t>
      </w:r>
    </w:p>
    <w:p>
      <w:pPr>
        <w:rPr>
          <w:rFonts w:ascii="Arial" w:hAnsi="Arial" w:cs="Arial"/>
          <w:b/>
          <w:noProof/>
          <w:color w:val="002060"/>
          <w:sz w:val="20"/>
        </w:rPr>
      </w:pPr>
      <w:r>
        <w:rPr>
          <w:rFonts w:ascii="Arial" w:hAnsi="Arial"/>
          <w:b/>
          <w:noProof/>
          <w:color w:val="002060"/>
          <w:sz w:val="20"/>
        </w:rPr>
        <w:t>Štvrtý graf: Prípady v rámci projektu EU Pilot: Priemerná miera úspešne vyriešených prípadov v EÚ (2012 – 2016)</w:t>
      </w:r>
    </w:p>
    <w:p>
      <w:pPr>
        <w:rPr>
          <w:rFonts w:ascii="Arial" w:hAnsi="Arial" w:cs="Arial"/>
          <w:noProof/>
          <w:sz w:val="20"/>
        </w:rPr>
      </w:pPr>
      <w:r>
        <w:rPr>
          <w:rFonts w:ascii="Arial" w:hAnsi="Arial"/>
          <w:noProof/>
          <w:sz w:val="20"/>
        </w:rPr>
        <w:t>Znázorňuje celkový počet prípadov v rámci projektu EU Pilot, ktoré Komisia uzavrela v uplynulých štyroch rokoch bez začatia postupu v prípade nesplnenia povinnosti.</w:t>
      </w:r>
    </w:p>
    <w:p>
      <w:pPr>
        <w:rPr>
          <w:rFonts w:ascii="Arial" w:hAnsi="Arial" w:cs="Arial"/>
          <w:b/>
          <w:noProof/>
          <w:color w:val="002060"/>
          <w:sz w:val="20"/>
        </w:rPr>
      </w:pPr>
      <w:r>
        <w:rPr>
          <w:rFonts w:ascii="Arial" w:hAnsi="Arial"/>
          <w:b/>
          <w:noProof/>
          <w:color w:val="002060"/>
          <w:sz w:val="20"/>
        </w:rPr>
        <w:t>Piaty graf: Prípady v rámci projektu EU Pilot: Miera úspešne vyriešených prípadov v pomere k počtu prípadov vybavovaných v roku 2016</w:t>
      </w:r>
    </w:p>
    <w:p>
      <w:pPr>
        <w:rPr>
          <w:rFonts w:ascii="Arial" w:eastAsia="Calibri" w:hAnsi="Arial" w:cs="Arial"/>
          <w:noProof/>
          <w:sz w:val="20"/>
        </w:rPr>
      </w:pPr>
      <w:r>
        <w:rPr>
          <w:rFonts w:ascii="Arial" w:hAnsi="Arial"/>
          <w:noProof/>
          <w:sz w:val="20"/>
        </w:rPr>
        <w:t>Znázorňuje mieru úspešne vyriešených prípadov v rámci projektu EU Pilot, t. j. percento prípadov, ktoré Komisia riešila v roku 2016 a ktoré mohla ukončiť bez začatia postupu v prípade nesplnenia povinnosti.</w:t>
      </w:r>
    </w:p>
    <w:p>
      <w:pPr>
        <w:rPr>
          <w:rFonts w:ascii="Arial" w:hAnsi="Arial" w:cs="Arial"/>
          <w:b/>
          <w:noProof/>
          <w:color w:val="002060"/>
          <w:sz w:val="20"/>
        </w:rPr>
      </w:pPr>
      <w:r>
        <w:rPr>
          <w:rFonts w:ascii="Arial" w:hAnsi="Arial"/>
          <w:b/>
          <w:noProof/>
          <w:color w:val="002060"/>
          <w:sz w:val="20"/>
        </w:rPr>
        <w:t>Šiesty graf: Prípady v rámci projektu EU Pilot: Čas reakcie členských štátov v roku 2016 (v dňoch)</w:t>
      </w:r>
    </w:p>
    <w:p>
      <w:pPr>
        <w:rPr>
          <w:rFonts w:ascii="Arial" w:hAnsi="Arial" w:cs="Arial"/>
          <w:noProof/>
          <w:sz w:val="20"/>
        </w:rPr>
      </w:pPr>
      <w:r>
        <w:rPr>
          <w:rFonts w:ascii="Arial" w:hAnsi="Arial"/>
          <w:noProof/>
          <w:sz w:val="20"/>
        </w:rPr>
        <w:t>Znázorňuje priemerný čas reakcie v každom členskom štáte v rámci projektu EU Pilot v roku 2016.</w:t>
      </w:r>
    </w:p>
    <w:p>
      <w:pPr>
        <w:keepNext/>
        <w:keepLines/>
        <w:numPr>
          <w:ilvl w:val="1"/>
          <w:numId w:val="40"/>
        </w:numPr>
        <w:outlineLvl w:val="2"/>
        <w:rPr>
          <w:rFonts w:ascii="Arial" w:eastAsia="MS Gothic" w:hAnsi="Arial" w:cs="Arial"/>
          <w:bCs/>
          <w:noProof/>
          <w:color w:val="006FB4"/>
          <w:kern w:val="20"/>
          <w:sz w:val="20"/>
        </w:rPr>
      </w:pPr>
      <w:bookmarkStart w:id="125" w:name="_Toc413173795"/>
      <w:bookmarkStart w:id="126" w:name="_Toc484686001"/>
      <w:bookmarkStart w:id="127" w:name="_Toc486858033"/>
      <w:r>
        <w:rPr>
          <w:rFonts w:ascii="Arial" w:hAnsi="Arial"/>
          <w:noProof/>
          <w:color w:val="006FB4"/>
          <w:kern w:val="20"/>
          <w:sz w:val="20"/>
        </w:rPr>
        <w:t>Postupy v prípade nesplnenia povinnosti</w:t>
      </w:r>
      <w:bookmarkEnd w:id="125"/>
      <w:bookmarkEnd w:id="126"/>
      <w:bookmarkEnd w:id="127"/>
    </w:p>
    <w:p>
      <w:pPr>
        <w:rPr>
          <w:rFonts w:ascii="Arial" w:hAnsi="Arial" w:cs="Arial"/>
          <w:b/>
          <w:noProof/>
          <w:color w:val="002060"/>
          <w:sz w:val="20"/>
        </w:rPr>
      </w:pPr>
      <w:r>
        <w:rPr>
          <w:rFonts w:ascii="Arial" w:hAnsi="Arial"/>
          <w:b/>
          <w:noProof/>
          <w:color w:val="002060"/>
          <w:sz w:val="20"/>
        </w:rPr>
        <w:t>Prvý graf: Nové prípady nesplnenia povinnosti k 31. decembru 2016</w:t>
      </w:r>
    </w:p>
    <w:p>
      <w:pPr>
        <w:rPr>
          <w:rFonts w:ascii="Arial" w:hAnsi="Arial" w:cs="Arial"/>
          <w:noProof/>
          <w:sz w:val="20"/>
        </w:rPr>
      </w:pPr>
      <w:r>
        <w:rPr>
          <w:rFonts w:ascii="Arial" w:hAnsi="Arial"/>
          <w:noProof/>
          <w:sz w:val="20"/>
        </w:rPr>
        <w:t>Znázorňuje počet nových prípadov nesplnenia povinnosti členskými štátmi otvorených v roku 2016.</w:t>
      </w:r>
    </w:p>
    <w:p>
      <w:pPr>
        <w:rPr>
          <w:rFonts w:ascii="Arial" w:hAnsi="Arial" w:cs="Arial"/>
          <w:b/>
          <w:noProof/>
          <w:color w:val="002060"/>
          <w:sz w:val="20"/>
        </w:rPr>
      </w:pPr>
      <w:r>
        <w:rPr>
          <w:rFonts w:ascii="Arial" w:hAnsi="Arial"/>
          <w:b/>
          <w:noProof/>
          <w:color w:val="002060"/>
          <w:sz w:val="20"/>
        </w:rPr>
        <w:t>Druhý graf: Nové prípady nesplnenia povinnosti otvorené v roku 2016: hlavné oblasti politiky</w:t>
      </w:r>
    </w:p>
    <w:p>
      <w:pPr>
        <w:rPr>
          <w:rFonts w:ascii="Arial" w:hAnsi="Arial" w:cs="Arial"/>
          <w:noProof/>
          <w:sz w:val="20"/>
        </w:rPr>
      </w:pPr>
      <w:r>
        <w:rPr>
          <w:rFonts w:ascii="Arial" w:hAnsi="Arial"/>
          <w:noProof/>
          <w:sz w:val="20"/>
        </w:rPr>
        <w:t>Znázorňuje hlavné oblasti politiky, v ktorých boli v roku 2016 otvorené nové prípady nesplnenia povinnosti.</w:t>
      </w:r>
    </w:p>
    <w:p>
      <w:pPr>
        <w:rPr>
          <w:rFonts w:ascii="Arial" w:hAnsi="Arial" w:cs="Arial"/>
          <w:b/>
          <w:noProof/>
          <w:color w:val="002060"/>
          <w:sz w:val="20"/>
        </w:rPr>
      </w:pPr>
      <w:r>
        <w:rPr>
          <w:rFonts w:ascii="Arial" w:hAnsi="Arial"/>
          <w:b/>
          <w:noProof/>
          <w:color w:val="002060"/>
          <w:sz w:val="20"/>
        </w:rPr>
        <w:t>Tretí graf: Odôvodnené stanoviská zaslané členským štátom v roku 2016</w:t>
      </w:r>
    </w:p>
    <w:p>
      <w:pPr>
        <w:rPr>
          <w:rFonts w:ascii="Arial" w:hAnsi="Arial" w:cs="Arial"/>
          <w:noProof/>
          <w:sz w:val="20"/>
        </w:rPr>
      </w:pPr>
      <w:r>
        <w:rPr>
          <w:rFonts w:ascii="Arial" w:hAnsi="Arial"/>
          <w:noProof/>
          <w:sz w:val="20"/>
        </w:rPr>
        <w:t>Znázorňuje počet odôvodnených stanovísk zaslaných členským štátom v roku 2016.</w:t>
      </w:r>
    </w:p>
    <w:p>
      <w:pPr>
        <w:rPr>
          <w:rFonts w:ascii="Arial" w:hAnsi="Arial" w:cs="Arial"/>
          <w:b/>
          <w:noProof/>
          <w:color w:val="002060"/>
          <w:sz w:val="20"/>
        </w:rPr>
      </w:pPr>
      <w:r>
        <w:rPr>
          <w:rFonts w:ascii="Arial" w:hAnsi="Arial"/>
          <w:b/>
          <w:noProof/>
          <w:color w:val="002060"/>
          <w:sz w:val="20"/>
        </w:rPr>
        <w:t>Štvrtý graf: Prípady nesplnenia povinnosti otvorené ku koncu roka (2012 – 2016)</w:t>
      </w:r>
    </w:p>
    <w:p>
      <w:pPr>
        <w:rPr>
          <w:rFonts w:ascii="Arial" w:hAnsi="Arial" w:cs="Arial"/>
          <w:noProof/>
          <w:sz w:val="20"/>
        </w:rPr>
      </w:pPr>
      <w:r>
        <w:rPr>
          <w:rFonts w:ascii="Arial" w:hAnsi="Arial"/>
          <w:noProof/>
          <w:sz w:val="20"/>
        </w:rPr>
        <w:t>Znázorňuje počet nesplnení povinnosti, ktoré zostali otvorené k 31. decembru každého roku v období rokov 2012 – 2016.</w:t>
      </w:r>
    </w:p>
    <w:p>
      <w:pPr>
        <w:rPr>
          <w:rFonts w:ascii="Arial" w:hAnsi="Arial" w:cs="Arial"/>
          <w:b/>
          <w:noProof/>
          <w:color w:val="002060"/>
          <w:sz w:val="20"/>
        </w:rPr>
      </w:pPr>
      <w:r>
        <w:rPr>
          <w:rFonts w:ascii="Arial" w:hAnsi="Arial"/>
          <w:b/>
          <w:noProof/>
          <w:color w:val="002060"/>
          <w:sz w:val="20"/>
        </w:rPr>
        <w:t>Piaty graf: Prípady nesplnenia povinnosti otvorené k 31. decembru 2016</w:t>
      </w:r>
    </w:p>
    <w:p>
      <w:pPr>
        <w:rPr>
          <w:rFonts w:ascii="Arial" w:hAnsi="Arial" w:cs="Arial"/>
          <w:noProof/>
          <w:sz w:val="20"/>
        </w:rPr>
      </w:pPr>
      <w:r>
        <w:rPr>
          <w:rFonts w:ascii="Arial" w:hAnsi="Arial"/>
          <w:noProof/>
          <w:sz w:val="20"/>
        </w:rPr>
        <w:t>Tieto údaje zobrazujú všetky konania, ktoré Komisia začala proti jednotlivým členským štátom zaslaním formálnej výzvy podľa článku 258 ZFEÚ. Zahŕňa výzvy zaslané v roku 2016 alebo skôr, bez ohľadu na to, do ktorej fázy sa prípady dostali. Zobrazené sú iba tie prípady, ktoré ešte neboli uzavreté formálnym rozhodnutím. Pre každý členský štát sa v grafe na jednej strane rozlišuje medzi nesplnením povinnosti pre nesprávnu transpozíciu a/alebo nesprávnym uplatňovaním práva Únie a na druhej strane nesplnením povinnosti v súvislosti s neskorou transpozíciou.</w:t>
      </w:r>
    </w:p>
    <w:p>
      <w:pPr>
        <w:rPr>
          <w:rFonts w:ascii="Arial" w:hAnsi="Arial" w:cs="Arial"/>
          <w:noProof/>
          <w:sz w:val="20"/>
        </w:rPr>
      </w:pPr>
      <w:r>
        <w:rPr>
          <w:rFonts w:ascii="Arial" w:hAnsi="Arial"/>
          <w:noProof/>
          <w:sz w:val="20"/>
        </w:rPr>
        <w:t>Preto tieto čísla zahŕňajú všetky prípady, ktoré k 31. decembru 2016:</w:t>
      </w:r>
    </w:p>
    <w:p>
      <w:pPr>
        <w:ind w:left="1412" w:hanging="703"/>
        <w:rPr>
          <w:rFonts w:ascii="Arial" w:eastAsia="Calibri" w:hAnsi="Arial" w:cs="Arial"/>
          <w:noProof/>
          <w:kern w:val="20"/>
          <w:sz w:val="20"/>
        </w:rPr>
      </w:pPr>
      <w:r>
        <w:rPr>
          <w:rFonts w:ascii="Arial" w:hAnsi="Arial"/>
          <w:noProof/>
          <w:kern w:val="20"/>
          <w:sz w:val="20"/>
        </w:rPr>
        <w:t>boli vo fáze predchádzajúcej súdnemu konaniu (formálna výzva, odôvodnené stanovisko alebo rozhodnutie o podaní podnetu na Súdny dvor podľa článku 258 ZFEÚ),</w:t>
      </w:r>
    </w:p>
    <w:p>
      <w:pPr>
        <w:ind w:left="1412" w:hanging="703"/>
        <w:rPr>
          <w:rFonts w:ascii="Arial" w:eastAsia="Calibri" w:hAnsi="Arial" w:cs="Arial"/>
          <w:noProof/>
          <w:kern w:val="20"/>
          <w:sz w:val="20"/>
        </w:rPr>
      </w:pPr>
      <w:r>
        <w:rPr>
          <w:rFonts w:ascii="Arial" w:hAnsi="Arial"/>
          <w:noProof/>
          <w:kern w:val="20"/>
          <w:sz w:val="20"/>
        </w:rPr>
        <w:t>prebiehali na Súdnom dvore podľa článku 258 ZFEÚ alebo článku 260 ods. 3 ZFEÚ,</w:t>
      </w:r>
    </w:p>
    <w:p>
      <w:pPr>
        <w:ind w:left="1412" w:hanging="703"/>
        <w:rPr>
          <w:rFonts w:ascii="Arial" w:eastAsia="Calibri" w:hAnsi="Arial" w:cs="Arial"/>
          <w:noProof/>
          <w:kern w:val="20"/>
          <w:sz w:val="20"/>
        </w:rPr>
      </w:pPr>
      <w:r>
        <w:rPr>
          <w:rFonts w:ascii="Arial" w:hAnsi="Arial"/>
          <w:noProof/>
          <w:kern w:val="20"/>
          <w:sz w:val="20"/>
        </w:rPr>
        <w:t>Súdny dvor už rozhodol, ale Komisia ešte nemohla potvrdiť, že členský štát riadne vykonal rozsudok,</w:t>
      </w:r>
    </w:p>
    <w:p>
      <w:pPr>
        <w:ind w:left="1412" w:hanging="703"/>
        <w:rPr>
          <w:rFonts w:ascii="Arial" w:eastAsia="Calibri" w:hAnsi="Arial" w:cs="Arial"/>
          <w:noProof/>
          <w:kern w:val="20"/>
          <w:sz w:val="20"/>
        </w:rPr>
      </w:pPr>
      <w:r>
        <w:rPr>
          <w:rFonts w:ascii="Arial" w:hAnsi="Arial"/>
          <w:noProof/>
          <w:kern w:val="20"/>
          <w:sz w:val="20"/>
        </w:rPr>
        <w:t>boli v druhej fáze pred začatím súdneho konania (formálna výzva alebo postúpenie rozhodnutia podľa článku 260 ods. 2 ZFEÚ),</w:t>
      </w:r>
    </w:p>
    <w:p>
      <w:pPr>
        <w:ind w:left="1412" w:hanging="703"/>
        <w:rPr>
          <w:rFonts w:ascii="Arial" w:eastAsia="Calibri" w:hAnsi="Arial" w:cs="Arial"/>
          <w:noProof/>
          <w:kern w:val="20"/>
          <w:sz w:val="20"/>
        </w:rPr>
      </w:pPr>
      <w:r>
        <w:rPr>
          <w:rFonts w:ascii="Arial" w:hAnsi="Arial"/>
          <w:noProof/>
          <w:kern w:val="20"/>
          <w:sz w:val="20"/>
        </w:rPr>
        <w:t>prebiehali na Súdnom dvore v dôsledku druhého postúpenia, alebo</w:t>
      </w:r>
    </w:p>
    <w:p>
      <w:pPr>
        <w:ind w:left="1412" w:hanging="703"/>
        <w:rPr>
          <w:rFonts w:ascii="Arial" w:eastAsia="Calibri" w:hAnsi="Arial" w:cs="Arial"/>
          <w:noProof/>
          <w:kern w:val="20"/>
          <w:sz w:val="20"/>
        </w:rPr>
      </w:pPr>
      <w:r>
        <w:rPr>
          <w:rFonts w:ascii="Arial" w:hAnsi="Arial"/>
          <w:noProof/>
          <w:kern w:val="20"/>
          <w:sz w:val="20"/>
        </w:rPr>
        <w:t>Súdny dvor už rozhodol vo veci druhýkrát, ale Komisia nemohla ešte potvrdiť, že členský štát riadne vykonal druhý rozsudok.</w:t>
      </w:r>
    </w:p>
    <w:p>
      <w:pPr>
        <w:rPr>
          <w:rFonts w:ascii="Arial" w:hAnsi="Arial" w:cs="Arial"/>
          <w:noProof/>
          <w:sz w:val="20"/>
        </w:rPr>
      </w:pPr>
      <w:r>
        <w:rPr>
          <w:rFonts w:ascii="Arial" w:hAnsi="Arial"/>
          <w:noProof/>
          <w:sz w:val="20"/>
        </w:rPr>
        <w:t>Tento údaj nezahŕňa napríklad otvorené prípady v rámci nástroja EU Pilot. Takisto nezahŕňa prípady v rámci nástroja EU Pilot, v ktorých Komisia zamietla odpovede poskytnuté členskými štátmi, ale ešte im nezaslala formálnu výzvu podľa článku 258 ZFEÚ.</w:t>
      </w:r>
    </w:p>
    <w:p>
      <w:pPr>
        <w:rPr>
          <w:rFonts w:ascii="Arial" w:hAnsi="Arial" w:cs="Arial"/>
          <w:b/>
          <w:noProof/>
          <w:color w:val="002060"/>
          <w:sz w:val="20"/>
        </w:rPr>
      </w:pPr>
      <w:r>
        <w:rPr>
          <w:rFonts w:ascii="Arial" w:hAnsi="Arial"/>
          <w:b/>
          <w:noProof/>
          <w:color w:val="002060"/>
          <w:sz w:val="20"/>
        </w:rPr>
        <w:t>Šiesty graf: Prípady nesplnenia povinnosti otvorené ku koncu roka 2016: oblasti politiky</w:t>
      </w:r>
    </w:p>
    <w:p>
      <w:pPr>
        <w:rPr>
          <w:rFonts w:ascii="Arial" w:hAnsi="Arial" w:cs="Arial"/>
          <w:noProof/>
          <w:sz w:val="20"/>
        </w:rPr>
      </w:pPr>
      <w:r>
        <w:rPr>
          <w:rFonts w:ascii="Arial" w:hAnsi="Arial"/>
          <w:noProof/>
          <w:sz w:val="20"/>
        </w:rPr>
        <w:t>Zobrazuje rozpis podľa jednotlivých oblastí politiky, prípadov nesplnenia povinnosti otvorených k 31. decembru 2016.</w:t>
      </w:r>
    </w:p>
    <w:p>
      <w:pPr>
        <w:keepNext/>
        <w:keepLines/>
        <w:numPr>
          <w:ilvl w:val="1"/>
          <w:numId w:val="40"/>
        </w:numPr>
        <w:outlineLvl w:val="2"/>
        <w:rPr>
          <w:rFonts w:ascii="Arial" w:eastAsia="MS Gothic" w:hAnsi="Arial" w:cs="Arial"/>
          <w:bCs/>
          <w:noProof/>
          <w:color w:val="006FB4"/>
          <w:kern w:val="20"/>
          <w:sz w:val="20"/>
        </w:rPr>
      </w:pPr>
      <w:bookmarkStart w:id="128" w:name="_Toc413173796"/>
      <w:bookmarkStart w:id="129" w:name="_Toc484686002"/>
      <w:bookmarkStart w:id="130" w:name="_Toc486858034"/>
      <w:r>
        <w:rPr>
          <w:rFonts w:ascii="Arial" w:hAnsi="Arial"/>
          <w:noProof/>
          <w:color w:val="006FB4"/>
          <w:kern w:val="20"/>
          <w:sz w:val="20"/>
        </w:rPr>
        <w:t>Transpozícia smerníc</w:t>
      </w:r>
      <w:bookmarkEnd w:id="128"/>
      <w:bookmarkEnd w:id="129"/>
      <w:bookmarkEnd w:id="130"/>
    </w:p>
    <w:p>
      <w:pPr>
        <w:rPr>
          <w:rFonts w:ascii="Arial" w:hAnsi="Arial" w:cs="Arial"/>
          <w:b/>
          <w:noProof/>
          <w:color w:val="002060"/>
          <w:sz w:val="20"/>
        </w:rPr>
      </w:pPr>
      <w:r>
        <w:rPr>
          <w:rFonts w:ascii="Arial" w:hAnsi="Arial"/>
          <w:b/>
          <w:noProof/>
          <w:color w:val="002060"/>
          <w:sz w:val="20"/>
        </w:rPr>
        <w:t>Prvý graf: Smernice a prípady nesplnenia povinnosti v súvislosti s neskorou transpozíciou</w:t>
      </w:r>
    </w:p>
    <w:p>
      <w:pPr>
        <w:rPr>
          <w:rFonts w:ascii="Arial" w:hAnsi="Arial" w:cs="Arial"/>
          <w:noProof/>
          <w:sz w:val="20"/>
        </w:rPr>
      </w:pPr>
      <w:r>
        <w:rPr>
          <w:rFonts w:ascii="Arial" w:hAnsi="Arial"/>
          <w:noProof/>
          <w:sz w:val="20"/>
        </w:rPr>
        <w:t>Zobrazuje počet smerníc, ktoré mali byť transponované v rokoch 2012 – 2016 a počet nových prípadov nesplnenia povinnosti v súvislosti s neskorou transpozíciou otvorených v tomto období.</w:t>
      </w:r>
    </w:p>
    <w:p>
      <w:pPr>
        <w:rPr>
          <w:rFonts w:ascii="Arial" w:hAnsi="Arial" w:cs="Arial"/>
          <w:b/>
          <w:noProof/>
          <w:color w:val="002060"/>
          <w:sz w:val="20"/>
        </w:rPr>
      </w:pPr>
      <w:r>
        <w:rPr>
          <w:rFonts w:ascii="Arial" w:hAnsi="Arial"/>
          <w:b/>
          <w:noProof/>
          <w:color w:val="002060"/>
          <w:sz w:val="20"/>
        </w:rPr>
        <w:t>Druhý graf: Prípady nesplnenia povinnosti v súvislosti s neskorou transpozíciou otvorené ku koncu roka</w:t>
      </w:r>
    </w:p>
    <w:p>
      <w:pPr>
        <w:rPr>
          <w:rFonts w:ascii="Arial" w:hAnsi="Arial" w:cs="Arial"/>
          <w:noProof/>
          <w:sz w:val="20"/>
        </w:rPr>
      </w:pPr>
      <w:r>
        <w:rPr>
          <w:rFonts w:ascii="Arial" w:hAnsi="Arial"/>
          <w:noProof/>
          <w:sz w:val="20"/>
        </w:rPr>
        <w:t>Na začiatku je zobrazený počet prípadov nesplnenia povinnosti v súvislosti s neskorou transpozíciou prenesených z roku 2015 (prvý stĺpec). V druhom stĺpci je zobrazený počet nových prípadov nesplnenia povinnosti v súvislosti s neskorou transpozíciou zaregistrovaných v roku 2016. Tretí stĺpec znázorňuje počet sťažností, pre ktoré Komisia prijala rozhodnutie v roku 2016. Štvrtý stĺpec zobrazuje počet prípadov nesplnenia povinnosti v súvislosti s neskorou transpozíciou otvorených na konci roku 2016 (vypočítané s prvým údajom, pridaním druhého a odpočítaním tretieho).</w:t>
      </w:r>
    </w:p>
    <w:p>
      <w:pPr>
        <w:rPr>
          <w:rFonts w:ascii="Arial" w:hAnsi="Arial" w:cs="Arial"/>
          <w:b/>
          <w:noProof/>
          <w:color w:val="002060"/>
          <w:sz w:val="20"/>
        </w:rPr>
      </w:pPr>
      <w:r>
        <w:rPr>
          <w:rFonts w:ascii="Arial" w:hAnsi="Arial"/>
          <w:b/>
          <w:noProof/>
          <w:color w:val="002060"/>
          <w:sz w:val="20"/>
        </w:rPr>
        <w:t>Tretí graf: Prípady nesplnenia povinnosti v súvislosti s neskorou transpozíciou otvorené k 31. decembru 2016</w:t>
      </w:r>
    </w:p>
    <w:p>
      <w:pPr>
        <w:rPr>
          <w:rFonts w:ascii="Arial" w:hAnsi="Arial" w:cs="Arial"/>
          <w:noProof/>
          <w:sz w:val="20"/>
        </w:rPr>
      </w:pPr>
      <w:r>
        <w:rPr>
          <w:rFonts w:ascii="Arial" w:hAnsi="Arial"/>
          <w:noProof/>
          <w:sz w:val="20"/>
        </w:rPr>
        <w:t>Znázorňuje počet prípadov nesplnenia povinnosti v súvislosti s neskorou transpozíciou otvorených k 31. decembru 2016 bez ohľadu na rok, v ktorom bol prípad otvorený.</w:t>
      </w:r>
    </w:p>
    <w:p>
      <w:pPr>
        <w:rPr>
          <w:rFonts w:ascii="Arial" w:hAnsi="Arial" w:cs="Arial"/>
          <w:b/>
          <w:noProof/>
          <w:color w:val="002060"/>
          <w:sz w:val="20"/>
        </w:rPr>
      </w:pPr>
      <w:r>
        <w:rPr>
          <w:rFonts w:ascii="Arial" w:hAnsi="Arial"/>
          <w:b/>
          <w:noProof/>
          <w:color w:val="002060"/>
          <w:sz w:val="20"/>
        </w:rPr>
        <w:t>Štvrtý graf: Nové prípady nesplnenia povinnosti v súvislosti s neskorou transpozíciou</w:t>
      </w:r>
    </w:p>
    <w:p>
      <w:pPr>
        <w:rPr>
          <w:rFonts w:ascii="Arial" w:hAnsi="Arial" w:cs="Arial"/>
          <w:noProof/>
          <w:sz w:val="20"/>
        </w:rPr>
      </w:pPr>
      <w:r>
        <w:rPr>
          <w:rFonts w:ascii="Arial" w:hAnsi="Arial"/>
          <w:noProof/>
          <w:sz w:val="20"/>
        </w:rPr>
        <w:t>Tento údaj znázorňuje počet formálnych výziev zaslaných jednotlivým členským štátom podľa článku 258 ZFEÚ pre chýbajúce alebo čiastočné oznámenia o vnútroštátnych transpozičných opatreniach v roku 2016. Tento údaj je už zahrnutý do celkového počtu nových prípadov nesplnenia povinnosti začatých proti členskému štátu v roku 2016, takže by sa nemal pripočítať k údaju uvedenému v prvom grafe v časti všeobecné štatistiky.</w:t>
      </w:r>
    </w:p>
    <w:p>
      <w:pPr>
        <w:rPr>
          <w:rFonts w:ascii="Arial" w:hAnsi="Arial" w:cs="Arial"/>
          <w:noProof/>
          <w:sz w:val="20"/>
        </w:rPr>
      </w:pPr>
      <w:r>
        <w:rPr>
          <w:rFonts w:ascii="Arial" w:hAnsi="Arial"/>
          <w:noProof/>
          <w:sz w:val="20"/>
        </w:rPr>
        <w:t>Upozorňujeme, že niektoré z týchto nových prípadov nesplnenia povinnosti v súvislosti s neskorou transpozíciou už nemuseli byť otvorené k 31. decembru 2016. Napríklad v prípade, že Komisia začala postup v prípade nesplnenia povinnosti v súvislosti s neskorou transpozíciou v marci 2016 zaslaním formálnej výzvy, bolo by to pripočítané k novým prípadom nesplnenia povinnosti napriek tomu, že Komisia uzatvorila tento prípad v októbri 2016 na základe oznámenia členského štátu o úplnej transpozícii.</w:t>
      </w:r>
    </w:p>
    <w:p>
      <w:pPr>
        <w:rPr>
          <w:rFonts w:ascii="Arial" w:hAnsi="Arial" w:cs="Arial"/>
          <w:b/>
          <w:noProof/>
          <w:color w:val="002060"/>
          <w:sz w:val="20"/>
        </w:rPr>
      </w:pPr>
      <w:r>
        <w:rPr>
          <w:rFonts w:ascii="Arial" w:hAnsi="Arial"/>
          <w:b/>
          <w:noProof/>
          <w:color w:val="002060"/>
          <w:sz w:val="20"/>
        </w:rPr>
        <w:t>Piaty graf: Nové prípady nesplnenia povinnosti v súvislosti s neskorou transpozíciou otvorené v roku 2016: hlavné oblasti politiky</w:t>
      </w:r>
    </w:p>
    <w:p>
      <w:pPr>
        <w:rPr>
          <w:rFonts w:ascii="Arial" w:hAnsi="Arial" w:cs="Arial"/>
          <w:noProof/>
          <w:sz w:val="20"/>
        </w:rPr>
      </w:pPr>
      <w:r>
        <w:rPr>
          <w:rFonts w:ascii="Arial" w:hAnsi="Arial"/>
          <w:noProof/>
          <w:sz w:val="20"/>
        </w:rPr>
        <w:t>Znázorňuje hlavné oblasti politiky, v ktorých sa v roku 2016 začali postupy v prípade nesplnenia povinnosti v súvislosti s neskorou transpozíciou.</w:t>
      </w:r>
    </w:p>
    <w:p>
      <w:pPr>
        <w:rPr>
          <w:rFonts w:ascii="Arial" w:hAnsi="Arial" w:cs="Arial"/>
          <w:noProof/>
          <w:sz w:val="20"/>
        </w:rPr>
      </w:pPr>
    </w:p>
    <w:sectPr>
      <w:headerReference w:type="even" r:id="rId48"/>
      <w:headerReference w:type="default" r:id="rId49"/>
      <w:footerReference w:type="even" r:id="rId50"/>
      <w:footerReference w:type="default" r:id="rId51"/>
      <w:headerReference w:type="first" r:id="rId52"/>
      <w:footerReference w:type="first" r:id="rId53"/>
      <w:pgSz w:w="11907" w:h="16839" w:code="9"/>
      <w:pgMar w:top="1843" w:right="1418" w:bottom="737" w:left="1418" w:header="567" w:footer="35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40</w:t>
    </w:r>
    <w:r>
      <w:fldChar w:fldCharType="end"/>
    </w:r>
  </w:p>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38</w:t>
    </w:r>
    <w:r>
      <w:fldChar w:fldCharType="end"/>
    </w:r>
  </w:p>
  <w:p>
    <w:pPr>
      <w:pStyle w:val="Footer"/>
      <w:rPr>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fldChar w:fldCharType="end"/>
    </w:r>
  </w:p>
  <w:p>
    <w:pPr>
      <w:pStyle w:val="Footer"/>
      <w:rPr>
        <w:szCs w:val="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37</w:t>
    </w:r>
    <w:r>
      <w:fldChar w:fldCharType="end"/>
    </w: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3</w:t>
    </w:r>
    <w:r>
      <w:fldChar w:fldCharType="end"/>
    </w:r>
  </w:p>
  <w:p>
    <w:pPr>
      <w:pStyle w:val="Footer"/>
      <w:rPr>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pPr>
        <w:spacing w:after="0"/>
      </w:pPr>
    </w:p>
  </w:footnote>
  <w:footnote w:id="2">
    <w:p>
      <w:pPr>
        <w:pStyle w:val="FootnoteText"/>
      </w:pPr>
      <w:r>
        <w:rPr>
          <w:rStyle w:val="FootnoteReference"/>
        </w:rPr>
        <w:footnoteRef/>
      </w:r>
      <w:r>
        <w:t xml:space="preserve"> </w:t>
      </w:r>
      <w:r>
        <w:tab/>
        <w:t>Článok 291 ods. 1 Zmluvy o fungovaní Európskej únie (ZFEÚ).</w:t>
      </w:r>
    </w:p>
  </w:footnote>
  <w:footnote w:id="3">
    <w:p>
      <w:pPr>
        <w:pStyle w:val="FootnoteText"/>
      </w:pPr>
      <w:r>
        <w:rPr>
          <w:rStyle w:val="FootnoteReference"/>
        </w:rPr>
        <w:footnoteRef/>
      </w:r>
      <w:r>
        <w:t xml:space="preserve"> </w:t>
      </w:r>
      <w:r>
        <w:tab/>
        <w:t xml:space="preserve">Článok </w:t>
      </w:r>
      <w:hyperlink r:id="rId1">
        <w:r>
          <w:rPr>
            <w:rStyle w:val="Hyperlink"/>
          </w:rPr>
          <w:t>17 Zmluvy o EÚ</w:t>
        </w:r>
      </w:hyperlink>
      <w:r>
        <w:t>: „[Komisia] zabezpečuje uplatňovanie zmlúv, ako aj opatrení prijatých inštitúciami na ich základe. Dohliada na uplatňovania práva Únie […]“.</w:t>
      </w:r>
    </w:p>
  </w:footnote>
  <w:footnote w:id="4">
    <w:p>
      <w:pPr>
        <w:pStyle w:val="FootnoteText"/>
      </w:pPr>
      <w:r>
        <w:rPr>
          <w:rStyle w:val="FootnoteReference"/>
        </w:rPr>
        <w:footnoteRef/>
      </w:r>
      <w:r>
        <w:t xml:space="preserve"> </w:t>
      </w:r>
      <w:r>
        <w:tab/>
        <w:t>Článok 260 ods. 2 a 3 Zmluvy o fungovaní Európskej únie (ZFEÚ).</w:t>
      </w:r>
    </w:p>
  </w:footnote>
  <w:footnote w:id="5">
    <w:p>
      <w:pPr>
        <w:pStyle w:val="FootnoteText"/>
      </w:pPr>
      <w:r>
        <w:rPr>
          <w:rStyle w:val="FootnoteReference"/>
        </w:rPr>
        <w:footnoteRef/>
      </w:r>
      <w:r>
        <w:t xml:space="preserve"> </w:t>
      </w:r>
      <w:r>
        <w:tab/>
        <w:t xml:space="preserve">Oznámenie „Právo EÚ: Lepšie výsledky pomocou lepšieho uplatňovania práva“, </w:t>
      </w:r>
      <w:hyperlink r:id="rId2">
        <w:r>
          <w:rPr>
            <w:rStyle w:val="Hyperlink"/>
          </w:rPr>
          <w:t>C(2016) 8600</w:t>
        </w:r>
      </w:hyperlink>
      <w:r>
        <w:t>, Ú. v. EÚ C 18, 19.1.2017, s. 10.</w:t>
      </w:r>
    </w:p>
  </w:footnote>
  <w:footnote w:id="6">
    <w:p>
      <w:pPr>
        <w:pStyle w:val="FootnoteText"/>
      </w:pPr>
      <w:r>
        <w:rPr>
          <w:rStyle w:val="FootnoteReference"/>
        </w:rPr>
        <w:footnoteRef/>
      </w:r>
      <w:r>
        <w:t xml:space="preserve"> </w:t>
      </w:r>
      <w:r>
        <w:tab/>
        <w:t>SWD(2017) 259 and SWD(2017) 260.</w:t>
      </w:r>
    </w:p>
  </w:footnote>
  <w:footnote w:id="7">
    <w:p>
      <w:pPr>
        <w:pStyle w:val="FootnoteText"/>
      </w:pPr>
      <w:r>
        <w:rPr>
          <w:rStyle w:val="FootnoteReference"/>
        </w:rPr>
        <w:footnoteRef/>
      </w:r>
      <w:r>
        <w:t xml:space="preserve"> </w:t>
      </w:r>
      <w:r>
        <w:tab/>
      </w:r>
      <w:hyperlink r:id="rId3">
        <w:r>
          <w:rPr>
            <w:rStyle w:val="Hyperlink"/>
          </w:rPr>
          <w:t>C(2016) 8600</w:t>
        </w:r>
      </w:hyperlink>
      <w:r>
        <w:t>, Ú. v. EÚ C 18, 19.1.2017, s. 10.</w:t>
      </w:r>
    </w:p>
  </w:footnote>
  <w:footnote w:id="8">
    <w:p>
      <w:pPr>
        <w:pStyle w:val="FootnoteText"/>
      </w:pPr>
      <w:r>
        <w:rPr>
          <w:rStyle w:val="FootnoteReference"/>
        </w:rPr>
        <w:footnoteRef/>
      </w:r>
      <w:r>
        <w:t xml:space="preserve"> </w:t>
      </w:r>
      <w:r>
        <w:tab/>
        <w:t xml:space="preserve">Smernica </w:t>
      </w:r>
      <w:hyperlink r:id="rId4">
        <w:r>
          <w:rPr>
            <w:rStyle w:val="Hyperlink"/>
          </w:rPr>
          <w:t>2014/54/EÚ</w:t>
        </w:r>
      </w:hyperlink>
      <w:r>
        <w:t>.</w:t>
      </w:r>
    </w:p>
  </w:footnote>
  <w:footnote w:id="9">
    <w:p>
      <w:pPr>
        <w:pStyle w:val="FootnoteText"/>
      </w:pPr>
      <w:r>
        <w:rPr>
          <w:rStyle w:val="FootnoteReference"/>
        </w:rPr>
        <w:footnoteRef/>
      </w:r>
      <w:r>
        <w:t xml:space="preserve"> </w:t>
      </w:r>
      <w:r>
        <w:tab/>
        <w:t xml:space="preserve">Smernica </w:t>
      </w:r>
      <w:hyperlink r:id="rId5">
        <w:r>
          <w:rPr>
            <w:rStyle w:val="Hyperlink"/>
          </w:rPr>
          <w:t>2014/67/EÚ</w:t>
        </w:r>
      </w:hyperlink>
      <w:r>
        <w:t>.</w:t>
      </w:r>
    </w:p>
  </w:footnote>
  <w:footnote w:id="10">
    <w:p>
      <w:pPr>
        <w:pStyle w:val="FootnoteText"/>
      </w:pPr>
      <w:r>
        <w:rPr>
          <w:rStyle w:val="FootnoteReference"/>
        </w:rPr>
        <w:footnoteRef/>
      </w:r>
      <w:r>
        <w:t xml:space="preserve"> </w:t>
      </w:r>
      <w:r>
        <w:tab/>
        <w:t xml:space="preserve">Smernica </w:t>
      </w:r>
      <w:hyperlink r:id="rId6">
        <w:r>
          <w:rPr>
            <w:rStyle w:val="Hyperlink"/>
          </w:rPr>
          <w:t>2013/35/EÚ</w:t>
        </w:r>
      </w:hyperlink>
      <w:r>
        <w:t>.</w:t>
      </w:r>
    </w:p>
  </w:footnote>
  <w:footnote w:id="11">
    <w:p>
      <w:pPr>
        <w:pStyle w:val="FootnoteText"/>
      </w:pPr>
      <w:r>
        <w:rPr>
          <w:rStyle w:val="FootnoteReference"/>
        </w:rPr>
        <w:footnoteRef/>
      </w:r>
      <w:r>
        <w:t xml:space="preserve"> </w:t>
      </w:r>
      <w:r>
        <w:tab/>
        <w:t>Smernica 2014/27/EÚ.</w:t>
      </w:r>
    </w:p>
  </w:footnote>
  <w:footnote w:id="12">
    <w:p>
      <w:pPr>
        <w:pStyle w:val="FootnoteText"/>
      </w:pPr>
      <w:r>
        <w:rPr>
          <w:rStyle w:val="FootnoteReference"/>
        </w:rPr>
        <w:footnoteRef/>
      </w:r>
      <w:r>
        <w:t xml:space="preserve"> </w:t>
      </w:r>
      <w:r>
        <w:tab/>
        <w:t xml:space="preserve">Smernica </w:t>
      </w:r>
      <w:hyperlink r:id="rId7">
        <w:r>
          <w:rPr>
            <w:rStyle w:val="Hyperlink"/>
          </w:rPr>
          <w:t>2010/32/EÚ</w:t>
        </w:r>
      </w:hyperlink>
      <w:r>
        <w:t>.</w:t>
      </w:r>
    </w:p>
  </w:footnote>
  <w:footnote w:id="13">
    <w:p>
      <w:pPr>
        <w:pStyle w:val="FootnoteText"/>
      </w:pPr>
      <w:r>
        <w:rPr>
          <w:rStyle w:val="FootnoteReference"/>
        </w:rPr>
        <w:footnoteRef/>
      </w:r>
      <w:r>
        <w:t xml:space="preserve"> </w:t>
      </w:r>
      <w:r>
        <w:tab/>
      </w:r>
      <w:hyperlink r:id="rId8">
        <w:r>
          <w:rPr>
            <w:rStyle w:val="Hyperlink"/>
          </w:rPr>
          <w:t>COM(2016) 316 final</w:t>
        </w:r>
      </w:hyperlink>
      <w:r>
        <w:t>.</w:t>
      </w:r>
    </w:p>
  </w:footnote>
  <w:footnote w:id="14">
    <w:p>
      <w:pPr>
        <w:pStyle w:val="FootnoteText"/>
      </w:pPr>
      <w:r>
        <w:rPr>
          <w:rStyle w:val="FootnoteReference"/>
        </w:rPr>
        <w:footnoteRef/>
      </w:r>
      <w:r>
        <w:t xml:space="preserve"> </w:t>
      </w:r>
      <w:r>
        <w:tab/>
        <w:t xml:space="preserve">Smernica (EÚ) </w:t>
      </w:r>
      <w:hyperlink r:id="rId9">
        <w:r>
          <w:rPr>
            <w:rStyle w:val="Hyperlink"/>
          </w:rPr>
          <w:t>2015/2203</w:t>
        </w:r>
      </w:hyperlink>
      <w:r>
        <w:t>.</w:t>
      </w:r>
    </w:p>
  </w:footnote>
  <w:footnote w:id="15">
    <w:p>
      <w:pPr>
        <w:pStyle w:val="FootnoteText"/>
      </w:pPr>
      <w:r>
        <w:rPr>
          <w:rStyle w:val="FootnoteReference"/>
        </w:rPr>
        <w:footnoteRef/>
      </w:r>
      <w:r>
        <w:t xml:space="preserve"> </w:t>
      </w:r>
      <w:r>
        <w:tab/>
        <w:t xml:space="preserve">Smernica </w:t>
      </w:r>
      <w:hyperlink r:id="rId10">
        <w:r>
          <w:rPr>
            <w:rStyle w:val="Hyperlink"/>
          </w:rPr>
          <w:t>2014/89/EÚ</w:t>
        </w:r>
      </w:hyperlink>
      <w:r>
        <w:t>.</w:t>
      </w:r>
    </w:p>
  </w:footnote>
  <w:footnote w:id="16">
    <w:p>
      <w:pPr>
        <w:pStyle w:val="FootnoteText"/>
      </w:pPr>
      <w:r>
        <w:rPr>
          <w:rStyle w:val="FootnoteReference"/>
        </w:rPr>
        <w:footnoteRef/>
      </w:r>
      <w:r>
        <w:t xml:space="preserve"> </w:t>
      </w:r>
      <w:r>
        <w:tab/>
        <w:t xml:space="preserve">Smernica </w:t>
      </w:r>
      <w:hyperlink r:id="rId11">
        <w:r>
          <w:rPr>
            <w:rStyle w:val="Hyperlink"/>
          </w:rPr>
          <w:t>2014/61/EÚ</w:t>
        </w:r>
      </w:hyperlink>
      <w:r>
        <w:t>.</w:t>
      </w:r>
    </w:p>
  </w:footnote>
  <w:footnote w:id="17">
    <w:p>
      <w:pPr>
        <w:pStyle w:val="FootnoteText"/>
      </w:pPr>
      <w:r>
        <w:rPr>
          <w:rStyle w:val="FootnoteReference"/>
        </w:rPr>
        <w:footnoteRef/>
      </w:r>
      <w:r>
        <w:t xml:space="preserve"> </w:t>
      </w:r>
      <w:r>
        <w:tab/>
        <w:t xml:space="preserve">Smernica </w:t>
      </w:r>
      <w:hyperlink r:id="rId12">
        <w:r>
          <w:rPr>
            <w:rStyle w:val="Hyperlink"/>
          </w:rPr>
          <w:t>2014/26/EÚ</w:t>
        </w:r>
      </w:hyperlink>
      <w:r>
        <w:t>.</w:t>
      </w:r>
    </w:p>
  </w:footnote>
  <w:footnote w:id="18">
    <w:p>
      <w:pPr>
        <w:pStyle w:val="FootnoteText"/>
      </w:pPr>
      <w:r>
        <w:rPr>
          <w:rStyle w:val="FootnoteReference"/>
        </w:rPr>
        <w:footnoteRef/>
      </w:r>
      <w:r>
        <w:t xml:space="preserve"> </w:t>
      </w:r>
      <w:r>
        <w:tab/>
      </w:r>
      <w:r>
        <w:rPr>
          <w:rStyle w:val="Hyperlink"/>
        </w:rPr>
        <w:t>Smernica 2013/37/EÚ.</w:t>
      </w:r>
    </w:p>
  </w:footnote>
  <w:footnote w:id="19">
    <w:p>
      <w:pPr>
        <w:pStyle w:val="FootnoteText"/>
      </w:pPr>
      <w:r>
        <w:rPr>
          <w:rStyle w:val="FootnoteReference"/>
        </w:rPr>
        <w:footnoteRef/>
      </w:r>
      <w:r>
        <w:t xml:space="preserve"> </w:t>
      </w:r>
      <w:r>
        <w:tab/>
      </w:r>
      <w:hyperlink r:id="rId13">
        <w:r>
          <w:rPr>
            <w:rStyle w:val="Hyperlink"/>
          </w:rPr>
          <w:t>COM(2015) 80</w:t>
        </w:r>
      </w:hyperlink>
      <w:r>
        <w:t>.</w:t>
      </w:r>
    </w:p>
  </w:footnote>
  <w:footnote w:id="20">
    <w:p>
      <w:pPr>
        <w:pStyle w:val="FootnoteText"/>
      </w:pPr>
      <w:r>
        <w:rPr>
          <w:rStyle w:val="FootnoteReference"/>
        </w:rPr>
        <w:footnoteRef/>
      </w:r>
      <w:r>
        <w:t xml:space="preserve"> </w:t>
      </w:r>
      <w:r>
        <w:tab/>
        <w:t xml:space="preserve">Smernice </w:t>
      </w:r>
      <w:hyperlink r:id="rId14">
        <w:r>
          <w:rPr>
            <w:rStyle w:val="Hyperlink"/>
          </w:rPr>
          <w:t>2009/72/ES</w:t>
        </w:r>
      </w:hyperlink>
      <w:r>
        <w:t xml:space="preserve"> a </w:t>
      </w:r>
      <w:hyperlink r:id="rId15">
        <w:r>
          <w:rPr>
            <w:rStyle w:val="Hyperlink"/>
          </w:rPr>
          <w:t>2009/73/ES</w:t>
        </w:r>
      </w:hyperlink>
      <w:r>
        <w:t>.</w:t>
      </w:r>
    </w:p>
  </w:footnote>
  <w:footnote w:id="21">
    <w:p>
      <w:pPr>
        <w:pStyle w:val="FootnoteText"/>
      </w:pPr>
      <w:r>
        <w:rPr>
          <w:rStyle w:val="FootnoteReference"/>
        </w:rPr>
        <w:footnoteRef/>
      </w:r>
      <w:r>
        <w:t xml:space="preserve"> </w:t>
      </w:r>
      <w:r>
        <w:tab/>
        <w:t xml:space="preserve">Smernica </w:t>
      </w:r>
      <w:hyperlink r:id="rId16">
        <w:r>
          <w:rPr>
            <w:rStyle w:val="Hyperlink"/>
          </w:rPr>
          <w:t>2010/31/EÚ</w:t>
        </w:r>
      </w:hyperlink>
      <w:r>
        <w:t>.</w:t>
      </w:r>
    </w:p>
  </w:footnote>
  <w:footnote w:id="22">
    <w:p>
      <w:pPr>
        <w:pStyle w:val="FootnoteText"/>
      </w:pPr>
      <w:r>
        <w:rPr>
          <w:rStyle w:val="FootnoteReference"/>
        </w:rPr>
        <w:footnoteRef/>
      </w:r>
      <w:r>
        <w:t xml:space="preserve"> </w:t>
      </w:r>
      <w:r>
        <w:tab/>
      </w:r>
      <w:r>
        <w:rPr>
          <w:rStyle w:val="bluetext11"/>
        </w:rPr>
        <w:t xml:space="preserve">Smernica </w:t>
      </w:r>
      <w:hyperlink r:id="rId17">
        <w:r>
          <w:rPr>
            <w:rStyle w:val="Hyperlink"/>
          </w:rPr>
          <w:t>2013/51/Euratom</w:t>
        </w:r>
      </w:hyperlink>
      <w:r>
        <w:rPr>
          <w:rStyle w:val="bluetext11"/>
        </w:rPr>
        <w:t>.</w:t>
      </w:r>
    </w:p>
  </w:footnote>
  <w:footnote w:id="23">
    <w:p>
      <w:pPr>
        <w:pStyle w:val="FootnoteText"/>
      </w:pPr>
      <w:r>
        <w:rPr>
          <w:rStyle w:val="FootnoteReference"/>
        </w:rPr>
        <w:footnoteRef/>
      </w:r>
      <w:r>
        <w:t xml:space="preserve"> </w:t>
      </w:r>
      <w:r>
        <w:tab/>
        <w:t xml:space="preserve">Smernica </w:t>
      </w:r>
      <w:hyperlink r:id="rId18">
        <w:r>
          <w:rPr>
            <w:rStyle w:val="Hyperlink"/>
          </w:rPr>
          <w:t>2011/70/Euratom</w:t>
        </w:r>
      </w:hyperlink>
      <w:r>
        <w:t>.</w:t>
      </w:r>
    </w:p>
  </w:footnote>
  <w:footnote w:id="24">
    <w:p>
      <w:pPr>
        <w:pStyle w:val="FootnoteText"/>
      </w:pPr>
      <w:r>
        <w:rPr>
          <w:rStyle w:val="FootnoteReference"/>
        </w:rPr>
        <w:footnoteRef/>
      </w:r>
      <w:r>
        <w:t xml:space="preserve"> </w:t>
      </w:r>
      <w:r>
        <w:tab/>
        <w:t xml:space="preserve">Smernica </w:t>
      </w:r>
      <w:hyperlink r:id="rId19">
        <w:r>
          <w:rPr>
            <w:rStyle w:val="Hyperlink"/>
          </w:rPr>
          <w:t>2012/27/EÚ</w:t>
        </w:r>
      </w:hyperlink>
      <w:r>
        <w:t>.</w:t>
      </w:r>
    </w:p>
  </w:footnote>
  <w:footnote w:id="25">
    <w:p>
      <w:pPr>
        <w:pStyle w:val="FootnoteText"/>
      </w:pPr>
      <w:r>
        <w:rPr>
          <w:rStyle w:val="FootnoteReference"/>
        </w:rPr>
        <w:footnoteRef/>
      </w:r>
      <w:r>
        <w:t xml:space="preserve"> </w:t>
      </w:r>
      <w:r>
        <w:tab/>
        <w:t xml:space="preserve">Smernica </w:t>
      </w:r>
      <w:hyperlink r:id="rId20">
        <w:r>
          <w:rPr>
            <w:rStyle w:val="Hyperlink"/>
          </w:rPr>
          <w:t>2013/30/EÚ</w:t>
        </w:r>
      </w:hyperlink>
      <w:r>
        <w:t>.</w:t>
      </w:r>
    </w:p>
  </w:footnote>
  <w:footnote w:id="26">
    <w:p>
      <w:pPr>
        <w:pStyle w:val="FootnoteText"/>
      </w:pPr>
      <w:r>
        <w:rPr>
          <w:rStyle w:val="FootnoteReference"/>
        </w:rPr>
        <w:footnoteRef/>
      </w:r>
      <w:r>
        <w:t xml:space="preserve"> </w:t>
      </w:r>
      <w:r>
        <w:tab/>
        <w:t xml:space="preserve">Smernica </w:t>
      </w:r>
      <w:hyperlink r:id="rId21">
        <w:r>
          <w:rPr>
            <w:rStyle w:val="Hyperlink"/>
          </w:rPr>
          <w:t>2009/28/ES</w:t>
        </w:r>
      </w:hyperlink>
      <w:r>
        <w:t>.</w:t>
      </w:r>
    </w:p>
  </w:footnote>
  <w:footnote w:id="27">
    <w:p>
      <w:pPr>
        <w:pStyle w:val="FootnoteText"/>
      </w:pPr>
      <w:r>
        <w:rPr>
          <w:rStyle w:val="FootnoteReference"/>
        </w:rPr>
        <w:footnoteRef/>
      </w:r>
      <w:r>
        <w:t xml:space="preserve"> </w:t>
      </w:r>
      <w:r>
        <w:tab/>
        <w:t xml:space="preserve">Smernica </w:t>
      </w:r>
      <w:hyperlink r:id="rId22">
        <w:r>
          <w:rPr>
            <w:rStyle w:val="Hyperlink"/>
          </w:rPr>
          <w:t>2009/119/ES</w:t>
        </w:r>
      </w:hyperlink>
      <w:r>
        <w:t>.</w:t>
      </w:r>
    </w:p>
  </w:footnote>
  <w:footnote w:id="28">
    <w:p>
      <w:pPr>
        <w:pStyle w:val="FootnoteText"/>
      </w:pPr>
      <w:r>
        <w:rPr>
          <w:rStyle w:val="FootnoteReference"/>
        </w:rPr>
        <w:footnoteRef/>
      </w:r>
      <w:r>
        <w:t xml:space="preserve"> </w:t>
      </w:r>
      <w:r>
        <w:tab/>
        <w:t xml:space="preserve">Nariadenie (EÚ) </w:t>
      </w:r>
      <w:hyperlink r:id="rId23">
        <w:r>
          <w:rPr>
            <w:rStyle w:val="Hyperlink"/>
          </w:rPr>
          <w:t>č. 994/2010</w:t>
        </w:r>
      </w:hyperlink>
      <w:r>
        <w:t>.</w:t>
      </w:r>
    </w:p>
  </w:footnote>
  <w:footnote w:id="29">
    <w:p>
      <w:pPr>
        <w:pStyle w:val="FootnoteText"/>
      </w:pPr>
      <w:r>
        <w:rPr>
          <w:rStyle w:val="FootnoteReference"/>
        </w:rPr>
        <w:footnoteRef/>
      </w:r>
      <w:r>
        <w:t xml:space="preserve"> </w:t>
      </w:r>
      <w:r>
        <w:tab/>
        <w:t xml:space="preserve">Smernice </w:t>
      </w:r>
      <w:hyperlink r:id="rId24">
        <w:r>
          <w:rPr>
            <w:rStyle w:val="Hyperlink"/>
          </w:rPr>
          <w:t>2008/101/ES</w:t>
        </w:r>
      </w:hyperlink>
      <w:r>
        <w:t xml:space="preserve"> a </w:t>
      </w:r>
      <w:hyperlink r:id="rId25">
        <w:r>
          <w:rPr>
            <w:rStyle w:val="Hyperlink"/>
          </w:rPr>
          <w:t>2009/29/ES</w:t>
        </w:r>
      </w:hyperlink>
      <w:r>
        <w:t>.</w:t>
      </w:r>
    </w:p>
  </w:footnote>
  <w:footnote w:id="30">
    <w:p>
      <w:pPr>
        <w:pStyle w:val="FootnoteText"/>
      </w:pPr>
      <w:r>
        <w:rPr>
          <w:rStyle w:val="FootnoteReference"/>
        </w:rPr>
        <w:footnoteRef/>
      </w:r>
      <w:r>
        <w:t xml:space="preserve"> </w:t>
      </w:r>
      <w:r>
        <w:tab/>
        <w:t xml:space="preserve">Smernica </w:t>
      </w:r>
      <w:hyperlink r:id="rId26">
        <w:r>
          <w:rPr>
            <w:rStyle w:val="Hyperlink"/>
          </w:rPr>
          <w:t>2009/30/ES</w:t>
        </w:r>
      </w:hyperlink>
      <w:r>
        <w:t>.</w:t>
      </w:r>
    </w:p>
  </w:footnote>
  <w:footnote w:id="31">
    <w:p>
      <w:pPr>
        <w:pStyle w:val="FootnoteText"/>
      </w:pPr>
      <w:r>
        <w:rPr>
          <w:rStyle w:val="FootnoteReference"/>
        </w:rPr>
        <w:footnoteRef/>
      </w:r>
      <w:r>
        <w:t xml:space="preserve"> </w:t>
      </w:r>
      <w:r>
        <w:tab/>
        <w:t xml:space="preserve">Smernica </w:t>
      </w:r>
      <w:hyperlink r:id="rId27">
        <w:r>
          <w:rPr>
            <w:rStyle w:val="Hyperlink"/>
          </w:rPr>
          <w:t>2009/31/ES</w:t>
        </w:r>
      </w:hyperlink>
      <w:r>
        <w:t>.</w:t>
      </w:r>
    </w:p>
  </w:footnote>
  <w:footnote w:id="32">
    <w:p>
      <w:pPr>
        <w:pStyle w:val="FootnoteText"/>
      </w:pPr>
      <w:r>
        <w:rPr>
          <w:rStyle w:val="FootnoteReference"/>
        </w:rPr>
        <w:footnoteRef/>
      </w:r>
      <w:r>
        <w:t xml:space="preserve"> </w:t>
      </w:r>
      <w:r>
        <w:tab/>
        <w:t xml:space="preserve">Vec </w:t>
      </w:r>
      <w:hyperlink r:id="rId28">
        <w:r>
          <w:rPr>
            <w:rStyle w:val="Hyperlink"/>
          </w:rPr>
          <w:t>C-246/12P</w:t>
        </w:r>
      </w:hyperlink>
      <w:r>
        <w:t xml:space="preserve">; Ellinika Nafpigeia/Komisia. </w:t>
      </w:r>
    </w:p>
  </w:footnote>
  <w:footnote w:id="33">
    <w:p>
      <w:pPr>
        <w:pStyle w:val="FootnoteText"/>
      </w:pPr>
      <w:r>
        <w:rPr>
          <w:rStyle w:val="FootnoteReference"/>
        </w:rPr>
        <w:footnoteRef/>
      </w:r>
      <w:r>
        <w:t xml:space="preserve"> </w:t>
      </w:r>
      <w:r>
        <w:tab/>
        <w:t xml:space="preserve">Smernica </w:t>
      </w:r>
      <w:hyperlink r:id="rId29">
        <w:r>
          <w:rPr>
            <w:rStyle w:val="Hyperlink"/>
          </w:rPr>
          <w:t>2014/104/EÚ</w:t>
        </w:r>
      </w:hyperlink>
      <w:r>
        <w:t>.</w:t>
      </w:r>
    </w:p>
  </w:footnote>
  <w:footnote w:id="34">
    <w:p>
      <w:pPr>
        <w:pStyle w:val="FootnoteText"/>
      </w:pPr>
      <w:r>
        <w:rPr>
          <w:rStyle w:val="FootnoteReference"/>
        </w:rPr>
        <w:footnoteRef/>
      </w:r>
      <w:r>
        <w:t xml:space="preserve"> </w:t>
      </w:r>
      <w:r>
        <w:tab/>
      </w:r>
      <w:hyperlink r:id="rId30">
        <w:r>
          <w:rPr>
            <w:rStyle w:val="Hyperlink"/>
          </w:rPr>
          <w:t>COM(2015) 550 final</w:t>
        </w:r>
      </w:hyperlink>
      <w:r>
        <w:t>.</w:t>
      </w:r>
    </w:p>
  </w:footnote>
  <w:footnote w:id="35">
    <w:p>
      <w:pPr>
        <w:pStyle w:val="FootnoteText"/>
      </w:pPr>
      <w:r>
        <w:rPr>
          <w:rStyle w:val="FootnoteReference"/>
        </w:rPr>
        <w:footnoteRef/>
      </w:r>
      <w:r>
        <w:t xml:space="preserve"> </w:t>
      </w:r>
      <w:r>
        <w:tab/>
      </w:r>
      <w:hyperlink r:id="rId31">
        <w:r>
          <w:rPr>
            <w:rStyle w:val="Hyperlink"/>
          </w:rPr>
          <w:t>COM(2016) 356</w:t>
        </w:r>
      </w:hyperlink>
      <w:r>
        <w:t xml:space="preserve"> final.</w:t>
      </w:r>
    </w:p>
  </w:footnote>
  <w:footnote w:id="36">
    <w:p>
      <w:pPr>
        <w:pStyle w:val="FootnoteText"/>
      </w:pPr>
      <w:r>
        <w:rPr>
          <w:rStyle w:val="FootnoteReference"/>
        </w:rPr>
        <w:footnoteRef/>
      </w:r>
      <w:r>
        <w:t xml:space="preserve"> </w:t>
      </w:r>
      <w:r>
        <w:tab/>
        <w:t xml:space="preserve">Smernica </w:t>
      </w:r>
      <w:hyperlink r:id="rId32">
        <w:r>
          <w:rPr>
            <w:rStyle w:val="Hyperlink"/>
          </w:rPr>
          <w:t>2006/123/ES</w:t>
        </w:r>
      </w:hyperlink>
      <w:r>
        <w:t>.</w:t>
      </w:r>
    </w:p>
  </w:footnote>
  <w:footnote w:id="37">
    <w:p>
      <w:pPr>
        <w:pStyle w:val="FootnoteText"/>
      </w:pPr>
      <w:r>
        <w:rPr>
          <w:rStyle w:val="FootnoteReference"/>
        </w:rPr>
        <w:footnoteRef/>
      </w:r>
      <w:r>
        <w:t xml:space="preserve"> </w:t>
      </w:r>
      <w:r>
        <w:tab/>
        <w:t xml:space="preserve">Smernica </w:t>
      </w:r>
      <w:hyperlink r:id="rId33">
        <w:r>
          <w:rPr>
            <w:rStyle w:val="Hyperlink"/>
          </w:rPr>
          <w:t>2007/46/ES</w:t>
        </w:r>
      </w:hyperlink>
      <w:r>
        <w:t xml:space="preserve"> a nariadenie (ES) č. </w:t>
      </w:r>
      <w:hyperlink r:id="rId34">
        <w:r>
          <w:rPr>
            <w:rStyle w:val="Hyperlink"/>
          </w:rPr>
          <w:t>715/2007</w:t>
        </w:r>
      </w:hyperlink>
      <w:r>
        <w:t>.</w:t>
      </w:r>
    </w:p>
  </w:footnote>
  <w:footnote w:id="38">
    <w:p>
      <w:pPr>
        <w:pStyle w:val="FootnoteText"/>
      </w:pPr>
      <w:r>
        <w:rPr>
          <w:rStyle w:val="FootnoteReference"/>
        </w:rPr>
        <w:footnoteRef/>
      </w:r>
      <w:r>
        <w:t xml:space="preserve"> </w:t>
      </w:r>
      <w:r>
        <w:tab/>
        <w:t xml:space="preserve">Smernica </w:t>
      </w:r>
      <w:hyperlink r:id="rId35">
        <w:r>
          <w:rPr>
            <w:rStyle w:val="Hyperlink"/>
          </w:rPr>
          <w:t>2014/23/EÚ</w:t>
        </w:r>
      </w:hyperlink>
      <w:r>
        <w:t xml:space="preserve">, smernica </w:t>
      </w:r>
      <w:hyperlink r:id="rId36">
        <w:r>
          <w:rPr>
            <w:rStyle w:val="Hyperlink"/>
          </w:rPr>
          <w:t>2014/24/EÚ</w:t>
        </w:r>
      </w:hyperlink>
      <w:r>
        <w:t xml:space="preserve">, smernica </w:t>
      </w:r>
      <w:hyperlink r:id="rId37">
        <w:r>
          <w:rPr>
            <w:rStyle w:val="Hyperlink"/>
          </w:rPr>
          <w:t>2014/25/EÚ</w:t>
        </w:r>
      </w:hyperlink>
      <w:r>
        <w:t>.</w:t>
      </w:r>
    </w:p>
  </w:footnote>
  <w:footnote w:id="39">
    <w:p>
      <w:pPr>
        <w:pStyle w:val="FootnoteText"/>
      </w:pPr>
      <w:r>
        <w:rPr>
          <w:rStyle w:val="FootnoteReference"/>
        </w:rPr>
        <w:footnoteRef/>
      </w:r>
      <w:r>
        <w:t xml:space="preserve"> </w:t>
      </w:r>
      <w:r>
        <w:tab/>
        <w:t xml:space="preserve">Smernice </w:t>
      </w:r>
      <w:hyperlink r:id="rId38">
        <w:r>
          <w:rPr>
            <w:rStyle w:val="Hyperlink"/>
          </w:rPr>
          <w:t>2014/31/EÚ</w:t>
        </w:r>
      </w:hyperlink>
      <w:r>
        <w:t xml:space="preserve">, </w:t>
      </w:r>
      <w:hyperlink r:id="rId39">
        <w:r>
          <w:rPr>
            <w:rStyle w:val="Hyperlink"/>
          </w:rPr>
          <w:t>2014/32/EÚ</w:t>
        </w:r>
      </w:hyperlink>
      <w:r>
        <w:t xml:space="preserve"> a </w:t>
      </w:r>
      <w:hyperlink r:id="rId40">
        <w:r>
          <w:rPr>
            <w:rStyle w:val="Hyperlink"/>
          </w:rPr>
          <w:t>2015/13/EÚ</w:t>
        </w:r>
      </w:hyperlink>
      <w:r>
        <w:t>.</w:t>
      </w:r>
    </w:p>
  </w:footnote>
  <w:footnote w:id="40">
    <w:p>
      <w:pPr>
        <w:pStyle w:val="FootnoteText"/>
      </w:pPr>
      <w:r>
        <w:rPr>
          <w:rStyle w:val="FootnoteReference"/>
        </w:rPr>
        <w:footnoteRef/>
      </w:r>
      <w:r>
        <w:t xml:space="preserve"> </w:t>
      </w:r>
      <w:r>
        <w:tab/>
        <w:t xml:space="preserve">Smernice </w:t>
      </w:r>
      <w:hyperlink r:id="rId41">
        <w:r>
          <w:rPr>
            <w:rStyle w:val="Hyperlink"/>
          </w:rPr>
          <w:t>2013/53/EÚ</w:t>
        </w:r>
      </w:hyperlink>
      <w:r>
        <w:t xml:space="preserve">, </w:t>
      </w:r>
      <w:hyperlink r:id="rId42">
        <w:r>
          <w:rPr>
            <w:rStyle w:val="Hyperlink"/>
          </w:rPr>
          <w:t>2014/29/EÚ</w:t>
        </w:r>
      </w:hyperlink>
      <w:r>
        <w:t xml:space="preserve">, </w:t>
      </w:r>
      <w:hyperlink r:id="rId43">
        <w:r>
          <w:rPr>
            <w:rStyle w:val="Hyperlink"/>
          </w:rPr>
          <w:t>2014/30/EÚ</w:t>
        </w:r>
      </w:hyperlink>
      <w:r>
        <w:t xml:space="preserve">, </w:t>
      </w:r>
      <w:hyperlink r:id="rId44">
        <w:r>
          <w:rPr>
            <w:rStyle w:val="Hyperlink"/>
          </w:rPr>
          <w:t>2014/33/EÚ</w:t>
        </w:r>
      </w:hyperlink>
      <w:r>
        <w:t xml:space="preserve">, </w:t>
      </w:r>
      <w:hyperlink r:id="rId45">
        <w:r>
          <w:rPr>
            <w:rStyle w:val="Hyperlink"/>
          </w:rPr>
          <w:t>2014/34/EÚ</w:t>
        </w:r>
      </w:hyperlink>
      <w:r>
        <w:t xml:space="preserve">, </w:t>
      </w:r>
      <w:hyperlink r:id="rId46">
        <w:r>
          <w:rPr>
            <w:rStyle w:val="Hyperlink"/>
          </w:rPr>
          <w:t>2014/35/EÚ</w:t>
        </w:r>
      </w:hyperlink>
      <w:r>
        <w:t xml:space="preserve">, </w:t>
      </w:r>
      <w:hyperlink r:id="rId47">
        <w:r>
          <w:rPr>
            <w:rStyle w:val="Hyperlink"/>
          </w:rPr>
          <w:t>2014/53/EÚ</w:t>
        </w:r>
      </w:hyperlink>
      <w:r>
        <w:t xml:space="preserve"> a </w:t>
      </w:r>
      <w:hyperlink r:id="rId48">
        <w:r>
          <w:rPr>
            <w:rStyle w:val="Hyperlink"/>
          </w:rPr>
          <w:t>2014/68/EÚ</w:t>
        </w:r>
      </w:hyperlink>
      <w:r>
        <w:t>.</w:t>
      </w:r>
    </w:p>
  </w:footnote>
  <w:footnote w:id="41">
    <w:p>
      <w:pPr>
        <w:pStyle w:val="FootnoteText"/>
      </w:pPr>
      <w:r>
        <w:rPr>
          <w:rStyle w:val="FootnoteReference"/>
        </w:rPr>
        <w:footnoteRef/>
      </w:r>
      <w:r>
        <w:t xml:space="preserve"> </w:t>
      </w:r>
      <w:r>
        <w:tab/>
        <w:t xml:space="preserve">Smernice </w:t>
      </w:r>
      <w:hyperlink r:id="rId49">
        <w:r>
          <w:rPr>
            <w:rStyle w:val="Hyperlink"/>
          </w:rPr>
          <w:t>2014/28/EÚ</w:t>
        </w:r>
      </w:hyperlink>
      <w:r>
        <w:t xml:space="preserve"> a </w:t>
      </w:r>
      <w:hyperlink r:id="rId50">
        <w:r>
          <w:rPr>
            <w:rStyle w:val="Hyperlink"/>
          </w:rPr>
          <w:t>2016/970/EÚ</w:t>
        </w:r>
      </w:hyperlink>
      <w:r>
        <w:t>.</w:t>
      </w:r>
    </w:p>
  </w:footnote>
  <w:footnote w:id="42">
    <w:p>
      <w:pPr>
        <w:pStyle w:val="FootnoteText"/>
      </w:pPr>
      <w:r>
        <w:rPr>
          <w:rStyle w:val="FootnoteReference"/>
        </w:rPr>
        <w:footnoteRef/>
      </w:r>
      <w:r>
        <w:t xml:space="preserve"> </w:t>
      </w:r>
      <w:r>
        <w:tab/>
        <w:t xml:space="preserve">Smernica </w:t>
      </w:r>
      <w:hyperlink r:id="rId51">
        <w:r>
          <w:rPr>
            <w:rStyle w:val="Hyperlink"/>
          </w:rPr>
          <w:t>2013/55/EÚ</w:t>
        </w:r>
      </w:hyperlink>
      <w:r>
        <w:t>.</w:t>
      </w:r>
    </w:p>
  </w:footnote>
  <w:footnote w:id="43">
    <w:p>
      <w:pPr>
        <w:pStyle w:val="FootnoteText"/>
      </w:pPr>
      <w:r>
        <w:rPr>
          <w:rStyle w:val="FootnoteReference"/>
        </w:rPr>
        <w:footnoteRef/>
      </w:r>
      <w:r>
        <w:t xml:space="preserve"> </w:t>
      </w:r>
      <w:r>
        <w:tab/>
      </w:r>
      <w:hyperlink r:id="rId52">
        <w:r>
          <w:rPr>
            <w:rStyle w:val="Hyperlink"/>
          </w:rPr>
          <w:t>COM(2015) 468</w:t>
        </w:r>
      </w:hyperlink>
      <w:r>
        <w:t xml:space="preserve"> final.</w:t>
      </w:r>
    </w:p>
  </w:footnote>
  <w:footnote w:id="44">
    <w:p>
      <w:pPr>
        <w:pStyle w:val="FootnoteText"/>
      </w:pPr>
      <w:r>
        <w:rPr>
          <w:rStyle w:val="FootnoteReference"/>
        </w:rPr>
        <w:footnoteRef/>
      </w:r>
      <w:r>
        <w:t xml:space="preserve"> </w:t>
      </w:r>
      <w:r>
        <w:tab/>
      </w:r>
      <w:hyperlink r:id="rId53">
        <w:r>
          <w:rPr>
            <w:rStyle w:val="Hyperlink"/>
          </w:rPr>
          <w:t>COM(2016) 601</w:t>
        </w:r>
      </w:hyperlink>
      <w:r>
        <w:t xml:space="preserve"> final.</w:t>
      </w:r>
    </w:p>
  </w:footnote>
  <w:footnote w:id="45">
    <w:p>
      <w:pPr>
        <w:pStyle w:val="FootnoteText"/>
      </w:pPr>
      <w:r>
        <w:rPr>
          <w:rStyle w:val="FootnoteReference"/>
        </w:rPr>
        <w:footnoteRef/>
      </w:r>
      <w:r>
        <w:t xml:space="preserve"> </w:t>
      </w:r>
      <w:r>
        <w:tab/>
        <w:t xml:space="preserve">Smernica </w:t>
      </w:r>
      <w:hyperlink r:id="rId54">
        <w:r>
          <w:rPr>
            <w:rStyle w:val="Hyperlink"/>
          </w:rPr>
          <w:t>2013/50/EÚ</w:t>
        </w:r>
      </w:hyperlink>
      <w:r>
        <w:t>.</w:t>
      </w:r>
    </w:p>
  </w:footnote>
  <w:footnote w:id="46">
    <w:p>
      <w:pPr>
        <w:pStyle w:val="FootnoteText"/>
      </w:pPr>
      <w:r>
        <w:rPr>
          <w:rStyle w:val="FootnoteReference"/>
        </w:rPr>
        <w:footnoteRef/>
      </w:r>
      <w:r>
        <w:t xml:space="preserve"> </w:t>
      </w:r>
      <w:r>
        <w:tab/>
        <w:t xml:space="preserve">Smernice </w:t>
      </w:r>
      <w:hyperlink r:id="rId55">
        <w:r>
          <w:rPr>
            <w:rStyle w:val="Hyperlink"/>
          </w:rPr>
          <w:t>2013/34/EÚ</w:t>
        </w:r>
      </w:hyperlink>
      <w:r>
        <w:t xml:space="preserve"> a </w:t>
      </w:r>
      <w:hyperlink r:id="rId56">
        <w:r>
          <w:rPr>
            <w:rStyle w:val="Hyperlink"/>
          </w:rPr>
          <w:t>2014/56/EÚ</w:t>
        </w:r>
      </w:hyperlink>
      <w:r>
        <w:t>.</w:t>
      </w:r>
    </w:p>
  </w:footnote>
  <w:footnote w:id="47">
    <w:p>
      <w:pPr>
        <w:pStyle w:val="FootnoteText"/>
      </w:pPr>
      <w:r>
        <w:rPr>
          <w:rStyle w:val="FootnoteReference"/>
        </w:rPr>
        <w:footnoteRef/>
      </w:r>
      <w:r>
        <w:t xml:space="preserve"> </w:t>
      </w:r>
      <w:r>
        <w:tab/>
        <w:t xml:space="preserve">Smernica </w:t>
      </w:r>
      <w:hyperlink r:id="rId57">
        <w:r>
          <w:rPr>
            <w:rStyle w:val="Hyperlink"/>
          </w:rPr>
          <w:t>2014/91/EÚ</w:t>
        </w:r>
      </w:hyperlink>
      <w:r>
        <w:t>.</w:t>
      </w:r>
    </w:p>
  </w:footnote>
  <w:footnote w:id="48">
    <w:p>
      <w:pPr>
        <w:pStyle w:val="FootnoteText"/>
      </w:pPr>
      <w:r>
        <w:rPr>
          <w:rStyle w:val="FootnoteReference"/>
        </w:rPr>
        <w:footnoteRef/>
      </w:r>
      <w:r>
        <w:t xml:space="preserve"> </w:t>
      </w:r>
      <w:r>
        <w:tab/>
        <w:t xml:space="preserve">Smernica </w:t>
      </w:r>
      <w:hyperlink r:id="rId58">
        <w:r>
          <w:rPr>
            <w:rStyle w:val="Hyperlink"/>
          </w:rPr>
          <w:t>2014/17/EÚ</w:t>
        </w:r>
      </w:hyperlink>
      <w:r>
        <w:t>.</w:t>
      </w:r>
    </w:p>
  </w:footnote>
  <w:footnote w:id="49">
    <w:p>
      <w:pPr>
        <w:pStyle w:val="FootnoteText"/>
      </w:pPr>
      <w:r>
        <w:rPr>
          <w:rStyle w:val="FootnoteReference"/>
        </w:rPr>
        <w:footnoteRef/>
      </w:r>
      <w:r>
        <w:t xml:space="preserve"> </w:t>
      </w:r>
      <w:r>
        <w:tab/>
        <w:t xml:space="preserve">Chmielewski, </w:t>
      </w:r>
      <w:hyperlink r:id="rId59">
        <w:r>
          <w:rPr>
            <w:rStyle w:val="Hyperlink"/>
          </w:rPr>
          <w:t>C-255/14</w:t>
        </w:r>
      </w:hyperlink>
      <w:r>
        <w:t>.</w:t>
      </w:r>
    </w:p>
  </w:footnote>
  <w:footnote w:id="50">
    <w:p>
      <w:pPr>
        <w:pStyle w:val="FootnoteText"/>
      </w:pPr>
      <w:r>
        <w:rPr>
          <w:rStyle w:val="FootnoteReference"/>
        </w:rPr>
        <w:footnoteRef/>
      </w:r>
      <w:r>
        <w:t xml:space="preserve"> </w:t>
      </w:r>
      <w:r>
        <w:tab/>
        <w:t>Nariadenie (EÚ) č. </w:t>
      </w:r>
      <w:hyperlink r:id="rId60">
        <w:r>
          <w:rPr>
            <w:rStyle w:val="Hyperlink"/>
          </w:rPr>
          <w:t>524/2013</w:t>
        </w:r>
      </w:hyperlink>
      <w:r>
        <w:t>.</w:t>
      </w:r>
    </w:p>
  </w:footnote>
  <w:footnote w:id="51">
    <w:p>
      <w:pPr>
        <w:pStyle w:val="FootnoteText"/>
      </w:pPr>
      <w:r>
        <w:rPr>
          <w:rStyle w:val="FootnoteReference"/>
        </w:rPr>
        <w:footnoteRef/>
      </w:r>
      <w:r>
        <w:t xml:space="preserve"> </w:t>
      </w:r>
      <w:r>
        <w:tab/>
        <w:t xml:space="preserve">Smernica </w:t>
      </w:r>
      <w:hyperlink r:id="rId61">
        <w:r>
          <w:rPr>
            <w:rStyle w:val="Hyperlink"/>
          </w:rPr>
          <w:t>2013/11/EÚ</w:t>
        </w:r>
      </w:hyperlink>
      <w:r>
        <w:t>.</w:t>
      </w:r>
    </w:p>
  </w:footnote>
  <w:footnote w:id="52">
    <w:p>
      <w:pPr>
        <w:pStyle w:val="FootnoteText"/>
      </w:pPr>
      <w:r>
        <w:rPr>
          <w:rStyle w:val="FootnoteReference"/>
        </w:rPr>
        <w:footnoteRef/>
      </w:r>
      <w:r>
        <w:t xml:space="preserve"> </w:t>
      </w:r>
      <w:r>
        <w:tab/>
        <w:t xml:space="preserve">Smernica </w:t>
      </w:r>
      <w:hyperlink r:id="rId62">
        <w:r>
          <w:rPr>
            <w:rStyle w:val="Hyperlink"/>
          </w:rPr>
          <w:t>2011/83/EÚ</w:t>
        </w:r>
      </w:hyperlink>
      <w:r>
        <w:t>.</w:t>
      </w:r>
    </w:p>
  </w:footnote>
  <w:footnote w:id="53">
    <w:p>
      <w:pPr>
        <w:pStyle w:val="FootnoteText"/>
      </w:pPr>
      <w:r>
        <w:rPr>
          <w:rStyle w:val="FootnoteReference"/>
        </w:rPr>
        <w:footnoteRef/>
      </w:r>
      <w:r>
        <w:t xml:space="preserve"> </w:t>
      </w:r>
      <w:r>
        <w:tab/>
        <w:t xml:space="preserve">Smernica </w:t>
      </w:r>
      <w:hyperlink r:id="rId63">
        <w:r>
          <w:rPr>
            <w:rStyle w:val="Hyperlink"/>
          </w:rPr>
          <w:t>2005/29/ES</w:t>
        </w:r>
      </w:hyperlink>
      <w:r>
        <w:t>.</w:t>
      </w:r>
    </w:p>
  </w:footnote>
  <w:footnote w:id="54">
    <w:p>
      <w:pPr>
        <w:pStyle w:val="FootnoteText"/>
      </w:pPr>
      <w:r>
        <w:rPr>
          <w:rStyle w:val="FootnoteReference"/>
        </w:rPr>
        <w:footnoteRef/>
      </w:r>
      <w:r>
        <w:t xml:space="preserve"> </w:t>
      </w:r>
      <w:r>
        <w:tab/>
        <w:t xml:space="preserve">Smernica </w:t>
      </w:r>
      <w:hyperlink r:id="rId64">
        <w:r>
          <w:rPr>
            <w:rStyle w:val="Hyperlink"/>
          </w:rPr>
          <w:t>2014/92/EÚ</w:t>
        </w:r>
      </w:hyperlink>
      <w:r>
        <w:t>.</w:t>
      </w:r>
    </w:p>
  </w:footnote>
  <w:footnote w:id="55">
    <w:p>
      <w:pPr>
        <w:pStyle w:val="FootnoteText"/>
      </w:pPr>
      <w:r>
        <w:rPr>
          <w:rStyle w:val="FootnoteReference"/>
        </w:rPr>
        <w:footnoteRef/>
      </w:r>
      <w:r>
        <w:t xml:space="preserve"> </w:t>
      </w:r>
      <w:r>
        <w:tab/>
        <w:t xml:space="preserve">Smernica </w:t>
      </w:r>
      <w:hyperlink r:id="rId65">
        <w:r>
          <w:rPr>
            <w:rStyle w:val="Hyperlink"/>
          </w:rPr>
          <w:t>90/314/EHS</w:t>
        </w:r>
      </w:hyperlink>
      <w:r>
        <w:t>.</w:t>
      </w:r>
    </w:p>
  </w:footnote>
  <w:footnote w:id="56">
    <w:p>
      <w:pPr>
        <w:pStyle w:val="FootnoteText"/>
      </w:pPr>
      <w:r>
        <w:rPr>
          <w:rStyle w:val="FootnoteReference"/>
        </w:rPr>
        <w:footnoteRef/>
      </w:r>
      <w:r>
        <w:t xml:space="preserve"> </w:t>
      </w:r>
      <w:r>
        <w:tab/>
        <w:t xml:space="preserve">Smernica </w:t>
      </w:r>
      <w:hyperlink r:id="rId66">
        <w:r>
          <w:rPr>
            <w:rStyle w:val="Hyperlink"/>
          </w:rPr>
          <w:t>2015/2302/EÚ</w:t>
        </w:r>
      </w:hyperlink>
      <w:r>
        <w:t>, pre ktorú uplynie lehota na transpozíciu 1. januára 2018.</w:t>
      </w:r>
    </w:p>
  </w:footnote>
  <w:footnote w:id="57">
    <w:p>
      <w:pPr>
        <w:pStyle w:val="FootnoteText"/>
      </w:pPr>
      <w:r>
        <w:rPr>
          <w:rStyle w:val="FootnoteReference"/>
        </w:rPr>
        <w:footnoteRef/>
      </w:r>
      <w:r>
        <w:t xml:space="preserve"> </w:t>
      </w:r>
      <w:r>
        <w:tab/>
        <w:t xml:space="preserve">Smernica </w:t>
      </w:r>
      <w:hyperlink r:id="rId67">
        <w:r>
          <w:rPr>
            <w:rStyle w:val="Hyperlink"/>
          </w:rPr>
          <w:t>2008/122/ES</w:t>
        </w:r>
      </w:hyperlink>
      <w:r>
        <w:t>.</w:t>
      </w:r>
    </w:p>
  </w:footnote>
  <w:footnote w:id="58">
    <w:p>
      <w:pPr>
        <w:pStyle w:val="FootnoteText"/>
      </w:pPr>
      <w:r>
        <w:rPr>
          <w:rStyle w:val="FootnoteReference"/>
        </w:rPr>
        <w:footnoteRef/>
      </w:r>
      <w:r>
        <w:t xml:space="preserve"> </w:t>
      </w:r>
      <w:r>
        <w:tab/>
        <w:t xml:space="preserve">Smernica </w:t>
      </w:r>
      <w:hyperlink r:id="rId68">
        <w:r>
          <w:rPr>
            <w:rStyle w:val="Hyperlink"/>
          </w:rPr>
          <w:t>2004/23/ES</w:t>
        </w:r>
      </w:hyperlink>
      <w:r>
        <w:t>.</w:t>
      </w:r>
    </w:p>
  </w:footnote>
  <w:footnote w:id="59">
    <w:p>
      <w:pPr>
        <w:pStyle w:val="FootnoteText"/>
      </w:pPr>
      <w:r>
        <w:rPr>
          <w:rStyle w:val="FootnoteReference"/>
        </w:rPr>
        <w:footnoteRef/>
      </w:r>
      <w:r>
        <w:t xml:space="preserve"> </w:t>
      </w:r>
      <w:r>
        <w:tab/>
        <w:t xml:space="preserve">Smernica </w:t>
      </w:r>
      <w:hyperlink r:id="rId69">
        <w:r>
          <w:rPr>
            <w:rStyle w:val="Hyperlink"/>
          </w:rPr>
          <w:t>2011/24/EÚ</w:t>
        </w:r>
      </w:hyperlink>
      <w:r>
        <w:t>.</w:t>
      </w:r>
    </w:p>
  </w:footnote>
  <w:footnote w:id="60">
    <w:p>
      <w:pPr>
        <w:pStyle w:val="FootnoteText"/>
      </w:pPr>
      <w:r>
        <w:rPr>
          <w:rStyle w:val="FootnoteReference"/>
        </w:rPr>
        <w:footnoteRef/>
      </w:r>
      <w:r>
        <w:t xml:space="preserve"> </w:t>
      </w:r>
      <w:r>
        <w:tab/>
        <w:t xml:space="preserve">Smernice </w:t>
      </w:r>
      <w:hyperlink r:id="rId70">
        <w:r>
          <w:rPr>
            <w:rStyle w:val="Hyperlink"/>
          </w:rPr>
          <w:t>1999/74/ES</w:t>
        </w:r>
      </w:hyperlink>
      <w:r>
        <w:t xml:space="preserve"> a </w:t>
      </w:r>
      <w:hyperlink r:id="rId71">
        <w:r>
          <w:rPr>
            <w:rStyle w:val="Hyperlink"/>
          </w:rPr>
          <w:t>2008/120/ES</w:t>
        </w:r>
      </w:hyperlink>
      <w:r>
        <w:t>.</w:t>
      </w:r>
    </w:p>
  </w:footnote>
  <w:footnote w:id="61">
    <w:p>
      <w:pPr>
        <w:pStyle w:val="FootnoteText"/>
      </w:pPr>
      <w:r>
        <w:rPr>
          <w:rStyle w:val="FootnoteReference"/>
        </w:rPr>
        <w:footnoteRef/>
      </w:r>
      <w:r>
        <w:t xml:space="preserve"> </w:t>
      </w:r>
      <w:r>
        <w:tab/>
        <w:t xml:space="preserve">Smernica </w:t>
      </w:r>
      <w:hyperlink r:id="rId72">
        <w:r>
          <w:rPr>
            <w:rStyle w:val="Hyperlink"/>
          </w:rPr>
          <w:t>2004/52/ES</w:t>
        </w:r>
      </w:hyperlink>
      <w:r>
        <w:t>.</w:t>
      </w:r>
    </w:p>
  </w:footnote>
  <w:footnote w:id="62">
    <w:p>
      <w:pPr>
        <w:pStyle w:val="FootnoteText"/>
      </w:pPr>
      <w:r>
        <w:rPr>
          <w:rStyle w:val="FootnoteReference"/>
        </w:rPr>
        <w:footnoteRef/>
      </w:r>
      <w:r>
        <w:t xml:space="preserve"> </w:t>
      </w:r>
      <w:r>
        <w:tab/>
        <w:t xml:space="preserve">Smernica </w:t>
      </w:r>
      <w:hyperlink r:id="rId73">
        <w:r>
          <w:rPr>
            <w:rStyle w:val="Hyperlink"/>
          </w:rPr>
          <w:t>2014/94/EÚ</w:t>
        </w:r>
      </w:hyperlink>
      <w:r>
        <w:t>.</w:t>
      </w:r>
    </w:p>
  </w:footnote>
  <w:footnote w:id="63">
    <w:p>
      <w:pPr>
        <w:pStyle w:val="FootnoteText"/>
      </w:pPr>
      <w:r>
        <w:rPr>
          <w:rStyle w:val="FootnoteReference"/>
        </w:rPr>
        <w:footnoteRef/>
      </w:r>
      <w:r>
        <w:t xml:space="preserve"> </w:t>
      </w:r>
      <w:r>
        <w:tab/>
      </w:r>
      <w:r>
        <w:rPr>
          <w:rStyle w:val="bluetext11"/>
        </w:rPr>
        <w:t xml:space="preserve">Smernica </w:t>
      </w:r>
      <w:hyperlink r:id="rId74">
        <w:r>
          <w:rPr>
            <w:rStyle w:val="Hyperlink"/>
          </w:rPr>
          <w:t>2009/18/ES</w:t>
        </w:r>
      </w:hyperlink>
      <w:r>
        <w:rPr>
          <w:rStyle w:val="bluetext11"/>
        </w:rPr>
        <w:t>.</w:t>
      </w:r>
    </w:p>
  </w:footnote>
  <w:footnote w:id="64">
    <w:p>
      <w:pPr>
        <w:pStyle w:val="FootnoteText"/>
      </w:pPr>
      <w:r>
        <w:rPr>
          <w:rStyle w:val="FootnoteReference"/>
        </w:rPr>
        <w:footnoteRef/>
      </w:r>
      <w:r>
        <w:t xml:space="preserve"> </w:t>
      </w:r>
      <w:r>
        <w:tab/>
      </w:r>
      <w:r>
        <w:rPr>
          <w:rStyle w:val="bluetext11"/>
        </w:rPr>
        <w:t xml:space="preserve">Smernica </w:t>
      </w:r>
      <w:hyperlink r:id="rId75">
        <w:r>
          <w:rPr>
            <w:rStyle w:val="Hyperlink"/>
          </w:rPr>
          <w:t>2009/16/ES</w:t>
        </w:r>
      </w:hyperlink>
      <w:r>
        <w:rPr>
          <w:rStyle w:val="bluetext11"/>
        </w:rPr>
        <w:t>.</w:t>
      </w:r>
    </w:p>
  </w:footnote>
  <w:footnote w:id="65">
    <w:p>
      <w:pPr>
        <w:pStyle w:val="FootnoteText"/>
      </w:pPr>
      <w:r>
        <w:rPr>
          <w:rStyle w:val="FootnoteReference"/>
        </w:rPr>
        <w:footnoteRef/>
      </w:r>
      <w:r>
        <w:t xml:space="preserve"> </w:t>
      </w:r>
      <w:r>
        <w:tab/>
      </w:r>
      <w:r>
        <w:rPr>
          <w:rStyle w:val="bluetext11"/>
        </w:rPr>
        <w:t xml:space="preserve">Smernica </w:t>
      </w:r>
      <w:hyperlink r:id="rId76">
        <w:r>
          <w:rPr>
            <w:rStyle w:val="Hyperlink"/>
          </w:rPr>
          <w:t>2009/15/ES</w:t>
        </w:r>
      </w:hyperlink>
      <w:r>
        <w:rPr>
          <w:rStyle w:val="bluetext11"/>
        </w:rPr>
        <w:t>.</w:t>
      </w:r>
    </w:p>
  </w:footnote>
  <w:footnote w:id="66">
    <w:p>
      <w:pPr>
        <w:pStyle w:val="FootnoteText"/>
      </w:pPr>
      <w:r>
        <w:rPr>
          <w:rStyle w:val="FootnoteReference"/>
        </w:rPr>
        <w:footnoteRef/>
      </w:r>
      <w:r>
        <w:t xml:space="preserve"> </w:t>
      </w:r>
      <w:r>
        <w:tab/>
        <w:t xml:space="preserve">Smernica </w:t>
      </w:r>
      <w:hyperlink r:id="rId77">
        <w:r>
          <w:rPr>
            <w:rStyle w:val="Hyperlink"/>
          </w:rPr>
          <w:t>2006/126/ES</w:t>
        </w:r>
      </w:hyperlink>
      <w:r>
        <w:t>.</w:t>
      </w:r>
    </w:p>
  </w:footnote>
  <w:footnote w:id="67">
    <w:p>
      <w:pPr>
        <w:pStyle w:val="FootnoteText"/>
      </w:pPr>
      <w:r>
        <w:rPr>
          <w:rStyle w:val="FootnoteReference"/>
        </w:rPr>
        <w:footnoteRef/>
      </w:r>
      <w:r>
        <w:t xml:space="preserve"> </w:t>
      </w:r>
      <w:r>
        <w:tab/>
        <w:t xml:space="preserve">Smernice </w:t>
      </w:r>
      <w:hyperlink r:id="rId78">
        <w:r>
          <w:rPr>
            <w:rStyle w:val="Hyperlink"/>
          </w:rPr>
          <w:t>2012/34/EÚ</w:t>
        </w:r>
      </w:hyperlink>
      <w:r>
        <w:t xml:space="preserve">, </w:t>
      </w:r>
      <w:hyperlink r:id="rId79">
        <w:r>
          <w:rPr>
            <w:rStyle w:val="Hyperlink"/>
          </w:rPr>
          <w:t>2008/57/ES</w:t>
        </w:r>
      </w:hyperlink>
      <w:r>
        <w:t xml:space="preserve"> a </w:t>
      </w:r>
      <w:hyperlink r:id="rId80">
        <w:r>
          <w:rPr>
            <w:rStyle w:val="Hyperlink"/>
          </w:rPr>
          <w:t>2004/49/ES</w:t>
        </w:r>
      </w:hyperlink>
      <w:r>
        <w:t>.</w:t>
      </w:r>
    </w:p>
  </w:footnote>
  <w:footnote w:id="68">
    <w:p>
      <w:pPr>
        <w:pStyle w:val="FootnoteText"/>
      </w:pPr>
      <w:r>
        <w:rPr>
          <w:rStyle w:val="FootnoteReference"/>
        </w:rPr>
        <w:footnoteRef/>
      </w:r>
      <w:r>
        <w:t xml:space="preserve"> </w:t>
      </w:r>
      <w:r>
        <w:tab/>
        <w:t xml:space="preserve">Smernica </w:t>
      </w:r>
      <w:hyperlink r:id="rId81">
        <w:r>
          <w:rPr>
            <w:rStyle w:val="Hyperlink"/>
          </w:rPr>
          <w:t>2013/36/EÚ</w:t>
        </w:r>
      </w:hyperlink>
      <w:r>
        <w:t>.</w:t>
      </w:r>
    </w:p>
  </w:footnote>
  <w:footnote w:id="69">
    <w:p>
      <w:pPr>
        <w:pStyle w:val="FootnoteText"/>
      </w:pPr>
      <w:r>
        <w:rPr>
          <w:rStyle w:val="FootnoteReference"/>
        </w:rPr>
        <w:footnoteRef/>
      </w:r>
      <w:r>
        <w:t xml:space="preserve"> </w:t>
      </w:r>
      <w:r>
        <w:tab/>
        <w:t xml:space="preserve">Smernica </w:t>
      </w:r>
      <w:hyperlink r:id="rId82">
        <w:r>
          <w:rPr>
            <w:rStyle w:val="Hyperlink"/>
          </w:rPr>
          <w:t>2014/49/EÚ</w:t>
        </w:r>
      </w:hyperlink>
      <w:r>
        <w:t>.</w:t>
      </w:r>
    </w:p>
  </w:footnote>
  <w:footnote w:id="70">
    <w:p>
      <w:pPr>
        <w:pStyle w:val="FootnoteText"/>
      </w:pPr>
      <w:r>
        <w:rPr>
          <w:rStyle w:val="FootnoteReference"/>
        </w:rPr>
        <w:footnoteRef/>
      </w:r>
      <w:r>
        <w:t xml:space="preserve"> </w:t>
      </w:r>
      <w:r>
        <w:tab/>
        <w:t xml:space="preserve">Smernica </w:t>
      </w:r>
      <w:hyperlink r:id="rId83">
        <w:r>
          <w:rPr>
            <w:rStyle w:val="Hyperlink"/>
          </w:rPr>
          <w:t>2014/59/EÚ</w:t>
        </w:r>
      </w:hyperlink>
      <w:r>
        <w:t>.</w:t>
      </w:r>
    </w:p>
  </w:footnote>
  <w:footnote w:id="71">
    <w:p>
      <w:pPr>
        <w:pStyle w:val="FootnoteText"/>
      </w:pPr>
      <w:r>
        <w:rPr>
          <w:rStyle w:val="FootnoteReference"/>
        </w:rPr>
        <w:footnoteRef/>
      </w:r>
      <w:r>
        <w:t xml:space="preserve"> </w:t>
      </w:r>
      <w:r>
        <w:tab/>
      </w:r>
      <w:hyperlink r:id="rId84">
        <w:r>
          <w:rPr>
            <w:rStyle w:val="Hyperlink"/>
          </w:rPr>
          <w:t>COM(2014) 158 final/2</w:t>
        </w:r>
      </w:hyperlink>
      <w:r>
        <w:t>.</w:t>
      </w:r>
    </w:p>
  </w:footnote>
  <w:footnote w:id="72">
    <w:p>
      <w:pPr>
        <w:pStyle w:val="FootnoteText"/>
      </w:pPr>
      <w:r>
        <w:rPr>
          <w:rStyle w:val="FootnoteReference"/>
        </w:rPr>
        <w:footnoteRef/>
      </w:r>
      <w:r>
        <w:t xml:space="preserve"> </w:t>
      </w:r>
      <w:r>
        <w:tab/>
        <w:t xml:space="preserve">Smernica </w:t>
      </w:r>
      <w:hyperlink r:id="rId85">
        <w:r>
          <w:rPr>
            <w:rStyle w:val="Hyperlink"/>
          </w:rPr>
          <w:t>2016/343</w:t>
        </w:r>
      </w:hyperlink>
      <w:r>
        <w:t>.</w:t>
      </w:r>
    </w:p>
  </w:footnote>
  <w:footnote w:id="73">
    <w:p>
      <w:pPr>
        <w:pStyle w:val="FootnoteText"/>
      </w:pPr>
      <w:r>
        <w:rPr>
          <w:rStyle w:val="FootnoteReference"/>
        </w:rPr>
        <w:footnoteRef/>
      </w:r>
      <w:r>
        <w:t xml:space="preserve"> </w:t>
      </w:r>
      <w:r>
        <w:tab/>
        <w:t xml:space="preserve">Smernica </w:t>
      </w:r>
      <w:hyperlink r:id="rId86">
        <w:r>
          <w:rPr>
            <w:rStyle w:val="Hyperlink"/>
          </w:rPr>
          <w:t>2016/800</w:t>
        </w:r>
      </w:hyperlink>
      <w:r>
        <w:t>.</w:t>
      </w:r>
    </w:p>
  </w:footnote>
  <w:footnote w:id="74">
    <w:p>
      <w:pPr>
        <w:pStyle w:val="FootnoteText"/>
      </w:pPr>
      <w:r>
        <w:rPr>
          <w:rStyle w:val="FootnoteReference"/>
        </w:rPr>
        <w:footnoteRef/>
      </w:r>
      <w:r>
        <w:t xml:space="preserve"> </w:t>
      </w:r>
      <w:r>
        <w:tab/>
        <w:t xml:space="preserve">Smernica </w:t>
      </w:r>
      <w:hyperlink r:id="rId87">
        <w:r>
          <w:rPr>
            <w:rStyle w:val="Hyperlink"/>
          </w:rPr>
          <w:t>2016/1919</w:t>
        </w:r>
      </w:hyperlink>
      <w:r>
        <w:t>.</w:t>
      </w:r>
    </w:p>
  </w:footnote>
  <w:footnote w:id="75">
    <w:p>
      <w:pPr>
        <w:pStyle w:val="FootnoteText"/>
      </w:pPr>
      <w:r>
        <w:rPr>
          <w:rStyle w:val="FootnoteReference"/>
        </w:rPr>
        <w:footnoteRef/>
      </w:r>
      <w:r>
        <w:t xml:space="preserve"> </w:t>
      </w:r>
      <w:r>
        <w:tab/>
        <w:t xml:space="preserve">Smernica </w:t>
      </w:r>
      <w:hyperlink r:id="rId88">
        <w:r>
          <w:rPr>
            <w:rStyle w:val="Hyperlink"/>
          </w:rPr>
          <w:t>2012/29/EÚ</w:t>
        </w:r>
      </w:hyperlink>
      <w:r>
        <w:t>.</w:t>
      </w:r>
    </w:p>
  </w:footnote>
  <w:footnote w:id="76">
    <w:p>
      <w:pPr>
        <w:pStyle w:val="FootnoteText"/>
      </w:pPr>
      <w:r>
        <w:rPr>
          <w:rStyle w:val="FootnoteReference"/>
        </w:rPr>
        <w:footnoteRef/>
      </w:r>
      <w:r>
        <w:t xml:space="preserve"> </w:t>
      </w:r>
      <w:r>
        <w:tab/>
        <w:t>Smernica 2010/64/EÚ.</w:t>
      </w:r>
    </w:p>
  </w:footnote>
  <w:footnote w:id="77">
    <w:p>
      <w:pPr>
        <w:pStyle w:val="FootnoteText"/>
      </w:pPr>
      <w:r>
        <w:rPr>
          <w:rStyle w:val="FootnoteReference"/>
        </w:rPr>
        <w:footnoteRef/>
      </w:r>
      <w:r>
        <w:t xml:space="preserve"> </w:t>
      </w:r>
      <w:r>
        <w:tab/>
        <w:t xml:space="preserve">Smernica </w:t>
      </w:r>
      <w:hyperlink r:id="rId89">
        <w:r>
          <w:rPr>
            <w:rStyle w:val="Hyperlink"/>
          </w:rPr>
          <w:t>2012/13/EÚ</w:t>
        </w:r>
      </w:hyperlink>
      <w:r>
        <w:t>.</w:t>
      </w:r>
    </w:p>
  </w:footnote>
  <w:footnote w:id="78">
    <w:p>
      <w:pPr>
        <w:pStyle w:val="FootnoteText"/>
      </w:pPr>
      <w:r>
        <w:rPr>
          <w:rStyle w:val="FootnoteReference"/>
        </w:rPr>
        <w:footnoteRef/>
      </w:r>
      <w:r>
        <w:t xml:space="preserve"> </w:t>
      </w:r>
      <w:r>
        <w:tab/>
        <w:t xml:space="preserve">Smernica </w:t>
      </w:r>
      <w:hyperlink r:id="rId90">
        <w:r>
          <w:rPr>
            <w:rStyle w:val="Hyperlink"/>
          </w:rPr>
          <w:t>2011/99/EÚ</w:t>
        </w:r>
      </w:hyperlink>
      <w:r>
        <w:t>.</w:t>
      </w:r>
    </w:p>
  </w:footnote>
  <w:footnote w:id="79">
    <w:p>
      <w:pPr>
        <w:pStyle w:val="FootnoteText"/>
      </w:pPr>
      <w:r>
        <w:rPr>
          <w:rStyle w:val="FootnoteReference"/>
        </w:rPr>
        <w:footnoteRef/>
      </w:r>
      <w:r>
        <w:t xml:space="preserve"> </w:t>
      </w:r>
      <w:r>
        <w:tab/>
        <w:t xml:space="preserve">Smernica </w:t>
      </w:r>
      <w:hyperlink r:id="rId91">
        <w:r>
          <w:rPr>
            <w:rStyle w:val="Hyperlink"/>
          </w:rPr>
          <w:t>2014/57/EÚ</w:t>
        </w:r>
      </w:hyperlink>
      <w:r>
        <w:t>.</w:t>
      </w:r>
    </w:p>
  </w:footnote>
  <w:footnote w:id="80">
    <w:p>
      <w:pPr>
        <w:pStyle w:val="FootnoteText"/>
      </w:pPr>
      <w:r>
        <w:rPr>
          <w:rStyle w:val="FootnoteReference"/>
        </w:rPr>
        <w:footnoteRef/>
      </w:r>
      <w:r>
        <w:t xml:space="preserve"> </w:t>
      </w:r>
      <w:r>
        <w:tab/>
        <w:t xml:space="preserve">Nariadenie (EÚ) </w:t>
      </w:r>
      <w:hyperlink r:id="rId92">
        <w:r>
          <w:rPr>
            <w:rStyle w:val="Hyperlink"/>
          </w:rPr>
          <w:t>2016/679</w:t>
        </w:r>
      </w:hyperlink>
      <w:r>
        <w:t>.</w:t>
      </w:r>
    </w:p>
  </w:footnote>
  <w:footnote w:id="81">
    <w:p>
      <w:pPr>
        <w:pStyle w:val="FootnoteText"/>
      </w:pPr>
      <w:r>
        <w:rPr>
          <w:rStyle w:val="FootnoteReference"/>
        </w:rPr>
        <w:footnoteRef/>
      </w:r>
      <w:r>
        <w:t xml:space="preserve"> </w:t>
      </w:r>
      <w:r>
        <w:tab/>
        <w:t xml:space="preserve">Smernica </w:t>
      </w:r>
      <w:hyperlink r:id="rId93">
        <w:r>
          <w:rPr>
            <w:rStyle w:val="Hyperlink"/>
          </w:rPr>
          <w:t>95/46/ES</w:t>
        </w:r>
      </w:hyperlink>
      <w:r>
        <w:t>.</w:t>
      </w:r>
    </w:p>
  </w:footnote>
  <w:footnote w:id="82">
    <w:p>
      <w:pPr>
        <w:pStyle w:val="FootnoteText"/>
      </w:pPr>
      <w:r>
        <w:rPr>
          <w:rStyle w:val="FootnoteReference"/>
        </w:rPr>
        <w:footnoteRef/>
      </w:r>
      <w:r>
        <w:t xml:space="preserve"> </w:t>
      </w:r>
      <w:r>
        <w:tab/>
        <w:t>Smernica (EÚ) 2016/680.</w:t>
      </w:r>
    </w:p>
  </w:footnote>
  <w:footnote w:id="83">
    <w:p>
      <w:pPr>
        <w:pStyle w:val="FootnoteText"/>
      </w:pPr>
      <w:r>
        <w:rPr>
          <w:rStyle w:val="FootnoteReference"/>
        </w:rPr>
        <w:footnoteRef/>
      </w:r>
      <w:r>
        <w:t xml:space="preserve"> </w:t>
      </w:r>
      <w:r>
        <w:tab/>
        <w:t xml:space="preserve">Rámcové rozhodnutie Rady </w:t>
      </w:r>
      <w:hyperlink r:id="rId94">
        <w:r>
          <w:rPr>
            <w:rStyle w:val="Hyperlink"/>
          </w:rPr>
          <w:t>2008/977/SVV</w:t>
        </w:r>
      </w:hyperlink>
      <w:r>
        <w:t>.</w:t>
      </w:r>
    </w:p>
  </w:footnote>
  <w:footnote w:id="84">
    <w:p>
      <w:pPr>
        <w:pStyle w:val="FootnoteText"/>
      </w:pPr>
      <w:r>
        <w:rPr>
          <w:rStyle w:val="FootnoteReference"/>
        </w:rPr>
        <w:footnoteRef/>
      </w:r>
      <w:r>
        <w:t xml:space="preserve"> </w:t>
      </w:r>
      <w:r>
        <w:tab/>
      </w:r>
      <w:hyperlink r:id="rId95">
        <w:r>
          <w:rPr>
            <w:rStyle w:val="Hyperlink"/>
          </w:rPr>
          <w:t>COM(2015) 185</w:t>
        </w:r>
      </w:hyperlink>
      <w:r>
        <w:t xml:space="preserve"> final.</w:t>
      </w:r>
    </w:p>
  </w:footnote>
  <w:footnote w:id="85">
    <w:p>
      <w:pPr>
        <w:pStyle w:val="FootnoteText"/>
      </w:pPr>
      <w:r>
        <w:rPr>
          <w:rStyle w:val="FootnoteReference"/>
        </w:rPr>
        <w:footnoteRef/>
      </w:r>
      <w:r>
        <w:t xml:space="preserve"> </w:t>
      </w:r>
      <w:r>
        <w:tab/>
        <w:t>Nariadenie (EÚ) č. </w:t>
      </w:r>
      <w:hyperlink r:id="rId96">
        <w:r>
          <w:rPr>
            <w:rStyle w:val="Hyperlink"/>
          </w:rPr>
          <w:t>98/2013</w:t>
        </w:r>
      </w:hyperlink>
      <w:r>
        <w:t>.</w:t>
      </w:r>
    </w:p>
  </w:footnote>
  <w:footnote w:id="86">
    <w:p>
      <w:pPr>
        <w:pStyle w:val="FootnoteText"/>
      </w:pPr>
      <w:r>
        <w:rPr>
          <w:rStyle w:val="FootnoteReference"/>
        </w:rPr>
        <w:footnoteRef/>
      </w:r>
      <w:r>
        <w:t xml:space="preserve"> </w:t>
      </w:r>
      <w:r>
        <w:tab/>
        <w:t xml:space="preserve">Rámcové rozhodnutie Rady </w:t>
      </w:r>
      <w:hyperlink r:id="rId97">
        <w:r>
          <w:rPr>
            <w:rStyle w:val="Hyperlink"/>
          </w:rPr>
          <w:t>2006/960/SVV</w:t>
        </w:r>
      </w:hyperlink>
      <w:r>
        <w:t>.</w:t>
      </w:r>
    </w:p>
  </w:footnote>
  <w:footnote w:id="87">
    <w:p>
      <w:pPr>
        <w:pStyle w:val="FootnoteText"/>
      </w:pPr>
      <w:r>
        <w:rPr>
          <w:rStyle w:val="FootnoteReference"/>
        </w:rPr>
        <w:footnoteRef/>
      </w:r>
      <w:r>
        <w:t xml:space="preserve"> </w:t>
      </w:r>
      <w:r>
        <w:tab/>
        <w:t xml:space="preserve">Rozhodnutia </w:t>
      </w:r>
      <w:hyperlink r:id="rId98">
        <w:r>
          <w:rPr>
            <w:rStyle w:val="Hyperlink"/>
          </w:rPr>
          <w:t>2008/615/SVV</w:t>
        </w:r>
      </w:hyperlink>
      <w:r>
        <w:t xml:space="preserve"> a </w:t>
      </w:r>
      <w:hyperlink r:id="rId99">
        <w:r>
          <w:rPr>
            <w:rStyle w:val="Hyperlink"/>
          </w:rPr>
          <w:t>2008/616/SVV</w:t>
        </w:r>
      </w:hyperlink>
      <w:r>
        <w:t>.</w:t>
      </w:r>
    </w:p>
  </w:footnote>
  <w:footnote w:id="88">
    <w:p>
      <w:pPr>
        <w:pStyle w:val="FootnoteText"/>
      </w:pPr>
      <w:r>
        <w:rPr>
          <w:rStyle w:val="FootnoteReference"/>
        </w:rPr>
        <w:footnoteRef/>
      </w:r>
      <w:r>
        <w:t xml:space="preserve"> </w:t>
      </w:r>
      <w:r>
        <w:tab/>
        <w:t xml:space="preserve">Smernica </w:t>
      </w:r>
      <w:hyperlink r:id="rId100">
        <w:r>
          <w:rPr>
            <w:rStyle w:val="Hyperlink"/>
          </w:rPr>
          <w:t>2011/36/EÚ</w:t>
        </w:r>
      </w:hyperlink>
      <w:r>
        <w:t>.</w:t>
      </w:r>
    </w:p>
  </w:footnote>
  <w:footnote w:id="89">
    <w:p>
      <w:pPr>
        <w:pStyle w:val="FootnoteText"/>
      </w:pPr>
      <w:r>
        <w:rPr>
          <w:rStyle w:val="FootnoteReference"/>
        </w:rPr>
        <w:footnoteRef/>
      </w:r>
      <w:r>
        <w:t xml:space="preserve"> </w:t>
      </w:r>
      <w:r>
        <w:tab/>
        <w:t xml:space="preserve">Smernica </w:t>
      </w:r>
      <w:hyperlink r:id="rId101">
        <w:r>
          <w:rPr>
            <w:rStyle w:val="Hyperlink"/>
          </w:rPr>
          <w:t>2011/93/EÚ</w:t>
        </w:r>
      </w:hyperlink>
      <w:r>
        <w:t>.</w:t>
      </w:r>
    </w:p>
  </w:footnote>
  <w:footnote w:id="90">
    <w:p>
      <w:pPr>
        <w:pStyle w:val="FootnoteText"/>
      </w:pPr>
      <w:r>
        <w:rPr>
          <w:rStyle w:val="FootnoteReference"/>
        </w:rPr>
        <w:footnoteRef/>
      </w:r>
      <w:r>
        <w:t xml:space="preserve"> </w:t>
      </w:r>
      <w:r>
        <w:tab/>
        <w:t xml:space="preserve">Smernica </w:t>
      </w:r>
      <w:hyperlink r:id="rId102">
        <w:r>
          <w:rPr>
            <w:rStyle w:val="Hyperlink"/>
          </w:rPr>
          <w:t>2013/40/EÚ</w:t>
        </w:r>
      </w:hyperlink>
      <w:r>
        <w:t>.</w:t>
      </w:r>
    </w:p>
  </w:footnote>
  <w:footnote w:id="91">
    <w:p>
      <w:pPr>
        <w:pStyle w:val="FootnoteText"/>
      </w:pPr>
      <w:r>
        <w:rPr>
          <w:rStyle w:val="FootnoteReference"/>
        </w:rPr>
        <w:footnoteRef/>
      </w:r>
      <w:r>
        <w:t xml:space="preserve"> </w:t>
      </w:r>
      <w:r>
        <w:tab/>
        <w:t xml:space="preserve">Smernica </w:t>
      </w:r>
      <w:hyperlink r:id="rId103">
        <w:r>
          <w:rPr>
            <w:rStyle w:val="Hyperlink"/>
          </w:rPr>
          <w:t>2014/42/EÚ</w:t>
        </w:r>
      </w:hyperlink>
      <w:r>
        <w:t>.</w:t>
      </w:r>
    </w:p>
  </w:footnote>
  <w:footnote w:id="92">
    <w:p>
      <w:pPr>
        <w:pStyle w:val="FootnoteText"/>
      </w:pPr>
      <w:r>
        <w:rPr>
          <w:rStyle w:val="FootnoteReference"/>
        </w:rPr>
        <w:footnoteRef/>
      </w:r>
      <w:r>
        <w:t xml:space="preserve"> </w:t>
      </w:r>
      <w:r>
        <w:tab/>
      </w:r>
      <w:hyperlink r:id="rId104">
        <w:r>
          <w:rPr>
            <w:rStyle w:val="Hyperlink"/>
          </w:rPr>
          <w:t>COM(2015) 240 final</w:t>
        </w:r>
      </w:hyperlink>
      <w:r>
        <w:t xml:space="preserve">. </w:t>
      </w:r>
    </w:p>
  </w:footnote>
  <w:footnote w:id="93">
    <w:p>
      <w:pPr>
        <w:pStyle w:val="FootnoteText"/>
      </w:pPr>
      <w:r>
        <w:rPr>
          <w:rStyle w:val="FootnoteReference"/>
        </w:rPr>
        <w:footnoteRef/>
      </w:r>
      <w:r>
        <w:t xml:space="preserve"> </w:t>
      </w:r>
      <w:r>
        <w:tab/>
        <w:t xml:space="preserve">Smernica </w:t>
      </w:r>
      <w:hyperlink r:id="rId105">
        <w:r>
          <w:rPr>
            <w:rStyle w:val="Hyperlink"/>
          </w:rPr>
          <w:t>2013/32/EÚ</w:t>
        </w:r>
      </w:hyperlink>
      <w:r>
        <w:t>.</w:t>
      </w:r>
    </w:p>
  </w:footnote>
  <w:footnote w:id="94">
    <w:p>
      <w:pPr>
        <w:pStyle w:val="FootnoteText"/>
      </w:pPr>
      <w:r>
        <w:rPr>
          <w:rStyle w:val="FootnoteReference"/>
        </w:rPr>
        <w:footnoteRef/>
      </w:r>
      <w:r>
        <w:t xml:space="preserve"> </w:t>
      </w:r>
      <w:r>
        <w:tab/>
        <w:t xml:space="preserve">Smernica </w:t>
      </w:r>
      <w:hyperlink r:id="rId106">
        <w:r>
          <w:rPr>
            <w:rStyle w:val="Hyperlink"/>
          </w:rPr>
          <w:t>2013/33/EÚ</w:t>
        </w:r>
      </w:hyperlink>
      <w:r>
        <w:t>.</w:t>
      </w:r>
    </w:p>
  </w:footnote>
  <w:footnote w:id="95">
    <w:p>
      <w:pPr>
        <w:pStyle w:val="FootnoteText"/>
      </w:pPr>
      <w:r>
        <w:rPr>
          <w:rStyle w:val="FootnoteReference"/>
        </w:rPr>
        <w:footnoteRef/>
      </w:r>
      <w:r>
        <w:t xml:space="preserve"> </w:t>
      </w:r>
      <w:r>
        <w:tab/>
        <w:t xml:space="preserve">Smernica </w:t>
      </w:r>
      <w:hyperlink r:id="rId107">
        <w:r>
          <w:rPr>
            <w:rStyle w:val="Hyperlink"/>
          </w:rPr>
          <w:t>2011/51/EÚ</w:t>
        </w:r>
      </w:hyperlink>
      <w:r>
        <w:t>.</w:t>
      </w:r>
    </w:p>
  </w:footnote>
  <w:footnote w:id="96">
    <w:p>
      <w:pPr>
        <w:pStyle w:val="FootnoteText"/>
      </w:pPr>
      <w:r>
        <w:rPr>
          <w:rStyle w:val="FootnoteReference"/>
        </w:rPr>
        <w:footnoteRef/>
      </w:r>
      <w:r>
        <w:t xml:space="preserve"> </w:t>
      </w:r>
      <w:r>
        <w:tab/>
        <w:t>Nariadenie (EÚ) č. </w:t>
      </w:r>
      <w:hyperlink r:id="rId108">
        <w:r>
          <w:rPr>
            <w:rStyle w:val="Hyperlink"/>
          </w:rPr>
          <w:t>603/2013</w:t>
        </w:r>
      </w:hyperlink>
      <w:r>
        <w:t>.</w:t>
      </w:r>
    </w:p>
  </w:footnote>
  <w:footnote w:id="97">
    <w:p>
      <w:pPr>
        <w:pStyle w:val="FootnoteText"/>
      </w:pPr>
      <w:r>
        <w:rPr>
          <w:rStyle w:val="FootnoteReference"/>
        </w:rPr>
        <w:footnoteRef/>
      </w:r>
      <w:r>
        <w:t xml:space="preserve"> </w:t>
      </w:r>
      <w:r>
        <w:tab/>
        <w:t xml:space="preserve">Smernica </w:t>
      </w:r>
      <w:hyperlink r:id="rId109">
        <w:r>
          <w:rPr>
            <w:rStyle w:val="Hyperlink"/>
          </w:rPr>
          <w:t>2008/115/ES</w:t>
        </w:r>
      </w:hyperlink>
      <w:r>
        <w:t>.</w:t>
      </w:r>
    </w:p>
  </w:footnote>
  <w:footnote w:id="98">
    <w:p>
      <w:pPr>
        <w:pStyle w:val="FootnoteText"/>
      </w:pPr>
      <w:r>
        <w:rPr>
          <w:rStyle w:val="FootnoteReference"/>
        </w:rPr>
        <w:footnoteRef/>
      </w:r>
      <w:r>
        <w:t xml:space="preserve"> </w:t>
      </w:r>
      <w:r>
        <w:tab/>
        <w:t xml:space="preserve">Smernica </w:t>
      </w:r>
      <w:hyperlink r:id="rId110">
        <w:r>
          <w:rPr>
            <w:rStyle w:val="Hyperlink"/>
          </w:rPr>
          <w:t>2014/36/EÚ</w:t>
        </w:r>
      </w:hyperlink>
      <w:r>
        <w:t>.</w:t>
      </w:r>
    </w:p>
  </w:footnote>
  <w:footnote w:id="99">
    <w:p>
      <w:pPr>
        <w:pStyle w:val="FootnoteText"/>
      </w:pPr>
      <w:r>
        <w:rPr>
          <w:rStyle w:val="FootnoteReference"/>
        </w:rPr>
        <w:footnoteRef/>
      </w:r>
      <w:r>
        <w:t xml:space="preserve"> </w:t>
      </w:r>
      <w:r>
        <w:tab/>
        <w:t xml:space="preserve">Návrh smernice o systéme inšpekcií v záujme bezpečnej prevádzky prievozných lodí ro-ro a osobných vysokorýchlostných plavidiel v pravidelnej preprave </w:t>
      </w:r>
      <w:hyperlink r:id="rId111">
        <w:r>
          <w:rPr>
            <w:rStyle w:val="Hyperlink"/>
          </w:rPr>
          <w:t>COM(2016) 371</w:t>
        </w:r>
      </w:hyperlink>
      <w:r>
        <w:t xml:space="preserve">; návrh smernice, ktorou sa mení smernica </w:t>
      </w:r>
      <w:hyperlink r:id="rId112">
        <w:r>
          <w:rPr>
            <w:rStyle w:val="Hyperlink"/>
          </w:rPr>
          <w:t>2009/45/ES</w:t>
        </w:r>
      </w:hyperlink>
      <w:r>
        <w:t xml:space="preserve"> o bezpečnostných pravidlách a normách pre osobné lode </w:t>
      </w:r>
      <w:hyperlink r:id="rId113">
        <w:r>
          <w:rPr>
            <w:rStyle w:val="Hyperlink"/>
          </w:rPr>
          <w:t>COM(2016)369</w:t>
        </w:r>
      </w:hyperlink>
      <w:r>
        <w:t xml:space="preserve">, a návrh smernice, ktorou sa mení smernica Rady </w:t>
      </w:r>
      <w:hyperlink r:id="rId114">
        <w:r>
          <w:rPr>
            <w:rStyle w:val="Hyperlink"/>
          </w:rPr>
          <w:t>98/41/ES</w:t>
        </w:r>
      </w:hyperlink>
      <w:r>
        <w:t xml:space="preserve"> o registrácii osôb na palubách osobných lodí plávajúcich do prístavov alebo z prístavov členských štátov Spoločenstva </w:t>
      </w:r>
      <w:hyperlink r:id="rId115">
        <w:r>
          <w:rPr>
            <w:rStyle w:val="Hyperlink"/>
          </w:rPr>
          <w:t>COM(2016) 370</w:t>
        </w:r>
      </w:hyperlink>
      <w:r>
        <w:t xml:space="preserve">. </w:t>
      </w:r>
    </w:p>
  </w:footnote>
  <w:footnote w:id="100">
    <w:p>
      <w:pPr>
        <w:pStyle w:val="FootnoteText"/>
      </w:pPr>
      <w:r>
        <w:rPr>
          <w:rStyle w:val="FootnoteReference"/>
        </w:rPr>
        <w:footnoteRef/>
      </w:r>
      <w:r>
        <w:t xml:space="preserve"> </w:t>
      </w:r>
      <w:r>
        <w:tab/>
        <w:t xml:space="preserve">Táto politika je stanovená: 1. v spoločnom politickom vyhlásení členských štátov a Komisie z 28. septembra 2011 </w:t>
      </w:r>
      <w:hyperlink r:id="rId116">
        <w:r>
          <w:rPr>
            <w:rStyle w:val="Hyperlink"/>
          </w:rPr>
          <w:t>(Ú. v. EÚ C 369, 17.12.2011, s. 02)</w:t>
        </w:r>
      </w:hyperlink>
      <w:r>
        <w:t xml:space="preserve"> a 2. v spoločnom politickom vyhlásení Európskeho parlamentu, Rady a Komisie z 27. októbra 2011 </w:t>
      </w:r>
      <w:hyperlink r:id="rId117">
        <w:r>
          <w:rPr>
            <w:rStyle w:val="Hyperlink"/>
          </w:rPr>
          <w:t>(Ú. v. EÚ C 369, 17.12.2011, s. 03)</w:t>
        </w:r>
      </w:hyperlink>
      <w:r>
        <w:t>.</w:t>
      </w:r>
    </w:p>
  </w:footnote>
  <w:footnote w:id="101">
    <w:p>
      <w:pPr>
        <w:pStyle w:val="FootnoteText"/>
      </w:pPr>
      <w:r>
        <w:rPr>
          <w:rStyle w:val="FootnoteReference"/>
        </w:rPr>
        <w:footnoteRef/>
      </w:r>
      <w:r>
        <w:t xml:space="preserve"> </w:t>
      </w:r>
      <w:r>
        <w:tab/>
        <w:t>Štandardné odôvodnenie týchto smerníc znie takto: Členské štáty „k oznámeniu o transpozičných opatreniach pripoja jeden alebo viacero vysvetľujúcich dokumentov, ktoré môžu mať formu tabuliek zhody alebo iných dokumentov slúžiacich na ten istý účel“. Komisia bude musieť predložiť „príslušné návrhy a v nich pre každý jednotlivý prípad uvedie odôvodnenie potreby poskytnutia takýchto dokumentov a ich primeranosti“.</w:t>
      </w:r>
    </w:p>
  </w:footnote>
  <w:footnote w:id="102">
    <w:p>
      <w:pPr>
        <w:pStyle w:val="FootnoteText"/>
      </w:pPr>
      <w:r>
        <w:rPr>
          <w:rStyle w:val="FootnoteReference"/>
        </w:rPr>
        <w:footnoteRef/>
      </w:r>
      <w:r>
        <w:t xml:space="preserve"> </w:t>
      </w:r>
      <w:r>
        <w:tab/>
        <w:t>V súvislosti s niektorými z týchto 70 smerníc sa niektorým členským štátom poskytlo prechodné obdobie a niektoré iné členské štáty nimi nie sú dotknuté.</w:t>
      </w:r>
    </w:p>
  </w:footnote>
  <w:footnote w:id="103">
    <w:p>
      <w:pPr>
        <w:pStyle w:val="FootnoteText"/>
      </w:pPr>
      <w:r>
        <w:rPr>
          <w:rStyle w:val="FootnoteReference"/>
        </w:rPr>
        <w:footnoteRef/>
      </w:r>
      <w:r>
        <w:t xml:space="preserve"> </w:t>
      </w:r>
      <w:r>
        <w:tab/>
        <w:t xml:space="preserve">Smernica </w:t>
      </w:r>
      <w:hyperlink r:id="rId118">
        <w:r>
          <w:rPr>
            <w:rStyle w:val="Hyperlink"/>
          </w:rPr>
          <w:t>2014/17/EÚ</w:t>
        </w:r>
      </w:hyperlink>
      <w:r>
        <w:t>.</w:t>
      </w:r>
    </w:p>
  </w:footnote>
  <w:footnote w:id="104">
    <w:p>
      <w:pPr>
        <w:pStyle w:val="FootnoteText"/>
      </w:pPr>
      <w:r>
        <w:rPr>
          <w:rStyle w:val="FootnoteReference"/>
        </w:rPr>
        <w:footnoteRef/>
      </w:r>
      <w:r>
        <w:t xml:space="preserve"> </w:t>
      </w:r>
      <w:r>
        <w:tab/>
        <w:t xml:space="preserve">Smernica </w:t>
      </w:r>
      <w:hyperlink r:id="rId119">
        <w:r>
          <w:rPr>
            <w:rStyle w:val="Hyperlink"/>
          </w:rPr>
          <w:t>2014/49/EÚ</w:t>
        </w:r>
      </w:hyperlink>
      <w:r>
        <w:t>.</w:t>
      </w:r>
    </w:p>
  </w:footnote>
  <w:footnote w:id="105">
    <w:p>
      <w:pPr>
        <w:pStyle w:val="FootnoteText"/>
      </w:pPr>
      <w:r>
        <w:rPr>
          <w:rStyle w:val="FootnoteReference"/>
        </w:rPr>
        <w:footnoteRef/>
      </w:r>
      <w:r>
        <w:t xml:space="preserve"> </w:t>
      </w:r>
      <w:r>
        <w:tab/>
        <w:t xml:space="preserve">Smernica </w:t>
      </w:r>
      <w:hyperlink r:id="rId120">
        <w:r>
          <w:rPr>
            <w:rStyle w:val="Hyperlink"/>
          </w:rPr>
          <w:t>2014/56/EÚ</w:t>
        </w:r>
      </w:hyperlink>
      <w:r>
        <w:t>.</w:t>
      </w:r>
    </w:p>
  </w:footnote>
  <w:footnote w:id="106">
    <w:p>
      <w:pPr>
        <w:pStyle w:val="FootnoteText"/>
      </w:pPr>
      <w:r>
        <w:rPr>
          <w:rStyle w:val="FootnoteReference"/>
        </w:rPr>
        <w:footnoteRef/>
      </w:r>
      <w:r>
        <w:t xml:space="preserve"> </w:t>
      </w:r>
      <w:r>
        <w:tab/>
        <w:t xml:space="preserve">Smernica </w:t>
      </w:r>
      <w:hyperlink r:id="rId121">
        <w:r>
          <w:rPr>
            <w:rStyle w:val="Hyperlink"/>
          </w:rPr>
          <w:t>2014/91/EÚ</w:t>
        </w:r>
      </w:hyperlink>
      <w:r>
        <w:t>.</w:t>
      </w:r>
    </w:p>
  </w:footnote>
  <w:footnote w:id="107">
    <w:p>
      <w:pPr>
        <w:pStyle w:val="FootnoteText"/>
      </w:pPr>
      <w:r>
        <w:rPr>
          <w:rStyle w:val="FootnoteReference"/>
        </w:rPr>
        <w:footnoteRef/>
      </w:r>
      <w:r>
        <w:t xml:space="preserve"> </w:t>
      </w:r>
      <w:r>
        <w:tab/>
        <w:t xml:space="preserve">Smernica </w:t>
      </w:r>
      <w:hyperlink r:id="rId122">
        <w:r>
          <w:rPr>
            <w:rStyle w:val="Hyperlink"/>
          </w:rPr>
          <w:t>2014/92/EÚ</w:t>
        </w:r>
      </w:hyperlink>
      <w:r>
        <w:t>.</w:t>
      </w:r>
    </w:p>
  </w:footnote>
  <w:footnote w:id="108">
    <w:p>
      <w:pPr>
        <w:pStyle w:val="FootnoteText"/>
      </w:pPr>
      <w:r>
        <w:rPr>
          <w:rStyle w:val="FootnoteReference"/>
        </w:rPr>
        <w:footnoteRef/>
      </w:r>
      <w:r>
        <w:t xml:space="preserve"> </w:t>
      </w:r>
      <w:r>
        <w:tab/>
        <w:t xml:space="preserve">Smernica </w:t>
      </w:r>
      <w:hyperlink r:id="rId123">
        <w:r>
          <w:rPr>
            <w:rStyle w:val="Hyperlink"/>
          </w:rPr>
          <w:t>2013/55/EÚ</w:t>
        </w:r>
      </w:hyperlink>
      <w:r>
        <w:t>.</w:t>
      </w:r>
    </w:p>
  </w:footnote>
  <w:footnote w:id="109">
    <w:p>
      <w:pPr>
        <w:pStyle w:val="FootnoteText"/>
      </w:pPr>
      <w:r>
        <w:rPr>
          <w:rStyle w:val="FootnoteReference"/>
        </w:rPr>
        <w:footnoteRef/>
      </w:r>
      <w:r>
        <w:t xml:space="preserve"> </w:t>
      </w:r>
      <w:r>
        <w:tab/>
        <w:t xml:space="preserve">Smernica </w:t>
      </w:r>
      <w:hyperlink r:id="rId124">
        <w:r>
          <w:rPr>
            <w:rStyle w:val="Hyperlink"/>
          </w:rPr>
          <w:t>2014/23/EÚ</w:t>
        </w:r>
      </w:hyperlink>
      <w:r>
        <w:t>.</w:t>
      </w:r>
    </w:p>
  </w:footnote>
  <w:footnote w:id="110">
    <w:p>
      <w:pPr>
        <w:pStyle w:val="FootnoteText"/>
      </w:pPr>
      <w:r>
        <w:rPr>
          <w:rStyle w:val="FootnoteReference"/>
        </w:rPr>
        <w:footnoteRef/>
      </w:r>
      <w:r>
        <w:t xml:space="preserve"> </w:t>
      </w:r>
      <w:r>
        <w:tab/>
        <w:t xml:space="preserve">Smernice </w:t>
      </w:r>
      <w:hyperlink r:id="rId125">
        <w:r>
          <w:rPr>
            <w:rStyle w:val="Hyperlink"/>
          </w:rPr>
          <w:t>2014/24/EÚ</w:t>
        </w:r>
      </w:hyperlink>
      <w:r>
        <w:t xml:space="preserve"> a </w:t>
      </w:r>
      <w:hyperlink r:id="rId126">
        <w:r>
          <w:rPr>
            <w:rStyle w:val="Hyperlink"/>
          </w:rPr>
          <w:t>2014/25/EÚ</w:t>
        </w:r>
      </w:hyperlink>
      <w:r>
        <w:t>.</w:t>
      </w:r>
    </w:p>
  </w:footnote>
  <w:footnote w:id="111">
    <w:p>
      <w:pPr>
        <w:pStyle w:val="FootnoteText"/>
      </w:pPr>
      <w:r>
        <w:rPr>
          <w:rStyle w:val="FootnoteReference"/>
        </w:rPr>
        <w:footnoteRef/>
      </w:r>
      <w:r>
        <w:t xml:space="preserve"> </w:t>
      </w:r>
      <w:r>
        <w:tab/>
        <w:t xml:space="preserve">Smernica </w:t>
      </w:r>
      <w:hyperlink r:id="rId127">
        <w:r>
          <w:rPr>
            <w:rStyle w:val="Hyperlink"/>
          </w:rPr>
          <w:t>2016/970/EÚ</w:t>
        </w:r>
      </w:hyperlink>
      <w:r>
        <w:t>.</w:t>
      </w:r>
    </w:p>
  </w:footnote>
  <w:footnote w:id="112">
    <w:p>
      <w:pPr>
        <w:pStyle w:val="FootnoteText"/>
      </w:pPr>
      <w:r>
        <w:rPr>
          <w:rStyle w:val="FootnoteReference"/>
        </w:rPr>
        <w:footnoteRef/>
      </w:r>
      <w:r>
        <w:t xml:space="preserve"> </w:t>
      </w:r>
      <w:r>
        <w:tab/>
        <w:t xml:space="preserve">Smernica </w:t>
      </w:r>
      <w:hyperlink r:id="rId128">
        <w:r>
          <w:rPr>
            <w:rStyle w:val="Hyperlink"/>
          </w:rPr>
          <w:t>2013/35/EÚ</w:t>
        </w:r>
      </w:hyperlink>
      <w:r>
        <w:t>.</w:t>
      </w:r>
    </w:p>
  </w:footnote>
  <w:footnote w:id="113">
    <w:p>
      <w:pPr>
        <w:pStyle w:val="FootnoteText"/>
      </w:pPr>
      <w:r>
        <w:rPr>
          <w:rStyle w:val="FootnoteReference"/>
        </w:rPr>
        <w:footnoteRef/>
      </w:r>
      <w:r>
        <w:t xml:space="preserve"> </w:t>
      </w:r>
      <w:r>
        <w:tab/>
        <w:t>Smernica</w:t>
      </w:r>
      <w:r>
        <w:rPr>
          <w:rStyle w:val="Hyperlink"/>
          <w:color w:val="auto"/>
          <w:u w:val="none"/>
        </w:rPr>
        <w:t xml:space="preserve"> </w:t>
      </w:r>
      <w:hyperlink r:id="rId129">
        <w:r>
          <w:rPr>
            <w:rStyle w:val="Hyperlink"/>
          </w:rPr>
          <w:t>2014/54/EÚ</w:t>
        </w:r>
      </w:hyperlink>
      <w:r>
        <w:t>.</w:t>
      </w:r>
    </w:p>
  </w:footnote>
  <w:footnote w:id="114">
    <w:p>
      <w:pPr>
        <w:pStyle w:val="FootnoteText"/>
      </w:pPr>
      <w:r>
        <w:rPr>
          <w:rStyle w:val="FootnoteReference"/>
        </w:rPr>
        <w:footnoteRef/>
      </w:r>
      <w:r>
        <w:t xml:space="preserve"> </w:t>
      </w:r>
      <w:r>
        <w:tab/>
        <w:t>Smernica</w:t>
      </w:r>
      <w:r>
        <w:rPr>
          <w:rStyle w:val="Hyperlink"/>
          <w:color w:val="auto"/>
          <w:u w:val="none"/>
        </w:rPr>
        <w:t xml:space="preserve"> </w:t>
      </w:r>
      <w:r>
        <w:rPr>
          <w:rStyle w:val="Hyperlink"/>
        </w:rPr>
        <w:t>2014/112/EÚ</w:t>
      </w:r>
      <w:r>
        <w:t>.</w:t>
      </w:r>
    </w:p>
  </w:footnote>
  <w:footnote w:id="115">
    <w:p>
      <w:pPr>
        <w:pStyle w:val="FootnoteText"/>
      </w:pPr>
      <w:r>
        <w:rPr>
          <w:rStyle w:val="FootnoteReference"/>
        </w:rPr>
        <w:footnoteRef/>
      </w:r>
      <w:r>
        <w:t xml:space="preserve"> </w:t>
      </w:r>
      <w:r>
        <w:tab/>
        <w:t xml:space="preserve">Smernica </w:t>
      </w:r>
      <w:hyperlink r:id="rId130">
        <w:r>
          <w:rPr>
            <w:rStyle w:val="Hyperlink"/>
          </w:rPr>
          <w:t>2014/36/EÚ</w:t>
        </w:r>
      </w:hyperlink>
      <w:r>
        <w:t>.</w:t>
      </w:r>
    </w:p>
  </w:footnote>
  <w:footnote w:id="116">
    <w:p>
      <w:pPr>
        <w:pStyle w:val="FootnoteText"/>
      </w:pPr>
      <w:r>
        <w:rPr>
          <w:rStyle w:val="FootnoteReference"/>
        </w:rPr>
        <w:footnoteRef/>
      </w:r>
      <w:r>
        <w:t xml:space="preserve"> </w:t>
      </w:r>
      <w:r>
        <w:tab/>
        <w:t>Smernica</w:t>
      </w:r>
      <w:r>
        <w:rPr>
          <w:rStyle w:val="Hyperlink"/>
          <w:color w:val="auto"/>
          <w:u w:val="none"/>
        </w:rPr>
        <w:t xml:space="preserve"> </w:t>
      </w:r>
      <w:r>
        <w:rPr>
          <w:rStyle w:val="Hyperlink"/>
        </w:rPr>
        <w:t>2014/66/EÚ</w:t>
      </w:r>
      <w:r>
        <w:t>.</w:t>
      </w:r>
    </w:p>
  </w:footnote>
  <w:footnote w:id="117">
    <w:p>
      <w:pPr>
        <w:pStyle w:val="FootnoteText"/>
      </w:pPr>
      <w:r>
        <w:rPr>
          <w:rStyle w:val="FootnoteReference"/>
        </w:rPr>
        <w:footnoteRef/>
      </w:r>
      <w:r>
        <w:t xml:space="preserve"> </w:t>
      </w:r>
      <w:r>
        <w:tab/>
        <w:t xml:space="preserve">Smernica </w:t>
      </w:r>
      <w:hyperlink r:id="rId131">
        <w:r>
          <w:rPr>
            <w:rStyle w:val="Hyperlink"/>
          </w:rPr>
          <w:t>2014/26/EÚ</w:t>
        </w:r>
      </w:hyperlink>
      <w:r>
        <w:t>.</w:t>
      </w:r>
    </w:p>
  </w:footnote>
  <w:footnote w:id="118">
    <w:p>
      <w:pPr>
        <w:pStyle w:val="FootnoteText"/>
      </w:pPr>
      <w:r>
        <w:rPr>
          <w:rStyle w:val="FootnoteReference"/>
        </w:rPr>
        <w:footnoteRef/>
      </w:r>
      <w:r>
        <w:t xml:space="preserve"> </w:t>
      </w:r>
      <w:r>
        <w:tab/>
        <w:t xml:space="preserve">Smernica </w:t>
      </w:r>
      <w:hyperlink r:id="rId132">
        <w:r>
          <w:rPr>
            <w:rStyle w:val="Hyperlink"/>
          </w:rPr>
          <w:t>2014/104/EÚ</w:t>
        </w:r>
      </w:hyperlink>
      <w:r>
        <w:t>.</w:t>
      </w:r>
    </w:p>
  </w:footnote>
  <w:footnote w:id="119">
    <w:p>
      <w:pPr>
        <w:pStyle w:val="FootnoteText"/>
      </w:pPr>
      <w:r>
        <w:rPr>
          <w:rStyle w:val="FootnoteReference"/>
        </w:rPr>
        <w:footnoteRef/>
      </w:r>
      <w:r>
        <w:t xml:space="preserve"> </w:t>
      </w:r>
      <w:r>
        <w:tab/>
        <w:t xml:space="preserve">Smernica </w:t>
      </w:r>
      <w:hyperlink r:id="rId133">
        <w:r>
          <w:rPr>
            <w:rStyle w:val="Hyperlink"/>
          </w:rPr>
          <w:t>2015/1480/EÚ</w:t>
        </w:r>
      </w:hyperlink>
      <w:r>
        <w:t>.</w:t>
      </w:r>
    </w:p>
  </w:footnote>
  <w:footnote w:id="120">
    <w:p>
      <w:pPr>
        <w:pStyle w:val="FootnoteText"/>
      </w:pPr>
      <w:r>
        <w:rPr>
          <w:rStyle w:val="FootnoteReference"/>
        </w:rPr>
        <w:footnoteRef/>
      </w:r>
      <w:r>
        <w:t xml:space="preserve"> </w:t>
      </w:r>
      <w:r>
        <w:tab/>
        <w:t xml:space="preserve">Smernica </w:t>
      </w:r>
      <w:hyperlink r:id="rId134">
        <w:r>
          <w:rPr>
            <w:rStyle w:val="Hyperlink"/>
          </w:rPr>
          <w:t>2013/48/EÚ</w:t>
        </w:r>
      </w:hyperlink>
      <w:r>
        <w:t>.</w:t>
      </w:r>
    </w:p>
  </w:footnote>
  <w:footnote w:id="121">
    <w:p>
      <w:pPr>
        <w:pStyle w:val="FootnoteText"/>
      </w:pPr>
      <w:r>
        <w:rPr>
          <w:rStyle w:val="FootnoteReference"/>
        </w:rPr>
        <w:footnoteRef/>
      </w:r>
      <w:r>
        <w:t xml:space="preserve"> </w:t>
      </w:r>
      <w:r>
        <w:tab/>
        <w:t xml:space="preserve">Smernica </w:t>
      </w:r>
      <w:hyperlink r:id="rId135">
        <w:r>
          <w:rPr>
            <w:rStyle w:val="Hyperlink"/>
          </w:rPr>
          <w:t>2014/40/EÚ</w:t>
        </w:r>
      </w:hyperlink>
      <w:r>
        <w:t>.</w:t>
      </w:r>
    </w:p>
  </w:footnote>
  <w:footnote w:id="122">
    <w:p>
      <w:pPr>
        <w:pStyle w:val="FootnoteText"/>
      </w:pPr>
      <w:r>
        <w:rPr>
          <w:rStyle w:val="FootnoteReference"/>
        </w:rPr>
        <w:footnoteRef/>
      </w:r>
      <w:r>
        <w:t xml:space="preserve"> </w:t>
      </w:r>
      <w:r>
        <w:tab/>
        <w:t xml:space="preserve">Príloha k oznámeniu „Právo EÚ: Lepšie výsledky pomocou lepšieho uplatňovania práva“, </w:t>
      </w:r>
      <w:hyperlink r:id="rId136">
        <w:r>
          <w:rPr>
            <w:rStyle w:val="Hyperlink"/>
          </w:rPr>
          <w:t>C(2016) 8600</w:t>
        </w:r>
      </w:hyperlink>
      <w:r>
        <w:t>, Ú. v. EÚ C 18, 19.1.2017, s. 10.</w:t>
      </w:r>
    </w:p>
  </w:footnote>
  <w:footnote w:id="123">
    <w:p>
      <w:pPr>
        <w:pStyle w:val="FootnoteText"/>
      </w:pPr>
      <w:r>
        <w:rPr>
          <w:rStyle w:val="FootnoteReference"/>
        </w:rPr>
        <w:footnoteRef/>
      </w:r>
      <w:r>
        <w:t xml:space="preserve"> </w:t>
      </w:r>
      <w:r>
        <w:tab/>
      </w:r>
      <w:hyperlink r:id="rId137">
        <w:r>
          <w:rPr>
            <w:rStyle w:val="Hyperlink"/>
          </w:rPr>
          <w:t>Rozhodnutia Komisie o porušeniach povinnosti</w:t>
        </w:r>
      </w:hyperlink>
      <w:r>
        <w:t>.</w:t>
      </w:r>
    </w:p>
  </w:footnote>
  <w:footnote w:id="124">
    <w:p>
      <w:pPr>
        <w:pStyle w:val="FootnoteText"/>
        <w:rPr>
          <w:rFonts w:ascii="Verdana" w:hAnsi="Verdana"/>
        </w:rPr>
      </w:pPr>
      <w:r>
        <w:rPr>
          <w:rStyle w:val="FootnoteReference"/>
          <w:rFonts w:ascii="Verdana" w:hAnsi="Verdana"/>
        </w:rPr>
        <w:footnoteRef/>
      </w:r>
      <w:r>
        <w:rPr>
          <w:rFonts w:ascii="Verdana" w:hAnsi="Verdana"/>
        </w:rPr>
        <w:t xml:space="preserve"> </w:t>
      </w:r>
      <w:r>
        <w:tab/>
        <w:t>Počet sťažností, ktoré sú otvorené na konci roku 2016 (d), sa vypočíta ako súčet počtu sťažností otvorených na konci roku 2015 (a) a nových sťažností otvorených v roku 2016 (b), od ktorých sa odčíta počet sťažností vybavených počas roku 2016 (c) (a + b – c = d).</w:t>
      </w:r>
    </w:p>
  </w:footnote>
  <w:footnote w:id="125">
    <w:p>
      <w:pPr>
        <w:pStyle w:val="FootnoteText"/>
      </w:pPr>
      <w:r>
        <w:rPr>
          <w:rStyle w:val="FootnoteReference"/>
        </w:rPr>
        <w:footnoteRef/>
      </w:r>
      <w:r>
        <w:t xml:space="preserve"> </w:t>
      </w:r>
      <w:r>
        <w:tab/>
        <w:t xml:space="preserve">Smernica </w:t>
      </w:r>
      <w:hyperlink r:id="rId138">
        <w:r>
          <w:rPr>
            <w:rStyle w:val="Hyperlink"/>
          </w:rPr>
          <w:t>2003/4/ES</w:t>
        </w:r>
      </w:hyperlink>
      <w:r>
        <w:t>.</w:t>
      </w:r>
    </w:p>
  </w:footnote>
  <w:footnote w:id="126">
    <w:p>
      <w:pPr>
        <w:pStyle w:val="FootnoteText"/>
      </w:pPr>
      <w:r>
        <w:rPr>
          <w:rStyle w:val="FootnoteReference"/>
        </w:rPr>
        <w:footnoteRef/>
      </w:r>
      <w:r>
        <w:t xml:space="preserve"> </w:t>
      </w:r>
      <w:r>
        <w:tab/>
      </w:r>
      <w:hyperlink r:id="rId139">
        <w:r>
          <w:rPr>
            <w:rStyle w:val="Hyperlink"/>
          </w:rPr>
          <w:t>C(2016) 8600</w:t>
        </w:r>
      </w:hyperlink>
      <w:r>
        <w:t>, Ú. v. EÚ C 18, 19.1.2017, s. 10.</w:t>
      </w:r>
    </w:p>
  </w:footnote>
  <w:footnote w:id="127">
    <w:p>
      <w:pPr>
        <w:pStyle w:val="FootnoteText"/>
        <w:rPr>
          <w:strike/>
        </w:rPr>
      </w:pPr>
      <w:r>
        <w:rPr>
          <w:rStyle w:val="FootnoteReference"/>
          <w:rFonts w:ascii="Verdana" w:hAnsi="Verdana"/>
        </w:rPr>
        <w:footnoteRef/>
      </w:r>
      <w:r>
        <w:rPr>
          <w:rFonts w:ascii="Verdana" w:hAnsi="Verdana"/>
        </w:rPr>
        <w:t xml:space="preserve"> </w:t>
      </w:r>
      <w:r>
        <w:tab/>
        <w:t>Počet prípadov v rámci projektu EU Pilot, ktoré sú otvorené na konci roku 2016 (d) sa vypočíta ako súčet otvorených prípadov na konci roku 2015 (a) a nových prípadov otvorených v roku 2016 (b), od ktorých sa odčíta počet prípadov vybavených počas roku 2016 (c) (a + b – c = d).</w:t>
      </w:r>
    </w:p>
  </w:footnote>
  <w:footnote w:id="128">
    <w:p>
      <w:pPr>
        <w:pStyle w:val="FootnoteText"/>
        <w:rPr>
          <w:rFonts w:ascii="Verdana" w:hAnsi="Verdana"/>
        </w:rPr>
      </w:pPr>
      <w:r>
        <w:rPr>
          <w:rStyle w:val="FootnoteReference"/>
          <w:rFonts w:ascii="Verdana" w:hAnsi="Verdana"/>
        </w:rPr>
        <w:footnoteRef/>
      </w:r>
      <w:r>
        <w:rPr>
          <w:rFonts w:ascii="Verdana" w:hAnsi="Verdana"/>
        </w:rPr>
        <w:t xml:space="preserve"> </w:t>
      </w:r>
      <w:r>
        <w:tab/>
        <w:t>Nasledujúce údaje boli vypočítané pre všetky prípady nesplnenia povinnosti bez ohľadu na pôvod (t. j. sťažnosť, z vlastnej iniciatívy Komisie alebo neskorá transpozícia smerníc členskými štátmi).</w:t>
      </w:r>
    </w:p>
  </w:footnote>
  <w:footnote w:id="129">
    <w:p>
      <w:pPr>
        <w:pStyle w:val="FootnoteText"/>
      </w:pPr>
      <w:r>
        <w:rPr>
          <w:rStyle w:val="FootnoteReference"/>
        </w:rPr>
        <w:footnoteRef/>
      </w:r>
      <w:r>
        <w:t xml:space="preserve"> </w:t>
      </w:r>
      <w:r>
        <w:tab/>
        <w:t xml:space="preserve">Komisia/Grécko, </w:t>
      </w:r>
      <w:hyperlink r:id="rId140">
        <w:r>
          <w:rPr>
            <w:rStyle w:val="Hyperlink"/>
          </w:rPr>
          <w:t>C-584/14</w:t>
        </w:r>
      </w:hyperlink>
      <w:r>
        <w:t xml:space="preserve"> (paušálna pokuta vo výške 10 miliónov EUR; penále: 30 000 EUR za každý deň omeškania s prijatím opatrení potrebných na dosiahnutie súladu s rozsudkom podľa článku 258 ZFEÚ).</w:t>
      </w:r>
    </w:p>
  </w:footnote>
  <w:footnote w:id="130">
    <w:p>
      <w:pPr>
        <w:pStyle w:val="FootnoteText"/>
      </w:pPr>
      <w:r>
        <w:rPr>
          <w:rStyle w:val="FootnoteReference"/>
        </w:rPr>
        <w:footnoteRef/>
      </w:r>
      <w:r>
        <w:t xml:space="preserve"> </w:t>
      </w:r>
      <w:r>
        <w:tab/>
        <w:t xml:space="preserve">Komisia/Portugalsko, </w:t>
      </w:r>
      <w:hyperlink r:id="rId141">
        <w:r>
          <w:rPr>
            <w:rStyle w:val="Hyperlink"/>
          </w:rPr>
          <w:t>C-557/14</w:t>
        </w:r>
      </w:hyperlink>
      <w:r>
        <w:t xml:space="preserve"> (paušálna pokuta vo výške 3 miliónov EUR; penále: 8 000 EUR za každý deň omeškania s vykonaním opatrení potrebných na dosiahnutie súladu s rozsudkom podľa článku 258 ZFEÚ).</w:t>
      </w:r>
    </w:p>
  </w:footnote>
  <w:footnote w:id="131">
    <w:p>
      <w:pPr>
        <w:pStyle w:val="FootnoteText"/>
        <w:rPr>
          <w:b/>
        </w:rPr>
      </w:pPr>
      <w:r>
        <w:rPr>
          <w:rStyle w:val="FootnoteReference"/>
        </w:rPr>
        <w:footnoteRef/>
      </w:r>
      <w:r>
        <w:t xml:space="preserve"> </w:t>
      </w:r>
      <w:r>
        <w:tab/>
        <w:t xml:space="preserve">Smernica </w:t>
      </w:r>
      <w:hyperlink r:id="rId142">
        <w:r>
          <w:rPr>
            <w:rStyle w:val="Hyperlink"/>
          </w:rPr>
          <w:t>2014/61/EÚ</w:t>
        </w:r>
      </w:hyperlink>
      <w:r>
        <w:t>.</w:t>
      </w:r>
    </w:p>
  </w:footnote>
  <w:footnote w:id="132">
    <w:p>
      <w:pPr>
        <w:pStyle w:val="FootnoteText"/>
      </w:pPr>
      <w:r>
        <w:rPr>
          <w:rStyle w:val="FootnoteReference"/>
        </w:rPr>
        <w:footnoteRef/>
      </w:r>
      <w:r>
        <w:t xml:space="preserve"> </w:t>
      </w:r>
      <w:r>
        <w:tab/>
        <w:t xml:space="preserve">Smernice </w:t>
      </w:r>
      <w:hyperlink r:id="rId143">
        <w:r>
          <w:rPr>
            <w:rStyle w:val="Hyperlink"/>
          </w:rPr>
          <w:t>2015/565/EÚ</w:t>
        </w:r>
      </w:hyperlink>
      <w:r>
        <w:t xml:space="preserve"> a </w:t>
      </w:r>
      <w:hyperlink r:id="rId144">
        <w:r>
          <w:rPr>
            <w:rStyle w:val="Hyperlink"/>
          </w:rPr>
          <w:t>2015/566/EÚ</w:t>
        </w:r>
      </w:hyperlink>
      <w:r>
        <w:t>.</w:t>
      </w:r>
    </w:p>
  </w:footnote>
  <w:footnote w:id="133">
    <w:p>
      <w:pPr>
        <w:pStyle w:val="FootnoteText"/>
      </w:pPr>
      <w:r>
        <w:rPr>
          <w:rStyle w:val="FootnoteReference"/>
        </w:rPr>
        <w:footnoteRef/>
      </w:r>
      <w:r>
        <w:t xml:space="preserve"> </w:t>
      </w:r>
      <w:r>
        <w:tab/>
        <w:t xml:space="preserve">Smernica </w:t>
      </w:r>
      <w:hyperlink r:id="rId145">
        <w:r>
          <w:rPr>
            <w:rStyle w:val="Hyperlink"/>
          </w:rPr>
          <w:t>2014/26/EÚ</w:t>
        </w:r>
      </w:hyperlink>
      <w:r>
        <w:t>.</w:t>
      </w:r>
    </w:p>
  </w:footnote>
  <w:footnote w:id="134">
    <w:p>
      <w:pPr>
        <w:pStyle w:val="FootnoteText"/>
      </w:pPr>
      <w:r>
        <w:rPr>
          <w:rStyle w:val="FootnoteReference"/>
        </w:rPr>
        <w:footnoteRef/>
      </w:r>
      <w:r>
        <w:t xml:space="preserve"> </w:t>
      </w:r>
      <w:r>
        <w:tab/>
      </w:r>
      <w:hyperlink r:id="rId146">
        <w:r>
          <w:rPr>
            <w:rStyle w:val="Hyperlink"/>
          </w:rPr>
          <w:t>Ú. v. EÚ C 12</w:t>
        </w:r>
      </w:hyperlink>
      <w:r>
        <w:t>, 15.1.2011, s. 1 – 5.</w:t>
      </w:r>
    </w:p>
  </w:footnote>
  <w:footnote w:id="135">
    <w:p>
      <w:pPr>
        <w:pStyle w:val="FootnoteText"/>
      </w:pPr>
      <w:r>
        <w:rPr>
          <w:rStyle w:val="FootnoteReference"/>
        </w:rPr>
        <w:footnoteRef/>
      </w:r>
      <w:r>
        <w:t xml:space="preserve"> </w:t>
      </w:r>
      <w:r>
        <w:tab/>
        <w:t xml:space="preserve">C(2016) 8600, </w:t>
      </w:r>
      <w:hyperlink r:id="rId147">
        <w:r>
          <w:rPr>
            <w:rStyle w:val="Hyperlink"/>
          </w:rPr>
          <w:t>Ú. v. EÚ C 18,</w:t>
        </w:r>
      </w:hyperlink>
      <w:r>
        <w:t xml:space="preserve"> 19.1.2017, s. 10.</w:t>
      </w:r>
    </w:p>
  </w:footnote>
  <w:footnote w:id="136">
    <w:p>
      <w:pPr>
        <w:pStyle w:val="FootnoteText"/>
        <w:rPr>
          <w:b/>
        </w:rPr>
      </w:pPr>
      <w:r>
        <w:rPr>
          <w:rStyle w:val="FootnoteReference"/>
        </w:rPr>
        <w:footnoteRef/>
      </w:r>
      <w:r>
        <w:t xml:space="preserve"> </w:t>
      </w:r>
      <w:r>
        <w:tab/>
        <w:t xml:space="preserve">Komisia/Luxembursko, </w:t>
      </w:r>
      <w:hyperlink r:id="rId148">
        <w:r>
          <w:rPr>
            <w:rStyle w:val="Hyperlink"/>
          </w:rPr>
          <w:t>C-489/16.</w:t>
        </w:r>
      </w:hyperlink>
      <w:r>
        <w:t xml:space="preserve"> Komisia predložila Súdnemu dvoru vec týkajúcu sa Luxemburska, ktoré nevykonalo v plnej miere smernicu o vytvorení jednotného európskeho železničného priestoru. Navrhla denné penále vo výške 8 710 EUR; Komisia/Luxembursko, </w:t>
      </w:r>
      <w:hyperlink r:id="rId149">
        <w:r>
          <w:rPr>
            <w:rStyle w:val="Hyperlink"/>
          </w:rPr>
          <w:t>C-511/16</w:t>
        </w:r>
      </w:hyperlink>
      <w:r>
        <w:t>.</w:t>
      </w:r>
      <w:r>
        <w:rPr>
          <w:rStyle w:val="Hyperlink"/>
          <w:u w:val="none"/>
        </w:rPr>
        <w:t xml:space="preserve"> </w:t>
      </w:r>
      <w:r>
        <w:t xml:space="preserve">Komisia podala voči Luxembursku podnet na Súdny dvor pre nesplnenie povinnosti vykonať v plnej miere smernicu </w:t>
      </w:r>
      <w:hyperlink r:id="rId150">
        <w:r>
          <w:rPr>
            <w:rStyle w:val="Hyperlink"/>
          </w:rPr>
          <w:t>2014/27/EÚ</w:t>
        </w:r>
      </w:hyperlink>
      <w:r>
        <w:t xml:space="preserve"> s cieľom zosúladiť ju s nariadením (ES) č. </w:t>
      </w:r>
      <w:hyperlink r:id="rId151">
        <w:r>
          <w:rPr>
            <w:rStyle w:val="Hyperlink"/>
          </w:rPr>
          <w:t>1272/2008</w:t>
        </w:r>
      </w:hyperlink>
      <w:r>
        <w:t xml:space="preserve"> o klasifikácii, označovaní a balení látok a zmesí. Navrhla denné penále vo výške 8 710 EUR.</w:t>
      </w:r>
    </w:p>
  </w:footnote>
  <w:footnote w:id="137">
    <w:p>
      <w:pPr>
        <w:pStyle w:val="FootnoteText"/>
      </w:pPr>
      <w:r>
        <w:rPr>
          <w:rStyle w:val="FootnoteReference"/>
        </w:rPr>
        <w:footnoteRef/>
      </w:r>
      <w:r>
        <w:t xml:space="preserve"> </w:t>
      </w:r>
      <w:r>
        <w:tab/>
        <w:t xml:space="preserve">Komisia/Rumunsko, </w:t>
      </w:r>
      <w:hyperlink r:id="rId152">
        <w:r>
          <w:rPr>
            <w:rStyle w:val="Hyperlink"/>
          </w:rPr>
          <w:t>C–62/156</w:t>
        </w:r>
      </w:hyperlink>
      <w:r>
        <w:t xml:space="preserve">. Komisia predložila Súdnemu dvoru vec týkajúcu sa Rumunska, ktoré nevykonalo v plnej miere smernicu o obsahu síry v lodných palivách. Navrhla denné penále vo výške 38 042,60 EUR. Rumunsko následne prijalo nevyhnutné legislatívne opatrenia, a preto Komisia stiahla tento prípad zo Súdneho dvora. </w:t>
      </w:r>
    </w:p>
  </w:footnote>
  <w:footnote w:id="138">
    <w:p>
      <w:pPr>
        <w:pStyle w:val="FootnoteText"/>
      </w:pPr>
      <w:r>
        <w:rPr>
          <w:rStyle w:val="FootnoteReference"/>
        </w:rPr>
        <w:footnoteRef/>
      </w:r>
      <w:r>
        <w:t xml:space="preserve"> </w:t>
      </w:r>
      <w:r>
        <w:tab/>
        <w:t xml:space="preserve">Smernica </w:t>
      </w:r>
      <w:hyperlink r:id="rId153">
        <w:r>
          <w:rPr>
            <w:rStyle w:val="Hyperlink"/>
          </w:rPr>
          <w:t>2012/34/EÚ</w:t>
        </w:r>
      </w:hyperlink>
      <w:r>
        <w:t>.</w:t>
      </w:r>
    </w:p>
  </w:footnote>
  <w:footnote w:id="139">
    <w:p>
      <w:pPr>
        <w:pStyle w:val="FootnoteText"/>
      </w:pPr>
      <w:r>
        <w:rPr>
          <w:rStyle w:val="FootnoteReference"/>
        </w:rPr>
        <w:footnoteRef/>
      </w:r>
      <w:r>
        <w:t xml:space="preserve"> </w:t>
      </w:r>
      <w:r>
        <w:tab/>
        <w:t xml:space="preserve">Smernica </w:t>
      </w:r>
      <w:hyperlink r:id="rId154">
        <w:r>
          <w:t>2014/59/EÚ</w:t>
        </w:r>
      </w:hyperlink>
      <w:r>
        <w:t>.</w:t>
      </w:r>
    </w:p>
  </w:footnote>
  <w:footnote w:id="140">
    <w:p>
      <w:pPr>
        <w:pStyle w:val="FootnoteText"/>
      </w:pPr>
      <w:r>
        <w:rPr>
          <w:rStyle w:val="FootnoteReference"/>
        </w:rPr>
        <w:footnoteRef/>
      </w:r>
      <w:r>
        <w:t xml:space="preserve"> </w:t>
      </w:r>
      <w:r>
        <w:tab/>
        <w:t xml:space="preserve">Smernica </w:t>
      </w:r>
      <w:hyperlink r:id="rId155">
        <w:r>
          <w:t>2013/14/EÚ</w:t>
        </w:r>
      </w:hyperlink>
      <w:r>
        <w:t>.</w:t>
      </w:r>
    </w:p>
  </w:footnote>
  <w:footnote w:id="141">
    <w:p>
      <w:pPr>
        <w:pStyle w:val="FootnoteText"/>
      </w:pPr>
      <w:r>
        <w:rPr>
          <w:rStyle w:val="FootnoteReference"/>
        </w:rPr>
        <w:footnoteRef/>
      </w:r>
      <w:r>
        <w:t xml:space="preserve"> </w:t>
      </w:r>
      <w:r>
        <w:tab/>
        <w:t>Údaje o politických oblastiach uvedené v hlavnej správe a v časti týkajúcej sa členských štátov vychádzajú z informácií dostupných v centrálnej databáze prípadov nesplnenia povinnosti Európskej komisie. Oblasti politiky sú uvedené takto: poľnohospodárstvo a rozvoj vidieka; rozpočet; opatrenia v oblasti klímy; komunikačné siete, obsah a technológie; hospodárska súťaž; vzdelávanie a kultúra; hospodárske a finančné záležitosti; finančná stabilita a únia kapitálových trhov; európska susedská politika a rokovania o rozšírení; zamestnanosť; energetika; životné prostredie; migrácia a vnútorné záležitosti; spravodlivosť a spotrebitelia; námorné záležitosti a rybné hospodárstvo; vnútorný trh, priemysel, podnikanie a MSP; mobilita a doprava; regionálna politika; zdravie a bezpečnosť potravín; dane a clá; obchod.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left" w:pos="7513"/>
        <w:tab w:val="right" w:pos="8306"/>
      </w:tabs>
      <w:spacing w:after="0"/>
      <w:ind w:left="4153" w:hanging="4153"/>
      <w:jc w:val="center"/>
      <w:rPr>
        <w:rFonts w:ascii="Arial" w:hAnsi="Arial"/>
        <w:sz w:val="22"/>
      </w:rPr>
    </w:pPr>
    <w:r>
      <w:rPr>
        <w:noProof/>
        <w:lang w:val="en-US" w:eastAsia="en-US" w:bidi="ar-SA"/>
      </w:rPr>
      <mc:AlternateContent>
        <mc:Choice Requires="wps">
          <w:drawing>
            <wp:anchor distT="0" distB="0" distL="114300" distR="114300" simplePos="0" relativeHeight="251667968" behindDoc="0" locked="0" layoutInCell="1" allowOverlap="1">
              <wp:simplePos x="0" y="0"/>
              <wp:positionH relativeFrom="column">
                <wp:posOffset>140970</wp:posOffset>
              </wp:positionH>
              <wp:positionV relativeFrom="paragraph">
                <wp:posOffset>249555</wp:posOffset>
              </wp:positionV>
              <wp:extent cx="5473700" cy="44450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0" cy="444500"/>
                      </a:xfrm>
                      <a:prstGeom prst="rect">
                        <a:avLst/>
                      </a:prstGeom>
                      <a:noFill/>
                      <a:ln w="9525">
                        <a:noFill/>
                        <a:miter lim="800000"/>
                        <a:headEnd/>
                        <a:tailEnd/>
                      </a:ln>
                    </wps:spPr>
                    <wps:txbx>
                      <w:txbxContent>
                        <w:p>
                          <w:pPr>
                            <w:spacing w:after="0"/>
                            <w:jc w:val="center"/>
                            <w:rPr>
                              <w:rFonts w:ascii="Arial" w:hAnsi="Arial" w:cs="Arial"/>
                              <w:b/>
                              <w:color w:val="004194"/>
                              <w:sz w:val="22"/>
                              <w:szCs w:val="22"/>
                            </w:rPr>
                          </w:pPr>
                          <w:r>
                            <w:rPr>
                              <w:rFonts w:ascii="Arial" w:hAnsi="Arial"/>
                              <w:b/>
                              <w:color w:val="004194"/>
                              <w:sz w:val="22"/>
                            </w:rPr>
                            <w:t>Monitorovanie uplatňovania právnych predpisov Európskej únie</w:t>
                          </w:r>
                        </w:p>
                        <w:p>
                          <w:pPr>
                            <w:spacing w:after="0"/>
                            <w:jc w:val="center"/>
                            <w:rPr>
                              <w:rFonts w:ascii="Arial" w:hAnsi="Arial" w:cs="Arial"/>
                              <w:b/>
                              <w:color w:val="004194"/>
                              <w:sz w:val="22"/>
                              <w:szCs w:val="22"/>
                            </w:rPr>
                          </w:pPr>
                          <w:r>
                            <w:rPr>
                              <w:rFonts w:ascii="Arial" w:hAnsi="Arial"/>
                              <w:b/>
                              <w:color w:val="004194"/>
                              <w:sz w:val="22"/>
                            </w:rPr>
                            <w:t>Výročná správa za rok 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11.1pt;margin-top:19.65pt;width:431pt;height: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" filled="f" stroked="f">
              <v:textbox>
                <w:txbxContent>
                  <w:p>
                    <w:pPr>
                      <w:spacing w:after="0"/>
                      <w:jc w:val="center"/>
                      <w:rPr>
                        <w:rFonts w:ascii="Arial" w:hAnsi="Arial" w:cs="Arial"/>
                        <w:b/>
                        <w:color w:val="004194"/>
                        <w:sz w:val="22"/>
                        <w:szCs w:val="22"/>
                      </w:rPr>
                    </w:pPr>
                    <w:r>
                      <w:rPr>
                        <w:rFonts w:ascii="Arial" w:hAnsi="Arial"/>
                        <w:b/>
                        <w:color w:val="004194"/>
                        <w:sz w:val="22"/>
                      </w:rPr>
                      <w:t>Monitorovanie uplatňovania právnych predpisov Európskej únie</w:t>
                    </w:r>
                  </w:p>
                  <w:p>
                    <w:pPr>
                      <w:spacing w:after="0"/>
                      <w:jc w:val="center"/>
                      <w:rPr>
                        <w:rFonts w:ascii="Arial" w:hAnsi="Arial" w:cs="Arial"/>
                        <w:b/>
                        <w:color w:val="004194"/>
                        <w:sz w:val="22"/>
                        <w:szCs w:val="22"/>
                      </w:rPr>
                    </w:pPr>
                    <w:r>
                      <w:rPr>
                        <w:rFonts w:ascii="Arial" w:hAnsi="Arial"/>
                        <w:b/>
                        <w:color w:val="004194"/>
                        <w:sz w:val="22"/>
                      </w:rPr>
                      <w:t>Výročná správa za rok 2016</w:t>
                    </w:r>
                  </w:p>
                </w:txbxContent>
              </v:textbox>
            </v:shape>
          </w:pict>
        </mc:Fallback>
      </mc:AlternateContent>
    </w:r>
  </w:p>
  <w:p>
    <w:pPr>
      <w:pStyle w:val="Header"/>
    </w:pPr>
    <w:r>
      <w:rPr>
        <w:noProof/>
        <w:lang w:val="en-US" w:eastAsia="en-US" w:bidi="ar-SA"/>
      </w:rPr>
      <mc:AlternateContent>
        <mc:Choice Requires="wps">
          <w:drawing>
            <wp:anchor distT="0" distB="0" distL="114300" distR="114300" simplePos="0" relativeHeight="251670016" behindDoc="0" locked="0" layoutInCell="1" allowOverlap="1">
              <wp:simplePos x="0" y="0"/>
              <wp:positionH relativeFrom="column">
                <wp:posOffset>5073981</wp:posOffset>
              </wp:positionH>
              <wp:positionV relativeFrom="paragraph">
                <wp:posOffset>139700</wp:posOffset>
              </wp:positionV>
              <wp:extent cx="1835150" cy="219075"/>
              <wp:effectExtent l="0" t="0" r="0" b="952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15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26" o:spid="_x0000_s1026" style="position:absolute;margin-left:399.55pt;margin-top:11pt;width:144.5pt;height:17.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" fillcolor="#004194" stroked="f" strokeweight="2pt">
              <v:path arrowok="t"/>
            </v:rect>
          </w:pict>
        </mc:Fallback>
      </mc:AlternateContent>
    </w:r>
    <w:r>
      <w:rPr>
        <w:noProof/>
        <w:lang w:val="en-US" w:eastAsia="en-US" w:bidi="ar-SA"/>
      </w:rPr>
      <mc:AlternateContent>
        <mc:Choice Requires="wps">
          <w:drawing>
            <wp:anchor distT="0" distB="0" distL="114300" distR="114300" simplePos="0" relativeHeight="251668992" behindDoc="0" locked="0" layoutInCell="1" allowOverlap="1">
              <wp:simplePos x="0" y="0"/>
              <wp:positionH relativeFrom="column">
                <wp:posOffset>-1136981</wp:posOffset>
              </wp:positionH>
              <wp:positionV relativeFrom="paragraph">
                <wp:posOffset>139700</wp:posOffset>
              </wp:positionV>
              <wp:extent cx="1803400" cy="219075"/>
              <wp:effectExtent l="0" t="0" r="6350" b="952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26" style="position:absolute;margin-left:-89.55pt;margin-top:11pt;width:142pt;height:17.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" fillcolor="#004194" stroked="f" strokeweight="2pt">
              <v:path arrowok="t"/>
            </v:rect>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left" w:pos="7513"/>
        <w:tab w:val="right" w:pos="8306"/>
      </w:tabs>
      <w:spacing w:after="0"/>
      <w:ind w:left="4153" w:hanging="4153"/>
      <w:jc w:val="center"/>
      <w:rPr>
        <w:rFonts w:ascii="Arial" w:hAnsi="Arial"/>
        <w:sz w:val="22"/>
      </w:rPr>
    </w:pPr>
    <w:r>
      <w:rPr>
        <w:noProof/>
        <w:lang w:val="en-US" w:eastAsia="en-US" w:bidi="ar-SA"/>
      </w:rPr>
      <mc:AlternateContent>
        <mc:Choice Requires="wps">
          <w:drawing>
            <wp:anchor distT="0" distB="0" distL="114300" distR="114300" simplePos="0" relativeHeight="251663872" behindDoc="0" locked="0" layoutInCell="1" allowOverlap="1">
              <wp:simplePos x="0" y="0"/>
              <wp:positionH relativeFrom="column">
                <wp:posOffset>140970</wp:posOffset>
              </wp:positionH>
              <wp:positionV relativeFrom="paragraph">
                <wp:posOffset>249555</wp:posOffset>
              </wp:positionV>
              <wp:extent cx="5473700" cy="44450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0" cy="444500"/>
                      </a:xfrm>
                      <a:prstGeom prst="rect">
                        <a:avLst/>
                      </a:prstGeom>
                      <a:noFill/>
                      <a:ln w="9525">
                        <a:noFill/>
                        <a:miter lim="800000"/>
                        <a:headEnd/>
                        <a:tailEnd/>
                      </a:ln>
                    </wps:spPr>
                    <wps:txbx>
                      <w:txbxContent>
                        <w:p>
                          <w:pPr>
                            <w:spacing w:after="0"/>
                            <w:jc w:val="center"/>
                            <w:rPr>
                              <w:rFonts w:cs="Arial"/>
                              <w:b/>
                              <w:color w:val="004194"/>
                              <w:szCs w:val="22"/>
                            </w:rPr>
                          </w:pPr>
                          <w:r>
                            <w:rPr>
                              <w:b/>
                              <w:color w:val="004194"/>
                            </w:rPr>
                            <w:t>Monitorovanie uplatňovania právnych predpisov Európskej únie</w:t>
                          </w:r>
                        </w:p>
                        <w:p>
                          <w:pPr>
                            <w:spacing w:after="0"/>
                            <w:jc w:val="center"/>
                            <w:rPr>
                              <w:rFonts w:cs="Arial"/>
                              <w:b/>
                              <w:color w:val="004194"/>
                              <w:szCs w:val="22"/>
                            </w:rPr>
                          </w:pPr>
                          <w:r>
                            <w:rPr>
                              <w:b/>
                              <w:color w:val="004194"/>
                            </w:rPr>
                            <w:t>Výročná správa za rok 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11.1pt;margin-top:19.65pt;width:431pt;height: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" filled="f" stroked="f">
              <v:textbox>
                <w:txbxContent>
                  <w:p>
                    <w:pPr>
                      <w:spacing w:after="0"/>
                      <w:jc w:val="center"/>
                      <w:rPr>
                        <w:rFonts w:cs="Arial"/>
                        <w:b/>
                        <w:color w:val="004194"/>
                        <w:szCs w:val="22"/>
                      </w:rPr>
                    </w:pPr>
                    <w:r>
                      <w:rPr>
                        <w:b/>
                        <w:color w:val="004194"/>
                      </w:rPr>
                      <w:t>Monitorovanie uplatňovania právnych predpisov Európskej únie</w:t>
                    </w:r>
                  </w:p>
                  <w:p>
                    <w:pPr>
                      <w:spacing w:after="0"/>
                      <w:jc w:val="center"/>
                      <w:rPr>
                        <w:rFonts w:cs="Arial"/>
                        <w:b/>
                        <w:color w:val="004194"/>
                        <w:szCs w:val="22"/>
                      </w:rPr>
                    </w:pPr>
                    <w:r>
                      <w:rPr>
                        <w:b/>
                        <w:color w:val="004194"/>
                      </w:rPr>
                      <w:t>Výročná správa za rok 2016</w:t>
                    </w:r>
                  </w:p>
                </w:txbxContent>
              </v:textbox>
            </v:shape>
          </w:pict>
        </mc:Fallback>
      </mc:AlternateContent>
    </w:r>
  </w:p>
  <w:p>
    <w:pPr>
      <w:pStyle w:val="Header"/>
    </w:pPr>
    <w:r>
      <w:rPr>
        <w:noProof/>
        <w:lang w:val="en-US" w:eastAsia="en-US" w:bidi="ar-SA"/>
      </w:rPr>
      <mc:AlternateContent>
        <mc:Choice Requires="wps">
          <w:drawing>
            <wp:anchor distT="0" distB="0" distL="114300" distR="114300" simplePos="0" relativeHeight="251665920" behindDoc="0" locked="0" layoutInCell="1" allowOverlap="1">
              <wp:simplePos x="0" y="0"/>
              <wp:positionH relativeFrom="column">
                <wp:posOffset>5028261</wp:posOffset>
              </wp:positionH>
              <wp:positionV relativeFrom="paragraph">
                <wp:posOffset>139700</wp:posOffset>
              </wp:positionV>
              <wp:extent cx="1835150" cy="219075"/>
              <wp:effectExtent l="0" t="0" r="0" b="952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15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23" o:spid="_x0000_s1026" style="position:absolute;margin-left:395.95pt;margin-top:11pt;width:144.5pt;height:1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" fillcolor="#004194" stroked="f" strokeweight="2pt">
              <v:path arrowok="t"/>
            </v:rect>
          </w:pict>
        </mc:Fallback>
      </mc:AlternateContent>
    </w:r>
    <w:r>
      <w:rPr>
        <w:noProof/>
        <w:lang w:val="en-US" w:eastAsia="en-US" w:bidi="ar-SA"/>
      </w:rPr>
      <mc:AlternateContent>
        <mc:Choice Requires="wps">
          <w:drawing>
            <wp:anchor distT="0" distB="0" distL="114300" distR="114300" simplePos="0" relativeHeight="251664896" behindDoc="0" locked="0" layoutInCell="1" allowOverlap="1">
              <wp:simplePos x="0" y="0"/>
              <wp:positionH relativeFrom="column">
                <wp:posOffset>-1083641</wp:posOffset>
              </wp:positionH>
              <wp:positionV relativeFrom="paragraph">
                <wp:posOffset>139700</wp:posOffset>
              </wp:positionV>
              <wp:extent cx="1803400" cy="219075"/>
              <wp:effectExtent l="0" t="0" r="6350" b="952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85.35pt;margin-top:11pt;width:142pt;height:1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" fillcolor="#004194" stroked="f" strokeweight="2pt">
              <v:path arrowok="t"/>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Koptekstmetarcering"/>
      <w:tabs>
        <w:tab w:val="left" w:pos="5032"/>
      </w:tabs>
      <w:jc w:val="center"/>
    </w:pPr>
    <w:r>
      <w:t>Obsah</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left" w:pos="7513"/>
        <w:tab w:val="right" w:pos="8306"/>
      </w:tabs>
      <w:spacing w:after="0"/>
      <w:ind w:left="4153" w:hanging="4153"/>
      <w:jc w:val="center"/>
      <w:rPr>
        <w:rFonts w:ascii="Arial" w:hAnsi="Arial"/>
        <w:sz w:val="22"/>
      </w:rPr>
    </w:pPr>
    <w:r>
      <w:rPr>
        <w:noProof/>
        <w:lang w:val="en-US" w:eastAsia="en-US" w:bidi="ar-SA"/>
      </w:rPr>
      <mc:AlternateContent>
        <mc:Choice Requires="wps">
          <w:drawing>
            <wp:anchor distT="0" distB="0" distL="114300" distR="114300" simplePos="0" relativeHeight="251659776" behindDoc="0" locked="0" layoutInCell="1" allowOverlap="1">
              <wp:simplePos x="0" y="0"/>
              <wp:positionH relativeFrom="column">
                <wp:posOffset>140970</wp:posOffset>
              </wp:positionH>
              <wp:positionV relativeFrom="paragraph">
                <wp:posOffset>249555</wp:posOffset>
              </wp:positionV>
              <wp:extent cx="5473700" cy="44450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0" cy="444500"/>
                      </a:xfrm>
                      <a:prstGeom prst="rect">
                        <a:avLst/>
                      </a:prstGeom>
                      <a:noFill/>
                      <a:ln w="9525">
                        <a:noFill/>
                        <a:miter lim="800000"/>
                        <a:headEnd/>
                        <a:tailEnd/>
                      </a:ln>
                    </wps:spPr>
                    <wps:txbx>
                      <w:txbxContent>
                        <w:p>
                          <w:pPr>
                            <w:spacing w:after="0"/>
                            <w:jc w:val="center"/>
                            <w:rPr>
                              <w:rFonts w:cs="Arial"/>
                              <w:b/>
                              <w:color w:val="004194"/>
                              <w:szCs w:val="22"/>
                            </w:rPr>
                          </w:pPr>
                          <w:r>
                            <w:rPr>
                              <w:b/>
                              <w:color w:val="004194"/>
                            </w:rPr>
                            <w:t>Monitorovanie uplatňovania právnych predpisov Európskej únie</w:t>
                          </w:r>
                        </w:p>
                        <w:p>
                          <w:pPr>
                            <w:spacing w:after="0"/>
                            <w:jc w:val="center"/>
                            <w:rPr>
                              <w:rFonts w:cs="Arial"/>
                              <w:b/>
                              <w:color w:val="004194"/>
                              <w:szCs w:val="22"/>
                            </w:rPr>
                          </w:pPr>
                          <w:r>
                            <w:rPr>
                              <w:b/>
                              <w:color w:val="004194"/>
                            </w:rPr>
                            <w:t>Výročná správa za rok 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1pt;margin-top:19.65pt;width:431pt;height: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" filled="f" stroked="f">
              <v:textbox>
                <w:txbxContent>
                  <w:p>
                    <w:pPr>
                      <w:spacing w:after="0"/>
                      <w:jc w:val="center"/>
                      <w:rPr>
                        <w:rFonts w:cs="Arial"/>
                        <w:b/>
                        <w:color w:val="004194"/>
                        <w:szCs w:val="22"/>
                      </w:rPr>
                    </w:pPr>
                    <w:r>
                      <w:rPr>
                        <w:b/>
                        <w:color w:val="004194"/>
                      </w:rPr>
                      <w:t>Monitorovanie uplatňovania právnych predpisov Európskej únie</w:t>
                    </w:r>
                  </w:p>
                  <w:p>
                    <w:pPr>
                      <w:spacing w:after="0"/>
                      <w:jc w:val="center"/>
                      <w:rPr>
                        <w:rFonts w:cs="Arial"/>
                        <w:b/>
                        <w:color w:val="004194"/>
                        <w:szCs w:val="22"/>
                      </w:rPr>
                    </w:pPr>
                    <w:r>
                      <w:rPr>
                        <w:b/>
                        <w:color w:val="004194"/>
                      </w:rPr>
                      <w:t>Výročná správa za rok 2016</w:t>
                    </w:r>
                  </w:p>
                </w:txbxContent>
              </v:textbox>
            </v:shape>
          </w:pict>
        </mc:Fallback>
      </mc:AlternateContent>
    </w:r>
  </w:p>
  <w:p>
    <w:pPr>
      <w:pStyle w:val="Header"/>
    </w:pPr>
    <w:r>
      <w:rPr>
        <w:noProof/>
        <w:lang w:val="en-US" w:eastAsia="en-US" w:bidi="ar-SA"/>
      </w:rPr>
      <mc:AlternateContent>
        <mc:Choice Requires="wps">
          <w:drawing>
            <wp:anchor distT="0" distB="0" distL="114300" distR="114300" simplePos="0" relativeHeight="251661824" behindDoc="0" locked="0" layoutInCell="1" allowOverlap="1">
              <wp:simplePos x="0" y="0"/>
              <wp:positionH relativeFrom="column">
                <wp:posOffset>5058741</wp:posOffset>
              </wp:positionH>
              <wp:positionV relativeFrom="paragraph">
                <wp:posOffset>139700</wp:posOffset>
              </wp:positionV>
              <wp:extent cx="1835150" cy="219075"/>
              <wp:effectExtent l="0" t="0" r="0" b="95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15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3" o:spid="_x0000_s1026" style="position:absolute;margin-left:398.35pt;margin-top:11pt;width:144.5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" fillcolor="#004194" stroked="f" strokeweight="2pt">
              <v:path arrowok="t"/>
            </v:rect>
          </w:pict>
        </mc:Fallback>
      </mc:AlternateContent>
    </w:r>
    <w:r>
      <w:rPr>
        <w:noProof/>
        <w:lang w:val="en-US" w:eastAsia="en-US" w:bidi="ar-SA"/>
      </w:rPr>
      <mc:AlternateContent>
        <mc:Choice Requires="wps">
          <w:drawing>
            <wp:anchor distT="0" distB="0" distL="114300" distR="114300" simplePos="0" relativeHeight="251660800" behindDoc="0" locked="0" layoutInCell="1" allowOverlap="1">
              <wp:simplePos x="0" y="0"/>
              <wp:positionH relativeFrom="column">
                <wp:posOffset>-1091896</wp:posOffset>
              </wp:positionH>
              <wp:positionV relativeFrom="paragraph">
                <wp:posOffset>139700</wp:posOffset>
              </wp:positionV>
              <wp:extent cx="1803400" cy="219075"/>
              <wp:effectExtent l="0" t="0" r="6350"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86pt;margin-top:11pt;width:142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" fillcolor="#004194" stroked="f" strokeweight="2pt">
              <v:path arrowok="t"/>
            </v:rect>
          </w:pict>
        </mc:Fallback>
      </mc:AlternateContent>
    </w:r>
  </w:p>
  <w:p>
    <w:pPr>
      <w:pStyle w:val="Header"/>
      <w:tabs>
        <w:tab w:val="left" w:pos="7513"/>
      </w:tabs>
      <w:spacing w:after="0"/>
      <w:ind w:left="4153" w:hanging="4153"/>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left" w:pos="7513"/>
        <w:tab w:val="right" w:pos="8306"/>
      </w:tabs>
      <w:spacing w:after="0"/>
      <w:ind w:left="4153" w:hanging="4153"/>
      <w:jc w:val="center"/>
      <w:rPr>
        <w:rFonts w:ascii="Arial" w:hAnsi="Arial"/>
        <w:sz w:val="22"/>
      </w:rPr>
    </w:pPr>
    <w:r>
      <w:rPr>
        <w:noProof/>
        <w:lang w:val="en-US" w:eastAsia="en-US" w:bidi="ar-SA"/>
      </w:rPr>
      <mc:AlternateContent>
        <mc:Choice Requires="wps">
          <w:drawing>
            <wp:anchor distT="0" distB="0" distL="114300" distR="114300" simplePos="0" relativeHeight="251656704" behindDoc="0" locked="0" layoutInCell="1" allowOverlap="1">
              <wp:simplePos x="0" y="0"/>
              <wp:positionH relativeFrom="column">
                <wp:posOffset>140970</wp:posOffset>
              </wp:positionH>
              <wp:positionV relativeFrom="paragraph">
                <wp:posOffset>249555</wp:posOffset>
              </wp:positionV>
              <wp:extent cx="5473700" cy="444500"/>
              <wp:effectExtent l="0" t="0" r="0" b="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0" cy="444500"/>
                      </a:xfrm>
                      <a:prstGeom prst="rect">
                        <a:avLst/>
                      </a:prstGeom>
                      <a:noFill/>
                      <a:ln w="9525">
                        <a:noFill/>
                        <a:miter lim="800000"/>
                        <a:headEnd/>
                        <a:tailEnd/>
                      </a:ln>
                    </wps:spPr>
                    <wps:txbx>
                      <w:txbxContent>
                        <w:p>
                          <w:pPr>
                            <w:spacing w:after="0"/>
                            <w:jc w:val="center"/>
                            <w:rPr>
                              <w:rFonts w:ascii="Arial" w:hAnsi="Arial" w:cs="Arial"/>
                              <w:b/>
                              <w:color w:val="004194"/>
                              <w:sz w:val="22"/>
                              <w:szCs w:val="22"/>
                            </w:rPr>
                          </w:pPr>
                          <w:r>
                            <w:rPr>
                              <w:rFonts w:ascii="Arial" w:hAnsi="Arial"/>
                              <w:b/>
                              <w:color w:val="004194"/>
                              <w:sz w:val="22"/>
                            </w:rPr>
                            <w:t>Monitorovanie uplatňovania právnych predpisov Európskej únie</w:t>
                          </w:r>
                        </w:p>
                        <w:p>
                          <w:pPr>
                            <w:spacing w:after="0"/>
                            <w:jc w:val="center"/>
                            <w:rPr>
                              <w:rFonts w:ascii="Arial" w:hAnsi="Arial" w:cs="Arial"/>
                              <w:b/>
                              <w:color w:val="004194"/>
                              <w:sz w:val="22"/>
                              <w:szCs w:val="22"/>
                            </w:rPr>
                          </w:pPr>
                          <w:r>
                            <w:rPr>
                              <w:rFonts w:ascii="Arial" w:hAnsi="Arial"/>
                              <w:b/>
                              <w:color w:val="004194"/>
                              <w:sz w:val="22"/>
                            </w:rPr>
                            <w:t>Výročná správa za rok 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1.1pt;margin-top:19.65pt;width:431pt;height: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" filled="f" stroked="f">
              <v:textbox>
                <w:txbxContent>
                  <w:p>
                    <w:pPr>
                      <w:spacing w:after="0"/>
                      <w:jc w:val="center"/>
                      <w:rPr>
                        <w:rFonts w:ascii="Arial" w:hAnsi="Arial" w:cs="Arial"/>
                        <w:b/>
                        <w:color w:val="004194"/>
                        <w:sz w:val="22"/>
                        <w:szCs w:val="22"/>
                      </w:rPr>
                    </w:pPr>
                    <w:r>
                      <w:rPr>
                        <w:rFonts w:ascii="Arial" w:hAnsi="Arial"/>
                        <w:b/>
                        <w:color w:val="004194"/>
                        <w:sz w:val="22"/>
                      </w:rPr>
                      <w:t>Monitorovanie uplatňovania právnych predpisov Európskej únie</w:t>
                    </w:r>
                  </w:p>
                  <w:p>
                    <w:pPr>
                      <w:spacing w:after="0"/>
                      <w:jc w:val="center"/>
                      <w:rPr>
                        <w:rFonts w:ascii="Arial" w:hAnsi="Arial" w:cs="Arial"/>
                        <w:b/>
                        <w:color w:val="004194"/>
                        <w:sz w:val="22"/>
                        <w:szCs w:val="22"/>
                      </w:rPr>
                    </w:pPr>
                    <w:r>
                      <w:rPr>
                        <w:rFonts w:ascii="Arial" w:hAnsi="Arial"/>
                        <w:b/>
                        <w:color w:val="004194"/>
                        <w:sz w:val="22"/>
                      </w:rPr>
                      <w:t>Výročná správa za rok 2016</w:t>
                    </w:r>
                  </w:p>
                </w:txbxContent>
              </v:textbox>
            </v:shape>
          </w:pict>
        </mc:Fallback>
      </mc:AlternateContent>
    </w:r>
  </w:p>
  <w:p>
    <w:pPr>
      <w:pStyle w:val="Header"/>
    </w:pPr>
    <w:r>
      <w:rPr>
        <w:noProof/>
        <w:lang w:val="en-US" w:eastAsia="en-US" w:bidi="ar-SA"/>
      </w:rPr>
      <mc:AlternateContent>
        <mc:Choice Requires="wps">
          <w:drawing>
            <wp:anchor distT="0" distB="0" distL="114300" distR="114300" simplePos="0" relativeHeight="251658752" behindDoc="0" locked="0" layoutInCell="1" allowOverlap="1">
              <wp:simplePos x="0" y="0"/>
              <wp:positionH relativeFrom="column">
                <wp:posOffset>5096841</wp:posOffset>
              </wp:positionH>
              <wp:positionV relativeFrom="paragraph">
                <wp:posOffset>139700</wp:posOffset>
              </wp:positionV>
              <wp:extent cx="1835150" cy="219075"/>
              <wp:effectExtent l="0" t="0" r="0" b="952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15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63" o:spid="_x0000_s1026" style="position:absolute;margin-left:401.35pt;margin-top:11pt;width:144.5pt;height:1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" fillcolor="#004194" stroked="f" strokeweight="2pt">
              <v:path arrowok="t"/>
            </v:rect>
          </w:pict>
        </mc:Fallback>
      </mc:AlternateContent>
    </w:r>
    <w:r>
      <w:rPr>
        <w:noProof/>
        <w:lang w:val="en-US" w:eastAsia="en-US" w:bidi="ar-SA"/>
      </w:rPr>
      <mc:AlternateContent>
        <mc:Choice Requires="wps">
          <w:drawing>
            <wp:anchor distT="0" distB="0" distL="114300" distR="114300" simplePos="0" relativeHeight="251657728" behindDoc="0" locked="0" layoutInCell="1" allowOverlap="1">
              <wp:simplePos x="0" y="0"/>
              <wp:positionH relativeFrom="column">
                <wp:posOffset>-1136981</wp:posOffset>
              </wp:positionH>
              <wp:positionV relativeFrom="paragraph">
                <wp:posOffset>139700</wp:posOffset>
              </wp:positionV>
              <wp:extent cx="1803400" cy="219075"/>
              <wp:effectExtent l="0" t="0" r="6350" b="9525"/>
              <wp:wrapNone/>
              <wp:docPr id="288"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8" o:spid="_x0000_s1026" style="position:absolute;margin-left:-89.55pt;margin-top:11pt;width:142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" fillcolor="#004194" stroked="f" strokeweight="2pt">
              <v:path arrowok="t"/>
            </v:rect>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left" w:pos="7513"/>
        <w:tab w:val="right" w:pos="8306"/>
      </w:tabs>
      <w:spacing w:after="0"/>
      <w:ind w:left="4153" w:hanging="4153"/>
      <w:jc w:val="center"/>
      <w:rPr>
        <w:rFonts w:ascii="Arial" w:hAnsi="Arial"/>
        <w:sz w:val="22"/>
      </w:rPr>
    </w:pPr>
    <w:r>
      <w:rPr>
        <w:noProof/>
        <w:lang w:val="en-US" w:eastAsia="en-US" w:bidi="ar-SA"/>
      </w:rPr>
      <mc:AlternateContent>
        <mc:Choice Requires="wps">
          <w:drawing>
            <wp:anchor distT="0" distB="0" distL="114300" distR="114300" simplePos="0" relativeHeight="251653632" behindDoc="0" locked="0" layoutInCell="1" allowOverlap="1">
              <wp:simplePos x="0" y="0"/>
              <wp:positionH relativeFrom="column">
                <wp:posOffset>140970</wp:posOffset>
              </wp:positionH>
              <wp:positionV relativeFrom="paragraph">
                <wp:posOffset>249555</wp:posOffset>
              </wp:positionV>
              <wp:extent cx="5473700" cy="4445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0" cy="444500"/>
                      </a:xfrm>
                      <a:prstGeom prst="rect">
                        <a:avLst/>
                      </a:prstGeom>
                      <a:noFill/>
                      <a:ln w="9525">
                        <a:noFill/>
                        <a:miter lim="800000"/>
                        <a:headEnd/>
                        <a:tailEnd/>
                      </a:ln>
                    </wps:spPr>
                    <wps:txbx>
                      <w:txbxContent>
                        <w:p>
                          <w:pPr>
                            <w:spacing w:after="0"/>
                            <w:jc w:val="center"/>
                            <w:rPr>
                              <w:rFonts w:cs="Arial"/>
                              <w:b/>
                              <w:color w:val="004194"/>
                              <w:szCs w:val="22"/>
                            </w:rPr>
                          </w:pPr>
                          <w:r>
                            <w:rPr>
                              <w:b/>
                              <w:color w:val="004194"/>
                            </w:rPr>
                            <w:t>Monitorovanie uplatňovania právnych predpisov Európskej únie</w:t>
                          </w:r>
                        </w:p>
                        <w:p>
                          <w:pPr>
                            <w:spacing w:after="0"/>
                            <w:jc w:val="center"/>
                            <w:rPr>
                              <w:rFonts w:cs="Arial"/>
                              <w:b/>
                              <w:color w:val="004194"/>
                              <w:szCs w:val="22"/>
                            </w:rPr>
                          </w:pPr>
                          <w:r>
                            <w:rPr>
                              <w:b/>
                              <w:color w:val="004194"/>
                            </w:rPr>
                            <w:t>Výročná správa za rok 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11.1pt;margin-top:19.65pt;width:431pt;height: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" filled="f" stroked="f">
              <v:textbox>
                <w:txbxContent>
                  <w:p>
                    <w:pPr>
                      <w:spacing w:after="0"/>
                      <w:jc w:val="center"/>
                      <w:rPr>
                        <w:rFonts w:cs="Arial"/>
                        <w:b/>
                        <w:color w:val="004194"/>
                        <w:szCs w:val="22"/>
                      </w:rPr>
                    </w:pPr>
                    <w:r>
                      <w:rPr>
                        <w:b/>
                        <w:color w:val="004194"/>
                      </w:rPr>
                      <w:t>Monitorovanie uplatňovania právnych predpisov Európskej únie</w:t>
                    </w:r>
                  </w:p>
                  <w:p>
                    <w:pPr>
                      <w:spacing w:after="0"/>
                      <w:jc w:val="center"/>
                      <w:rPr>
                        <w:rFonts w:cs="Arial"/>
                        <w:b/>
                        <w:color w:val="004194"/>
                        <w:szCs w:val="22"/>
                      </w:rPr>
                    </w:pPr>
                    <w:r>
                      <w:rPr>
                        <w:b/>
                        <w:color w:val="004194"/>
                      </w:rPr>
                      <w:t>Výročná správa za rok 2016</w:t>
                    </w:r>
                  </w:p>
                </w:txbxContent>
              </v:textbox>
            </v:shape>
          </w:pict>
        </mc:Fallback>
      </mc:AlternateContent>
    </w:r>
  </w:p>
  <w:p>
    <w:pPr>
      <w:pStyle w:val="Header"/>
    </w:pPr>
    <w:r>
      <w:rPr>
        <w:noProof/>
        <w:lang w:val="en-US" w:eastAsia="en-US" w:bidi="ar-SA"/>
      </w:rPr>
      <mc:AlternateContent>
        <mc:Choice Requires="wps">
          <w:drawing>
            <wp:anchor distT="0" distB="0" distL="114300" distR="114300" simplePos="0" relativeHeight="251655680" behindDoc="0" locked="0" layoutInCell="1" allowOverlap="1">
              <wp:simplePos x="0" y="0"/>
              <wp:positionH relativeFrom="column">
                <wp:posOffset>5057444</wp:posOffset>
              </wp:positionH>
              <wp:positionV relativeFrom="paragraph">
                <wp:posOffset>139700</wp:posOffset>
              </wp:positionV>
              <wp:extent cx="1835150" cy="219075"/>
              <wp:effectExtent l="0" t="0" r="0" b="952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15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7" o:spid="_x0000_s1026" style="position:absolute;margin-left:398.2pt;margin-top:11pt;width:144.5pt;height:1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" fillcolor="#004194" stroked="f" strokeweight="2pt">
              <v:path arrowok="t"/>
            </v:rect>
          </w:pict>
        </mc:Fallback>
      </mc:AlternateContent>
    </w:r>
    <w:r>
      <w:rPr>
        <w:noProof/>
        <w:lang w:val="en-US" w:eastAsia="en-US" w:bidi="ar-SA"/>
      </w:rPr>
      <mc:AlternateContent>
        <mc:Choice Requires="wps">
          <w:drawing>
            <wp:anchor distT="0" distB="0" distL="114300" distR="114300" simplePos="0" relativeHeight="251654656" behindDoc="0" locked="0" layoutInCell="1" allowOverlap="1">
              <wp:simplePos x="0" y="0"/>
              <wp:positionH relativeFrom="column">
                <wp:posOffset>-1106501</wp:posOffset>
              </wp:positionH>
              <wp:positionV relativeFrom="paragraph">
                <wp:posOffset>139700</wp:posOffset>
              </wp:positionV>
              <wp:extent cx="1803400" cy="219075"/>
              <wp:effectExtent l="0" t="0" r="6350" b="952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26" style="position:absolute;margin-left:-87.15pt;margin-top:11pt;width:142pt;height:17.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" fillcolor="#004194" stroked="f" strokeweight="2pt">
              <v:path arrowok="t"/>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3480C52"/>
    <w:multiLevelType w:val="hybridMultilevel"/>
    <w:tmpl w:val="A1D60A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48426E"/>
    <w:multiLevelType w:val="hybridMultilevel"/>
    <w:tmpl w:val="F76EC6AC"/>
    <w:lvl w:ilvl="0" w:tplc="1DBAE22A">
      <w:start w:val="1"/>
      <w:numFmt w:val="bullet"/>
      <w:pStyle w:val="Bulletpoint1"/>
      <w:lvlText w:val=""/>
      <w:lvlJc w:val="left"/>
      <w:pPr>
        <w:ind w:left="717" w:hanging="360"/>
      </w:pPr>
      <w:rPr>
        <w:rFonts w:ascii="Symbol" w:hAnsi="Symbol" w:hint="default"/>
        <w:color w:val="00AE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C951FA"/>
    <w:multiLevelType w:val="hybridMultilevel"/>
    <w:tmpl w:val="5964D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8D7BEA"/>
    <w:multiLevelType w:val="hybridMultilevel"/>
    <w:tmpl w:val="D3808FF6"/>
    <w:lvl w:ilvl="0" w:tplc="53649850">
      <w:start w:val="1"/>
      <w:numFmt w:val="lowerLetter"/>
      <w:pStyle w:val="Lijstje"/>
      <w:lvlText w:val="%1)"/>
      <w:lvlJc w:val="left"/>
      <w:pPr>
        <w:ind w:left="1419" w:hanging="705"/>
      </w:pPr>
      <w:rPr>
        <w:rFonts w:hint="default"/>
      </w:rPr>
    </w:lvl>
    <w:lvl w:ilvl="1" w:tplc="08130019" w:tentative="1">
      <w:start w:val="1"/>
      <w:numFmt w:val="lowerLetter"/>
      <w:lvlText w:val="%2."/>
      <w:lvlJc w:val="left"/>
      <w:pPr>
        <w:ind w:left="1794" w:hanging="360"/>
      </w:pPr>
    </w:lvl>
    <w:lvl w:ilvl="2" w:tplc="0813001B" w:tentative="1">
      <w:start w:val="1"/>
      <w:numFmt w:val="lowerRoman"/>
      <w:lvlText w:val="%3."/>
      <w:lvlJc w:val="right"/>
      <w:pPr>
        <w:ind w:left="2514" w:hanging="180"/>
      </w:pPr>
    </w:lvl>
    <w:lvl w:ilvl="3" w:tplc="0813000F" w:tentative="1">
      <w:start w:val="1"/>
      <w:numFmt w:val="decimal"/>
      <w:lvlText w:val="%4."/>
      <w:lvlJc w:val="left"/>
      <w:pPr>
        <w:ind w:left="3234" w:hanging="360"/>
      </w:pPr>
    </w:lvl>
    <w:lvl w:ilvl="4" w:tplc="08130019" w:tentative="1">
      <w:start w:val="1"/>
      <w:numFmt w:val="lowerLetter"/>
      <w:lvlText w:val="%5."/>
      <w:lvlJc w:val="left"/>
      <w:pPr>
        <w:ind w:left="3954" w:hanging="360"/>
      </w:pPr>
    </w:lvl>
    <w:lvl w:ilvl="5" w:tplc="0813001B" w:tentative="1">
      <w:start w:val="1"/>
      <w:numFmt w:val="lowerRoman"/>
      <w:lvlText w:val="%6."/>
      <w:lvlJc w:val="right"/>
      <w:pPr>
        <w:ind w:left="4674" w:hanging="180"/>
      </w:pPr>
    </w:lvl>
    <w:lvl w:ilvl="6" w:tplc="0813000F" w:tentative="1">
      <w:start w:val="1"/>
      <w:numFmt w:val="decimal"/>
      <w:lvlText w:val="%7."/>
      <w:lvlJc w:val="left"/>
      <w:pPr>
        <w:ind w:left="5394" w:hanging="360"/>
      </w:pPr>
    </w:lvl>
    <w:lvl w:ilvl="7" w:tplc="08130019" w:tentative="1">
      <w:start w:val="1"/>
      <w:numFmt w:val="lowerLetter"/>
      <w:lvlText w:val="%8."/>
      <w:lvlJc w:val="left"/>
      <w:pPr>
        <w:ind w:left="6114" w:hanging="360"/>
      </w:pPr>
    </w:lvl>
    <w:lvl w:ilvl="8" w:tplc="0813001B" w:tentative="1">
      <w:start w:val="1"/>
      <w:numFmt w:val="lowerRoman"/>
      <w:lvlText w:val="%9."/>
      <w:lvlJc w:val="right"/>
      <w:pPr>
        <w:ind w:left="6834" w:hanging="180"/>
      </w:pPr>
    </w:lvl>
  </w:abstractNum>
  <w:abstractNum w:abstractNumId="6">
    <w:nsid w:val="17F54380"/>
    <w:multiLevelType w:val="hybridMultilevel"/>
    <w:tmpl w:val="7DFA5CD4"/>
    <w:lvl w:ilvl="0" w:tplc="7A7A0B3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1">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052792A"/>
    <w:multiLevelType w:val="hybridMultilevel"/>
    <w:tmpl w:val="22EC28F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nsid w:val="30B01BAD"/>
    <w:multiLevelType w:val="hybridMultilevel"/>
    <w:tmpl w:val="02AE21D2"/>
    <w:lvl w:ilvl="0" w:tplc="7A7A0B32">
      <w:numFmt w:val="bullet"/>
      <w:lvlText w:val="•"/>
      <w:lvlJc w:val="left"/>
      <w:pPr>
        <w:ind w:left="6" w:hanging="360"/>
      </w:pPr>
      <w:rPr>
        <w:rFonts w:ascii="Calibri" w:eastAsia="Calibri" w:hAnsi="Calibri" w:cs="Times New Roman"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4">
    <w:nsid w:val="32982591"/>
    <w:multiLevelType w:val="hybridMultilevel"/>
    <w:tmpl w:val="D99CF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35C11F0"/>
    <w:multiLevelType w:val="hybridMultilevel"/>
    <w:tmpl w:val="AA368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7">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9">
    <w:nsid w:val="3B9A423E"/>
    <w:multiLevelType w:val="hybridMultilevel"/>
    <w:tmpl w:val="06044A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1">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2">
    <w:nsid w:val="48EA0A83"/>
    <w:multiLevelType w:val="multilevel"/>
    <w:tmpl w:val="C5481260"/>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B4A1CE1"/>
    <w:multiLevelType w:val="hybridMultilevel"/>
    <w:tmpl w:val="2EEA4DF0"/>
    <w:lvl w:ilvl="0" w:tplc="508EE518">
      <w:start w:val="1"/>
      <w:numFmt w:val="bullet"/>
      <w:pStyle w:val="BulletPoint2"/>
      <w:lvlText w:val=""/>
      <w:lvlJc w:val="left"/>
      <w:pPr>
        <w:ind w:left="1080" w:hanging="360"/>
      </w:pPr>
      <w:rPr>
        <w:rFonts w:ascii="Symbol" w:hAnsi="Symbol" w:hint="default"/>
        <w:color w:val="7F7F7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C616FFC"/>
    <w:multiLevelType w:val="hybridMultilevel"/>
    <w:tmpl w:val="B9BE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E8D3084"/>
    <w:multiLevelType w:val="hybridMultilevel"/>
    <w:tmpl w:val="D8B4EFBA"/>
    <w:lvl w:ilvl="0" w:tplc="E83E1136">
      <w:start w:val="1"/>
      <w:numFmt w:val="decimal"/>
      <w:pStyle w:val="Title2"/>
      <w:lvlText w:val="%1.1"/>
      <w:lvlJc w:val="left"/>
      <w:pPr>
        <w:ind w:left="1202" w:hanging="360"/>
      </w:pPr>
      <w:rPr>
        <w:rFonts w:hint="default"/>
      </w:rPr>
    </w:lvl>
    <w:lvl w:ilvl="1" w:tplc="08130019" w:tentative="1">
      <w:start w:val="1"/>
      <w:numFmt w:val="lowerLetter"/>
      <w:lvlText w:val="%2."/>
      <w:lvlJc w:val="left"/>
      <w:pPr>
        <w:ind w:left="1922" w:hanging="360"/>
      </w:pPr>
    </w:lvl>
    <w:lvl w:ilvl="2" w:tplc="0813001B" w:tentative="1">
      <w:start w:val="1"/>
      <w:numFmt w:val="lowerRoman"/>
      <w:lvlText w:val="%3."/>
      <w:lvlJc w:val="right"/>
      <w:pPr>
        <w:ind w:left="2642" w:hanging="180"/>
      </w:pPr>
    </w:lvl>
    <w:lvl w:ilvl="3" w:tplc="0813000F" w:tentative="1">
      <w:start w:val="1"/>
      <w:numFmt w:val="decimal"/>
      <w:lvlText w:val="%4."/>
      <w:lvlJc w:val="left"/>
      <w:pPr>
        <w:ind w:left="3362" w:hanging="360"/>
      </w:pPr>
    </w:lvl>
    <w:lvl w:ilvl="4" w:tplc="08130019" w:tentative="1">
      <w:start w:val="1"/>
      <w:numFmt w:val="lowerLetter"/>
      <w:lvlText w:val="%5."/>
      <w:lvlJc w:val="left"/>
      <w:pPr>
        <w:ind w:left="4082" w:hanging="360"/>
      </w:pPr>
    </w:lvl>
    <w:lvl w:ilvl="5" w:tplc="0813001B" w:tentative="1">
      <w:start w:val="1"/>
      <w:numFmt w:val="lowerRoman"/>
      <w:lvlText w:val="%6."/>
      <w:lvlJc w:val="right"/>
      <w:pPr>
        <w:ind w:left="4802" w:hanging="180"/>
      </w:pPr>
    </w:lvl>
    <w:lvl w:ilvl="6" w:tplc="0813000F" w:tentative="1">
      <w:start w:val="1"/>
      <w:numFmt w:val="decimal"/>
      <w:lvlText w:val="%7."/>
      <w:lvlJc w:val="left"/>
      <w:pPr>
        <w:ind w:left="5522" w:hanging="360"/>
      </w:pPr>
    </w:lvl>
    <w:lvl w:ilvl="7" w:tplc="08130019" w:tentative="1">
      <w:start w:val="1"/>
      <w:numFmt w:val="lowerLetter"/>
      <w:lvlText w:val="%8."/>
      <w:lvlJc w:val="left"/>
      <w:pPr>
        <w:ind w:left="6242" w:hanging="360"/>
      </w:pPr>
    </w:lvl>
    <w:lvl w:ilvl="8" w:tplc="0813001B" w:tentative="1">
      <w:start w:val="1"/>
      <w:numFmt w:val="lowerRoman"/>
      <w:lvlText w:val="%9."/>
      <w:lvlJc w:val="right"/>
      <w:pPr>
        <w:ind w:left="6962" w:hanging="180"/>
      </w:pPr>
    </w:lvl>
  </w:abstractNum>
  <w:abstractNum w:abstractNumId="26">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7">
    <w:nsid w:val="5B422D7C"/>
    <w:multiLevelType w:val="hybridMultilevel"/>
    <w:tmpl w:val="40B28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9">
    <w:nsid w:val="5EA36AE3"/>
    <w:multiLevelType w:val="hybridMultilevel"/>
    <w:tmpl w:val="C172E006"/>
    <w:lvl w:ilvl="0" w:tplc="BF86F04E">
      <w:start w:val="1"/>
      <w:numFmt w:val="bullet"/>
      <w:pStyle w:val="Lijstje2"/>
      <w:lvlText w:val=""/>
      <w:lvlJc w:val="left"/>
      <w:pPr>
        <w:ind w:left="2137" w:hanging="360"/>
      </w:pPr>
      <w:rPr>
        <w:rFonts w:ascii="Symbol" w:hAnsi="Symbol" w:hint="default"/>
      </w:rPr>
    </w:lvl>
    <w:lvl w:ilvl="1" w:tplc="EDDCC440">
      <w:start w:val="1"/>
      <w:numFmt w:val="bullet"/>
      <w:pStyle w:val="Lijstje3"/>
      <w:lvlText w:val="o"/>
      <w:lvlJc w:val="left"/>
      <w:pPr>
        <w:ind w:left="2857" w:hanging="360"/>
      </w:pPr>
      <w:rPr>
        <w:rFonts w:ascii="Courier New" w:hAnsi="Courier New" w:cs="Courier New" w:hint="default"/>
      </w:rPr>
    </w:lvl>
    <w:lvl w:ilvl="2" w:tplc="08130005">
      <w:start w:val="1"/>
      <w:numFmt w:val="bullet"/>
      <w:lvlText w:val=""/>
      <w:lvlJc w:val="left"/>
      <w:pPr>
        <w:ind w:left="3577" w:hanging="360"/>
      </w:pPr>
      <w:rPr>
        <w:rFonts w:ascii="Wingdings" w:hAnsi="Wingdings" w:hint="default"/>
      </w:rPr>
    </w:lvl>
    <w:lvl w:ilvl="3" w:tplc="08130001" w:tentative="1">
      <w:start w:val="1"/>
      <w:numFmt w:val="bullet"/>
      <w:lvlText w:val=""/>
      <w:lvlJc w:val="left"/>
      <w:pPr>
        <w:ind w:left="4297" w:hanging="360"/>
      </w:pPr>
      <w:rPr>
        <w:rFonts w:ascii="Symbol" w:hAnsi="Symbol" w:hint="default"/>
      </w:rPr>
    </w:lvl>
    <w:lvl w:ilvl="4" w:tplc="08130003" w:tentative="1">
      <w:start w:val="1"/>
      <w:numFmt w:val="bullet"/>
      <w:lvlText w:val="o"/>
      <w:lvlJc w:val="left"/>
      <w:pPr>
        <w:ind w:left="5017" w:hanging="360"/>
      </w:pPr>
      <w:rPr>
        <w:rFonts w:ascii="Courier New" w:hAnsi="Courier New" w:cs="Courier New" w:hint="default"/>
      </w:rPr>
    </w:lvl>
    <w:lvl w:ilvl="5" w:tplc="08130005" w:tentative="1">
      <w:start w:val="1"/>
      <w:numFmt w:val="bullet"/>
      <w:lvlText w:val=""/>
      <w:lvlJc w:val="left"/>
      <w:pPr>
        <w:ind w:left="5737" w:hanging="360"/>
      </w:pPr>
      <w:rPr>
        <w:rFonts w:ascii="Wingdings" w:hAnsi="Wingdings" w:hint="default"/>
      </w:rPr>
    </w:lvl>
    <w:lvl w:ilvl="6" w:tplc="08130001" w:tentative="1">
      <w:start w:val="1"/>
      <w:numFmt w:val="bullet"/>
      <w:lvlText w:val=""/>
      <w:lvlJc w:val="left"/>
      <w:pPr>
        <w:ind w:left="6457" w:hanging="360"/>
      </w:pPr>
      <w:rPr>
        <w:rFonts w:ascii="Symbol" w:hAnsi="Symbol" w:hint="default"/>
      </w:rPr>
    </w:lvl>
    <w:lvl w:ilvl="7" w:tplc="08130003" w:tentative="1">
      <w:start w:val="1"/>
      <w:numFmt w:val="bullet"/>
      <w:lvlText w:val="o"/>
      <w:lvlJc w:val="left"/>
      <w:pPr>
        <w:ind w:left="7177" w:hanging="360"/>
      </w:pPr>
      <w:rPr>
        <w:rFonts w:ascii="Courier New" w:hAnsi="Courier New" w:cs="Courier New" w:hint="default"/>
      </w:rPr>
    </w:lvl>
    <w:lvl w:ilvl="8" w:tplc="08130005" w:tentative="1">
      <w:start w:val="1"/>
      <w:numFmt w:val="bullet"/>
      <w:lvlText w:val=""/>
      <w:lvlJc w:val="left"/>
      <w:pPr>
        <w:ind w:left="7897" w:hanging="360"/>
      </w:pPr>
      <w:rPr>
        <w:rFonts w:ascii="Wingdings" w:hAnsi="Wingdings" w:hint="default"/>
      </w:rPr>
    </w:lvl>
  </w:abstractNum>
  <w:abstractNum w:abstractNumId="30">
    <w:nsid w:val="5F3253F2"/>
    <w:multiLevelType w:val="hybridMultilevel"/>
    <w:tmpl w:val="D0549D3E"/>
    <w:lvl w:ilvl="0" w:tplc="A9D24CDA">
      <w:start w:val="1"/>
      <w:numFmt w:val="upperRoman"/>
      <w:lvlText w:val="%1."/>
      <w:lvlJc w:val="right"/>
      <w:pPr>
        <w:ind w:left="360" w:hanging="360"/>
      </w:p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2">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3">
    <w:nsid w:val="6A994604"/>
    <w:multiLevelType w:val="hybridMultilevel"/>
    <w:tmpl w:val="AD229F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3B8387B"/>
    <w:multiLevelType w:val="hybridMultilevel"/>
    <w:tmpl w:val="73E6A5A2"/>
    <w:lvl w:ilvl="0" w:tplc="E1147942">
      <w:start w:val="1"/>
      <w:numFmt w:val="upperRoman"/>
      <w:pStyle w:val="kop2"/>
      <w:lvlText w:val="%1."/>
      <w:lvlJc w:val="righ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4FC46B4"/>
    <w:multiLevelType w:val="hybridMultilevel"/>
    <w:tmpl w:val="691E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nsid w:val="75325674"/>
    <w:multiLevelType w:val="hybridMultilevel"/>
    <w:tmpl w:val="C370438A"/>
    <w:lvl w:ilvl="0" w:tplc="7A7A0B3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B9674C5"/>
    <w:multiLevelType w:val="multilevel"/>
    <w:tmpl w:val="C7FA39E2"/>
    <w:lvl w:ilvl="0">
      <w:start w:val="1"/>
      <w:numFmt w:val="decimal"/>
      <w:pStyle w:val="kop3"/>
      <w:lvlText w:val="%1."/>
      <w:lvlJc w:val="left"/>
      <w:pPr>
        <w:ind w:left="360" w:hanging="360"/>
      </w:pPr>
    </w:lvl>
    <w:lvl w:ilvl="1">
      <w:start w:val="1"/>
      <w:numFmt w:val="decimal"/>
      <w:pStyle w:val="Kop4"/>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C535FA7"/>
    <w:multiLevelType w:val="hybridMultilevel"/>
    <w:tmpl w:val="BBD2E118"/>
    <w:lvl w:ilvl="0" w:tplc="7A7A0B3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20"/>
  </w:num>
  <w:num w:numId="5">
    <w:abstractNumId w:val="10"/>
  </w:num>
  <w:num w:numId="6">
    <w:abstractNumId w:val="18"/>
  </w:num>
  <w:num w:numId="7">
    <w:abstractNumId w:val="32"/>
  </w:num>
  <w:num w:numId="8">
    <w:abstractNumId w:val="34"/>
  </w:num>
  <w:num w:numId="9">
    <w:abstractNumId w:val="16"/>
  </w:num>
  <w:num w:numId="10">
    <w:abstractNumId w:val="31"/>
  </w:num>
  <w:num w:numId="11">
    <w:abstractNumId w:val="28"/>
  </w:num>
  <w:num w:numId="12">
    <w:abstractNumId w:val="21"/>
  </w:num>
  <w:num w:numId="13">
    <w:abstractNumId w:val="26"/>
  </w:num>
  <w:num w:numId="14">
    <w:abstractNumId w:val="9"/>
  </w:num>
  <w:num w:numId="15">
    <w:abstractNumId w:val="17"/>
  </w:num>
  <w:num w:numId="16">
    <w:abstractNumId w:val="7"/>
  </w:num>
  <w:num w:numId="17">
    <w:abstractNumId w:val="11"/>
  </w:num>
  <w:num w:numId="18">
    <w:abstractNumId w:val="35"/>
  </w:num>
  <w:num w:numId="19">
    <w:abstractNumId w:val="23"/>
  </w:num>
  <w:num w:numId="20">
    <w:abstractNumId w:val="3"/>
  </w:num>
  <w:num w:numId="21">
    <w:abstractNumId w:val="25"/>
  </w:num>
  <w:num w:numId="22">
    <w:abstractNumId w:val="5"/>
  </w:num>
  <w:num w:numId="23">
    <w:abstractNumId w:val="29"/>
  </w:num>
  <w:num w:numId="24">
    <w:abstractNumId w:val="36"/>
  </w:num>
  <w:num w:numId="25">
    <w:abstractNumId w:val="39"/>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19"/>
  </w:num>
  <w:num w:numId="31">
    <w:abstractNumId w:val="12"/>
  </w:num>
  <w:num w:numId="32">
    <w:abstractNumId w:val="2"/>
  </w:num>
  <w:num w:numId="33">
    <w:abstractNumId w:val="4"/>
  </w:num>
  <w:num w:numId="34">
    <w:abstractNumId w:val="14"/>
  </w:num>
  <w:num w:numId="35">
    <w:abstractNumId w:val="15"/>
  </w:num>
  <w:num w:numId="36">
    <w:abstractNumId w:val="37"/>
  </w:num>
  <w:num w:numId="37">
    <w:abstractNumId w:val="24"/>
  </w:num>
  <w:num w:numId="38">
    <w:abstractNumId w:val="30"/>
  </w:num>
  <w:num w:numId="39">
    <w:abstractNumId w:val="30"/>
    <w:lvlOverride w:ilvl="0">
      <w:startOverride w:val="1"/>
    </w:lvlOverride>
  </w:num>
  <w:num w:numId="40">
    <w:abstractNumId w:val="22"/>
  </w:num>
  <w:num w:numId="41">
    <w:abstractNumId w:val="27"/>
  </w:num>
  <w:num w:numId="42">
    <w:abstractNumId w:val="33"/>
  </w:num>
  <w:num w:numId="43">
    <w:abstractNumId w:val="6"/>
  </w:num>
  <w:num w:numId="44">
    <w:abstractNumId w:val="13"/>
  </w:num>
  <w:num w:numId="45">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6145" style="mso-position-vertical-relative:margin" fillcolor="#002395" stroke="f">
      <v:fill color="#002395"/>
      <v:stroke on="f"/>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3333D51FCEB14DBD9DEE25501203DF1E"/>
    <w:docVar w:name="LW_CROSSREFERENCE" w:val="{SWD(2017) 259 final}_x000b_{SWD(2017) 260 final}"/>
    <w:docVar w:name="LW_DocType" w:val="REP"/>
    <w:docVar w:name="LW_EMISSION" w:val="6. 7. 2017"/>
    <w:docVar w:name="LW_EMISSION_ISODATE" w:val="2017-07-06"/>
    <w:docVar w:name="LW_EMISSION_LOCATION" w:val="BRX"/>
    <w:docVar w:name="LW_EMISSION_PREFIX" w:val="V Bruseli"/>
    <w:docVar w:name="LW_EMISSION_SUFFIX" w:val=" "/>
    <w:docVar w:name="LW_ID_DOCTYPE_NONLW" w:val="CP-003"/>
    <w:docVar w:name="LW_LANGUE" w:val="SK"/>
    <w:docVar w:name="LW_MARKING" w:val="&lt;UNUSED&gt;"/>
    <w:docVar w:name="LW_NOM.INST" w:val="EURÓPSKA KOMISIA"/>
    <w:docVar w:name="LW_NOM.INST_JOINTDOC" w:val="&lt;EMPTY&gt;"/>
    <w:docVar w:name="LW_PART_NBR" w:val="1"/>
    <w:docVar w:name="LW_PART_NBR_TOTAL" w:val="1"/>
    <w:docVar w:name="LW_REF.INST.NEW" w:val="COM"/>
    <w:docVar w:name="LW_REF.INST.NEW_ADOPTED" w:val="final"/>
    <w:docVar w:name="LW_REF.INST.NEW_TEXT" w:val="(2017) 370"/>
    <w:docVar w:name="LW_REF.INTERNE" w:val="&lt;UNUSED&gt;"/>
    <w:docVar w:name="LW_SOUS.TITRE.OBJ.CP" w:val="&lt;UNUSED&gt;"/>
    <w:docVar w:name="LW_SUPERTITRE" w:val="&lt;UNUSED&gt;"/>
    <w:docVar w:name="LW_TITRE.OBJ.CP" w:val="Monitorovanie uplat\u328?ovania právnych predpisov Európskej únie_x000b_Výro\u269?ná správa za rok 2016"/>
    <w:docVar w:name="LW_TYPE.DOC.CP" w:val="SPRÁVA KOMISIE"/>
    <w:docVar w:name="Stamp" w:val="\\dossiers.dgt.cec.eu.int\dossiers\SG\SG-2016-00297\SG-2016-00297-00-00-EN-REV-00.DOCX"/>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style="mso-position-vertical-relative:margin" fillcolor="#002395" stroke="f">
      <v:fill color="#002395"/>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sk-SK"/>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qFormat="1"/>
    <w:lsdException w:name="annotation text" w:uiPriority="99"/>
    <w:lsdException w:name="header" w:uiPriority="99"/>
    <w:lsdException w:name="footer" w:uiPriority="99"/>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69"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pPr>
      <w:spacing w:after="240"/>
      <w:jc w:val="both"/>
    </w:pPr>
    <w:rPr>
      <w:sz w:val="24"/>
    </w:rPr>
  </w:style>
  <w:style w:type="paragraph" w:styleId="Heading1">
    <w:name w:val="heading 1"/>
    <w:basedOn w:val="Normal"/>
    <w:next w:val="Text1"/>
    <w:pPr>
      <w:keepNext/>
      <w:numPr>
        <w:numId w:val="3"/>
      </w:numPr>
      <w:spacing w:before="240"/>
      <w:outlineLvl w:val="0"/>
    </w:pPr>
    <w:rPr>
      <w:b/>
      <w:smallCaps/>
    </w:rPr>
  </w:style>
  <w:style w:type="paragraph" w:styleId="Heading2">
    <w:name w:val="heading 2"/>
    <w:basedOn w:val="Normal"/>
    <w:next w:val="Text2"/>
    <w:pPr>
      <w:keepNext/>
      <w:numPr>
        <w:ilvl w:val="1"/>
        <w:numId w:val="3"/>
      </w:numPr>
      <w:outlineLvl w:val="1"/>
    </w:pPr>
    <w:rPr>
      <w:b/>
    </w:rPr>
  </w:style>
  <w:style w:type="paragraph" w:styleId="Heading3">
    <w:name w:val="heading 3"/>
    <w:basedOn w:val="Normal"/>
    <w:next w:val="Text3"/>
    <w:pPr>
      <w:keepNext/>
      <w:numPr>
        <w:ilvl w:val="2"/>
        <w:numId w:val="3"/>
      </w:numPr>
      <w:outlineLvl w:val="2"/>
    </w:pPr>
    <w:rPr>
      <w:i/>
    </w:rPr>
  </w:style>
  <w:style w:type="paragraph" w:styleId="Heading4">
    <w:name w:val="heading 4"/>
    <w:basedOn w:val="Normal"/>
    <w:next w:val="Text4"/>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ußnote,Fotnotstext1,fn,Footnote Text Char2 Char,Footnote Text Char Char Char1,Footnote Text Char1 Char Char Char,Footnote Text Char2 Char Char Char Char,Footnote Text Char1 Char1 Char Char Char Char,footnote te,Voetnootteks,f,Ch"/>
    <w:basedOn w:val="Normal"/>
    <w:uiPriority w:val="99"/>
    <w:qFormat/>
    <w:pPr>
      <w:spacing w:after="0"/>
      <w:ind w:left="357" w:hanging="357"/>
    </w:pPr>
    <w:rPr>
      <w:rFonts w:ascii="Arial" w:hAnsi="Arial" w:cs="Arial"/>
      <w:sz w:val="18"/>
      <w:szCs w:val="18"/>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spacing w:before="240" w:after="120"/>
      <w:jc w:val="left"/>
    </w:pPr>
    <w:rPr>
      <w:rFonts w:asciiTheme="minorHAnsi" w:hAnsiTheme="minorHAnsi"/>
      <w:b/>
      <w:bCs/>
      <w:sz w:val="20"/>
    </w:rPr>
  </w:style>
  <w:style w:type="paragraph" w:styleId="TOC2">
    <w:name w:val="toc 2"/>
    <w:basedOn w:val="Normal"/>
    <w:next w:val="Normal"/>
    <w:uiPriority w:val="39"/>
    <w:pPr>
      <w:spacing w:before="120" w:after="0"/>
      <w:ind w:left="240"/>
      <w:jc w:val="left"/>
    </w:pPr>
    <w:rPr>
      <w:rFonts w:asciiTheme="minorHAnsi" w:hAnsiTheme="minorHAnsi"/>
      <w:i/>
      <w:iCs/>
      <w:sz w:val="20"/>
    </w:rPr>
  </w:style>
  <w:style w:type="paragraph" w:styleId="TOC3">
    <w:name w:val="toc 3"/>
    <w:basedOn w:val="Normal"/>
    <w:next w:val="Normal"/>
    <w:uiPriority w:val="39"/>
    <w:pPr>
      <w:spacing w:after="0"/>
      <w:ind w:left="480"/>
      <w:jc w:val="left"/>
    </w:pPr>
    <w:rPr>
      <w:rFonts w:asciiTheme="minorHAnsi" w:hAnsiTheme="minorHAnsi"/>
      <w:sz w:val="20"/>
    </w:rPr>
  </w:style>
  <w:style w:type="paragraph" w:styleId="TOC4">
    <w:name w:val="toc 4"/>
    <w:basedOn w:val="Normal"/>
    <w:next w:val="Normal"/>
    <w:semiHidden/>
    <w:pPr>
      <w:spacing w:after="0"/>
      <w:ind w:left="720"/>
      <w:jc w:val="left"/>
    </w:pPr>
    <w:rPr>
      <w:rFonts w:asciiTheme="minorHAnsi" w:hAnsiTheme="minorHAnsi"/>
      <w:sz w:val="20"/>
    </w:rPr>
  </w:style>
  <w:style w:type="paragraph" w:styleId="TOC5">
    <w:name w:val="toc 5"/>
    <w:basedOn w:val="Normal"/>
    <w:next w:val="Normal"/>
    <w:semiHidden/>
    <w:pPr>
      <w:spacing w:after="0"/>
      <w:ind w:left="960"/>
      <w:jc w:val="left"/>
    </w:pPr>
    <w:rPr>
      <w:rFonts w:asciiTheme="minorHAnsi" w:hAnsiTheme="minorHAnsi"/>
      <w:sz w:val="20"/>
    </w:rPr>
  </w:style>
  <w:style w:type="paragraph" w:styleId="TOC6">
    <w:name w:val="toc 6"/>
    <w:basedOn w:val="Normal"/>
    <w:next w:val="Normal"/>
    <w:autoRedefine/>
    <w:semiHidden/>
    <w:pPr>
      <w:spacing w:after="0"/>
      <w:ind w:left="1200"/>
      <w:jc w:val="left"/>
    </w:pPr>
    <w:rPr>
      <w:rFonts w:asciiTheme="minorHAnsi" w:hAnsiTheme="minorHAnsi"/>
      <w:sz w:val="20"/>
    </w:rPr>
  </w:style>
  <w:style w:type="paragraph" w:styleId="TOC7">
    <w:name w:val="toc 7"/>
    <w:basedOn w:val="Normal"/>
    <w:next w:val="Normal"/>
    <w:autoRedefine/>
    <w:semiHidden/>
    <w:pPr>
      <w:spacing w:after="0"/>
      <w:ind w:left="1440"/>
      <w:jc w:val="left"/>
    </w:pPr>
    <w:rPr>
      <w:rFonts w:asciiTheme="minorHAnsi" w:hAnsiTheme="minorHAnsi"/>
      <w:sz w:val="20"/>
    </w:rPr>
  </w:style>
  <w:style w:type="paragraph" w:styleId="TOC8">
    <w:name w:val="toc 8"/>
    <w:basedOn w:val="Normal"/>
    <w:next w:val="Normal"/>
    <w:autoRedefine/>
    <w:semiHidden/>
    <w:pPr>
      <w:spacing w:after="0"/>
      <w:ind w:left="1680"/>
      <w:jc w:val="left"/>
    </w:pPr>
    <w:rPr>
      <w:rFonts w:asciiTheme="minorHAnsi" w:hAnsiTheme="minorHAnsi"/>
      <w:sz w:val="20"/>
    </w:rPr>
  </w:style>
  <w:style w:type="paragraph" w:styleId="TOC9">
    <w:name w:val="toc 9"/>
    <w:basedOn w:val="Normal"/>
    <w:next w:val="Normal"/>
    <w:autoRedefine/>
    <w:semiHidden/>
    <w:pPr>
      <w:spacing w:after="0"/>
      <w:ind w:left="1920"/>
      <w:jc w:val="left"/>
    </w:pPr>
    <w:rPr>
      <w:rFonts w:asciiTheme="minorHAnsi" w:hAnsiTheme="minorHAnsi"/>
      <w:sz w:val="20"/>
    </w:r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customStyle="1" w:styleId="TOCHeading1">
    <w:name w:val="TOC Heading1"/>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pPr>
      <w:widowControl w:val="0"/>
      <w:autoSpaceDE w:val="0"/>
      <w:autoSpaceDN w:val="0"/>
      <w:spacing w:after="0"/>
      <w:ind w:right="85"/>
    </w:pPr>
    <w:rPr>
      <w:rFonts w:ascii="Arial" w:hAnsi="Arial" w:cs="Arial"/>
      <w:szCs w:val="24"/>
    </w:rPr>
  </w:style>
  <w:style w:type="paragraph" w:customStyle="1" w:styleId="ZDGName">
    <w:name w:val="Z_DGName"/>
    <w:basedOn w:val="Normal"/>
    <w:pPr>
      <w:widowControl w:val="0"/>
      <w:autoSpaceDE w:val="0"/>
      <w:autoSpaceDN w:val="0"/>
      <w:spacing w:after="0"/>
      <w:ind w:right="85"/>
      <w:jc w:val="left"/>
    </w:pPr>
    <w:rPr>
      <w:rFonts w:ascii="Arial" w:hAnsi="Arial" w:cs="Arial"/>
      <w:sz w:val="16"/>
      <w:szCs w:val="16"/>
    </w:rPr>
  </w:style>
  <w:style w:type="character" w:styleId="Hyperlink">
    <w:name w:val="Hyperlink"/>
    <w:uiPriority w:val="99"/>
    <w:rPr>
      <w:color w:val="0000FF"/>
      <w:u w:val="single"/>
    </w:rPr>
  </w:style>
  <w:style w:type="character" w:styleId="FootnoteReference">
    <w:name w:val="footnote reference"/>
    <w:aliases w:val="BVI fnr,SUPERS,Footnote symbol,(Footnote Reference),Footnote,Voetnootverwijzing,Times 10 Point,Exposant 3 Point,Footnote reference number,note TESI,Odwołanie przypisu, BVI fnr,Appel note de bas de p,Nota,16 Point,Superscript 6 Point"/>
    <w:uiPriority w:val="99"/>
    <w:qFormat/>
    <w:rPr>
      <w:vertAlign w:val="superscript"/>
    </w:rPr>
  </w:style>
  <w:style w:type="table" w:styleId="ColorfulGrid-Accent3">
    <w:name w:val="Colorful Grid Accent 3"/>
    <w:basedOn w:val="TableNormal"/>
    <w:uiPriority w:val="69"/>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Tms Rmn" w:hAnsi="Tms Rmn"/>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semiHidden/>
    <w:rPr>
      <w:rFonts w:ascii="Tahoma" w:hAnsi="Tahoma" w:cs="Tahoma"/>
      <w:sz w:val="16"/>
      <w:szCs w:val="16"/>
    </w:rPr>
  </w:style>
  <w:style w:type="paragraph" w:customStyle="1" w:styleId="DocumentTitle">
    <w:name w:val="Document Title"/>
    <w:basedOn w:val="Normal"/>
    <w:link w:val="DocumentTitleChar"/>
    <w:pPr>
      <w:jc w:val="center"/>
    </w:pPr>
    <w:rPr>
      <w:rFonts w:ascii="Verdana" w:hAnsi="Verdana"/>
      <w:b/>
      <w:sz w:val="52"/>
    </w:rPr>
  </w:style>
  <w:style w:type="paragraph" w:customStyle="1" w:styleId="Footerapproval">
    <w:name w:val="Footer approval"/>
    <w:basedOn w:val="Footer"/>
    <w:link w:val="ApprovalfooterChar"/>
    <w:pPr>
      <w:tabs>
        <w:tab w:val="left" w:pos="6804"/>
      </w:tabs>
    </w:pPr>
    <w:rPr>
      <w:rFonts w:ascii="Verdana" w:hAnsi="Verdana"/>
      <w:sz w:val="13"/>
    </w:rPr>
  </w:style>
  <w:style w:type="character" w:customStyle="1" w:styleId="DocumentTitleChar">
    <w:name w:val="Document Title Char"/>
    <w:link w:val="DocumentTitle"/>
    <w:rPr>
      <w:rFonts w:ascii="Verdana" w:hAnsi="Verdana"/>
      <w:b/>
      <w:sz w:val="52"/>
      <w:lang w:val="sk-SK" w:eastAsia="sk-SK"/>
    </w:rPr>
  </w:style>
  <w:style w:type="paragraph" w:customStyle="1" w:styleId="FooterDate">
    <w:name w:val="Footer Date"/>
    <w:basedOn w:val="Footer"/>
    <w:link w:val="FooterDateChar"/>
    <w:pPr>
      <w:tabs>
        <w:tab w:val="right" w:pos="9240"/>
      </w:tabs>
    </w:pPr>
    <w:rPr>
      <w:rFonts w:ascii="Verdana" w:hAnsi="Verdana"/>
    </w:rPr>
  </w:style>
  <w:style w:type="character" w:customStyle="1" w:styleId="FooterChar">
    <w:name w:val="Footer Char"/>
    <w:link w:val="Footer"/>
    <w:uiPriority w:val="99"/>
    <w:rPr>
      <w:rFonts w:ascii="Arial" w:hAnsi="Arial"/>
      <w:sz w:val="16"/>
      <w:lang w:val="sk-SK"/>
    </w:rPr>
  </w:style>
  <w:style w:type="character" w:customStyle="1" w:styleId="ApprovalfooterChar">
    <w:name w:val="Approval_footer Char"/>
    <w:link w:val="Footerapproval"/>
    <w:rPr>
      <w:rFonts w:ascii="Arial" w:hAnsi="Arial"/>
      <w:sz w:val="16"/>
      <w:lang w:val="sk-SK"/>
    </w:rPr>
  </w:style>
  <w:style w:type="paragraph" w:customStyle="1" w:styleId="PageNumber1">
    <w:name w:val="Page Number1"/>
    <w:basedOn w:val="Footer"/>
    <w:link w:val="PagenumberChar"/>
    <w:pPr>
      <w:tabs>
        <w:tab w:val="right" w:pos="9240"/>
      </w:tabs>
      <w:ind w:right="-622"/>
    </w:pPr>
    <w:rPr>
      <w:rFonts w:ascii="Verdana" w:hAnsi="Verdana"/>
    </w:rPr>
  </w:style>
  <w:style w:type="character" w:customStyle="1" w:styleId="FooterDateChar">
    <w:name w:val="Footer Date Char"/>
    <w:link w:val="FooterDate"/>
    <w:rPr>
      <w:rFonts w:ascii="Verdana" w:hAnsi="Verdana"/>
      <w:sz w:val="16"/>
      <w:lang w:val="sk-SK"/>
    </w:rPr>
  </w:style>
  <w:style w:type="character" w:customStyle="1" w:styleId="HeaderChar">
    <w:name w:val="Header Char"/>
    <w:link w:val="Header"/>
    <w:uiPriority w:val="99"/>
    <w:rPr>
      <w:sz w:val="24"/>
      <w:lang w:val="sk-SK"/>
    </w:rPr>
  </w:style>
  <w:style w:type="character" w:customStyle="1" w:styleId="PagenumberChar">
    <w:name w:val="Page number Char"/>
    <w:link w:val="PageNumber1"/>
    <w:rPr>
      <w:rFonts w:ascii="Verdana" w:hAnsi="Verdana"/>
      <w:sz w:val="16"/>
      <w:lang w:val="sk-SK"/>
    </w:rPr>
  </w:style>
  <w:style w:type="paragraph" w:customStyle="1" w:styleId="DocumentSubtitle">
    <w:name w:val="Document Subtitle"/>
    <w:basedOn w:val="DocumentTitle"/>
    <w:link w:val="DocumentSubtitleChar"/>
    <w:rPr>
      <w:b w:val="0"/>
      <w:sz w:val="32"/>
      <w:szCs w:val="36"/>
    </w:rPr>
  </w:style>
  <w:style w:type="paragraph" w:customStyle="1" w:styleId="HeaderTitle">
    <w:name w:val="Header Title"/>
    <w:basedOn w:val="Normal"/>
    <w:link w:val="HeaderTitleChar"/>
    <w:pPr>
      <w:jc w:val="center"/>
    </w:pPr>
    <w:rPr>
      <w:rFonts w:ascii="Verdana" w:hAnsi="Verdana"/>
      <w:b/>
      <w:color w:val="808080"/>
      <w:sz w:val="18"/>
      <w:szCs w:val="18"/>
    </w:rPr>
  </w:style>
  <w:style w:type="character" w:customStyle="1" w:styleId="DocumentSubtitleChar">
    <w:name w:val="Document Subtitle Char"/>
    <w:link w:val="DocumentSubtitle"/>
    <w:rPr>
      <w:rFonts w:ascii="Verdana" w:hAnsi="Verdana"/>
      <w:sz w:val="32"/>
      <w:szCs w:val="36"/>
      <w:lang w:val="sk-SK" w:eastAsia="sk-SK"/>
    </w:rPr>
  </w:style>
  <w:style w:type="paragraph" w:customStyle="1" w:styleId="Bulletpoint1">
    <w:name w:val="Bullet point1"/>
    <w:basedOn w:val="NormalIndent"/>
    <w:link w:val="Bulletpoint1Char"/>
    <w:pPr>
      <w:numPr>
        <w:numId w:val="20"/>
      </w:numPr>
      <w:spacing w:after="120"/>
      <w:jc w:val="left"/>
    </w:pPr>
    <w:rPr>
      <w:rFonts w:ascii="Verdana" w:hAnsi="Verdana"/>
      <w:sz w:val="18"/>
    </w:rPr>
  </w:style>
  <w:style w:type="character" w:customStyle="1" w:styleId="HeaderTitleChar">
    <w:name w:val="Header Title Char"/>
    <w:link w:val="HeaderTitle"/>
    <w:rPr>
      <w:rFonts w:ascii="Verdana" w:hAnsi="Verdana"/>
      <w:b/>
      <w:color w:val="808080"/>
      <w:sz w:val="18"/>
      <w:szCs w:val="18"/>
      <w:lang w:val="sk-SK"/>
    </w:rPr>
  </w:style>
  <w:style w:type="paragraph" w:customStyle="1" w:styleId="Heading">
    <w:name w:val="Heading"/>
    <w:basedOn w:val="TOC1"/>
    <w:link w:val="HeadingChar"/>
    <w:pPr>
      <w:widowControl w:val="0"/>
      <w:autoSpaceDE w:val="0"/>
      <w:autoSpaceDN w:val="0"/>
      <w:adjustRightInd w:val="0"/>
      <w:spacing w:after="0"/>
    </w:pPr>
    <w:rPr>
      <w:b w:val="0"/>
      <w:u w:val="single"/>
    </w:rPr>
  </w:style>
  <w:style w:type="character" w:customStyle="1" w:styleId="NormalIndentChar">
    <w:name w:val="Normal Indent Char"/>
    <w:link w:val="NormalIndent"/>
    <w:rPr>
      <w:sz w:val="24"/>
      <w:lang w:val="sk-SK"/>
    </w:rPr>
  </w:style>
  <w:style w:type="character" w:customStyle="1" w:styleId="Bulletpoint1Char">
    <w:name w:val="Bullet point1 Char"/>
    <w:link w:val="Bulletpoint1"/>
    <w:rPr>
      <w:rFonts w:ascii="Verdana" w:hAnsi="Verdana"/>
      <w:sz w:val="18"/>
      <w:lang w:eastAsia="sk-SK"/>
    </w:rPr>
  </w:style>
  <w:style w:type="paragraph" w:customStyle="1" w:styleId="BulletPoint2">
    <w:name w:val="Bullet Point 2"/>
    <w:basedOn w:val="NormalIndent"/>
    <w:link w:val="BulletPoint2Char"/>
    <w:pPr>
      <w:numPr>
        <w:numId w:val="19"/>
      </w:numPr>
      <w:spacing w:after="120"/>
      <w:ind w:left="1077" w:hanging="357"/>
      <w:jc w:val="left"/>
    </w:pPr>
    <w:rPr>
      <w:rFonts w:ascii="Verdana" w:hAnsi="Verdana"/>
      <w:sz w:val="18"/>
    </w:rPr>
  </w:style>
  <w:style w:type="character" w:customStyle="1" w:styleId="HeadingChar">
    <w:name w:val="Heading Char"/>
    <w:link w:val="Heading"/>
    <w:rPr>
      <w:rFonts w:ascii="Verdana" w:hAnsi="Verdana"/>
      <w:b/>
      <w:caps/>
      <w:u w:val="single"/>
      <w:lang w:val="sk-SK"/>
    </w:rPr>
  </w:style>
  <w:style w:type="paragraph" w:customStyle="1" w:styleId="Body">
    <w:name w:val="Body"/>
    <w:basedOn w:val="Normal"/>
    <w:link w:val="BodyChar"/>
    <w:qFormat/>
    <w:pPr>
      <w:ind w:left="357"/>
    </w:pPr>
    <w:rPr>
      <w:rFonts w:ascii="Arial" w:hAnsi="Arial" w:cs="Arial"/>
      <w:sz w:val="20"/>
    </w:rPr>
  </w:style>
  <w:style w:type="character" w:customStyle="1" w:styleId="BulletPoint2Char">
    <w:name w:val="Bullet Point 2 Char"/>
    <w:link w:val="BulletPoint2"/>
    <w:rPr>
      <w:rFonts w:ascii="Verdana" w:hAnsi="Verdana"/>
      <w:sz w:val="18"/>
      <w:lang w:eastAsia="sk-SK"/>
    </w:rPr>
  </w:style>
  <w:style w:type="paragraph" w:customStyle="1" w:styleId="Heading20">
    <w:name w:val="Heading2"/>
    <w:basedOn w:val="Title2"/>
    <w:link w:val="Heading2Char"/>
    <w:pPr>
      <w:numPr>
        <w:numId w:val="0"/>
      </w:numPr>
    </w:pPr>
    <w:rPr>
      <w:rFonts w:ascii="Verdana" w:hAnsi="Verdana"/>
      <w:b/>
      <w:i/>
    </w:rPr>
  </w:style>
  <w:style w:type="character" w:customStyle="1" w:styleId="BodyChar">
    <w:name w:val="Body Char"/>
    <w:link w:val="Body"/>
    <w:rPr>
      <w:rFonts w:ascii="Arial" w:hAnsi="Arial" w:cs="Arial"/>
      <w:lang w:eastAsia="sk-SK"/>
    </w:rPr>
  </w:style>
  <w:style w:type="table" w:styleId="TableGrid">
    <w:name w:val="Table Grid"/>
    <w:aliases w:val="Document Table"/>
    <w:basedOn w:val="TableNormal"/>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rPr>
        <w:color w:val="FFFFFF"/>
      </w:rPr>
      <w:tblPr/>
      <w:tcPr>
        <w:shd w:val="clear" w:color="auto" w:fill="00AEF0"/>
      </w:tcPr>
    </w:tblStylePr>
  </w:style>
  <w:style w:type="character" w:customStyle="1" w:styleId="Heading2Char">
    <w:name w:val="Heading2 Char"/>
    <w:link w:val="Heading20"/>
    <w:rPr>
      <w:rFonts w:ascii="Verdana" w:hAnsi="Verdana"/>
      <w:b/>
      <w:i/>
      <w:sz w:val="24"/>
      <w:lang w:val="sk-SK" w:eastAsia="sk-SK"/>
    </w:rPr>
  </w:style>
  <w:style w:type="table" w:customStyle="1" w:styleId="Style1">
    <w:name w:val="Style1"/>
    <w:basedOn w:val="TableNormal"/>
    <w:tblPr>
      <w:tblInd w:w="0" w:type="dxa"/>
      <w:tblCellMar>
        <w:top w:w="0" w:type="dxa"/>
        <w:left w:w="108" w:type="dxa"/>
        <w:bottom w:w="0" w:type="dxa"/>
        <w:right w:w="108" w:type="dxa"/>
      </w:tblCellMar>
    </w:tblPr>
  </w:style>
  <w:style w:type="table" w:styleId="TableElegant">
    <w:name w:val="Table Elegant"/>
    <w:basedOn w:val="TableNormal"/>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oterDocument">
    <w:name w:val="Footer Document"/>
    <w:basedOn w:val="Body"/>
    <w:link w:val="FooterDocumentChar"/>
    <w:pPr>
      <w:spacing w:after="0"/>
    </w:pPr>
    <w:rPr>
      <w:i/>
      <w:noProof/>
      <w:sz w:val="13"/>
    </w:rPr>
  </w:style>
  <w:style w:type="character" w:customStyle="1" w:styleId="FooterDocumentChar">
    <w:name w:val="Footer Document Char"/>
    <w:link w:val="FooterDocument"/>
    <w:rPr>
      <w:rFonts w:ascii="Verdana" w:hAnsi="Verdana"/>
      <w:i/>
      <w:noProof/>
      <w:sz w:val="13"/>
      <w:lang w:val="sk-SK" w:eastAsia="sk-SK"/>
    </w:rPr>
  </w:style>
  <w:style w:type="paragraph" w:styleId="TOCHeading">
    <w:name w:val="TOC Heading"/>
    <w:basedOn w:val="Heading1"/>
    <w:next w:val="Normal"/>
    <w:uiPriority w:val="39"/>
    <w:unhideWhenUsed/>
    <w:qFormat/>
    <w:pPr>
      <w:keepLines/>
      <w:numPr>
        <w:numId w:val="0"/>
      </w:numPr>
      <w:spacing w:before="480" w:after="0" w:line="276" w:lineRule="auto"/>
      <w:jc w:val="left"/>
      <w:outlineLvl w:val="9"/>
    </w:pPr>
    <w:rPr>
      <w:rFonts w:ascii="Cambria" w:eastAsia="MS Gothic" w:hAnsi="Cambria"/>
      <w:bCs/>
      <w:smallCaps w:val="0"/>
      <w:color w:val="435186"/>
      <w:sz w:val="28"/>
      <w:szCs w:val="28"/>
    </w:rPr>
  </w:style>
  <w:style w:type="paragraph" w:customStyle="1" w:styleId="Title2">
    <w:name w:val="Title 2"/>
    <w:basedOn w:val="Normal"/>
    <w:pPr>
      <w:numPr>
        <w:numId w:val="21"/>
      </w:numPr>
    </w:pPr>
  </w:style>
  <w:style w:type="paragraph" w:customStyle="1" w:styleId="Subtitle0">
    <w:name w:val="Subtitle_"/>
    <w:basedOn w:val="TOC2"/>
    <w:link w:val="SubtitleChar"/>
    <w:pPr>
      <w:ind w:left="0"/>
    </w:pPr>
    <w:rPr>
      <w:b/>
      <w:i w:val="0"/>
    </w:rPr>
  </w:style>
  <w:style w:type="character" w:customStyle="1" w:styleId="SubtitleChar">
    <w:name w:val="Subtitle_ Char"/>
    <w:link w:val="Subtitle0"/>
    <w:rPr>
      <w:rFonts w:ascii="Verdana" w:hAnsi="Verdana"/>
      <w:b/>
      <w:i/>
      <w:sz w:val="24"/>
      <w:lang w:val="sk-SK" w:eastAsia="sk-SK"/>
    </w:rPr>
  </w:style>
  <w:style w:type="paragraph" w:customStyle="1" w:styleId="HeadingBody">
    <w:name w:val="Heading Body"/>
    <w:basedOn w:val="Normal"/>
    <w:link w:val="HeadingBodyChar"/>
    <w:pPr>
      <w:spacing w:after="120"/>
    </w:pPr>
    <w:rPr>
      <w:rFonts w:ascii="Verdana" w:hAnsi="Verdana"/>
      <w:b/>
      <w:sz w:val="20"/>
      <w:szCs w:val="18"/>
    </w:rPr>
  </w:style>
  <w:style w:type="paragraph" w:customStyle="1" w:styleId="Titlepublication">
    <w:name w:val="Title publication"/>
    <w:basedOn w:val="Normal"/>
    <w:link w:val="TitlepublicationChar"/>
    <w:pPr>
      <w:jc w:val="center"/>
    </w:pPr>
    <w:rPr>
      <w:rFonts w:ascii="Verdana" w:hAnsi="Verdana"/>
      <w:b/>
      <w:color w:val="FF0000"/>
      <w:sz w:val="52"/>
      <w:szCs w:val="52"/>
    </w:rPr>
  </w:style>
  <w:style w:type="character" w:customStyle="1" w:styleId="HeadingBodyChar">
    <w:name w:val="Heading Body Char"/>
    <w:link w:val="HeadingBody"/>
    <w:rPr>
      <w:rFonts w:ascii="Verdana" w:hAnsi="Verdana"/>
      <w:b/>
      <w:szCs w:val="18"/>
      <w:lang w:val="sk-SK" w:eastAsia="sk-SK"/>
    </w:rPr>
  </w:style>
  <w:style w:type="paragraph" w:customStyle="1" w:styleId="Subtitlepublication">
    <w:name w:val="Subtitle publication"/>
    <w:basedOn w:val="Normal"/>
    <w:link w:val="SubtitlepublicationChar"/>
    <w:pPr>
      <w:jc w:val="center"/>
    </w:pPr>
    <w:rPr>
      <w:rFonts w:ascii="Verdana" w:hAnsi="Verdana"/>
      <w:b/>
      <w:i/>
      <w:color w:val="FF0000"/>
      <w:sz w:val="32"/>
    </w:rPr>
  </w:style>
  <w:style w:type="character" w:customStyle="1" w:styleId="TitlepublicationChar">
    <w:name w:val="Title publication Char"/>
    <w:link w:val="Titlepublication"/>
    <w:rPr>
      <w:rFonts w:ascii="Verdana" w:hAnsi="Verdana"/>
      <w:b/>
      <w:color w:val="FF0000"/>
      <w:sz w:val="52"/>
      <w:szCs w:val="52"/>
      <w:lang w:val="sk-SK" w:eastAsia="sk-SK"/>
    </w:rPr>
  </w:style>
  <w:style w:type="paragraph" w:customStyle="1" w:styleId="Editorname">
    <w:name w:val="Editor name"/>
    <w:basedOn w:val="Normal"/>
    <w:link w:val="EditornameChar"/>
    <w:pPr>
      <w:jc w:val="center"/>
    </w:pPr>
    <w:rPr>
      <w:rFonts w:ascii="Verdana" w:hAnsi="Verdana"/>
      <w:color w:val="FF0000"/>
    </w:rPr>
  </w:style>
  <w:style w:type="character" w:customStyle="1" w:styleId="SubtitlepublicationChar">
    <w:name w:val="Subtitle publication Char"/>
    <w:link w:val="Subtitlepublication"/>
    <w:rPr>
      <w:rFonts w:ascii="Verdana" w:hAnsi="Verdana"/>
      <w:b/>
      <w:i/>
      <w:color w:val="FF0000"/>
      <w:sz w:val="32"/>
      <w:lang w:val="sk-SK" w:eastAsia="sk-SK"/>
    </w:rPr>
  </w:style>
  <w:style w:type="paragraph" w:customStyle="1" w:styleId="Backcoversummary">
    <w:name w:val="Backcover_summary"/>
    <w:basedOn w:val="Normal"/>
    <w:link w:val="BackcoversummaryChar"/>
    <w:rPr>
      <w:rFonts w:ascii="Verdana" w:hAnsi="Verdana"/>
      <w:color w:val="FF0000"/>
    </w:rPr>
  </w:style>
  <w:style w:type="character" w:customStyle="1" w:styleId="EditornameChar">
    <w:name w:val="Editor name Char"/>
    <w:link w:val="Editorname"/>
    <w:rPr>
      <w:rFonts w:ascii="Verdana" w:hAnsi="Verdana"/>
      <w:color w:val="FF0000"/>
      <w:sz w:val="24"/>
      <w:lang w:val="sk-SK" w:eastAsia="sk-SK"/>
    </w:rPr>
  </w:style>
  <w:style w:type="paragraph" w:customStyle="1" w:styleId="Backcovercategory">
    <w:name w:val="Backcover_category"/>
    <w:basedOn w:val="Normal"/>
    <w:link w:val="BackcovercategoryChar"/>
    <w:pPr>
      <w:ind w:right="28"/>
    </w:pPr>
    <w:rPr>
      <w:rFonts w:ascii="Verdana" w:hAnsi="Verdana"/>
      <w:i/>
      <w:color w:val="FF0000"/>
      <w:sz w:val="18"/>
    </w:rPr>
  </w:style>
  <w:style w:type="character" w:customStyle="1" w:styleId="BackcoversummaryChar">
    <w:name w:val="Backcover_summary Char"/>
    <w:link w:val="Backcoversummary"/>
    <w:rPr>
      <w:rFonts w:ascii="Verdana" w:hAnsi="Verdana"/>
      <w:color w:val="FF0000"/>
      <w:sz w:val="24"/>
      <w:lang w:val="sk-SK" w:eastAsia="sk-SK"/>
    </w:rPr>
  </w:style>
  <w:style w:type="character" w:customStyle="1" w:styleId="BackcovercategoryChar">
    <w:name w:val="Backcover_category Char"/>
    <w:link w:val="Backcovercategory"/>
    <w:rPr>
      <w:rFonts w:ascii="Verdana" w:hAnsi="Verdana"/>
      <w:i/>
      <w:color w:val="FF0000"/>
      <w:sz w:val="18"/>
      <w:lang w:val="sk-SK" w:eastAsia="sk-SK"/>
    </w:rPr>
  </w:style>
  <w:style w:type="paragraph" w:customStyle="1" w:styleId="kop2">
    <w:name w:val="kop 2"/>
    <w:basedOn w:val="Normal"/>
    <w:next w:val="Normal"/>
    <w:link w:val="kop2Char"/>
    <w:uiPriority w:val="1"/>
    <w:unhideWhenUsed/>
    <w:qFormat/>
    <w:pPr>
      <w:keepNext/>
      <w:keepLines/>
      <w:numPr>
        <w:numId w:val="24"/>
      </w:numPr>
      <w:spacing w:after="120"/>
      <w:outlineLvl w:val="1"/>
    </w:pPr>
    <w:rPr>
      <w:rFonts w:ascii="Arial" w:eastAsia="MS Gothic" w:hAnsi="Arial" w:cs="Arial"/>
      <w:caps/>
      <w:color w:val="4F81BD"/>
      <w:kern w:val="20"/>
      <w:szCs w:val="24"/>
    </w:rPr>
  </w:style>
  <w:style w:type="paragraph" w:customStyle="1" w:styleId="kop3">
    <w:name w:val="kop 3"/>
    <w:basedOn w:val="StyleSubtitleBoldAccent1Left1"/>
    <w:next w:val="Normal"/>
    <w:link w:val="kop3Char"/>
    <w:uiPriority w:val="1"/>
    <w:unhideWhenUsed/>
    <w:qFormat/>
    <w:pPr>
      <w:numPr>
        <w:numId w:val="25"/>
      </w:numPr>
    </w:pPr>
    <w:rPr>
      <w:b w:val="0"/>
    </w:rPr>
  </w:style>
  <w:style w:type="character" w:customStyle="1" w:styleId="kop2Char">
    <w:name w:val="kop 2 Char"/>
    <w:link w:val="kop2"/>
    <w:uiPriority w:val="1"/>
    <w:rPr>
      <w:rFonts w:ascii="Arial" w:eastAsia="MS Gothic" w:hAnsi="Arial" w:cs="Arial"/>
      <w:caps/>
      <w:color w:val="4F81BD"/>
      <w:kern w:val="20"/>
      <w:sz w:val="24"/>
      <w:szCs w:val="24"/>
      <w:lang w:eastAsia="sk-SK"/>
    </w:rPr>
  </w:style>
  <w:style w:type="character" w:customStyle="1" w:styleId="kop3Char">
    <w:name w:val="kop 3 Char"/>
    <w:link w:val="kop3"/>
    <w:uiPriority w:val="1"/>
    <w:rPr>
      <w:rFonts w:ascii="Arial" w:hAnsi="Arial"/>
      <w:bCs/>
      <w:color w:val="4F81BD"/>
      <w:sz w:val="24"/>
      <w:lang w:eastAsia="sk-SK"/>
    </w:rPr>
  </w:style>
  <w:style w:type="paragraph" w:customStyle="1" w:styleId="Lijstje">
    <w:name w:val="Lijstje"/>
    <w:basedOn w:val="NoSpacing"/>
    <w:uiPriority w:val="1"/>
    <w:unhideWhenUsed/>
    <w:qFormat/>
    <w:locked/>
    <w:pPr>
      <w:numPr>
        <w:numId w:val="22"/>
      </w:numPr>
      <w:tabs>
        <w:tab w:val="num" w:pos="1485"/>
      </w:tabs>
      <w:spacing w:after="240"/>
      <w:ind w:left="1412" w:hanging="703"/>
    </w:pPr>
    <w:rPr>
      <w:rFonts w:ascii="Verdana" w:eastAsia="Calibri" w:hAnsi="Verdana"/>
      <w:kern w:val="20"/>
      <w:sz w:val="20"/>
    </w:rPr>
  </w:style>
  <w:style w:type="paragraph" w:customStyle="1" w:styleId="Lijstje3">
    <w:name w:val="Lijstje 3"/>
    <w:basedOn w:val="Lijstje2"/>
    <w:uiPriority w:val="1"/>
    <w:unhideWhenUsed/>
    <w:locked/>
    <w:pPr>
      <w:numPr>
        <w:ilvl w:val="1"/>
      </w:numPr>
      <w:tabs>
        <w:tab w:val="num" w:pos="765"/>
      </w:tabs>
      <w:ind w:left="1069" w:hanging="283"/>
    </w:pPr>
  </w:style>
  <w:style w:type="paragraph" w:customStyle="1" w:styleId="Lijstje2">
    <w:name w:val="Lijstje2"/>
    <w:basedOn w:val="ListParagraph"/>
    <w:uiPriority w:val="1"/>
    <w:unhideWhenUsed/>
    <w:locked/>
    <w:pPr>
      <w:numPr>
        <w:numId w:val="23"/>
      </w:numPr>
      <w:tabs>
        <w:tab w:val="num" w:pos="765"/>
      </w:tabs>
      <w:spacing w:after="200"/>
      <w:ind w:left="1797" w:hanging="357"/>
    </w:pPr>
    <w:rPr>
      <w:rFonts w:ascii="Verdana" w:eastAsia="Calibri" w:hAnsi="Verdana"/>
      <w:kern w:val="20"/>
      <w:sz w:val="20"/>
    </w:rPr>
  </w:style>
  <w:style w:type="paragraph" w:customStyle="1" w:styleId="Koptekstmetarcering">
    <w:name w:val="Koptekst met arcering"/>
    <w:basedOn w:val="Normal"/>
    <w:uiPriority w:val="19"/>
    <w:locked/>
    <w:pPr>
      <w:pBdr>
        <w:top w:val="single" w:sz="2" w:space="2" w:color="5F70AF"/>
        <w:left w:val="single" w:sz="2" w:space="6" w:color="5F70AF"/>
        <w:bottom w:val="single" w:sz="2" w:space="2" w:color="5F70AF"/>
        <w:right w:val="single" w:sz="2" w:space="6" w:color="5F70AF"/>
      </w:pBdr>
      <w:shd w:val="clear" w:color="auto" w:fill="5F70AF"/>
      <w:spacing w:after="0"/>
      <w:ind w:left="-360" w:right="-360"/>
    </w:pPr>
    <w:rPr>
      <w:rFonts w:ascii="Cambria" w:eastAsia="MS Gothic" w:hAnsi="Cambria"/>
      <w:caps/>
      <w:color w:val="FFFFFF"/>
      <w:kern w:val="20"/>
      <w:sz w:val="48"/>
    </w:rPr>
  </w:style>
  <w:style w:type="character" w:styleId="Strong">
    <w:name w:val="Strong"/>
    <w:aliases w:val="Gewoon,sub subtitle"/>
    <w:uiPriority w:val="22"/>
    <w:qFormat/>
    <w:rPr>
      <w:rFonts w:ascii="Arial" w:hAnsi="Arial" w:cs="Arial"/>
      <w:i/>
      <w:color w:val="95B3D7"/>
    </w:rPr>
  </w:style>
  <w:style w:type="paragraph" w:styleId="NoSpacing">
    <w:name w:val="No Spacing"/>
    <w:uiPriority w:val="1"/>
    <w:pPr>
      <w:jc w:val="both"/>
    </w:pPr>
    <w:rPr>
      <w:sz w:val="24"/>
    </w:rPr>
  </w:style>
  <w:style w:type="paragraph" w:styleId="ListParagraph">
    <w:name w:val="List Paragraph"/>
    <w:basedOn w:val="Normal"/>
    <w:uiPriority w:val="34"/>
    <w:qFormat/>
    <w:pPr>
      <w:ind w:left="720"/>
      <w:contextualSpacing/>
    </w:pPr>
  </w:style>
  <w:style w:type="paragraph" w:customStyle="1" w:styleId="kop1">
    <w:name w:val="kop 1"/>
    <w:basedOn w:val="Normal"/>
    <w:next w:val="Normal"/>
    <w:link w:val="Tekensvoorkop1"/>
    <w:uiPriority w:val="1"/>
    <w:locked/>
    <w:pPr>
      <w:pageBreakBefore/>
      <w:spacing w:after="360"/>
      <w:ind w:left="-360" w:right="-360"/>
      <w:outlineLvl w:val="0"/>
    </w:pPr>
    <w:rPr>
      <w:rFonts w:ascii="Calibri" w:eastAsia="Calibri" w:hAnsi="Calibri"/>
      <w:kern w:val="20"/>
      <w:sz w:val="36"/>
    </w:rPr>
  </w:style>
  <w:style w:type="paragraph" w:customStyle="1" w:styleId="Geenregelafstand">
    <w:name w:val="Geen regelafstand"/>
    <w:link w:val="Tekensvoorgeenregelafstand"/>
    <w:uiPriority w:val="1"/>
    <w:locked/>
    <w:pPr>
      <w:spacing w:before="40"/>
    </w:pPr>
    <w:rPr>
      <w:rFonts w:ascii="Calibri" w:eastAsia="Calibri" w:hAnsi="Calibri"/>
      <w:color w:val="595959"/>
    </w:rPr>
  </w:style>
  <w:style w:type="character" w:customStyle="1" w:styleId="Tekensvoorkop1">
    <w:name w:val="Tekens voor kop 1"/>
    <w:link w:val="kop1"/>
    <w:uiPriority w:val="1"/>
    <w:rPr>
      <w:rFonts w:ascii="Calibri" w:eastAsia="Calibri" w:hAnsi="Calibri" w:cs="Times New Roman"/>
      <w:kern w:val="20"/>
      <w:sz w:val="36"/>
      <w:lang w:val="sk-SK" w:eastAsia="sk-SK"/>
    </w:rPr>
  </w:style>
  <w:style w:type="character" w:customStyle="1" w:styleId="Extranadruk">
    <w:name w:val="Extra nadruk"/>
    <w:uiPriority w:val="1"/>
    <w:unhideWhenUsed/>
    <w:locked/>
    <w:rPr>
      <w:b/>
      <w:bCs/>
    </w:rPr>
  </w:style>
  <w:style w:type="character" w:customStyle="1" w:styleId="Tekensvoorgeenregelafstand">
    <w:name w:val="Tekens voor geen regelafstand"/>
    <w:link w:val="Geenregelafstand"/>
    <w:uiPriority w:val="1"/>
    <w:rPr>
      <w:rFonts w:ascii="Calibri" w:eastAsia="Calibri" w:hAnsi="Calibri" w:cs="Times New Roman"/>
      <w:color w:val="595959"/>
      <w:lang w:val="sk-SK" w:eastAsia="sk-SK"/>
    </w:rPr>
  </w:style>
  <w:style w:type="paragraph" w:customStyle="1" w:styleId="Tabeltekst">
    <w:name w:val="Tabeltekst"/>
    <w:basedOn w:val="Normal"/>
    <w:uiPriority w:val="9"/>
    <w:locked/>
    <w:pPr>
      <w:spacing w:before="60" w:after="60"/>
      <w:ind w:left="144" w:right="144"/>
    </w:pPr>
    <w:rPr>
      <w:rFonts w:ascii="Calibri" w:eastAsia="Calibri" w:hAnsi="Calibri"/>
      <w:kern w:val="20"/>
      <w:sz w:val="22"/>
    </w:rPr>
  </w:style>
  <w:style w:type="paragraph" w:customStyle="1" w:styleId="Kopvooromgekeerdetabel">
    <w:name w:val="Kop voor omgekeerde tabel"/>
    <w:basedOn w:val="Normal"/>
    <w:uiPriority w:val="9"/>
    <w:locked/>
    <w:pPr>
      <w:spacing w:after="40"/>
      <w:ind w:left="144" w:right="144"/>
    </w:pPr>
    <w:rPr>
      <w:rFonts w:ascii="Cambria" w:eastAsia="MS Gothic" w:hAnsi="Cambria"/>
      <w:caps/>
      <w:color w:val="FFFFFF"/>
      <w:kern w:val="20"/>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semiHidden/>
    <w:unhideWhenUsed/>
    <w:rPr>
      <w:b/>
      <w:bCs/>
    </w:rPr>
  </w:style>
  <w:style w:type="character" w:customStyle="1" w:styleId="CommentTextChar">
    <w:name w:val="Comment Text Char"/>
    <w:link w:val="CommentText"/>
    <w:uiPriority w:val="99"/>
    <w:semiHidden/>
    <w:rPr>
      <w:lang w:val="sk-SK" w:eastAsia="sk-SK"/>
    </w:rPr>
  </w:style>
  <w:style w:type="character" w:customStyle="1" w:styleId="CommentSubjectChar">
    <w:name w:val="Comment Subject Char"/>
    <w:link w:val="CommentSubject"/>
    <w:semiHidden/>
    <w:rPr>
      <w:b/>
      <w:bCs/>
      <w:lang w:val="sk-SK" w:eastAsia="sk-SK"/>
    </w:rPr>
  </w:style>
  <w:style w:type="character" w:customStyle="1" w:styleId="FootnoteTextChar">
    <w:name w:val="Footnote Text Char"/>
    <w:aliases w:val="Footnote Char,Fußnote Char,Fotnotstext1 Char,fn Char,Footnote Text Char2 Char Char,Footnote Text Char Char Char1 Char,Footnote Text Char1 Char Char Char Char,Footnote Text Char2 Char Char Char Char Char,footnote te Char,f Char,Ch Char"/>
    <w:uiPriority w:val="99"/>
    <w:rPr>
      <w:lang w:val="sk-SK" w:eastAsia="sk-SK"/>
    </w:rPr>
  </w:style>
  <w:style w:type="paragraph" w:styleId="Revision">
    <w:name w:val="Revision"/>
    <w:hidden/>
    <w:uiPriority w:val="99"/>
    <w:semiHidden/>
    <w:rPr>
      <w:sz w:val="24"/>
    </w:rPr>
  </w:style>
  <w:style w:type="character" w:styleId="FollowedHyperlink">
    <w:name w:val="FollowedHyperlink"/>
    <w:semiHidden/>
    <w:unhideWhenUsed/>
    <w:rPr>
      <w:color w:val="3EBBF0"/>
      <w:u w:val="single"/>
    </w:rPr>
  </w:style>
  <w:style w:type="character" w:customStyle="1" w:styleId="affairetitle">
    <w:name w:val="affaire_title"/>
    <w:basedOn w:val="DefaultParagraphFont"/>
  </w:style>
  <w:style w:type="paragraph" w:customStyle="1" w:styleId="Kop4">
    <w:name w:val="Kop 4"/>
    <w:basedOn w:val="kop3"/>
    <w:link w:val="Kop4Char"/>
    <w:qFormat/>
    <w:pPr>
      <w:numPr>
        <w:ilvl w:val="1"/>
      </w:numPr>
    </w:pPr>
    <w:rPr>
      <w:rFonts w:cs="Arial"/>
      <w:b/>
      <w:bCs w:val="0"/>
      <w:i/>
      <w:color w:val="95B3D7"/>
    </w:rPr>
  </w:style>
  <w:style w:type="paragraph" w:customStyle="1" w:styleId="Kop5">
    <w:name w:val="Kop 5"/>
    <w:basedOn w:val="Normal"/>
    <w:link w:val="Kop5Char"/>
    <w:qFormat/>
    <w:pPr>
      <w:ind w:left="709"/>
    </w:pPr>
    <w:rPr>
      <w:rFonts w:ascii="Verdana" w:hAnsi="Verdana"/>
      <w:color w:val="7BCCFF"/>
    </w:rPr>
  </w:style>
  <w:style w:type="character" w:customStyle="1" w:styleId="Kop4Char">
    <w:name w:val="Kop 4 Char"/>
    <w:link w:val="Kop4"/>
    <w:rPr>
      <w:rFonts w:ascii="Arial" w:hAnsi="Arial" w:cs="Arial"/>
      <w:b/>
      <w:i/>
      <w:color w:val="95B3D7"/>
      <w:sz w:val="24"/>
      <w:lang w:eastAsia="sk-SK"/>
    </w:rPr>
  </w:style>
  <w:style w:type="character" w:customStyle="1" w:styleId="Kop5Char">
    <w:name w:val="Kop 5 Char"/>
    <w:link w:val="Kop5"/>
    <w:rPr>
      <w:rFonts w:ascii="Verdana" w:hAnsi="Verdana"/>
      <w:color w:val="7BCCFF"/>
      <w:sz w:val="24"/>
      <w:lang w:val="sk-SK" w:eastAsia="sk-SK"/>
    </w:rPr>
  </w:style>
  <w:style w:type="paragraph" w:customStyle="1" w:styleId="MemberStateHeader">
    <w:name w:val="Member State Header"/>
    <w:basedOn w:val="Normal"/>
    <w:link w:val="MemberStateHeaderChar"/>
    <w:qFormat/>
    <w:pPr>
      <w:keepNext/>
      <w:keepLines/>
      <w:spacing w:after="0"/>
      <w:jc w:val="center"/>
      <w:outlineLvl w:val="1"/>
    </w:pPr>
    <w:rPr>
      <w:rFonts w:ascii="Verdana" w:eastAsia="MS Gothic" w:hAnsi="Verdana"/>
      <w:caps/>
      <w:color w:val="242852"/>
      <w:kern w:val="20"/>
      <w:sz w:val="28"/>
    </w:rPr>
  </w:style>
  <w:style w:type="character" w:customStyle="1" w:styleId="MemberStateHeaderChar">
    <w:name w:val="Member State Header Char"/>
    <w:link w:val="MemberStateHeader"/>
    <w:rPr>
      <w:rFonts w:ascii="Verdana" w:eastAsia="MS Gothic" w:hAnsi="Verdana" w:cs="Times New Roman"/>
      <w:caps/>
      <w:color w:val="242852"/>
      <w:kern w:val="20"/>
      <w:sz w:val="28"/>
      <w:lang w:val="sk-SK" w:eastAsia="sk-SK"/>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pPr>
    <w:rPr>
      <w:rFonts w:eastAsia="Calibr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caps/>
    </w:rPr>
  </w:style>
  <w:style w:type="character" w:customStyle="1" w:styleId="FooterCoverPageChar">
    <w:name w:val="Footer Cover Page Char"/>
    <w:link w:val="FooterCoverPage"/>
    <w:rPr>
      <w:caps/>
      <w:sz w:val="24"/>
    </w:rPr>
  </w:style>
  <w:style w:type="paragraph" w:customStyle="1" w:styleId="HeaderCoverPage">
    <w:name w:val="Header Cover Page"/>
    <w:basedOn w:val="Normal"/>
    <w:link w:val="HeaderCoverPageChar"/>
    <w:pPr>
      <w:tabs>
        <w:tab w:val="center" w:pos="4535"/>
        <w:tab w:val="right" w:pos="9071"/>
      </w:tabs>
      <w:spacing w:after="120"/>
    </w:pPr>
    <w:rPr>
      <w:caps/>
    </w:rPr>
  </w:style>
  <w:style w:type="character" w:customStyle="1" w:styleId="HeaderCoverPageChar">
    <w:name w:val="Header Cover Page Char"/>
    <w:link w:val="HeaderCoverPage"/>
    <w:rPr>
      <w:caps/>
      <w:sz w:val="24"/>
    </w:rPr>
  </w:style>
  <w:style w:type="paragraph" w:customStyle="1" w:styleId="Title1">
    <w:name w:val="Title1"/>
    <w:basedOn w:val="Normal"/>
    <w:next w:val="Normal"/>
    <w:link w:val="TITLEChar"/>
    <w:autoRedefine/>
    <w:uiPriority w:val="1"/>
    <w:unhideWhenUsed/>
    <w:pPr>
      <w:keepNext/>
      <w:keepLines/>
      <w:outlineLvl w:val="1"/>
    </w:pPr>
    <w:rPr>
      <w:rFonts w:ascii="Arial" w:eastAsia="MS Gothic" w:hAnsi="Arial" w:cs="Arial"/>
      <w:caps/>
      <w:color w:val="4F81BD"/>
      <w:kern w:val="20"/>
      <w:sz w:val="28"/>
    </w:rPr>
  </w:style>
  <w:style w:type="character" w:customStyle="1" w:styleId="TITLEChar">
    <w:name w:val="TITLE Char"/>
    <w:link w:val="Title1"/>
    <w:uiPriority w:val="1"/>
    <w:rPr>
      <w:rFonts w:ascii="Arial" w:eastAsia="MS Gothic" w:hAnsi="Arial" w:cs="Arial"/>
      <w:caps/>
      <w:color w:val="4F81BD"/>
      <w:kern w:val="20"/>
      <w:sz w:val="28"/>
      <w:lang w:eastAsia="sk-SK"/>
    </w:rPr>
  </w:style>
  <w:style w:type="paragraph" w:customStyle="1" w:styleId="Stylekop2LatinArialCustomColorRGB79129189After">
    <w:name w:val="Style kop 2 + (Latin) Arial Custom Color(RGB(79129189)) After: ..."/>
    <w:basedOn w:val="kop2"/>
    <w:rPr>
      <w:rFonts w:eastAsia="Times New Roman"/>
    </w:rPr>
  </w:style>
  <w:style w:type="paragraph" w:customStyle="1" w:styleId="Style2">
    <w:name w:val="Style2"/>
    <w:basedOn w:val="kop2"/>
    <w:link w:val="Style2Char"/>
  </w:style>
  <w:style w:type="paragraph" w:customStyle="1" w:styleId="StyleSubtitleBoldAccent1Left">
    <w:name w:val="Style Subtitle + Bold Accent 1 Left"/>
    <w:basedOn w:val="Subtitle"/>
    <w:qFormat/>
    <w:pPr>
      <w:jc w:val="left"/>
    </w:pPr>
    <w:rPr>
      <w:b/>
      <w:bCs/>
      <w:color w:val="4F81BD"/>
    </w:rPr>
  </w:style>
  <w:style w:type="character" w:customStyle="1" w:styleId="Style2Char">
    <w:name w:val="Style2 Char"/>
    <w:link w:val="Style2"/>
    <w:rPr>
      <w:rFonts w:ascii="Arial" w:eastAsia="MS Gothic" w:hAnsi="Arial" w:cs="Arial"/>
      <w:caps/>
      <w:color w:val="4F81BD"/>
      <w:kern w:val="20"/>
      <w:sz w:val="24"/>
      <w:szCs w:val="24"/>
      <w:lang w:eastAsia="sk-SK"/>
    </w:rPr>
  </w:style>
  <w:style w:type="paragraph" w:customStyle="1" w:styleId="StyleSubtitleBoldAccent1Left1">
    <w:name w:val="Style Subtitle + Bold Accent 1 Left1"/>
    <w:basedOn w:val="Subtitle"/>
    <w:qFormat/>
    <w:pPr>
      <w:jc w:val="left"/>
    </w:pPr>
    <w:rPr>
      <w:b/>
      <w:bCs/>
      <w:color w:val="4F81BD"/>
    </w:rPr>
  </w:style>
  <w:style w:type="character" w:customStyle="1" w:styleId="bluetext11">
    <w:name w:val="bluetext11"/>
    <w:basedOn w:val="DefaultParagraphFont"/>
  </w:style>
  <w:style w:type="table" w:customStyle="1" w:styleId="Style12">
    <w:name w:val="Style12"/>
    <w:basedOn w:val="TableNormal"/>
    <w:tblPr>
      <w:tblInd w:w="0" w:type="dxa"/>
      <w:tblCellMar>
        <w:top w:w="0" w:type="dxa"/>
        <w:left w:w="108" w:type="dxa"/>
        <w:bottom w:w="0" w:type="dxa"/>
        <w:right w:w="108" w:type="dxa"/>
      </w:tblCellMar>
    </w:tblPr>
  </w:style>
  <w:style w:type="paragraph" w:styleId="NormalWeb">
    <w:name w:val="Normal (Web)"/>
    <w:basedOn w:val="Normal"/>
    <w:uiPriority w:val="99"/>
    <w:unhideWhenUsed/>
    <w:pPr>
      <w:spacing w:before="100" w:beforeAutospacing="1" w:after="100" w:afterAutospacing="1"/>
      <w:jc w:val="left"/>
    </w:pPr>
    <w:rPr>
      <w:rFonts w:eastAsia="Calibr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sk-SK"/>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qFormat="1"/>
    <w:lsdException w:name="annotation text" w:uiPriority="99"/>
    <w:lsdException w:name="header" w:uiPriority="99"/>
    <w:lsdException w:name="footer" w:uiPriority="99"/>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69"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pPr>
      <w:spacing w:after="240"/>
      <w:jc w:val="both"/>
    </w:pPr>
    <w:rPr>
      <w:sz w:val="24"/>
    </w:rPr>
  </w:style>
  <w:style w:type="paragraph" w:styleId="Heading1">
    <w:name w:val="heading 1"/>
    <w:basedOn w:val="Normal"/>
    <w:next w:val="Text1"/>
    <w:pPr>
      <w:keepNext/>
      <w:numPr>
        <w:numId w:val="3"/>
      </w:numPr>
      <w:spacing w:before="240"/>
      <w:outlineLvl w:val="0"/>
    </w:pPr>
    <w:rPr>
      <w:b/>
      <w:smallCaps/>
    </w:rPr>
  </w:style>
  <w:style w:type="paragraph" w:styleId="Heading2">
    <w:name w:val="heading 2"/>
    <w:basedOn w:val="Normal"/>
    <w:next w:val="Text2"/>
    <w:pPr>
      <w:keepNext/>
      <w:numPr>
        <w:ilvl w:val="1"/>
        <w:numId w:val="3"/>
      </w:numPr>
      <w:outlineLvl w:val="1"/>
    </w:pPr>
    <w:rPr>
      <w:b/>
    </w:rPr>
  </w:style>
  <w:style w:type="paragraph" w:styleId="Heading3">
    <w:name w:val="heading 3"/>
    <w:basedOn w:val="Normal"/>
    <w:next w:val="Text3"/>
    <w:pPr>
      <w:keepNext/>
      <w:numPr>
        <w:ilvl w:val="2"/>
        <w:numId w:val="3"/>
      </w:numPr>
      <w:outlineLvl w:val="2"/>
    </w:pPr>
    <w:rPr>
      <w:i/>
    </w:rPr>
  </w:style>
  <w:style w:type="paragraph" w:styleId="Heading4">
    <w:name w:val="heading 4"/>
    <w:basedOn w:val="Normal"/>
    <w:next w:val="Text4"/>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ußnote,Fotnotstext1,fn,Footnote Text Char2 Char,Footnote Text Char Char Char1,Footnote Text Char1 Char Char Char,Footnote Text Char2 Char Char Char Char,Footnote Text Char1 Char1 Char Char Char Char,footnote te,Voetnootteks,f,Ch"/>
    <w:basedOn w:val="Normal"/>
    <w:uiPriority w:val="99"/>
    <w:qFormat/>
    <w:pPr>
      <w:spacing w:after="0"/>
      <w:ind w:left="357" w:hanging="357"/>
    </w:pPr>
    <w:rPr>
      <w:rFonts w:ascii="Arial" w:hAnsi="Arial" w:cs="Arial"/>
      <w:sz w:val="18"/>
      <w:szCs w:val="18"/>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spacing w:before="240" w:after="120"/>
      <w:jc w:val="left"/>
    </w:pPr>
    <w:rPr>
      <w:rFonts w:asciiTheme="minorHAnsi" w:hAnsiTheme="minorHAnsi"/>
      <w:b/>
      <w:bCs/>
      <w:sz w:val="20"/>
    </w:rPr>
  </w:style>
  <w:style w:type="paragraph" w:styleId="TOC2">
    <w:name w:val="toc 2"/>
    <w:basedOn w:val="Normal"/>
    <w:next w:val="Normal"/>
    <w:uiPriority w:val="39"/>
    <w:pPr>
      <w:spacing w:before="120" w:after="0"/>
      <w:ind w:left="240"/>
      <w:jc w:val="left"/>
    </w:pPr>
    <w:rPr>
      <w:rFonts w:asciiTheme="minorHAnsi" w:hAnsiTheme="minorHAnsi"/>
      <w:i/>
      <w:iCs/>
      <w:sz w:val="20"/>
    </w:rPr>
  </w:style>
  <w:style w:type="paragraph" w:styleId="TOC3">
    <w:name w:val="toc 3"/>
    <w:basedOn w:val="Normal"/>
    <w:next w:val="Normal"/>
    <w:uiPriority w:val="39"/>
    <w:pPr>
      <w:spacing w:after="0"/>
      <w:ind w:left="480"/>
      <w:jc w:val="left"/>
    </w:pPr>
    <w:rPr>
      <w:rFonts w:asciiTheme="minorHAnsi" w:hAnsiTheme="minorHAnsi"/>
      <w:sz w:val="20"/>
    </w:rPr>
  </w:style>
  <w:style w:type="paragraph" w:styleId="TOC4">
    <w:name w:val="toc 4"/>
    <w:basedOn w:val="Normal"/>
    <w:next w:val="Normal"/>
    <w:semiHidden/>
    <w:pPr>
      <w:spacing w:after="0"/>
      <w:ind w:left="720"/>
      <w:jc w:val="left"/>
    </w:pPr>
    <w:rPr>
      <w:rFonts w:asciiTheme="minorHAnsi" w:hAnsiTheme="minorHAnsi"/>
      <w:sz w:val="20"/>
    </w:rPr>
  </w:style>
  <w:style w:type="paragraph" w:styleId="TOC5">
    <w:name w:val="toc 5"/>
    <w:basedOn w:val="Normal"/>
    <w:next w:val="Normal"/>
    <w:semiHidden/>
    <w:pPr>
      <w:spacing w:after="0"/>
      <w:ind w:left="960"/>
      <w:jc w:val="left"/>
    </w:pPr>
    <w:rPr>
      <w:rFonts w:asciiTheme="minorHAnsi" w:hAnsiTheme="minorHAnsi"/>
      <w:sz w:val="20"/>
    </w:rPr>
  </w:style>
  <w:style w:type="paragraph" w:styleId="TOC6">
    <w:name w:val="toc 6"/>
    <w:basedOn w:val="Normal"/>
    <w:next w:val="Normal"/>
    <w:autoRedefine/>
    <w:semiHidden/>
    <w:pPr>
      <w:spacing w:after="0"/>
      <w:ind w:left="1200"/>
      <w:jc w:val="left"/>
    </w:pPr>
    <w:rPr>
      <w:rFonts w:asciiTheme="minorHAnsi" w:hAnsiTheme="minorHAnsi"/>
      <w:sz w:val="20"/>
    </w:rPr>
  </w:style>
  <w:style w:type="paragraph" w:styleId="TOC7">
    <w:name w:val="toc 7"/>
    <w:basedOn w:val="Normal"/>
    <w:next w:val="Normal"/>
    <w:autoRedefine/>
    <w:semiHidden/>
    <w:pPr>
      <w:spacing w:after="0"/>
      <w:ind w:left="1440"/>
      <w:jc w:val="left"/>
    </w:pPr>
    <w:rPr>
      <w:rFonts w:asciiTheme="minorHAnsi" w:hAnsiTheme="minorHAnsi"/>
      <w:sz w:val="20"/>
    </w:rPr>
  </w:style>
  <w:style w:type="paragraph" w:styleId="TOC8">
    <w:name w:val="toc 8"/>
    <w:basedOn w:val="Normal"/>
    <w:next w:val="Normal"/>
    <w:autoRedefine/>
    <w:semiHidden/>
    <w:pPr>
      <w:spacing w:after="0"/>
      <w:ind w:left="1680"/>
      <w:jc w:val="left"/>
    </w:pPr>
    <w:rPr>
      <w:rFonts w:asciiTheme="minorHAnsi" w:hAnsiTheme="minorHAnsi"/>
      <w:sz w:val="20"/>
    </w:rPr>
  </w:style>
  <w:style w:type="paragraph" w:styleId="TOC9">
    <w:name w:val="toc 9"/>
    <w:basedOn w:val="Normal"/>
    <w:next w:val="Normal"/>
    <w:autoRedefine/>
    <w:semiHidden/>
    <w:pPr>
      <w:spacing w:after="0"/>
      <w:ind w:left="1920"/>
      <w:jc w:val="left"/>
    </w:pPr>
    <w:rPr>
      <w:rFonts w:asciiTheme="minorHAnsi" w:hAnsiTheme="minorHAnsi"/>
      <w:sz w:val="20"/>
    </w:r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customStyle="1" w:styleId="TOCHeading1">
    <w:name w:val="TOC Heading1"/>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pPr>
      <w:widowControl w:val="0"/>
      <w:autoSpaceDE w:val="0"/>
      <w:autoSpaceDN w:val="0"/>
      <w:spacing w:after="0"/>
      <w:ind w:right="85"/>
    </w:pPr>
    <w:rPr>
      <w:rFonts w:ascii="Arial" w:hAnsi="Arial" w:cs="Arial"/>
      <w:szCs w:val="24"/>
    </w:rPr>
  </w:style>
  <w:style w:type="paragraph" w:customStyle="1" w:styleId="ZDGName">
    <w:name w:val="Z_DGName"/>
    <w:basedOn w:val="Normal"/>
    <w:pPr>
      <w:widowControl w:val="0"/>
      <w:autoSpaceDE w:val="0"/>
      <w:autoSpaceDN w:val="0"/>
      <w:spacing w:after="0"/>
      <w:ind w:right="85"/>
      <w:jc w:val="left"/>
    </w:pPr>
    <w:rPr>
      <w:rFonts w:ascii="Arial" w:hAnsi="Arial" w:cs="Arial"/>
      <w:sz w:val="16"/>
      <w:szCs w:val="16"/>
    </w:rPr>
  </w:style>
  <w:style w:type="character" w:styleId="Hyperlink">
    <w:name w:val="Hyperlink"/>
    <w:uiPriority w:val="99"/>
    <w:rPr>
      <w:color w:val="0000FF"/>
      <w:u w:val="single"/>
    </w:rPr>
  </w:style>
  <w:style w:type="character" w:styleId="FootnoteReference">
    <w:name w:val="footnote reference"/>
    <w:aliases w:val="BVI fnr,SUPERS,Footnote symbol,(Footnote Reference),Footnote,Voetnootverwijzing,Times 10 Point,Exposant 3 Point,Footnote reference number,note TESI,Odwołanie przypisu, BVI fnr,Appel note de bas de p,Nota,16 Point,Superscript 6 Point"/>
    <w:uiPriority w:val="99"/>
    <w:qFormat/>
    <w:rPr>
      <w:vertAlign w:val="superscript"/>
    </w:rPr>
  </w:style>
  <w:style w:type="table" w:styleId="ColorfulGrid-Accent3">
    <w:name w:val="Colorful Grid Accent 3"/>
    <w:basedOn w:val="TableNormal"/>
    <w:uiPriority w:val="69"/>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Tms Rmn" w:hAnsi="Tms Rmn"/>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semiHidden/>
    <w:rPr>
      <w:rFonts w:ascii="Tahoma" w:hAnsi="Tahoma" w:cs="Tahoma"/>
      <w:sz w:val="16"/>
      <w:szCs w:val="16"/>
    </w:rPr>
  </w:style>
  <w:style w:type="paragraph" w:customStyle="1" w:styleId="DocumentTitle">
    <w:name w:val="Document Title"/>
    <w:basedOn w:val="Normal"/>
    <w:link w:val="DocumentTitleChar"/>
    <w:pPr>
      <w:jc w:val="center"/>
    </w:pPr>
    <w:rPr>
      <w:rFonts w:ascii="Verdana" w:hAnsi="Verdana"/>
      <w:b/>
      <w:sz w:val="52"/>
    </w:rPr>
  </w:style>
  <w:style w:type="paragraph" w:customStyle="1" w:styleId="Footerapproval">
    <w:name w:val="Footer approval"/>
    <w:basedOn w:val="Footer"/>
    <w:link w:val="ApprovalfooterChar"/>
    <w:pPr>
      <w:tabs>
        <w:tab w:val="left" w:pos="6804"/>
      </w:tabs>
    </w:pPr>
    <w:rPr>
      <w:rFonts w:ascii="Verdana" w:hAnsi="Verdana"/>
      <w:sz w:val="13"/>
    </w:rPr>
  </w:style>
  <w:style w:type="character" w:customStyle="1" w:styleId="DocumentTitleChar">
    <w:name w:val="Document Title Char"/>
    <w:link w:val="DocumentTitle"/>
    <w:rPr>
      <w:rFonts w:ascii="Verdana" w:hAnsi="Verdana"/>
      <w:b/>
      <w:sz w:val="52"/>
      <w:lang w:val="sk-SK" w:eastAsia="sk-SK"/>
    </w:rPr>
  </w:style>
  <w:style w:type="paragraph" w:customStyle="1" w:styleId="FooterDate">
    <w:name w:val="Footer Date"/>
    <w:basedOn w:val="Footer"/>
    <w:link w:val="FooterDateChar"/>
    <w:pPr>
      <w:tabs>
        <w:tab w:val="right" w:pos="9240"/>
      </w:tabs>
    </w:pPr>
    <w:rPr>
      <w:rFonts w:ascii="Verdana" w:hAnsi="Verdana"/>
    </w:rPr>
  </w:style>
  <w:style w:type="character" w:customStyle="1" w:styleId="FooterChar">
    <w:name w:val="Footer Char"/>
    <w:link w:val="Footer"/>
    <w:uiPriority w:val="99"/>
    <w:rPr>
      <w:rFonts w:ascii="Arial" w:hAnsi="Arial"/>
      <w:sz w:val="16"/>
      <w:lang w:val="sk-SK"/>
    </w:rPr>
  </w:style>
  <w:style w:type="character" w:customStyle="1" w:styleId="ApprovalfooterChar">
    <w:name w:val="Approval_footer Char"/>
    <w:link w:val="Footerapproval"/>
    <w:rPr>
      <w:rFonts w:ascii="Arial" w:hAnsi="Arial"/>
      <w:sz w:val="16"/>
      <w:lang w:val="sk-SK"/>
    </w:rPr>
  </w:style>
  <w:style w:type="paragraph" w:customStyle="1" w:styleId="PageNumber1">
    <w:name w:val="Page Number1"/>
    <w:basedOn w:val="Footer"/>
    <w:link w:val="PagenumberChar"/>
    <w:pPr>
      <w:tabs>
        <w:tab w:val="right" w:pos="9240"/>
      </w:tabs>
      <w:ind w:right="-622"/>
    </w:pPr>
    <w:rPr>
      <w:rFonts w:ascii="Verdana" w:hAnsi="Verdana"/>
    </w:rPr>
  </w:style>
  <w:style w:type="character" w:customStyle="1" w:styleId="FooterDateChar">
    <w:name w:val="Footer Date Char"/>
    <w:link w:val="FooterDate"/>
    <w:rPr>
      <w:rFonts w:ascii="Verdana" w:hAnsi="Verdana"/>
      <w:sz w:val="16"/>
      <w:lang w:val="sk-SK"/>
    </w:rPr>
  </w:style>
  <w:style w:type="character" w:customStyle="1" w:styleId="HeaderChar">
    <w:name w:val="Header Char"/>
    <w:link w:val="Header"/>
    <w:uiPriority w:val="99"/>
    <w:rPr>
      <w:sz w:val="24"/>
      <w:lang w:val="sk-SK"/>
    </w:rPr>
  </w:style>
  <w:style w:type="character" w:customStyle="1" w:styleId="PagenumberChar">
    <w:name w:val="Page number Char"/>
    <w:link w:val="PageNumber1"/>
    <w:rPr>
      <w:rFonts w:ascii="Verdana" w:hAnsi="Verdana"/>
      <w:sz w:val="16"/>
      <w:lang w:val="sk-SK"/>
    </w:rPr>
  </w:style>
  <w:style w:type="paragraph" w:customStyle="1" w:styleId="DocumentSubtitle">
    <w:name w:val="Document Subtitle"/>
    <w:basedOn w:val="DocumentTitle"/>
    <w:link w:val="DocumentSubtitleChar"/>
    <w:rPr>
      <w:b w:val="0"/>
      <w:sz w:val="32"/>
      <w:szCs w:val="36"/>
    </w:rPr>
  </w:style>
  <w:style w:type="paragraph" w:customStyle="1" w:styleId="HeaderTitle">
    <w:name w:val="Header Title"/>
    <w:basedOn w:val="Normal"/>
    <w:link w:val="HeaderTitleChar"/>
    <w:pPr>
      <w:jc w:val="center"/>
    </w:pPr>
    <w:rPr>
      <w:rFonts w:ascii="Verdana" w:hAnsi="Verdana"/>
      <w:b/>
      <w:color w:val="808080"/>
      <w:sz w:val="18"/>
      <w:szCs w:val="18"/>
    </w:rPr>
  </w:style>
  <w:style w:type="character" w:customStyle="1" w:styleId="DocumentSubtitleChar">
    <w:name w:val="Document Subtitle Char"/>
    <w:link w:val="DocumentSubtitle"/>
    <w:rPr>
      <w:rFonts w:ascii="Verdana" w:hAnsi="Verdana"/>
      <w:sz w:val="32"/>
      <w:szCs w:val="36"/>
      <w:lang w:val="sk-SK" w:eastAsia="sk-SK"/>
    </w:rPr>
  </w:style>
  <w:style w:type="paragraph" w:customStyle="1" w:styleId="Bulletpoint1">
    <w:name w:val="Bullet point1"/>
    <w:basedOn w:val="NormalIndent"/>
    <w:link w:val="Bulletpoint1Char"/>
    <w:pPr>
      <w:numPr>
        <w:numId w:val="20"/>
      </w:numPr>
      <w:spacing w:after="120"/>
      <w:jc w:val="left"/>
    </w:pPr>
    <w:rPr>
      <w:rFonts w:ascii="Verdana" w:hAnsi="Verdana"/>
      <w:sz w:val="18"/>
    </w:rPr>
  </w:style>
  <w:style w:type="character" w:customStyle="1" w:styleId="HeaderTitleChar">
    <w:name w:val="Header Title Char"/>
    <w:link w:val="HeaderTitle"/>
    <w:rPr>
      <w:rFonts w:ascii="Verdana" w:hAnsi="Verdana"/>
      <w:b/>
      <w:color w:val="808080"/>
      <w:sz w:val="18"/>
      <w:szCs w:val="18"/>
      <w:lang w:val="sk-SK"/>
    </w:rPr>
  </w:style>
  <w:style w:type="paragraph" w:customStyle="1" w:styleId="Heading">
    <w:name w:val="Heading"/>
    <w:basedOn w:val="TOC1"/>
    <w:link w:val="HeadingChar"/>
    <w:pPr>
      <w:widowControl w:val="0"/>
      <w:autoSpaceDE w:val="0"/>
      <w:autoSpaceDN w:val="0"/>
      <w:adjustRightInd w:val="0"/>
      <w:spacing w:after="0"/>
    </w:pPr>
    <w:rPr>
      <w:b w:val="0"/>
      <w:u w:val="single"/>
    </w:rPr>
  </w:style>
  <w:style w:type="character" w:customStyle="1" w:styleId="NormalIndentChar">
    <w:name w:val="Normal Indent Char"/>
    <w:link w:val="NormalIndent"/>
    <w:rPr>
      <w:sz w:val="24"/>
      <w:lang w:val="sk-SK"/>
    </w:rPr>
  </w:style>
  <w:style w:type="character" w:customStyle="1" w:styleId="Bulletpoint1Char">
    <w:name w:val="Bullet point1 Char"/>
    <w:link w:val="Bulletpoint1"/>
    <w:rPr>
      <w:rFonts w:ascii="Verdana" w:hAnsi="Verdana"/>
      <w:sz w:val="18"/>
      <w:lang w:eastAsia="sk-SK"/>
    </w:rPr>
  </w:style>
  <w:style w:type="paragraph" w:customStyle="1" w:styleId="BulletPoint2">
    <w:name w:val="Bullet Point 2"/>
    <w:basedOn w:val="NormalIndent"/>
    <w:link w:val="BulletPoint2Char"/>
    <w:pPr>
      <w:numPr>
        <w:numId w:val="19"/>
      </w:numPr>
      <w:spacing w:after="120"/>
      <w:ind w:left="1077" w:hanging="357"/>
      <w:jc w:val="left"/>
    </w:pPr>
    <w:rPr>
      <w:rFonts w:ascii="Verdana" w:hAnsi="Verdana"/>
      <w:sz w:val="18"/>
    </w:rPr>
  </w:style>
  <w:style w:type="character" w:customStyle="1" w:styleId="HeadingChar">
    <w:name w:val="Heading Char"/>
    <w:link w:val="Heading"/>
    <w:rPr>
      <w:rFonts w:ascii="Verdana" w:hAnsi="Verdana"/>
      <w:b/>
      <w:caps/>
      <w:u w:val="single"/>
      <w:lang w:val="sk-SK"/>
    </w:rPr>
  </w:style>
  <w:style w:type="paragraph" w:customStyle="1" w:styleId="Body">
    <w:name w:val="Body"/>
    <w:basedOn w:val="Normal"/>
    <w:link w:val="BodyChar"/>
    <w:qFormat/>
    <w:pPr>
      <w:ind w:left="357"/>
    </w:pPr>
    <w:rPr>
      <w:rFonts w:ascii="Arial" w:hAnsi="Arial" w:cs="Arial"/>
      <w:sz w:val="20"/>
    </w:rPr>
  </w:style>
  <w:style w:type="character" w:customStyle="1" w:styleId="BulletPoint2Char">
    <w:name w:val="Bullet Point 2 Char"/>
    <w:link w:val="BulletPoint2"/>
    <w:rPr>
      <w:rFonts w:ascii="Verdana" w:hAnsi="Verdana"/>
      <w:sz w:val="18"/>
      <w:lang w:eastAsia="sk-SK"/>
    </w:rPr>
  </w:style>
  <w:style w:type="paragraph" w:customStyle="1" w:styleId="Heading20">
    <w:name w:val="Heading2"/>
    <w:basedOn w:val="Title2"/>
    <w:link w:val="Heading2Char"/>
    <w:pPr>
      <w:numPr>
        <w:numId w:val="0"/>
      </w:numPr>
    </w:pPr>
    <w:rPr>
      <w:rFonts w:ascii="Verdana" w:hAnsi="Verdana"/>
      <w:b/>
      <w:i/>
    </w:rPr>
  </w:style>
  <w:style w:type="character" w:customStyle="1" w:styleId="BodyChar">
    <w:name w:val="Body Char"/>
    <w:link w:val="Body"/>
    <w:rPr>
      <w:rFonts w:ascii="Arial" w:hAnsi="Arial" w:cs="Arial"/>
      <w:lang w:eastAsia="sk-SK"/>
    </w:rPr>
  </w:style>
  <w:style w:type="table" w:styleId="TableGrid">
    <w:name w:val="Table Grid"/>
    <w:aliases w:val="Document Table"/>
    <w:basedOn w:val="TableNormal"/>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rPr>
        <w:color w:val="FFFFFF"/>
      </w:rPr>
      <w:tblPr/>
      <w:tcPr>
        <w:shd w:val="clear" w:color="auto" w:fill="00AEF0"/>
      </w:tcPr>
    </w:tblStylePr>
  </w:style>
  <w:style w:type="character" w:customStyle="1" w:styleId="Heading2Char">
    <w:name w:val="Heading2 Char"/>
    <w:link w:val="Heading20"/>
    <w:rPr>
      <w:rFonts w:ascii="Verdana" w:hAnsi="Verdana"/>
      <w:b/>
      <w:i/>
      <w:sz w:val="24"/>
      <w:lang w:val="sk-SK" w:eastAsia="sk-SK"/>
    </w:rPr>
  </w:style>
  <w:style w:type="table" w:customStyle="1" w:styleId="Style1">
    <w:name w:val="Style1"/>
    <w:basedOn w:val="TableNormal"/>
    <w:tblPr>
      <w:tblInd w:w="0" w:type="dxa"/>
      <w:tblCellMar>
        <w:top w:w="0" w:type="dxa"/>
        <w:left w:w="108" w:type="dxa"/>
        <w:bottom w:w="0" w:type="dxa"/>
        <w:right w:w="108" w:type="dxa"/>
      </w:tblCellMar>
    </w:tblPr>
  </w:style>
  <w:style w:type="table" w:styleId="TableElegant">
    <w:name w:val="Table Elegant"/>
    <w:basedOn w:val="TableNormal"/>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oterDocument">
    <w:name w:val="Footer Document"/>
    <w:basedOn w:val="Body"/>
    <w:link w:val="FooterDocumentChar"/>
    <w:pPr>
      <w:spacing w:after="0"/>
    </w:pPr>
    <w:rPr>
      <w:i/>
      <w:noProof/>
      <w:sz w:val="13"/>
    </w:rPr>
  </w:style>
  <w:style w:type="character" w:customStyle="1" w:styleId="FooterDocumentChar">
    <w:name w:val="Footer Document Char"/>
    <w:link w:val="FooterDocument"/>
    <w:rPr>
      <w:rFonts w:ascii="Verdana" w:hAnsi="Verdana"/>
      <w:i/>
      <w:noProof/>
      <w:sz w:val="13"/>
      <w:lang w:val="sk-SK" w:eastAsia="sk-SK"/>
    </w:rPr>
  </w:style>
  <w:style w:type="paragraph" w:styleId="TOCHeading">
    <w:name w:val="TOC Heading"/>
    <w:basedOn w:val="Heading1"/>
    <w:next w:val="Normal"/>
    <w:uiPriority w:val="39"/>
    <w:unhideWhenUsed/>
    <w:qFormat/>
    <w:pPr>
      <w:keepLines/>
      <w:numPr>
        <w:numId w:val="0"/>
      </w:numPr>
      <w:spacing w:before="480" w:after="0" w:line="276" w:lineRule="auto"/>
      <w:jc w:val="left"/>
      <w:outlineLvl w:val="9"/>
    </w:pPr>
    <w:rPr>
      <w:rFonts w:ascii="Cambria" w:eastAsia="MS Gothic" w:hAnsi="Cambria"/>
      <w:bCs/>
      <w:smallCaps w:val="0"/>
      <w:color w:val="435186"/>
      <w:sz w:val="28"/>
      <w:szCs w:val="28"/>
    </w:rPr>
  </w:style>
  <w:style w:type="paragraph" w:customStyle="1" w:styleId="Title2">
    <w:name w:val="Title 2"/>
    <w:basedOn w:val="Normal"/>
    <w:pPr>
      <w:numPr>
        <w:numId w:val="21"/>
      </w:numPr>
    </w:pPr>
  </w:style>
  <w:style w:type="paragraph" w:customStyle="1" w:styleId="Subtitle0">
    <w:name w:val="Subtitle_"/>
    <w:basedOn w:val="TOC2"/>
    <w:link w:val="SubtitleChar"/>
    <w:pPr>
      <w:ind w:left="0"/>
    </w:pPr>
    <w:rPr>
      <w:b/>
      <w:i w:val="0"/>
    </w:rPr>
  </w:style>
  <w:style w:type="character" w:customStyle="1" w:styleId="SubtitleChar">
    <w:name w:val="Subtitle_ Char"/>
    <w:link w:val="Subtitle0"/>
    <w:rPr>
      <w:rFonts w:ascii="Verdana" w:hAnsi="Verdana"/>
      <w:b/>
      <w:i/>
      <w:sz w:val="24"/>
      <w:lang w:val="sk-SK" w:eastAsia="sk-SK"/>
    </w:rPr>
  </w:style>
  <w:style w:type="paragraph" w:customStyle="1" w:styleId="HeadingBody">
    <w:name w:val="Heading Body"/>
    <w:basedOn w:val="Normal"/>
    <w:link w:val="HeadingBodyChar"/>
    <w:pPr>
      <w:spacing w:after="120"/>
    </w:pPr>
    <w:rPr>
      <w:rFonts w:ascii="Verdana" w:hAnsi="Verdana"/>
      <w:b/>
      <w:sz w:val="20"/>
      <w:szCs w:val="18"/>
    </w:rPr>
  </w:style>
  <w:style w:type="paragraph" w:customStyle="1" w:styleId="Titlepublication">
    <w:name w:val="Title publication"/>
    <w:basedOn w:val="Normal"/>
    <w:link w:val="TitlepublicationChar"/>
    <w:pPr>
      <w:jc w:val="center"/>
    </w:pPr>
    <w:rPr>
      <w:rFonts w:ascii="Verdana" w:hAnsi="Verdana"/>
      <w:b/>
      <w:color w:val="FF0000"/>
      <w:sz w:val="52"/>
      <w:szCs w:val="52"/>
    </w:rPr>
  </w:style>
  <w:style w:type="character" w:customStyle="1" w:styleId="HeadingBodyChar">
    <w:name w:val="Heading Body Char"/>
    <w:link w:val="HeadingBody"/>
    <w:rPr>
      <w:rFonts w:ascii="Verdana" w:hAnsi="Verdana"/>
      <w:b/>
      <w:szCs w:val="18"/>
      <w:lang w:val="sk-SK" w:eastAsia="sk-SK"/>
    </w:rPr>
  </w:style>
  <w:style w:type="paragraph" w:customStyle="1" w:styleId="Subtitlepublication">
    <w:name w:val="Subtitle publication"/>
    <w:basedOn w:val="Normal"/>
    <w:link w:val="SubtitlepublicationChar"/>
    <w:pPr>
      <w:jc w:val="center"/>
    </w:pPr>
    <w:rPr>
      <w:rFonts w:ascii="Verdana" w:hAnsi="Verdana"/>
      <w:b/>
      <w:i/>
      <w:color w:val="FF0000"/>
      <w:sz w:val="32"/>
    </w:rPr>
  </w:style>
  <w:style w:type="character" w:customStyle="1" w:styleId="TitlepublicationChar">
    <w:name w:val="Title publication Char"/>
    <w:link w:val="Titlepublication"/>
    <w:rPr>
      <w:rFonts w:ascii="Verdana" w:hAnsi="Verdana"/>
      <w:b/>
      <w:color w:val="FF0000"/>
      <w:sz w:val="52"/>
      <w:szCs w:val="52"/>
      <w:lang w:val="sk-SK" w:eastAsia="sk-SK"/>
    </w:rPr>
  </w:style>
  <w:style w:type="paragraph" w:customStyle="1" w:styleId="Editorname">
    <w:name w:val="Editor name"/>
    <w:basedOn w:val="Normal"/>
    <w:link w:val="EditornameChar"/>
    <w:pPr>
      <w:jc w:val="center"/>
    </w:pPr>
    <w:rPr>
      <w:rFonts w:ascii="Verdana" w:hAnsi="Verdana"/>
      <w:color w:val="FF0000"/>
    </w:rPr>
  </w:style>
  <w:style w:type="character" w:customStyle="1" w:styleId="SubtitlepublicationChar">
    <w:name w:val="Subtitle publication Char"/>
    <w:link w:val="Subtitlepublication"/>
    <w:rPr>
      <w:rFonts w:ascii="Verdana" w:hAnsi="Verdana"/>
      <w:b/>
      <w:i/>
      <w:color w:val="FF0000"/>
      <w:sz w:val="32"/>
      <w:lang w:val="sk-SK" w:eastAsia="sk-SK"/>
    </w:rPr>
  </w:style>
  <w:style w:type="paragraph" w:customStyle="1" w:styleId="Backcoversummary">
    <w:name w:val="Backcover_summary"/>
    <w:basedOn w:val="Normal"/>
    <w:link w:val="BackcoversummaryChar"/>
    <w:rPr>
      <w:rFonts w:ascii="Verdana" w:hAnsi="Verdana"/>
      <w:color w:val="FF0000"/>
    </w:rPr>
  </w:style>
  <w:style w:type="character" w:customStyle="1" w:styleId="EditornameChar">
    <w:name w:val="Editor name Char"/>
    <w:link w:val="Editorname"/>
    <w:rPr>
      <w:rFonts w:ascii="Verdana" w:hAnsi="Verdana"/>
      <w:color w:val="FF0000"/>
      <w:sz w:val="24"/>
      <w:lang w:val="sk-SK" w:eastAsia="sk-SK"/>
    </w:rPr>
  </w:style>
  <w:style w:type="paragraph" w:customStyle="1" w:styleId="Backcovercategory">
    <w:name w:val="Backcover_category"/>
    <w:basedOn w:val="Normal"/>
    <w:link w:val="BackcovercategoryChar"/>
    <w:pPr>
      <w:ind w:right="28"/>
    </w:pPr>
    <w:rPr>
      <w:rFonts w:ascii="Verdana" w:hAnsi="Verdana"/>
      <w:i/>
      <w:color w:val="FF0000"/>
      <w:sz w:val="18"/>
    </w:rPr>
  </w:style>
  <w:style w:type="character" w:customStyle="1" w:styleId="BackcoversummaryChar">
    <w:name w:val="Backcover_summary Char"/>
    <w:link w:val="Backcoversummary"/>
    <w:rPr>
      <w:rFonts w:ascii="Verdana" w:hAnsi="Verdana"/>
      <w:color w:val="FF0000"/>
      <w:sz w:val="24"/>
      <w:lang w:val="sk-SK" w:eastAsia="sk-SK"/>
    </w:rPr>
  </w:style>
  <w:style w:type="character" w:customStyle="1" w:styleId="BackcovercategoryChar">
    <w:name w:val="Backcover_category Char"/>
    <w:link w:val="Backcovercategory"/>
    <w:rPr>
      <w:rFonts w:ascii="Verdana" w:hAnsi="Verdana"/>
      <w:i/>
      <w:color w:val="FF0000"/>
      <w:sz w:val="18"/>
      <w:lang w:val="sk-SK" w:eastAsia="sk-SK"/>
    </w:rPr>
  </w:style>
  <w:style w:type="paragraph" w:customStyle="1" w:styleId="kop2">
    <w:name w:val="kop 2"/>
    <w:basedOn w:val="Normal"/>
    <w:next w:val="Normal"/>
    <w:link w:val="kop2Char"/>
    <w:uiPriority w:val="1"/>
    <w:unhideWhenUsed/>
    <w:qFormat/>
    <w:pPr>
      <w:keepNext/>
      <w:keepLines/>
      <w:numPr>
        <w:numId w:val="24"/>
      </w:numPr>
      <w:spacing w:after="120"/>
      <w:outlineLvl w:val="1"/>
    </w:pPr>
    <w:rPr>
      <w:rFonts w:ascii="Arial" w:eastAsia="MS Gothic" w:hAnsi="Arial" w:cs="Arial"/>
      <w:caps/>
      <w:color w:val="4F81BD"/>
      <w:kern w:val="20"/>
      <w:szCs w:val="24"/>
    </w:rPr>
  </w:style>
  <w:style w:type="paragraph" w:customStyle="1" w:styleId="kop3">
    <w:name w:val="kop 3"/>
    <w:basedOn w:val="StyleSubtitleBoldAccent1Left1"/>
    <w:next w:val="Normal"/>
    <w:link w:val="kop3Char"/>
    <w:uiPriority w:val="1"/>
    <w:unhideWhenUsed/>
    <w:qFormat/>
    <w:pPr>
      <w:numPr>
        <w:numId w:val="25"/>
      </w:numPr>
    </w:pPr>
    <w:rPr>
      <w:b w:val="0"/>
    </w:rPr>
  </w:style>
  <w:style w:type="character" w:customStyle="1" w:styleId="kop2Char">
    <w:name w:val="kop 2 Char"/>
    <w:link w:val="kop2"/>
    <w:uiPriority w:val="1"/>
    <w:rPr>
      <w:rFonts w:ascii="Arial" w:eastAsia="MS Gothic" w:hAnsi="Arial" w:cs="Arial"/>
      <w:caps/>
      <w:color w:val="4F81BD"/>
      <w:kern w:val="20"/>
      <w:sz w:val="24"/>
      <w:szCs w:val="24"/>
      <w:lang w:eastAsia="sk-SK"/>
    </w:rPr>
  </w:style>
  <w:style w:type="character" w:customStyle="1" w:styleId="kop3Char">
    <w:name w:val="kop 3 Char"/>
    <w:link w:val="kop3"/>
    <w:uiPriority w:val="1"/>
    <w:rPr>
      <w:rFonts w:ascii="Arial" w:hAnsi="Arial"/>
      <w:bCs/>
      <w:color w:val="4F81BD"/>
      <w:sz w:val="24"/>
      <w:lang w:eastAsia="sk-SK"/>
    </w:rPr>
  </w:style>
  <w:style w:type="paragraph" w:customStyle="1" w:styleId="Lijstje">
    <w:name w:val="Lijstje"/>
    <w:basedOn w:val="NoSpacing"/>
    <w:uiPriority w:val="1"/>
    <w:unhideWhenUsed/>
    <w:qFormat/>
    <w:locked/>
    <w:pPr>
      <w:numPr>
        <w:numId w:val="22"/>
      </w:numPr>
      <w:tabs>
        <w:tab w:val="num" w:pos="1485"/>
      </w:tabs>
      <w:spacing w:after="240"/>
      <w:ind w:left="1412" w:hanging="703"/>
    </w:pPr>
    <w:rPr>
      <w:rFonts w:ascii="Verdana" w:eastAsia="Calibri" w:hAnsi="Verdana"/>
      <w:kern w:val="20"/>
      <w:sz w:val="20"/>
    </w:rPr>
  </w:style>
  <w:style w:type="paragraph" w:customStyle="1" w:styleId="Lijstje3">
    <w:name w:val="Lijstje 3"/>
    <w:basedOn w:val="Lijstje2"/>
    <w:uiPriority w:val="1"/>
    <w:unhideWhenUsed/>
    <w:locked/>
    <w:pPr>
      <w:numPr>
        <w:ilvl w:val="1"/>
      </w:numPr>
      <w:tabs>
        <w:tab w:val="num" w:pos="765"/>
      </w:tabs>
      <w:ind w:left="1069" w:hanging="283"/>
    </w:pPr>
  </w:style>
  <w:style w:type="paragraph" w:customStyle="1" w:styleId="Lijstje2">
    <w:name w:val="Lijstje2"/>
    <w:basedOn w:val="ListParagraph"/>
    <w:uiPriority w:val="1"/>
    <w:unhideWhenUsed/>
    <w:locked/>
    <w:pPr>
      <w:numPr>
        <w:numId w:val="23"/>
      </w:numPr>
      <w:tabs>
        <w:tab w:val="num" w:pos="765"/>
      </w:tabs>
      <w:spacing w:after="200"/>
      <w:ind w:left="1797" w:hanging="357"/>
    </w:pPr>
    <w:rPr>
      <w:rFonts w:ascii="Verdana" w:eastAsia="Calibri" w:hAnsi="Verdana"/>
      <w:kern w:val="20"/>
      <w:sz w:val="20"/>
    </w:rPr>
  </w:style>
  <w:style w:type="paragraph" w:customStyle="1" w:styleId="Koptekstmetarcering">
    <w:name w:val="Koptekst met arcering"/>
    <w:basedOn w:val="Normal"/>
    <w:uiPriority w:val="19"/>
    <w:locked/>
    <w:pPr>
      <w:pBdr>
        <w:top w:val="single" w:sz="2" w:space="2" w:color="5F70AF"/>
        <w:left w:val="single" w:sz="2" w:space="6" w:color="5F70AF"/>
        <w:bottom w:val="single" w:sz="2" w:space="2" w:color="5F70AF"/>
        <w:right w:val="single" w:sz="2" w:space="6" w:color="5F70AF"/>
      </w:pBdr>
      <w:shd w:val="clear" w:color="auto" w:fill="5F70AF"/>
      <w:spacing w:after="0"/>
      <w:ind w:left="-360" w:right="-360"/>
    </w:pPr>
    <w:rPr>
      <w:rFonts w:ascii="Cambria" w:eastAsia="MS Gothic" w:hAnsi="Cambria"/>
      <w:caps/>
      <w:color w:val="FFFFFF"/>
      <w:kern w:val="20"/>
      <w:sz w:val="48"/>
    </w:rPr>
  </w:style>
  <w:style w:type="character" w:styleId="Strong">
    <w:name w:val="Strong"/>
    <w:aliases w:val="Gewoon,sub subtitle"/>
    <w:uiPriority w:val="22"/>
    <w:qFormat/>
    <w:rPr>
      <w:rFonts w:ascii="Arial" w:hAnsi="Arial" w:cs="Arial"/>
      <w:i/>
      <w:color w:val="95B3D7"/>
    </w:rPr>
  </w:style>
  <w:style w:type="paragraph" w:styleId="NoSpacing">
    <w:name w:val="No Spacing"/>
    <w:uiPriority w:val="1"/>
    <w:pPr>
      <w:jc w:val="both"/>
    </w:pPr>
    <w:rPr>
      <w:sz w:val="24"/>
    </w:rPr>
  </w:style>
  <w:style w:type="paragraph" w:styleId="ListParagraph">
    <w:name w:val="List Paragraph"/>
    <w:basedOn w:val="Normal"/>
    <w:uiPriority w:val="34"/>
    <w:qFormat/>
    <w:pPr>
      <w:ind w:left="720"/>
      <w:contextualSpacing/>
    </w:pPr>
  </w:style>
  <w:style w:type="paragraph" w:customStyle="1" w:styleId="kop1">
    <w:name w:val="kop 1"/>
    <w:basedOn w:val="Normal"/>
    <w:next w:val="Normal"/>
    <w:link w:val="Tekensvoorkop1"/>
    <w:uiPriority w:val="1"/>
    <w:locked/>
    <w:pPr>
      <w:pageBreakBefore/>
      <w:spacing w:after="360"/>
      <w:ind w:left="-360" w:right="-360"/>
      <w:outlineLvl w:val="0"/>
    </w:pPr>
    <w:rPr>
      <w:rFonts w:ascii="Calibri" w:eastAsia="Calibri" w:hAnsi="Calibri"/>
      <w:kern w:val="20"/>
      <w:sz w:val="36"/>
    </w:rPr>
  </w:style>
  <w:style w:type="paragraph" w:customStyle="1" w:styleId="Geenregelafstand">
    <w:name w:val="Geen regelafstand"/>
    <w:link w:val="Tekensvoorgeenregelafstand"/>
    <w:uiPriority w:val="1"/>
    <w:locked/>
    <w:pPr>
      <w:spacing w:before="40"/>
    </w:pPr>
    <w:rPr>
      <w:rFonts w:ascii="Calibri" w:eastAsia="Calibri" w:hAnsi="Calibri"/>
      <w:color w:val="595959"/>
    </w:rPr>
  </w:style>
  <w:style w:type="character" w:customStyle="1" w:styleId="Tekensvoorkop1">
    <w:name w:val="Tekens voor kop 1"/>
    <w:link w:val="kop1"/>
    <w:uiPriority w:val="1"/>
    <w:rPr>
      <w:rFonts w:ascii="Calibri" w:eastAsia="Calibri" w:hAnsi="Calibri" w:cs="Times New Roman"/>
      <w:kern w:val="20"/>
      <w:sz w:val="36"/>
      <w:lang w:val="sk-SK" w:eastAsia="sk-SK"/>
    </w:rPr>
  </w:style>
  <w:style w:type="character" w:customStyle="1" w:styleId="Extranadruk">
    <w:name w:val="Extra nadruk"/>
    <w:uiPriority w:val="1"/>
    <w:unhideWhenUsed/>
    <w:locked/>
    <w:rPr>
      <w:b/>
      <w:bCs/>
    </w:rPr>
  </w:style>
  <w:style w:type="character" w:customStyle="1" w:styleId="Tekensvoorgeenregelafstand">
    <w:name w:val="Tekens voor geen regelafstand"/>
    <w:link w:val="Geenregelafstand"/>
    <w:uiPriority w:val="1"/>
    <w:rPr>
      <w:rFonts w:ascii="Calibri" w:eastAsia="Calibri" w:hAnsi="Calibri" w:cs="Times New Roman"/>
      <w:color w:val="595959"/>
      <w:lang w:val="sk-SK" w:eastAsia="sk-SK"/>
    </w:rPr>
  </w:style>
  <w:style w:type="paragraph" w:customStyle="1" w:styleId="Tabeltekst">
    <w:name w:val="Tabeltekst"/>
    <w:basedOn w:val="Normal"/>
    <w:uiPriority w:val="9"/>
    <w:locked/>
    <w:pPr>
      <w:spacing w:before="60" w:after="60"/>
      <w:ind w:left="144" w:right="144"/>
    </w:pPr>
    <w:rPr>
      <w:rFonts w:ascii="Calibri" w:eastAsia="Calibri" w:hAnsi="Calibri"/>
      <w:kern w:val="20"/>
      <w:sz w:val="22"/>
    </w:rPr>
  </w:style>
  <w:style w:type="paragraph" w:customStyle="1" w:styleId="Kopvooromgekeerdetabel">
    <w:name w:val="Kop voor omgekeerde tabel"/>
    <w:basedOn w:val="Normal"/>
    <w:uiPriority w:val="9"/>
    <w:locked/>
    <w:pPr>
      <w:spacing w:after="40"/>
      <w:ind w:left="144" w:right="144"/>
    </w:pPr>
    <w:rPr>
      <w:rFonts w:ascii="Cambria" w:eastAsia="MS Gothic" w:hAnsi="Cambria"/>
      <w:caps/>
      <w:color w:val="FFFFFF"/>
      <w:kern w:val="20"/>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semiHidden/>
    <w:unhideWhenUsed/>
    <w:rPr>
      <w:b/>
      <w:bCs/>
    </w:rPr>
  </w:style>
  <w:style w:type="character" w:customStyle="1" w:styleId="CommentTextChar">
    <w:name w:val="Comment Text Char"/>
    <w:link w:val="CommentText"/>
    <w:uiPriority w:val="99"/>
    <w:semiHidden/>
    <w:rPr>
      <w:lang w:val="sk-SK" w:eastAsia="sk-SK"/>
    </w:rPr>
  </w:style>
  <w:style w:type="character" w:customStyle="1" w:styleId="CommentSubjectChar">
    <w:name w:val="Comment Subject Char"/>
    <w:link w:val="CommentSubject"/>
    <w:semiHidden/>
    <w:rPr>
      <w:b/>
      <w:bCs/>
      <w:lang w:val="sk-SK" w:eastAsia="sk-SK"/>
    </w:rPr>
  </w:style>
  <w:style w:type="character" w:customStyle="1" w:styleId="FootnoteTextChar">
    <w:name w:val="Footnote Text Char"/>
    <w:aliases w:val="Footnote Char,Fußnote Char,Fotnotstext1 Char,fn Char,Footnote Text Char2 Char Char,Footnote Text Char Char Char1 Char,Footnote Text Char1 Char Char Char Char,Footnote Text Char2 Char Char Char Char Char,footnote te Char,f Char,Ch Char"/>
    <w:uiPriority w:val="99"/>
    <w:rPr>
      <w:lang w:val="sk-SK" w:eastAsia="sk-SK"/>
    </w:rPr>
  </w:style>
  <w:style w:type="paragraph" w:styleId="Revision">
    <w:name w:val="Revision"/>
    <w:hidden/>
    <w:uiPriority w:val="99"/>
    <w:semiHidden/>
    <w:rPr>
      <w:sz w:val="24"/>
    </w:rPr>
  </w:style>
  <w:style w:type="character" w:styleId="FollowedHyperlink">
    <w:name w:val="FollowedHyperlink"/>
    <w:semiHidden/>
    <w:unhideWhenUsed/>
    <w:rPr>
      <w:color w:val="3EBBF0"/>
      <w:u w:val="single"/>
    </w:rPr>
  </w:style>
  <w:style w:type="character" w:customStyle="1" w:styleId="affairetitle">
    <w:name w:val="affaire_title"/>
    <w:basedOn w:val="DefaultParagraphFont"/>
  </w:style>
  <w:style w:type="paragraph" w:customStyle="1" w:styleId="Kop4">
    <w:name w:val="Kop 4"/>
    <w:basedOn w:val="kop3"/>
    <w:link w:val="Kop4Char"/>
    <w:qFormat/>
    <w:pPr>
      <w:numPr>
        <w:ilvl w:val="1"/>
      </w:numPr>
    </w:pPr>
    <w:rPr>
      <w:rFonts w:cs="Arial"/>
      <w:b/>
      <w:bCs w:val="0"/>
      <w:i/>
      <w:color w:val="95B3D7"/>
    </w:rPr>
  </w:style>
  <w:style w:type="paragraph" w:customStyle="1" w:styleId="Kop5">
    <w:name w:val="Kop 5"/>
    <w:basedOn w:val="Normal"/>
    <w:link w:val="Kop5Char"/>
    <w:qFormat/>
    <w:pPr>
      <w:ind w:left="709"/>
    </w:pPr>
    <w:rPr>
      <w:rFonts w:ascii="Verdana" w:hAnsi="Verdana"/>
      <w:color w:val="7BCCFF"/>
    </w:rPr>
  </w:style>
  <w:style w:type="character" w:customStyle="1" w:styleId="Kop4Char">
    <w:name w:val="Kop 4 Char"/>
    <w:link w:val="Kop4"/>
    <w:rPr>
      <w:rFonts w:ascii="Arial" w:hAnsi="Arial" w:cs="Arial"/>
      <w:b/>
      <w:i/>
      <w:color w:val="95B3D7"/>
      <w:sz w:val="24"/>
      <w:lang w:eastAsia="sk-SK"/>
    </w:rPr>
  </w:style>
  <w:style w:type="character" w:customStyle="1" w:styleId="Kop5Char">
    <w:name w:val="Kop 5 Char"/>
    <w:link w:val="Kop5"/>
    <w:rPr>
      <w:rFonts w:ascii="Verdana" w:hAnsi="Verdana"/>
      <w:color w:val="7BCCFF"/>
      <w:sz w:val="24"/>
      <w:lang w:val="sk-SK" w:eastAsia="sk-SK"/>
    </w:rPr>
  </w:style>
  <w:style w:type="paragraph" w:customStyle="1" w:styleId="MemberStateHeader">
    <w:name w:val="Member State Header"/>
    <w:basedOn w:val="Normal"/>
    <w:link w:val="MemberStateHeaderChar"/>
    <w:qFormat/>
    <w:pPr>
      <w:keepNext/>
      <w:keepLines/>
      <w:spacing w:after="0"/>
      <w:jc w:val="center"/>
      <w:outlineLvl w:val="1"/>
    </w:pPr>
    <w:rPr>
      <w:rFonts w:ascii="Verdana" w:eastAsia="MS Gothic" w:hAnsi="Verdana"/>
      <w:caps/>
      <w:color w:val="242852"/>
      <w:kern w:val="20"/>
      <w:sz w:val="28"/>
    </w:rPr>
  </w:style>
  <w:style w:type="character" w:customStyle="1" w:styleId="MemberStateHeaderChar">
    <w:name w:val="Member State Header Char"/>
    <w:link w:val="MemberStateHeader"/>
    <w:rPr>
      <w:rFonts w:ascii="Verdana" w:eastAsia="MS Gothic" w:hAnsi="Verdana" w:cs="Times New Roman"/>
      <w:caps/>
      <w:color w:val="242852"/>
      <w:kern w:val="20"/>
      <w:sz w:val="28"/>
      <w:lang w:val="sk-SK" w:eastAsia="sk-SK"/>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pPr>
    <w:rPr>
      <w:rFonts w:eastAsia="Calibr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caps/>
    </w:rPr>
  </w:style>
  <w:style w:type="character" w:customStyle="1" w:styleId="FooterCoverPageChar">
    <w:name w:val="Footer Cover Page Char"/>
    <w:link w:val="FooterCoverPage"/>
    <w:rPr>
      <w:caps/>
      <w:sz w:val="24"/>
    </w:rPr>
  </w:style>
  <w:style w:type="paragraph" w:customStyle="1" w:styleId="HeaderCoverPage">
    <w:name w:val="Header Cover Page"/>
    <w:basedOn w:val="Normal"/>
    <w:link w:val="HeaderCoverPageChar"/>
    <w:pPr>
      <w:tabs>
        <w:tab w:val="center" w:pos="4535"/>
        <w:tab w:val="right" w:pos="9071"/>
      </w:tabs>
      <w:spacing w:after="120"/>
    </w:pPr>
    <w:rPr>
      <w:caps/>
    </w:rPr>
  </w:style>
  <w:style w:type="character" w:customStyle="1" w:styleId="HeaderCoverPageChar">
    <w:name w:val="Header Cover Page Char"/>
    <w:link w:val="HeaderCoverPage"/>
    <w:rPr>
      <w:caps/>
      <w:sz w:val="24"/>
    </w:rPr>
  </w:style>
  <w:style w:type="paragraph" w:customStyle="1" w:styleId="Title1">
    <w:name w:val="Title1"/>
    <w:basedOn w:val="Normal"/>
    <w:next w:val="Normal"/>
    <w:link w:val="TITLEChar"/>
    <w:autoRedefine/>
    <w:uiPriority w:val="1"/>
    <w:unhideWhenUsed/>
    <w:pPr>
      <w:keepNext/>
      <w:keepLines/>
      <w:outlineLvl w:val="1"/>
    </w:pPr>
    <w:rPr>
      <w:rFonts w:ascii="Arial" w:eastAsia="MS Gothic" w:hAnsi="Arial" w:cs="Arial"/>
      <w:caps/>
      <w:color w:val="4F81BD"/>
      <w:kern w:val="20"/>
      <w:sz w:val="28"/>
    </w:rPr>
  </w:style>
  <w:style w:type="character" w:customStyle="1" w:styleId="TITLEChar">
    <w:name w:val="TITLE Char"/>
    <w:link w:val="Title1"/>
    <w:uiPriority w:val="1"/>
    <w:rPr>
      <w:rFonts w:ascii="Arial" w:eastAsia="MS Gothic" w:hAnsi="Arial" w:cs="Arial"/>
      <w:caps/>
      <w:color w:val="4F81BD"/>
      <w:kern w:val="20"/>
      <w:sz w:val="28"/>
      <w:lang w:eastAsia="sk-SK"/>
    </w:rPr>
  </w:style>
  <w:style w:type="paragraph" w:customStyle="1" w:styleId="Stylekop2LatinArialCustomColorRGB79129189After">
    <w:name w:val="Style kop 2 + (Latin) Arial Custom Color(RGB(79129189)) After: ..."/>
    <w:basedOn w:val="kop2"/>
    <w:rPr>
      <w:rFonts w:eastAsia="Times New Roman"/>
    </w:rPr>
  </w:style>
  <w:style w:type="paragraph" w:customStyle="1" w:styleId="Style2">
    <w:name w:val="Style2"/>
    <w:basedOn w:val="kop2"/>
    <w:link w:val="Style2Char"/>
  </w:style>
  <w:style w:type="paragraph" w:customStyle="1" w:styleId="StyleSubtitleBoldAccent1Left">
    <w:name w:val="Style Subtitle + Bold Accent 1 Left"/>
    <w:basedOn w:val="Subtitle"/>
    <w:qFormat/>
    <w:pPr>
      <w:jc w:val="left"/>
    </w:pPr>
    <w:rPr>
      <w:b/>
      <w:bCs/>
      <w:color w:val="4F81BD"/>
    </w:rPr>
  </w:style>
  <w:style w:type="character" w:customStyle="1" w:styleId="Style2Char">
    <w:name w:val="Style2 Char"/>
    <w:link w:val="Style2"/>
    <w:rPr>
      <w:rFonts w:ascii="Arial" w:eastAsia="MS Gothic" w:hAnsi="Arial" w:cs="Arial"/>
      <w:caps/>
      <w:color w:val="4F81BD"/>
      <w:kern w:val="20"/>
      <w:sz w:val="24"/>
      <w:szCs w:val="24"/>
      <w:lang w:eastAsia="sk-SK"/>
    </w:rPr>
  </w:style>
  <w:style w:type="paragraph" w:customStyle="1" w:styleId="StyleSubtitleBoldAccent1Left1">
    <w:name w:val="Style Subtitle + Bold Accent 1 Left1"/>
    <w:basedOn w:val="Subtitle"/>
    <w:qFormat/>
    <w:pPr>
      <w:jc w:val="left"/>
    </w:pPr>
    <w:rPr>
      <w:b/>
      <w:bCs/>
      <w:color w:val="4F81BD"/>
    </w:rPr>
  </w:style>
  <w:style w:type="character" w:customStyle="1" w:styleId="bluetext11">
    <w:name w:val="bluetext11"/>
    <w:basedOn w:val="DefaultParagraphFont"/>
  </w:style>
  <w:style w:type="table" w:customStyle="1" w:styleId="Style12">
    <w:name w:val="Style12"/>
    <w:basedOn w:val="TableNormal"/>
    <w:tblPr>
      <w:tblInd w:w="0" w:type="dxa"/>
      <w:tblCellMar>
        <w:top w:w="0" w:type="dxa"/>
        <w:left w:w="108" w:type="dxa"/>
        <w:bottom w:w="0" w:type="dxa"/>
        <w:right w:w="108" w:type="dxa"/>
      </w:tblCellMar>
    </w:tblPr>
  </w:style>
  <w:style w:type="paragraph" w:styleId="NormalWeb">
    <w:name w:val="Normal (Web)"/>
    <w:basedOn w:val="Normal"/>
    <w:uiPriority w:val="99"/>
    <w:unhideWhenUsed/>
    <w:pPr>
      <w:spacing w:before="100" w:beforeAutospacing="1" w:after="100" w:afterAutospacing="1"/>
      <w:jc w:val="left"/>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910">
      <w:bodyDiv w:val="1"/>
      <w:marLeft w:val="0"/>
      <w:marRight w:val="0"/>
      <w:marTop w:val="0"/>
      <w:marBottom w:val="0"/>
      <w:divBdr>
        <w:top w:val="none" w:sz="0" w:space="0" w:color="auto"/>
        <w:left w:val="none" w:sz="0" w:space="0" w:color="auto"/>
        <w:bottom w:val="none" w:sz="0" w:space="0" w:color="auto"/>
        <w:right w:val="none" w:sz="0" w:space="0" w:color="auto"/>
      </w:divBdr>
    </w:div>
    <w:div w:id="22949177">
      <w:bodyDiv w:val="1"/>
      <w:marLeft w:val="0"/>
      <w:marRight w:val="0"/>
      <w:marTop w:val="0"/>
      <w:marBottom w:val="0"/>
      <w:divBdr>
        <w:top w:val="none" w:sz="0" w:space="0" w:color="auto"/>
        <w:left w:val="none" w:sz="0" w:space="0" w:color="auto"/>
        <w:bottom w:val="none" w:sz="0" w:space="0" w:color="auto"/>
        <w:right w:val="none" w:sz="0" w:space="0" w:color="auto"/>
      </w:divBdr>
      <w:divsChild>
        <w:div w:id="900822404">
          <w:marLeft w:val="0"/>
          <w:marRight w:val="0"/>
          <w:marTop w:val="0"/>
          <w:marBottom w:val="0"/>
          <w:divBdr>
            <w:top w:val="none" w:sz="0" w:space="0" w:color="auto"/>
            <w:left w:val="none" w:sz="0" w:space="0" w:color="auto"/>
            <w:bottom w:val="none" w:sz="0" w:space="0" w:color="auto"/>
            <w:right w:val="none" w:sz="0" w:space="0" w:color="auto"/>
          </w:divBdr>
          <w:divsChild>
            <w:div w:id="1230457846">
              <w:marLeft w:val="0"/>
              <w:marRight w:val="0"/>
              <w:marTop w:val="0"/>
              <w:marBottom w:val="0"/>
              <w:divBdr>
                <w:top w:val="none" w:sz="0" w:space="0" w:color="auto"/>
                <w:left w:val="none" w:sz="0" w:space="0" w:color="auto"/>
                <w:bottom w:val="none" w:sz="0" w:space="0" w:color="auto"/>
                <w:right w:val="none" w:sz="0" w:space="0" w:color="auto"/>
              </w:divBdr>
              <w:divsChild>
                <w:div w:id="1610042685">
                  <w:marLeft w:val="0"/>
                  <w:marRight w:val="0"/>
                  <w:marTop w:val="0"/>
                  <w:marBottom w:val="0"/>
                  <w:divBdr>
                    <w:top w:val="none" w:sz="0" w:space="0" w:color="auto"/>
                    <w:left w:val="none" w:sz="0" w:space="0" w:color="auto"/>
                    <w:bottom w:val="none" w:sz="0" w:space="0" w:color="auto"/>
                    <w:right w:val="none" w:sz="0" w:space="0" w:color="auto"/>
                  </w:divBdr>
                  <w:divsChild>
                    <w:div w:id="1445155071">
                      <w:marLeft w:val="0"/>
                      <w:marRight w:val="0"/>
                      <w:marTop w:val="0"/>
                      <w:marBottom w:val="0"/>
                      <w:divBdr>
                        <w:top w:val="none" w:sz="0" w:space="0" w:color="auto"/>
                        <w:left w:val="none" w:sz="0" w:space="0" w:color="auto"/>
                        <w:bottom w:val="none" w:sz="0" w:space="0" w:color="auto"/>
                        <w:right w:val="none" w:sz="0" w:space="0" w:color="auto"/>
                      </w:divBdr>
                      <w:divsChild>
                        <w:div w:id="782308462">
                          <w:marLeft w:val="0"/>
                          <w:marRight w:val="0"/>
                          <w:marTop w:val="0"/>
                          <w:marBottom w:val="0"/>
                          <w:divBdr>
                            <w:top w:val="none" w:sz="0" w:space="0" w:color="auto"/>
                            <w:left w:val="none" w:sz="0" w:space="0" w:color="auto"/>
                            <w:bottom w:val="none" w:sz="0" w:space="0" w:color="auto"/>
                            <w:right w:val="none" w:sz="0" w:space="0" w:color="auto"/>
                          </w:divBdr>
                          <w:divsChild>
                            <w:div w:id="986128834">
                              <w:marLeft w:val="0"/>
                              <w:marRight w:val="0"/>
                              <w:marTop w:val="0"/>
                              <w:marBottom w:val="0"/>
                              <w:divBdr>
                                <w:top w:val="none" w:sz="0" w:space="0" w:color="auto"/>
                                <w:left w:val="none" w:sz="0" w:space="0" w:color="auto"/>
                                <w:bottom w:val="none" w:sz="0" w:space="0" w:color="auto"/>
                                <w:right w:val="none" w:sz="0" w:space="0" w:color="auto"/>
                              </w:divBdr>
                              <w:divsChild>
                                <w:div w:id="430785409">
                                  <w:marLeft w:val="0"/>
                                  <w:marRight w:val="0"/>
                                  <w:marTop w:val="0"/>
                                  <w:marBottom w:val="0"/>
                                  <w:divBdr>
                                    <w:top w:val="none" w:sz="0" w:space="0" w:color="auto"/>
                                    <w:left w:val="none" w:sz="0" w:space="0" w:color="auto"/>
                                    <w:bottom w:val="none" w:sz="0" w:space="0" w:color="auto"/>
                                    <w:right w:val="none" w:sz="0" w:space="0" w:color="auto"/>
                                  </w:divBdr>
                                  <w:divsChild>
                                    <w:div w:id="9205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76703">
      <w:bodyDiv w:val="1"/>
      <w:marLeft w:val="0"/>
      <w:marRight w:val="0"/>
      <w:marTop w:val="0"/>
      <w:marBottom w:val="0"/>
      <w:divBdr>
        <w:top w:val="none" w:sz="0" w:space="0" w:color="auto"/>
        <w:left w:val="none" w:sz="0" w:space="0" w:color="auto"/>
        <w:bottom w:val="none" w:sz="0" w:space="0" w:color="auto"/>
        <w:right w:val="none" w:sz="0" w:space="0" w:color="auto"/>
      </w:divBdr>
    </w:div>
    <w:div w:id="123623349">
      <w:bodyDiv w:val="1"/>
      <w:marLeft w:val="0"/>
      <w:marRight w:val="0"/>
      <w:marTop w:val="0"/>
      <w:marBottom w:val="0"/>
      <w:divBdr>
        <w:top w:val="none" w:sz="0" w:space="0" w:color="auto"/>
        <w:left w:val="none" w:sz="0" w:space="0" w:color="auto"/>
        <w:bottom w:val="none" w:sz="0" w:space="0" w:color="auto"/>
        <w:right w:val="none" w:sz="0" w:space="0" w:color="auto"/>
      </w:divBdr>
      <w:divsChild>
        <w:div w:id="1707676523">
          <w:marLeft w:val="0"/>
          <w:marRight w:val="0"/>
          <w:marTop w:val="0"/>
          <w:marBottom w:val="0"/>
          <w:divBdr>
            <w:top w:val="none" w:sz="0" w:space="0" w:color="auto"/>
            <w:left w:val="none" w:sz="0" w:space="0" w:color="auto"/>
            <w:bottom w:val="none" w:sz="0" w:space="0" w:color="auto"/>
            <w:right w:val="none" w:sz="0" w:space="0" w:color="auto"/>
          </w:divBdr>
          <w:divsChild>
            <w:div w:id="637105600">
              <w:marLeft w:val="0"/>
              <w:marRight w:val="0"/>
              <w:marTop w:val="0"/>
              <w:marBottom w:val="0"/>
              <w:divBdr>
                <w:top w:val="none" w:sz="0" w:space="0" w:color="auto"/>
                <w:left w:val="none" w:sz="0" w:space="0" w:color="auto"/>
                <w:bottom w:val="none" w:sz="0" w:space="0" w:color="auto"/>
                <w:right w:val="none" w:sz="0" w:space="0" w:color="auto"/>
              </w:divBdr>
              <w:divsChild>
                <w:div w:id="496699497">
                  <w:marLeft w:val="0"/>
                  <w:marRight w:val="0"/>
                  <w:marTop w:val="0"/>
                  <w:marBottom w:val="0"/>
                  <w:divBdr>
                    <w:top w:val="none" w:sz="0" w:space="0" w:color="auto"/>
                    <w:left w:val="none" w:sz="0" w:space="0" w:color="auto"/>
                    <w:bottom w:val="none" w:sz="0" w:space="0" w:color="auto"/>
                    <w:right w:val="none" w:sz="0" w:space="0" w:color="auto"/>
                  </w:divBdr>
                  <w:divsChild>
                    <w:div w:id="672487117">
                      <w:marLeft w:val="0"/>
                      <w:marRight w:val="0"/>
                      <w:marTop w:val="0"/>
                      <w:marBottom w:val="0"/>
                      <w:divBdr>
                        <w:top w:val="single" w:sz="6" w:space="0" w:color="CCCCCC"/>
                        <w:left w:val="single" w:sz="2" w:space="0" w:color="CCCCCC"/>
                        <w:bottom w:val="single" w:sz="6" w:space="0" w:color="CCCCCC"/>
                        <w:right w:val="single" w:sz="2" w:space="0" w:color="CCCCCC"/>
                      </w:divBdr>
                      <w:divsChild>
                        <w:div w:id="1008867738">
                          <w:marLeft w:val="0"/>
                          <w:marRight w:val="0"/>
                          <w:marTop w:val="0"/>
                          <w:marBottom w:val="0"/>
                          <w:divBdr>
                            <w:top w:val="none" w:sz="0" w:space="0" w:color="auto"/>
                            <w:left w:val="none" w:sz="0" w:space="0" w:color="auto"/>
                            <w:bottom w:val="none" w:sz="0" w:space="0" w:color="auto"/>
                            <w:right w:val="none" w:sz="0" w:space="0" w:color="auto"/>
                          </w:divBdr>
                          <w:divsChild>
                            <w:div w:id="1317493264">
                              <w:marLeft w:val="0"/>
                              <w:marRight w:val="0"/>
                              <w:marTop w:val="0"/>
                              <w:marBottom w:val="0"/>
                              <w:divBdr>
                                <w:top w:val="none" w:sz="0" w:space="0" w:color="auto"/>
                                <w:left w:val="none" w:sz="0" w:space="0" w:color="auto"/>
                                <w:bottom w:val="none" w:sz="0" w:space="0" w:color="auto"/>
                                <w:right w:val="none" w:sz="0" w:space="0" w:color="auto"/>
                              </w:divBdr>
                              <w:divsChild>
                                <w:div w:id="50424938">
                                  <w:marLeft w:val="0"/>
                                  <w:marRight w:val="0"/>
                                  <w:marTop w:val="0"/>
                                  <w:marBottom w:val="0"/>
                                  <w:divBdr>
                                    <w:top w:val="none" w:sz="0" w:space="0" w:color="auto"/>
                                    <w:left w:val="none" w:sz="0" w:space="0" w:color="auto"/>
                                    <w:bottom w:val="none" w:sz="0" w:space="0" w:color="auto"/>
                                    <w:right w:val="none" w:sz="0" w:space="0" w:color="auto"/>
                                  </w:divBdr>
                                  <w:divsChild>
                                    <w:div w:id="1860655277">
                                      <w:marLeft w:val="0"/>
                                      <w:marRight w:val="0"/>
                                      <w:marTop w:val="0"/>
                                      <w:marBottom w:val="0"/>
                                      <w:divBdr>
                                        <w:top w:val="none" w:sz="0" w:space="0" w:color="auto"/>
                                        <w:left w:val="none" w:sz="0" w:space="0" w:color="auto"/>
                                        <w:bottom w:val="none" w:sz="0" w:space="0" w:color="auto"/>
                                        <w:right w:val="none" w:sz="0" w:space="0" w:color="auto"/>
                                      </w:divBdr>
                                      <w:divsChild>
                                        <w:div w:id="137418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23123">
      <w:bodyDiv w:val="1"/>
      <w:marLeft w:val="0"/>
      <w:marRight w:val="0"/>
      <w:marTop w:val="0"/>
      <w:marBottom w:val="0"/>
      <w:divBdr>
        <w:top w:val="none" w:sz="0" w:space="0" w:color="auto"/>
        <w:left w:val="none" w:sz="0" w:space="0" w:color="auto"/>
        <w:bottom w:val="none" w:sz="0" w:space="0" w:color="auto"/>
        <w:right w:val="none" w:sz="0" w:space="0" w:color="auto"/>
      </w:divBdr>
    </w:div>
    <w:div w:id="322779903">
      <w:bodyDiv w:val="1"/>
      <w:marLeft w:val="0"/>
      <w:marRight w:val="0"/>
      <w:marTop w:val="0"/>
      <w:marBottom w:val="0"/>
      <w:divBdr>
        <w:top w:val="none" w:sz="0" w:space="0" w:color="auto"/>
        <w:left w:val="none" w:sz="0" w:space="0" w:color="auto"/>
        <w:bottom w:val="none" w:sz="0" w:space="0" w:color="auto"/>
        <w:right w:val="none" w:sz="0" w:space="0" w:color="auto"/>
      </w:divBdr>
    </w:div>
    <w:div w:id="358243850">
      <w:bodyDiv w:val="1"/>
      <w:marLeft w:val="0"/>
      <w:marRight w:val="0"/>
      <w:marTop w:val="0"/>
      <w:marBottom w:val="0"/>
      <w:divBdr>
        <w:top w:val="none" w:sz="0" w:space="0" w:color="auto"/>
        <w:left w:val="none" w:sz="0" w:space="0" w:color="auto"/>
        <w:bottom w:val="none" w:sz="0" w:space="0" w:color="auto"/>
        <w:right w:val="none" w:sz="0" w:space="0" w:color="auto"/>
      </w:divBdr>
      <w:divsChild>
        <w:div w:id="1575889633">
          <w:marLeft w:val="0"/>
          <w:marRight w:val="0"/>
          <w:marTop w:val="0"/>
          <w:marBottom w:val="0"/>
          <w:divBdr>
            <w:top w:val="none" w:sz="0" w:space="0" w:color="auto"/>
            <w:left w:val="none" w:sz="0" w:space="0" w:color="auto"/>
            <w:bottom w:val="none" w:sz="0" w:space="0" w:color="auto"/>
            <w:right w:val="none" w:sz="0" w:space="0" w:color="auto"/>
          </w:divBdr>
          <w:divsChild>
            <w:div w:id="679549920">
              <w:marLeft w:val="0"/>
              <w:marRight w:val="0"/>
              <w:marTop w:val="0"/>
              <w:marBottom w:val="0"/>
              <w:divBdr>
                <w:top w:val="none" w:sz="0" w:space="0" w:color="auto"/>
                <w:left w:val="none" w:sz="0" w:space="0" w:color="auto"/>
                <w:bottom w:val="none" w:sz="0" w:space="0" w:color="auto"/>
                <w:right w:val="none" w:sz="0" w:space="0" w:color="auto"/>
              </w:divBdr>
              <w:divsChild>
                <w:div w:id="599528447">
                  <w:marLeft w:val="0"/>
                  <w:marRight w:val="0"/>
                  <w:marTop w:val="0"/>
                  <w:marBottom w:val="0"/>
                  <w:divBdr>
                    <w:top w:val="none" w:sz="0" w:space="0" w:color="auto"/>
                    <w:left w:val="none" w:sz="0" w:space="0" w:color="auto"/>
                    <w:bottom w:val="none" w:sz="0" w:space="0" w:color="auto"/>
                    <w:right w:val="none" w:sz="0" w:space="0" w:color="auto"/>
                  </w:divBdr>
                  <w:divsChild>
                    <w:div w:id="23138079">
                      <w:marLeft w:val="0"/>
                      <w:marRight w:val="0"/>
                      <w:marTop w:val="0"/>
                      <w:marBottom w:val="0"/>
                      <w:divBdr>
                        <w:top w:val="none" w:sz="0" w:space="0" w:color="auto"/>
                        <w:left w:val="none" w:sz="0" w:space="0" w:color="auto"/>
                        <w:bottom w:val="none" w:sz="0" w:space="0" w:color="auto"/>
                        <w:right w:val="none" w:sz="0" w:space="0" w:color="auto"/>
                      </w:divBdr>
                      <w:divsChild>
                        <w:div w:id="332076590">
                          <w:marLeft w:val="0"/>
                          <w:marRight w:val="0"/>
                          <w:marTop w:val="0"/>
                          <w:marBottom w:val="0"/>
                          <w:divBdr>
                            <w:top w:val="none" w:sz="0" w:space="0" w:color="auto"/>
                            <w:left w:val="none" w:sz="0" w:space="0" w:color="auto"/>
                            <w:bottom w:val="none" w:sz="0" w:space="0" w:color="auto"/>
                            <w:right w:val="none" w:sz="0" w:space="0" w:color="auto"/>
                          </w:divBdr>
                          <w:divsChild>
                            <w:div w:id="184558091">
                              <w:marLeft w:val="0"/>
                              <w:marRight w:val="0"/>
                              <w:marTop w:val="0"/>
                              <w:marBottom w:val="0"/>
                              <w:divBdr>
                                <w:top w:val="none" w:sz="0" w:space="0" w:color="auto"/>
                                <w:left w:val="none" w:sz="0" w:space="0" w:color="auto"/>
                                <w:bottom w:val="none" w:sz="0" w:space="0" w:color="auto"/>
                                <w:right w:val="none" w:sz="0" w:space="0" w:color="auto"/>
                              </w:divBdr>
                              <w:divsChild>
                                <w:div w:id="1370717600">
                                  <w:marLeft w:val="0"/>
                                  <w:marRight w:val="0"/>
                                  <w:marTop w:val="0"/>
                                  <w:marBottom w:val="0"/>
                                  <w:divBdr>
                                    <w:top w:val="none" w:sz="0" w:space="0" w:color="auto"/>
                                    <w:left w:val="none" w:sz="0" w:space="0" w:color="auto"/>
                                    <w:bottom w:val="none" w:sz="0" w:space="0" w:color="auto"/>
                                    <w:right w:val="none" w:sz="0" w:space="0" w:color="auto"/>
                                  </w:divBdr>
                                  <w:divsChild>
                                    <w:div w:id="152543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517910">
      <w:bodyDiv w:val="1"/>
      <w:marLeft w:val="0"/>
      <w:marRight w:val="0"/>
      <w:marTop w:val="0"/>
      <w:marBottom w:val="0"/>
      <w:divBdr>
        <w:top w:val="none" w:sz="0" w:space="0" w:color="auto"/>
        <w:left w:val="none" w:sz="0" w:space="0" w:color="auto"/>
        <w:bottom w:val="none" w:sz="0" w:space="0" w:color="auto"/>
        <w:right w:val="none" w:sz="0" w:space="0" w:color="auto"/>
      </w:divBdr>
    </w:div>
    <w:div w:id="453520694">
      <w:bodyDiv w:val="1"/>
      <w:marLeft w:val="0"/>
      <w:marRight w:val="0"/>
      <w:marTop w:val="0"/>
      <w:marBottom w:val="0"/>
      <w:divBdr>
        <w:top w:val="none" w:sz="0" w:space="0" w:color="auto"/>
        <w:left w:val="none" w:sz="0" w:space="0" w:color="auto"/>
        <w:bottom w:val="none" w:sz="0" w:space="0" w:color="auto"/>
        <w:right w:val="none" w:sz="0" w:space="0" w:color="auto"/>
      </w:divBdr>
    </w:div>
    <w:div w:id="492376243">
      <w:bodyDiv w:val="1"/>
      <w:marLeft w:val="0"/>
      <w:marRight w:val="0"/>
      <w:marTop w:val="0"/>
      <w:marBottom w:val="0"/>
      <w:divBdr>
        <w:top w:val="none" w:sz="0" w:space="0" w:color="auto"/>
        <w:left w:val="none" w:sz="0" w:space="0" w:color="auto"/>
        <w:bottom w:val="none" w:sz="0" w:space="0" w:color="auto"/>
        <w:right w:val="none" w:sz="0" w:space="0" w:color="auto"/>
      </w:divBdr>
      <w:divsChild>
        <w:div w:id="147089823">
          <w:marLeft w:val="0"/>
          <w:marRight w:val="0"/>
          <w:marTop w:val="0"/>
          <w:marBottom w:val="0"/>
          <w:divBdr>
            <w:top w:val="none" w:sz="0" w:space="0" w:color="auto"/>
            <w:left w:val="none" w:sz="0" w:space="0" w:color="auto"/>
            <w:bottom w:val="none" w:sz="0" w:space="0" w:color="auto"/>
            <w:right w:val="none" w:sz="0" w:space="0" w:color="auto"/>
          </w:divBdr>
          <w:divsChild>
            <w:div w:id="1876235065">
              <w:marLeft w:val="0"/>
              <w:marRight w:val="0"/>
              <w:marTop w:val="0"/>
              <w:marBottom w:val="150"/>
              <w:divBdr>
                <w:top w:val="none" w:sz="0" w:space="0" w:color="auto"/>
                <w:left w:val="none" w:sz="0" w:space="0" w:color="auto"/>
                <w:bottom w:val="none" w:sz="0" w:space="0" w:color="auto"/>
                <w:right w:val="none" w:sz="0" w:space="0" w:color="auto"/>
              </w:divBdr>
              <w:divsChild>
                <w:div w:id="418526385">
                  <w:marLeft w:val="0"/>
                  <w:marRight w:val="0"/>
                  <w:marTop w:val="0"/>
                  <w:marBottom w:val="0"/>
                  <w:divBdr>
                    <w:top w:val="none" w:sz="0" w:space="0" w:color="auto"/>
                    <w:left w:val="none" w:sz="0" w:space="0" w:color="auto"/>
                    <w:bottom w:val="none" w:sz="0" w:space="0" w:color="auto"/>
                    <w:right w:val="none" w:sz="0" w:space="0" w:color="auto"/>
                  </w:divBdr>
                  <w:divsChild>
                    <w:div w:id="1523665208">
                      <w:marLeft w:val="0"/>
                      <w:marRight w:val="0"/>
                      <w:marTop w:val="0"/>
                      <w:marBottom w:val="0"/>
                      <w:divBdr>
                        <w:top w:val="none" w:sz="0" w:space="0" w:color="auto"/>
                        <w:left w:val="none" w:sz="0" w:space="0" w:color="auto"/>
                        <w:bottom w:val="none" w:sz="0" w:space="0" w:color="auto"/>
                        <w:right w:val="none" w:sz="0" w:space="0" w:color="auto"/>
                      </w:divBdr>
                      <w:divsChild>
                        <w:div w:id="254553891">
                          <w:marLeft w:val="0"/>
                          <w:marRight w:val="0"/>
                          <w:marTop w:val="0"/>
                          <w:marBottom w:val="0"/>
                          <w:divBdr>
                            <w:top w:val="none" w:sz="0" w:space="0" w:color="auto"/>
                            <w:left w:val="none" w:sz="0" w:space="0" w:color="auto"/>
                            <w:bottom w:val="none" w:sz="0" w:space="0" w:color="auto"/>
                            <w:right w:val="none" w:sz="0" w:space="0" w:color="auto"/>
                          </w:divBdr>
                          <w:divsChild>
                            <w:div w:id="633368064">
                              <w:marLeft w:val="0"/>
                              <w:marRight w:val="0"/>
                              <w:marTop w:val="0"/>
                              <w:marBottom w:val="0"/>
                              <w:divBdr>
                                <w:top w:val="none" w:sz="0" w:space="0" w:color="auto"/>
                                <w:left w:val="none" w:sz="0" w:space="0" w:color="auto"/>
                                <w:bottom w:val="none" w:sz="0" w:space="0" w:color="auto"/>
                                <w:right w:val="none" w:sz="0" w:space="0" w:color="auto"/>
                              </w:divBdr>
                              <w:divsChild>
                                <w:div w:id="1588156009">
                                  <w:marLeft w:val="0"/>
                                  <w:marRight w:val="-3600"/>
                                  <w:marTop w:val="150"/>
                                  <w:marBottom w:val="0"/>
                                  <w:divBdr>
                                    <w:top w:val="none" w:sz="0" w:space="0" w:color="auto"/>
                                    <w:left w:val="none" w:sz="0" w:space="0" w:color="auto"/>
                                    <w:bottom w:val="none" w:sz="0" w:space="0" w:color="auto"/>
                                    <w:right w:val="none" w:sz="0" w:space="0" w:color="auto"/>
                                  </w:divBdr>
                                  <w:divsChild>
                                    <w:div w:id="406807535">
                                      <w:marLeft w:val="0"/>
                                      <w:marRight w:val="360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691806922">
                                              <w:marLeft w:val="0"/>
                                              <w:marRight w:val="0"/>
                                              <w:marTop w:val="0"/>
                                              <w:marBottom w:val="0"/>
                                              <w:divBdr>
                                                <w:top w:val="none" w:sz="0" w:space="0" w:color="auto"/>
                                                <w:left w:val="none" w:sz="0" w:space="0" w:color="auto"/>
                                                <w:bottom w:val="none" w:sz="0" w:space="0" w:color="auto"/>
                                                <w:right w:val="none" w:sz="0" w:space="0" w:color="auto"/>
                                              </w:divBdr>
                                              <w:divsChild>
                                                <w:div w:id="1129935934">
                                                  <w:marLeft w:val="0"/>
                                                  <w:marRight w:val="0"/>
                                                  <w:marTop w:val="0"/>
                                                  <w:marBottom w:val="0"/>
                                                  <w:divBdr>
                                                    <w:top w:val="none" w:sz="0" w:space="0" w:color="auto"/>
                                                    <w:left w:val="none" w:sz="0" w:space="0" w:color="auto"/>
                                                    <w:bottom w:val="none" w:sz="0" w:space="0" w:color="auto"/>
                                                    <w:right w:val="none" w:sz="0" w:space="0" w:color="auto"/>
                                                  </w:divBdr>
                                                  <w:divsChild>
                                                    <w:div w:id="276377118">
                                                      <w:marLeft w:val="0"/>
                                                      <w:marRight w:val="0"/>
                                                      <w:marTop w:val="0"/>
                                                      <w:marBottom w:val="0"/>
                                                      <w:divBdr>
                                                        <w:top w:val="none" w:sz="0" w:space="0" w:color="auto"/>
                                                        <w:left w:val="none" w:sz="0" w:space="0" w:color="auto"/>
                                                        <w:bottom w:val="none" w:sz="0" w:space="0" w:color="auto"/>
                                                        <w:right w:val="none" w:sz="0" w:space="0" w:color="auto"/>
                                                      </w:divBdr>
                                                      <w:divsChild>
                                                        <w:div w:id="20992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3084009">
      <w:bodyDiv w:val="1"/>
      <w:marLeft w:val="0"/>
      <w:marRight w:val="0"/>
      <w:marTop w:val="0"/>
      <w:marBottom w:val="0"/>
      <w:divBdr>
        <w:top w:val="none" w:sz="0" w:space="0" w:color="auto"/>
        <w:left w:val="none" w:sz="0" w:space="0" w:color="auto"/>
        <w:bottom w:val="none" w:sz="0" w:space="0" w:color="auto"/>
        <w:right w:val="none" w:sz="0" w:space="0" w:color="auto"/>
      </w:divBdr>
    </w:div>
    <w:div w:id="579101762">
      <w:bodyDiv w:val="1"/>
      <w:marLeft w:val="0"/>
      <w:marRight w:val="0"/>
      <w:marTop w:val="0"/>
      <w:marBottom w:val="0"/>
      <w:divBdr>
        <w:top w:val="none" w:sz="0" w:space="0" w:color="auto"/>
        <w:left w:val="none" w:sz="0" w:space="0" w:color="auto"/>
        <w:bottom w:val="none" w:sz="0" w:space="0" w:color="auto"/>
        <w:right w:val="none" w:sz="0" w:space="0" w:color="auto"/>
      </w:divBdr>
    </w:div>
    <w:div w:id="686325501">
      <w:bodyDiv w:val="1"/>
      <w:marLeft w:val="0"/>
      <w:marRight w:val="0"/>
      <w:marTop w:val="0"/>
      <w:marBottom w:val="0"/>
      <w:divBdr>
        <w:top w:val="none" w:sz="0" w:space="0" w:color="auto"/>
        <w:left w:val="none" w:sz="0" w:space="0" w:color="auto"/>
        <w:bottom w:val="none" w:sz="0" w:space="0" w:color="auto"/>
        <w:right w:val="none" w:sz="0" w:space="0" w:color="auto"/>
      </w:divBdr>
    </w:div>
    <w:div w:id="719208015">
      <w:bodyDiv w:val="1"/>
      <w:marLeft w:val="0"/>
      <w:marRight w:val="0"/>
      <w:marTop w:val="0"/>
      <w:marBottom w:val="0"/>
      <w:divBdr>
        <w:top w:val="none" w:sz="0" w:space="0" w:color="auto"/>
        <w:left w:val="none" w:sz="0" w:space="0" w:color="auto"/>
        <w:bottom w:val="none" w:sz="0" w:space="0" w:color="auto"/>
        <w:right w:val="none" w:sz="0" w:space="0" w:color="auto"/>
      </w:divBdr>
    </w:div>
    <w:div w:id="773478934">
      <w:bodyDiv w:val="1"/>
      <w:marLeft w:val="0"/>
      <w:marRight w:val="0"/>
      <w:marTop w:val="0"/>
      <w:marBottom w:val="0"/>
      <w:divBdr>
        <w:top w:val="none" w:sz="0" w:space="0" w:color="auto"/>
        <w:left w:val="none" w:sz="0" w:space="0" w:color="auto"/>
        <w:bottom w:val="none" w:sz="0" w:space="0" w:color="auto"/>
        <w:right w:val="none" w:sz="0" w:space="0" w:color="auto"/>
      </w:divBdr>
    </w:div>
    <w:div w:id="778253729">
      <w:bodyDiv w:val="1"/>
      <w:marLeft w:val="0"/>
      <w:marRight w:val="0"/>
      <w:marTop w:val="0"/>
      <w:marBottom w:val="0"/>
      <w:divBdr>
        <w:top w:val="none" w:sz="0" w:space="0" w:color="auto"/>
        <w:left w:val="none" w:sz="0" w:space="0" w:color="auto"/>
        <w:bottom w:val="none" w:sz="0" w:space="0" w:color="auto"/>
        <w:right w:val="none" w:sz="0" w:space="0" w:color="auto"/>
      </w:divBdr>
    </w:div>
    <w:div w:id="789740923">
      <w:bodyDiv w:val="1"/>
      <w:marLeft w:val="0"/>
      <w:marRight w:val="0"/>
      <w:marTop w:val="0"/>
      <w:marBottom w:val="0"/>
      <w:divBdr>
        <w:top w:val="none" w:sz="0" w:space="0" w:color="auto"/>
        <w:left w:val="none" w:sz="0" w:space="0" w:color="auto"/>
        <w:bottom w:val="none" w:sz="0" w:space="0" w:color="auto"/>
        <w:right w:val="none" w:sz="0" w:space="0" w:color="auto"/>
      </w:divBdr>
    </w:div>
    <w:div w:id="833106307">
      <w:bodyDiv w:val="1"/>
      <w:marLeft w:val="0"/>
      <w:marRight w:val="0"/>
      <w:marTop w:val="0"/>
      <w:marBottom w:val="0"/>
      <w:divBdr>
        <w:top w:val="none" w:sz="0" w:space="0" w:color="auto"/>
        <w:left w:val="none" w:sz="0" w:space="0" w:color="auto"/>
        <w:bottom w:val="none" w:sz="0" w:space="0" w:color="auto"/>
        <w:right w:val="none" w:sz="0" w:space="0" w:color="auto"/>
      </w:divBdr>
    </w:div>
    <w:div w:id="1032147720">
      <w:bodyDiv w:val="1"/>
      <w:marLeft w:val="0"/>
      <w:marRight w:val="0"/>
      <w:marTop w:val="0"/>
      <w:marBottom w:val="0"/>
      <w:divBdr>
        <w:top w:val="none" w:sz="0" w:space="0" w:color="auto"/>
        <w:left w:val="none" w:sz="0" w:space="0" w:color="auto"/>
        <w:bottom w:val="none" w:sz="0" w:space="0" w:color="auto"/>
        <w:right w:val="none" w:sz="0" w:space="0" w:color="auto"/>
      </w:divBdr>
    </w:div>
    <w:div w:id="1239368096">
      <w:bodyDiv w:val="1"/>
      <w:marLeft w:val="0"/>
      <w:marRight w:val="0"/>
      <w:marTop w:val="0"/>
      <w:marBottom w:val="0"/>
      <w:divBdr>
        <w:top w:val="none" w:sz="0" w:space="0" w:color="auto"/>
        <w:left w:val="none" w:sz="0" w:space="0" w:color="auto"/>
        <w:bottom w:val="none" w:sz="0" w:space="0" w:color="auto"/>
        <w:right w:val="none" w:sz="0" w:space="0" w:color="auto"/>
      </w:divBdr>
    </w:div>
    <w:div w:id="1250583500">
      <w:bodyDiv w:val="1"/>
      <w:marLeft w:val="0"/>
      <w:marRight w:val="0"/>
      <w:marTop w:val="0"/>
      <w:marBottom w:val="0"/>
      <w:divBdr>
        <w:top w:val="none" w:sz="0" w:space="0" w:color="auto"/>
        <w:left w:val="none" w:sz="0" w:space="0" w:color="auto"/>
        <w:bottom w:val="none" w:sz="0" w:space="0" w:color="auto"/>
        <w:right w:val="none" w:sz="0" w:space="0" w:color="auto"/>
      </w:divBdr>
    </w:div>
    <w:div w:id="1288703011">
      <w:bodyDiv w:val="1"/>
      <w:marLeft w:val="0"/>
      <w:marRight w:val="0"/>
      <w:marTop w:val="0"/>
      <w:marBottom w:val="0"/>
      <w:divBdr>
        <w:top w:val="none" w:sz="0" w:space="0" w:color="auto"/>
        <w:left w:val="none" w:sz="0" w:space="0" w:color="auto"/>
        <w:bottom w:val="none" w:sz="0" w:space="0" w:color="auto"/>
        <w:right w:val="none" w:sz="0" w:space="0" w:color="auto"/>
      </w:divBdr>
    </w:div>
    <w:div w:id="1300956973">
      <w:bodyDiv w:val="1"/>
      <w:marLeft w:val="0"/>
      <w:marRight w:val="0"/>
      <w:marTop w:val="0"/>
      <w:marBottom w:val="0"/>
      <w:divBdr>
        <w:top w:val="none" w:sz="0" w:space="0" w:color="auto"/>
        <w:left w:val="none" w:sz="0" w:space="0" w:color="auto"/>
        <w:bottom w:val="none" w:sz="0" w:space="0" w:color="auto"/>
        <w:right w:val="none" w:sz="0" w:space="0" w:color="auto"/>
      </w:divBdr>
    </w:div>
    <w:div w:id="1307706596">
      <w:bodyDiv w:val="1"/>
      <w:marLeft w:val="0"/>
      <w:marRight w:val="0"/>
      <w:marTop w:val="0"/>
      <w:marBottom w:val="0"/>
      <w:divBdr>
        <w:top w:val="none" w:sz="0" w:space="0" w:color="auto"/>
        <w:left w:val="none" w:sz="0" w:space="0" w:color="auto"/>
        <w:bottom w:val="none" w:sz="0" w:space="0" w:color="auto"/>
        <w:right w:val="none" w:sz="0" w:space="0" w:color="auto"/>
      </w:divBdr>
    </w:div>
    <w:div w:id="1385760670">
      <w:bodyDiv w:val="1"/>
      <w:marLeft w:val="0"/>
      <w:marRight w:val="0"/>
      <w:marTop w:val="0"/>
      <w:marBottom w:val="0"/>
      <w:divBdr>
        <w:top w:val="none" w:sz="0" w:space="0" w:color="auto"/>
        <w:left w:val="none" w:sz="0" w:space="0" w:color="auto"/>
        <w:bottom w:val="none" w:sz="0" w:space="0" w:color="auto"/>
        <w:right w:val="none" w:sz="0" w:space="0" w:color="auto"/>
      </w:divBdr>
    </w:div>
    <w:div w:id="1482575523">
      <w:bodyDiv w:val="1"/>
      <w:marLeft w:val="0"/>
      <w:marRight w:val="0"/>
      <w:marTop w:val="0"/>
      <w:marBottom w:val="0"/>
      <w:divBdr>
        <w:top w:val="none" w:sz="0" w:space="0" w:color="auto"/>
        <w:left w:val="none" w:sz="0" w:space="0" w:color="auto"/>
        <w:bottom w:val="none" w:sz="0" w:space="0" w:color="auto"/>
        <w:right w:val="none" w:sz="0" w:space="0" w:color="auto"/>
      </w:divBdr>
    </w:div>
    <w:div w:id="1527908422">
      <w:bodyDiv w:val="1"/>
      <w:marLeft w:val="0"/>
      <w:marRight w:val="0"/>
      <w:marTop w:val="0"/>
      <w:marBottom w:val="0"/>
      <w:divBdr>
        <w:top w:val="none" w:sz="0" w:space="0" w:color="auto"/>
        <w:left w:val="none" w:sz="0" w:space="0" w:color="auto"/>
        <w:bottom w:val="none" w:sz="0" w:space="0" w:color="auto"/>
        <w:right w:val="none" w:sz="0" w:space="0" w:color="auto"/>
      </w:divBdr>
    </w:div>
    <w:div w:id="1564373180">
      <w:bodyDiv w:val="1"/>
      <w:marLeft w:val="0"/>
      <w:marRight w:val="0"/>
      <w:marTop w:val="0"/>
      <w:marBottom w:val="0"/>
      <w:divBdr>
        <w:top w:val="none" w:sz="0" w:space="0" w:color="auto"/>
        <w:left w:val="none" w:sz="0" w:space="0" w:color="auto"/>
        <w:bottom w:val="none" w:sz="0" w:space="0" w:color="auto"/>
        <w:right w:val="none" w:sz="0" w:space="0" w:color="auto"/>
      </w:divBdr>
    </w:div>
    <w:div w:id="1680888005">
      <w:bodyDiv w:val="1"/>
      <w:marLeft w:val="0"/>
      <w:marRight w:val="0"/>
      <w:marTop w:val="0"/>
      <w:marBottom w:val="0"/>
      <w:divBdr>
        <w:top w:val="none" w:sz="0" w:space="0" w:color="auto"/>
        <w:left w:val="none" w:sz="0" w:space="0" w:color="auto"/>
        <w:bottom w:val="none" w:sz="0" w:space="0" w:color="auto"/>
        <w:right w:val="none" w:sz="0" w:space="0" w:color="auto"/>
      </w:divBdr>
    </w:div>
    <w:div w:id="1723938366">
      <w:bodyDiv w:val="1"/>
      <w:marLeft w:val="0"/>
      <w:marRight w:val="0"/>
      <w:marTop w:val="0"/>
      <w:marBottom w:val="0"/>
      <w:divBdr>
        <w:top w:val="none" w:sz="0" w:space="0" w:color="auto"/>
        <w:left w:val="none" w:sz="0" w:space="0" w:color="auto"/>
        <w:bottom w:val="none" w:sz="0" w:space="0" w:color="auto"/>
        <w:right w:val="none" w:sz="0" w:space="0" w:color="auto"/>
      </w:divBdr>
      <w:divsChild>
        <w:div w:id="1547569192">
          <w:marLeft w:val="0"/>
          <w:marRight w:val="0"/>
          <w:marTop w:val="0"/>
          <w:marBottom w:val="0"/>
          <w:divBdr>
            <w:top w:val="none" w:sz="0" w:space="0" w:color="auto"/>
            <w:left w:val="none" w:sz="0" w:space="0" w:color="auto"/>
            <w:bottom w:val="none" w:sz="0" w:space="0" w:color="auto"/>
            <w:right w:val="none" w:sz="0" w:space="0" w:color="auto"/>
          </w:divBdr>
          <w:divsChild>
            <w:div w:id="1998605590">
              <w:marLeft w:val="0"/>
              <w:marRight w:val="0"/>
              <w:marTop w:val="0"/>
              <w:marBottom w:val="0"/>
              <w:divBdr>
                <w:top w:val="none" w:sz="0" w:space="0" w:color="auto"/>
                <w:left w:val="none" w:sz="0" w:space="0" w:color="auto"/>
                <w:bottom w:val="none" w:sz="0" w:space="0" w:color="auto"/>
                <w:right w:val="none" w:sz="0" w:space="0" w:color="auto"/>
              </w:divBdr>
              <w:divsChild>
                <w:div w:id="269632737">
                  <w:marLeft w:val="0"/>
                  <w:marRight w:val="0"/>
                  <w:marTop w:val="0"/>
                  <w:marBottom w:val="0"/>
                  <w:divBdr>
                    <w:top w:val="none" w:sz="0" w:space="0" w:color="auto"/>
                    <w:left w:val="none" w:sz="0" w:space="0" w:color="auto"/>
                    <w:bottom w:val="none" w:sz="0" w:space="0" w:color="auto"/>
                    <w:right w:val="none" w:sz="0" w:space="0" w:color="auto"/>
                  </w:divBdr>
                  <w:divsChild>
                    <w:div w:id="908923535">
                      <w:marLeft w:val="0"/>
                      <w:marRight w:val="0"/>
                      <w:marTop w:val="0"/>
                      <w:marBottom w:val="0"/>
                      <w:divBdr>
                        <w:top w:val="single" w:sz="6" w:space="0" w:color="CCCCCC"/>
                        <w:left w:val="single" w:sz="2" w:space="0" w:color="CCCCCC"/>
                        <w:bottom w:val="single" w:sz="6" w:space="0" w:color="CCCCCC"/>
                        <w:right w:val="single" w:sz="2" w:space="0" w:color="CCCCCC"/>
                      </w:divBdr>
                      <w:divsChild>
                        <w:div w:id="941495245">
                          <w:marLeft w:val="0"/>
                          <w:marRight w:val="0"/>
                          <w:marTop w:val="0"/>
                          <w:marBottom w:val="0"/>
                          <w:divBdr>
                            <w:top w:val="none" w:sz="0" w:space="0" w:color="auto"/>
                            <w:left w:val="none" w:sz="0" w:space="0" w:color="auto"/>
                            <w:bottom w:val="none" w:sz="0" w:space="0" w:color="auto"/>
                            <w:right w:val="none" w:sz="0" w:space="0" w:color="auto"/>
                          </w:divBdr>
                          <w:divsChild>
                            <w:div w:id="1664894565">
                              <w:marLeft w:val="0"/>
                              <w:marRight w:val="0"/>
                              <w:marTop w:val="0"/>
                              <w:marBottom w:val="0"/>
                              <w:divBdr>
                                <w:top w:val="none" w:sz="0" w:space="0" w:color="auto"/>
                                <w:left w:val="none" w:sz="0" w:space="0" w:color="auto"/>
                                <w:bottom w:val="none" w:sz="0" w:space="0" w:color="auto"/>
                                <w:right w:val="none" w:sz="0" w:space="0" w:color="auto"/>
                              </w:divBdr>
                              <w:divsChild>
                                <w:div w:id="1912546412">
                                  <w:marLeft w:val="0"/>
                                  <w:marRight w:val="0"/>
                                  <w:marTop w:val="0"/>
                                  <w:marBottom w:val="0"/>
                                  <w:divBdr>
                                    <w:top w:val="none" w:sz="0" w:space="0" w:color="auto"/>
                                    <w:left w:val="none" w:sz="0" w:space="0" w:color="auto"/>
                                    <w:bottom w:val="none" w:sz="0" w:space="0" w:color="auto"/>
                                    <w:right w:val="none" w:sz="0" w:space="0" w:color="auto"/>
                                  </w:divBdr>
                                  <w:divsChild>
                                    <w:div w:id="1540628682">
                                      <w:marLeft w:val="0"/>
                                      <w:marRight w:val="0"/>
                                      <w:marTop w:val="0"/>
                                      <w:marBottom w:val="0"/>
                                      <w:divBdr>
                                        <w:top w:val="none" w:sz="0" w:space="0" w:color="auto"/>
                                        <w:left w:val="none" w:sz="0" w:space="0" w:color="auto"/>
                                        <w:bottom w:val="none" w:sz="0" w:space="0" w:color="auto"/>
                                        <w:right w:val="none" w:sz="0" w:space="0" w:color="auto"/>
                                      </w:divBdr>
                                      <w:divsChild>
                                        <w:div w:id="148088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5563889">
      <w:bodyDiv w:val="1"/>
      <w:marLeft w:val="0"/>
      <w:marRight w:val="0"/>
      <w:marTop w:val="0"/>
      <w:marBottom w:val="0"/>
      <w:divBdr>
        <w:top w:val="none" w:sz="0" w:space="0" w:color="auto"/>
        <w:left w:val="none" w:sz="0" w:space="0" w:color="auto"/>
        <w:bottom w:val="none" w:sz="0" w:space="0" w:color="auto"/>
        <w:right w:val="none" w:sz="0" w:space="0" w:color="auto"/>
      </w:divBdr>
      <w:divsChild>
        <w:div w:id="606889634">
          <w:marLeft w:val="0"/>
          <w:marRight w:val="0"/>
          <w:marTop w:val="0"/>
          <w:marBottom w:val="0"/>
          <w:divBdr>
            <w:top w:val="none" w:sz="0" w:space="0" w:color="auto"/>
            <w:left w:val="none" w:sz="0" w:space="0" w:color="auto"/>
            <w:bottom w:val="none" w:sz="0" w:space="0" w:color="auto"/>
            <w:right w:val="none" w:sz="0" w:space="0" w:color="auto"/>
          </w:divBdr>
          <w:divsChild>
            <w:div w:id="1429889252">
              <w:marLeft w:val="0"/>
              <w:marRight w:val="0"/>
              <w:marTop w:val="0"/>
              <w:marBottom w:val="0"/>
              <w:divBdr>
                <w:top w:val="none" w:sz="0" w:space="0" w:color="auto"/>
                <w:left w:val="none" w:sz="0" w:space="0" w:color="auto"/>
                <w:bottom w:val="none" w:sz="0" w:space="0" w:color="auto"/>
                <w:right w:val="none" w:sz="0" w:space="0" w:color="auto"/>
              </w:divBdr>
              <w:divsChild>
                <w:div w:id="1219627881">
                  <w:marLeft w:val="0"/>
                  <w:marRight w:val="0"/>
                  <w:marTop w:val="0"/>
                  <w:marBottom w:val="0"/>
                  <w:divBdr>
                    <w:top w:val="none" w:sz="0" w:space="0" w:color="auto"/>
                    <w:left w:val="none" w:sz="0" w:space="0" w:color="auto"/>
                    <w:bottom w:val="none" w:sz="0" w:space="0" w:color="auto"/>
                    <w:right w:val="none" w:sz="0" w:space="0" w:color="auto"/>
                  </w:divBdr>
                  <w:divsChild>
                    <w:div w:id="945894282">
                      <w:marLeft w:val="1"/>
                      <w:marRight w:val="1"/>
                      <w:marTop w:val="0"/>
                      <w:marBottom w:val="0"/>
                      <w:divBdr>
                        <w:top w:val="none" w:sz="0" w:space="0" w:color="auto"/>
                        <w:left w:val="none" w:sz="0" w:space="0" w:color="auto"/>
                        <w:bottom w:val="none" w:sz="0" w:space="0" w:color="auto"/>
                        <w:right w:val="none" w:sz="0" w:space="0" w:color="auto"/>
                      </w:divBdr>
                      <w:divsChild>
                        <w:div w:id="983043097">
                          <w:marLeft w:val="0"/>
                          <w:marRight w:val="0"/>
                          <w:marTop w:val="0"/>
                          <w:marBottom w:val="0"/>
                          <w:divBdr>
                            <w:top w:val="none" w:sz="0" w:space="0" w:color="auto"/>
                            <w:left w:val="none" w:sz="0" w:space="0" w:color="auto"/>
                            <w:bottom w:val="none" w:sz="0" w:space="0" w:color="auto"/>
                            <w:right w:val="none" w:sz="0" w:space="0" w:color="auto"/>
                          </w:divBdr>
                          <w:divsChild>
                            <w:div w:id="227425419">
                              <w:marLeft w:val="0"/>
                              <w:marRight w:val="0"/>
                              <w:marTop w:val="0"/>
                              <w:marBottom w:val="360"/>
                              <w:divBdr>
                                <w:top w:val="none" w:sz="0" w:space="0" w:color="auto"/>
                                <w:left w:val="none" w:sz="0" w:space="0" w:color="auto"/>
                                <w:bottom w:val="none" w:sz="0" w:space="0" w:color="auto"/>
                                <w:right w:val="none" w:sz="0" w:space="0" w:color="auto"/>
                              </w:divBdr>
                              <w:divsChild>
                                <w:div w:id="943927163">
                                  <w:marLeft w:val="0"/>
                                  <w:marRight w:val="0"/>
                                  <w:marTop w:val="0"/>
                                  <w:marBottom w:val="0"/>
                                  <w:divBdr>
                                    <w:top w:val="none" w:sz="0" w:space="0" w:color="auto"/>
                                    <w:left w:val="none" w:sz="0" w:space="0" w:color="auto"/>
                                    <w:bottom w:val="none" w:sz="0" w:space="0" w:color="auto"/>
                                    <w:right w:val="none" w:sz="0" w:space="0" w:color="auto"/>
                                  </w:divBdr>
                                  <w:divsChild>
                                    <w:div w:id="78684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482284">
      <w:bodyDiv w:val="1"/>
      <w:marLeft w:val="0"/>
      <w:marRight w:val="0"/>
      <w:marTop w:val="0"/>
      <w:marBottom w:val="0"/>
      <w:divBdr>
        <w:top w:val="none" w:sz="0" w:space="0" w:color="auto"/>
        <w:left w:val="none" w:sz="0" w:space="0" w:color="auto"/>
        <w:bottom w:val="none" w:sz="0" w:space="0" w:color="auto"/>
        <w:right w:val="none" w:sz="0" w:space="0" w:color="auto"/>
      </w:divBdr>
    </w:div>
    <w:div w:id="1886716613">
      <w:bodyDiv w:val="1"/>
      <w:marLeft w:val="0"/>
      <w:marRight w:val="0"/>
      <w:marTop w:val="0"/>
      <w:marBottom w:val="0"/>
      <w:divBdr>
        <w:top w:val="none" w:sz="0" w:space="0" w:color="auto"/>
        <w:left w:val="none" w:sz="0" w:space="0" w:color="auto"/>
        <w:bottom w:val="none" w:sz="0" w:space="0" w:color="auto"/>
        <w:right w:val="none" w:sz="0" w:space="0" w:color="auto"/>
      </w:divBdr>
    </w:div>
    <w:div w:id="2038850130">
      <w:bodyDiv w:val="1"/>
      <w:marLeft w:val="0"/>
      <w:marRight w:val="0"/>
      <w:marTop w:val="0"/>
      <w:marBottom w:val="0"/>
      <w:divBdr>
        <w:top w:val="none" w:sz="0" w:space="0" w:color="auto"/>
        <w:left w:val="none" w:sz="0" w:space="0" w:color="auto"/>
        <w:bottom w:val="none" w:sz="0" w:space="0" w:color="auto"/>
        <w:right w:val="none" w:sz="0" w:space="0" w:color="auto"/>
      </w:divBdr>
      <w:divsChild>
        <w:div w:id="1729841038">
          <w:marLeft w:val="1166"/>
          <w:marRight w:val="0"/>
          <w:marTop w:val="115"/>
          <w:marBottom w:val="120"/>
          <w:divBdr>
            <w:top w:val="none" w:sz="0" w:space="0" w:color="auto"/>
            <w:left w:val="none" w:sz="0" w:space="0" w:color="auto"/>
            <w:bottom w:val="none" w:sz="0" w:space="0" w:color="auto"/>
            <w:right w:val="none" w:sz="0" w:space="0" w:color="auto"/>
          </w:divBdr>
        </w:div>
        <w:div w:id="1913462369">
          <w:marLeft w:val="1166"/>
          <w:marRight w:val="0"/>
          <w:marTop w:val="115"/>
          <w:marBottom w:val="120"/>
          <w:divBdr>
            <w:top w:val="none" w:sz="0" w:space="0" w:color="auto"/>
            <w:left w:val="none" w:sz="0" w:space="0" w:color="auto"/>
            <w:bottom w:val="none" w:sz="0" w:space="0" w:color="auto"/>
            <w:right w:val="none" w:sz="0" w:space="0" w:color="auto"/>
          </w:divBdr>
        </w:div>
      </w:divsChild>
    </w:div>
    <w:div w:id="2039692787">
      <w:bodyDiv w:val="1"/>
      <w:marLeft w:val="0"/>
      <w:marRight w:val="0"/>
      <w:marTop w:val="0"/>
      <w:marBottom w:val="0"/>
      <w:divBdr>
        <w:top w:val="none" w:sz="0" w:space="0" w:color="auto"/>
        <w:left w:val="none" w:sz="0" w:space="0" w:color="auto"/>
        <w:bottom w:val="none" w:sz="0" w:space="0" w:color="auto"/>
        <w:right w:val="none" w:sz="0" w:space="0" w:color="auto"/>
      </w:divBdr>
    </w:div>
    <w:div w:id="2040743901">
      <w:bodyDiv w:val="1"/>
      <w:marLeft w:val="0"/>
      <w:marRight w:val="0"/>
      <w:marTop w:val="0"/>
      <w:marBottom w:val="0"/>
      <w:divBdr>
        <w:top w:val="none" w:sz="0" w:space="0" w:color="auto"/>
        <w:left w:val="none" w:sz="0" w:space="0" w:color="auto"/>
        <w:bottom w:val="none" w:sz="0" w:space="0" w:color="auto"/>
        <w:right w:val="none" w:sz="0" w:space="0" w:color="auto"/>
      </w:divBdr>
    </w:div>
    <w:div w:id="2080519053">
      <w:bodyDiv w:val="1"/>
      <w:marLeft w:val="0"/>
      <w:marRight w:val="0"/>
      <w:marTop w:val="0"/>
      <w:marBottom w:val="0"/>
      <w:divBdr>
        <w:top w:val="none" w:sz="0" w:space="0" w:color="auto"/>
        <w:left w:val="none" w:sz="0" w:space="0" w:color="auto"/>
        <w:bottom w:val="none" w:sz="0" w:space="0" w:color="auto"/>
        <w:right w:val="none" w:sz="0" w:space="0" w:color="auto"/>
      </w:divBdr>
    </w:div>
    <w:div w:id="2120756302">
      <w:bodyDiv w:val="1"/>
      <w:marLeft w:val="0"/>
      <w:marRight w:val="0"/>
      <w:marTop w:val="0"/>
      <w:marBottom w:val="0"/>
      <w:divBdr>
        <w:top w:val="none" w:sz="0" w:space="0" w:color="auto"/>
        <w:left w:val="none" w:sz="0" w:space="0" w:color="auto"/>
        <w:bottom w:val="none" w:sz="0" w:space="0" w:color="auto"/>
        <w:right w:val="none" w:sz="0" w:space="0" w:color="auto"/>
      </w:divBdr>
    </w:div>
    <w:div w:id="212496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hart" Target="charts/chart2.xml"/><Relationship Id="rId39" Type="http://schemas.openxmlformats.org/officeDocument/2006/relationships/chart" Target="charts/chart15.xml"/><Relationship Id="rId21" Type="http://schemas.openxmlformats.org/officeDocument/2006/relationships/footer" Target="footer4.xml"/><Relationship Id="rId34" Type="http://schemas.openxmlformats.org/officeDocument/2006/relationships/chart" Target="charts/chart10.xml"/><Relationship Id="rId42" Type="http://schemas.openxmlformats.org/officeDocument/2006/relationships/header" Target="header7.xml"/><Relationship Id="rId47" Type="http://schemas.openxmlformats.org/officeDocument/2006/relationships/footer" Target="footer9.xml"/><Relationship Id="rId50" Type="http://schemas.openxmlformats.org/officeDocument/2006/relationships/footer" Target="footer10.xml"/><Relationship Id="rId55"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chart" Target="charts/chart5.xml"/><Relationship Id="rId41" Type="http://schemas.openxmlformats.org/officeDocument/2006/relationships/chart" Target="charts/chart17.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footer" Target="footer8.xml"/><Relationship Id="rId53"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header" Target="header11.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chart" Target="charts/chart7.xml"/><Relationship Id="rId44" Type="http://schemas.openxmlformats.org/officeDocument/2006/relationships/footer" Target="footer7.xml"/><Relationship Id="rId52"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header" Target="header8.xml"/><Relationship Id="rId48" Type="http://schemas.openxmlformats.org/officeDocument/2006/relationships/header" Target="header10.xml"/><Relationship Id="rId8" Type="http://schemas.openxmlformats.org/officeDocument/2006/relationships/settings" Target="settings.xml"/><Relationship Id="rId51" Type="http://schemas.openxmlformats.org/officeDocument/2006/relationships/footer" Target="footer11.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6" Type="http://schemas.openxmlformats.org/officeDocument/2006/relationships/hyperlink" Target="http://eur-lex.europa.eu/legal-content/EN/TXT/?qid=1463669382881&amp;uri=CELEX:32009L0030" TargetMode="External"/><Relationship Id="rId117" Type="http://schemas.openxmlformats.org/officeDocument/2006/relationships/hyperlink" Target="http://eur-lex.europa.eu/legal-content/EN/TXT/?uri=OJ:C:2011:369:TOC" TargetMode="External"/><Relationship Id="rId21" Type="http://schemas.openxmlformats.org/officeDocument/2006/relationships/hyperlink" Target="http://eur-lex.europa.eu/legal-content/EN/ALL/?uri=CELEX:32009L0028" TargetMode="External"/><Relationship Id="rId42" Type="http://schemas.openxmlformats.org/officeDocument/2006/relationships/hyperlink" Target="http://eur-lex.europa.eu/legal-content/EN/TXT/?qid=1490090623885&amp;uri=CELEX:32014L0029" TargetMode="External"/><Relationship Id="rId47" Type="http://schemas.openxmlformats.org/officeDocument/2006/relationships/hyperlink" Target="http://eur-lex.europa.eu/legal-content/EN/TXT/?qid=1490090724751&amp;uri=CELEX:32014L0053" TargetMode="External"/><Relationship Id="rId63" Type="http://schemas.openxmlformats.org/officeDocument/2006/relationships/hyperlink" Target="http://eur-lex.europa.eu/legal-content/EN/TXT/?qid=1490091401160&amp;uri=CELEX:32005L0029" TargetMode="External"/><Relationship Id="rId68" Type="http://schemas.openxmlformats.org/officeDocument/2006/relationships/hyperlink" Target="http://eur-lex.europa.eu/legal-content/EN/TXT/?qid=1490091525430&amp;uri=CELEX:32004L0023" TargetMode="External"/><Relationship Id="rId84" Type="http://schemas.openxmlformats.org/officeDocument/2006/relationships/hyperlink" Target="http://eur-lex.europa.eu/legal-content/EN/TXT/?qid=1490092103520&amp;uri=CELEX:52014DC0158R(01)http://eur-lex.europa.eu/legal-content/EN/TXT/?qid=1490092103520&amp;uri=CELEX:52014DC0158" TargetMode="External"/><Relationship Id="rId89" Type="http://schemas.openxmlformats.org/officeDocument/2006/relationships/hyperlink" Target="http://eur-lex.europa.eu/legal-content/EN/TXT/?qid=1490092833224&amp;uri=CELEX:32012L0013" TargetMode="External"/><Relationship Id="rId112" Type="http://schemas.openxmlformats.org/officeDocument/2006/relationships/hyperlink" Target="http://eur-lex.europa.eu/legal-content/EN/TXT/?qid=1490093794457&amp;uri=CELEX:32009L0045" TargetMode="External"/><Relationship Id="rId133" Type="http://schemas.openxmlformats.org/officeDocument/2006/relationships/hyperlink" Target="http://eur-lex.europa.eu/legal-content/EN/TXT/?qid=1490104425198&amp;uri=CELEX:32015L1480" TargetMode="External"/><Relationship Id="rId138" Type="http://schemas.openxmlformats.org/officeDocument/2006/relationships/hyperlink" Target="http://eur-lex.europa.eu/legal-content/EN/TXT/?qid=1490104573002&amp;uri=CELEX:32003L0004" TargetMode="External"/><Relationship Id="rId154" Type="http://schemas.openxmlformats.org/officeDocument/2006/relationships/hyperlink" Target="http://eur-lex.europa.eu/legal-content/EN/TXT/?qid=1490106348985&amp;uri=CELEX:32014L0059" TargetMode="External"/><Relationship Id="rId16" Type="http://schemas.openxmlformats.org/officeDocument/2006/relationships/hyperlink" Target="http://eur-lex.europa.eu/legal-content/EN/TXT/?qid=1454940078169&amp;uri=CELEX:32010L0031" TargetMode="External"/><Relationship Id="rId107" Type="http://schemas.openxmlformats.org/officeDocument/2006/relationships/hyperlink" Target="http://eur-lex.europa.eu/legal-content/EN/TXT/?qid=1490093405348&amp;uri=CELEX:32011L0051" TargetMode="External"/><Relationship Id="rId11" Type="http://schemas.openxmlformats.org/officeDocument/2006/relationships/hyperlink" Target="http://eur-lex.europa.eu/legal-content/EN/TXT/?qid=1487785252330&amp;uri=CELEX:32014L0061" TargetMode="External"/><Relationship Id="rId32" Type="http://schemas.openxmlformats.org/officeDocument/2006/relationships/hyperlink" Target="http://eur-lex.europa.eu/legal-content/EN/TXT/?qid=1490088957621&amp;uri=CELEX:32006L0123" TargetMode="External"/><Relationship Id="rId37" Type="http://schemas.openxmlformats.org/officeDocument/2006/relationships/hyperlink" Target="http://eur-lex.europa.eu/legal-content/EN/TXT/?qid=1490090468690&amp;uri=CELEX:32014L0025" TargetMode="External"/><Relationship Id="rId53" Type="http://schemas.openxmlformats.org/officeDocument/2006/relationships/hyperlink" Target="http://eur-lex.europa.eu/legal-content/EN/TXT/?qid=1490091347725&amp;uri=CELEX:52016DC0601" TargetMode="External"/><Relationship Id="rId58" Type="http://schemas.openxmlformats.org/officeDocument/2006/relationships/hyperlink" Target="http://eur-lex.europa.eu/legal-content/EN/TXT/?qid=1490090982542&amp;uri=CELEX:32014L0017" TargetMode="External"/><Relationship Id="rId74" Type="http://schemas.openxmlformats.org/officeDocument/2006/relationships/hyperlink" Target="http://eur-lex.europa.eu/legal-content/EN/TXT/?qid=1490091706265&amp;uri=CELEX:32009L0018" TargetMode="External"/><Relationship Id="rId79" Type="http://schemas.openxmlformats.org/officeDocument/2006/relationships/hyperlink" Target="http://eur-lex.europa.eu/legal-content/EN/TXT/?qid=1490091950372&amp;uri=CELEX:32008L0057" TargetMode="External"/><Relationship Id="rId102" Type="http://schemas.openxmlformats.org/officeDocument/2006/relationships/hyperlink" Target="http://eur-lex.europa.eu/legal-content/EN/TXT/?qid=1490093259206&amp;uri=CELEX:32013L0040" TargetMode="External"/><Relationship Id="rId123" Type="http://schemas.openxmlformats.org/officeDocument/2006/relationships/hyperlink" Target="http://eur-lex.europa.eu/legal-content/EN/TXT/?qid=1490104360531&amp;uri=CELEX:32013L0055" TargetMode="External"/><Relationship Id="rId128" Type="http://schemas.openxmlformats.org/officeDocument/2006/relationships/hyperlink" Target="http://eur-lex.europa.eu/legal-content/EN/TXT/?qid=1454943265567&amp;uri=CELEX:32013L0034" TargetMode="External"/><Relationship Id="rId144" Type="http://schemas.openxmlformats.org/officeDocument/2006/relationships/hyperlink" Target="http://eur-lex.europa.eu/legal-content/EN/TXT/?qid=1490104773968&amp;uri=CELEX:32015L0566" TargetMode="External"/><Relationship Id="rId149" Type="http://schemas.openxmlformats.org/officeDocument/2006/relationships/hyperlink" Target="http://curia.europa.eu/juris/liste.jsf?language=en&amp;jur=C,T,F&amp;num=C-511/16&amp;td=ALL" TargetMode="External"/><Relationship Id="rId5" Type="http://schemas.openxmlformats.org/officeDocument/2006/relationships/hyperlink" Target="http://eur-lex.europa.eu/legal-content/EN/TXT/?qid=1487784783426&amp;uri=CELEX:32014L0067" TargetMode="External"/><Relationship Id="rId90" Type="http://schemas.openxmlformats.org/officeDocument/2006/relationships/hyperlink" Target="http://eur-lex.europa.eu/legal-content/EN/TXT/?qid=1490092885152&amp;uri=CELEX:32011L0099" TargetMode="External"/><Relationship Id="rId95" Type="http://schemas.openxmlformats.org/officeDocument/2006/relationships/hyperlink" Target="http://eur-lex.europa.eu/legal-content/EN/TXT/?qid=1490093054090&amp;uri=CELEX:52015DC0185" TargetMode="External"/><Relationship Id="rId22" Type="http://schemas.openxmlformats.org/officeDocument/2006/relationships/hyperlink" Target="http://eur-lex.europa.eu/legal-content/EN/TXT/?qid=1454940105317&amp;uri=CELEX:32009L0119" TargetMode="External"/><Relationship Id="rId27" Type="http://schemas.openxmlformats.org/officeDocument/2006/relationships/hyperlink" Target="http://eur-lex.europa.eu/legal-content/EN/TXT/?qid=1456480487321&amp;uri=CELEX:32009L0031" TargetMode="External"/><Relationship Id="rId43" Type="http://schemas.openxmlformats.org/officeDocument/2006/relationships/hyperlink" Target="http://eur-lex.europa.eu/legal-content/EN/TXT/?qid=1490090645795&amp;uri=CELEX:32014L0030" TargetMode="External"/><Relationship Id="rId48" Type="http://schemas.openxmlformats.org/officeDocument/2006/relationships/hyperlink" Target="http://eur-lex.europa.eu/legal-content/EN/TXT/?qid=1490090747195&amp;uri=CELEX:32014L0068" TargetMode="External"/><Relationship Id="rId64" Type="http://schemas.openxmlformats.org/officeDocument/2006/relationships/hyperlink" Target="http://eur-lex.europa.eu/legal-content/EN/TXT/?qid=1490091422768&amp;uri=CELEX:32014L0092" TargetMode="External"/><Relationship Id="rId69" Type="http://schemas.openxmlformats.org/officeDocument/2006/relationships/hyperlink" Target="http://eur-lex.europa.eu/legal-content/EN/TXT/?qid=1490091550988&amp;uri=CELEX:32011L0024" TargetMode="External"/><Relationship Id="rId113" Type="http://schemas.openxmlformats.org/officeDocument/2006/relationships/hyperlink" Target="http://eur-lex.europa.eu/legal-content/EN/TXT/?qid=1490093847923&amp;uri=CELEX:52016PC0369" TargetMode="External"/><Relationship Id="rId118" Type="http://schemas.openxmlformats.org/officeDocument/2006/relationships/hyperlink" Target="http://eur-lex.europa.eu/legal-content/EN/TXT/?qid=1490104038712&amp;uri=CELEX:32014L0017" TargetMode="External"/><Relationship Id="rId134" Type="http://schemas.openxmlformats.org/officeDocument/2006/relationships/hyperlink" Target="http://eur-lex.europa.eu/legal-content/EN/TXT/?qid=1490104498196&amp;uri=CELEX:32013L0048" TargetMode="External"/><Relationship Id="rId139" Type="http://schemas.openxmlformats.org/officeDocument/2006/relationships/hyperlink" Target="http://eur-lex.europa.eu/legal-content/EN/TXT/?uri=uriserv:OJ.C_.2017.018.01.0010.01.ENG&amp;toc=OJ:C:2017:018:TOC" TargetMode="External"/><Relationship Id="rId80" Type="http://schemas.openxmlformats.org/officeDocument/2006/relationships/hyperlink" Target="http://eur-lex.europa.eu/legal-content/EN/TXT/?qid=1490091976204&amp;uri=CELEX:32004L0049" TargetMode="External"/><Relationship Id="rId85" Type="http://schemas.openxmlformats.org/officeDocument/2006/relationships/hyperlink" Target="http://eur-lex.europa.eu/legal-content/EN/TXT/?qid=1490092187788&amp;uri=CELEX:32016L0343" TargetMode="External"/><Relationship Id="rId150" Type="http://schemas.openxmlformats.org/officeDocument/2006/relationships/hyperlink" Target="http://eur-lex.europa.eu/legal-content/EN/TXT/?uri=celex:32014L0027" TargetMode="External"/><Relationship Id="rId155" Type="http://schemas.openxmlformats.org/officeDocument/2006/relationships/hyperlink" Target="http://eur-lex.europa.eu/legal-content/EN/TXT/?qid=1490106478806&amp;uri=CELEX:32013L0014" TargetMode="External"/><Relationship Id="rId12" Type="http://schemas.openxmlformats.org/officeDocument/2006/relationships/hyperlink" Target="http://eur-lex.europa.eu/legal-content/EN/TXT/?qid=1487785592206&amp;uri=CELEX:32014L0026" TargetMode="External"/><Relationship Id="rId17" Type="http://schemas.openxmlformats.org/officeDocument/2006/relationships/hyperlink" Target="http://eur-lex.europa.eu/legal-content/EN/TXT/?qid=1487785667576&amp;uri=CELEX:32013L0051" TargetMode="External"/><Relationship Id="rId25" Type="http://schemas.openxmlformats.org/officeDocument/2006/relationships/hyperlink" Target="http://eur-lex.europa.eu/legal-content/EN/TXT/?qid=1463667806483&amp;uri=CELEX:32009L0029" TargetMode="External"/><Relationship Id="rId33" Type="http://schemas.openxmlformats.org/officeDocument/2006/relationships/hyperlink" Target="http://eur-lex.europa.eu/legal-content/EN/TXT/?qid=1490088993390&amp;uri=CELEX:32007L0046" TargetMode="External"/><Relationship Id="rId38" Type="http://schemas.openxmlformats.org/officeDocument/2006/relationships/hyperlink" Target="http://eur-lex.europa.eu/legal-content/EN/TXT/?qid=1490090494145&amp;uri=CELEX:32014L0031" TargetMode="External"/><Relationship Id="rId46" Type="http://schemas.openxmlformats.org/officeDocument/2006/relationships/hyperlink" Target="http://eur-lex.europa.eu/legal-content/EN/TXT/?qid=1490090701422&amp;uri=CELEX:32014L0035" TargetMode="External"/><Relationship Id="rId59" Type="http://schemas.openxmlformats.org/officeDocument/2006/relationships/hyperlink" Target="http://curia.europa.eu/juris/liste.jsf?pro=&amp;nat=or&amp;oqp=&amp;dates=&amp;lg=&amp;language=en&amp;jur=C,T,F&amp;cit=none%2CC%2CCJ%2CR%2C2008E%2C%2C%2C%2C%2C%2C%2C%2C%2C%2Ctrue%2Cfalse%2Cfalse&amp;num=C-255%2F14&amp;td=;ALL&amp;pcs=Oor&amp;avg=&amp;page=1&amp;mat=or&amp;jge=&amp;for=&amp;cid=820824" TargetMode="External"/><Relationship Id="rId67" Type="http://schemas.openxmlformats.org/officeDocument/2006/relationships/hyperlink" Target="http://eur-lex.europa.eu/legal-content/EN/TXT/?qid=1490091494732&amp;uri=CELEX:32008L0122" TargetMode="External"/><Relationship Id="rId103" Type="http://schemas.openxmlformats.org/officeDocument/2006/relationships/hyperlink" Target="http://eur-lex.europa.eu/legal-content/EN/TXT/?qid=1490093284359&amp;uri=CELEX:32014L0042" TargetMode="External"/><Relationship Id="rId108" Type="http://schemas.openxmlformats.org/officeDocument/2006/relationships/hyperlink" Target="http://eur-lex.europa.eu/legal-content/EN/TXT/?qid=1490093431100&amp;uri=CELEX:32013R0603" TargetMode="External"/><Relationship Id="rId116" Type="http://schemas.openxmlformats.org/officeDocument/2006/relationships/hyperlink" Target="http://eur-lex.europa.eu/legal-content/EN/TXT/?uri=OJ:C:2011:369:TOC" TargetMode="External"/><Relationship Id="rId124" Type="http://schemas.openxmlformats.org/officeDocument/2006/relationships/hyperlink" Target="http://eur-lex.europa.eu/legal-content/EN/TXT/?qid=1490104203519&amp;uri=CELEX:32014L0023" TargetMode="External"/><Relationship Id="rId129" Type="http://schemas.openxmlformats.org/officeDocument/2006/relationships/hyperlink" Target="http://eur-lex.europa.eu/legal-content/EN/TXT/?qid=1487784658133&amp;uri=CELEX:32014L0054" TargetMode="External"/><Relationship Id="rId137" Type="http://schemas.openxmlformats.org/officeDocument/2006/relationships/hyperlink" Target="http://ec.europa.eu/atwork/applying-eu-law/infringements-proceedings/infringement_decisions/?lang_code=en" TargetMode="External"/><Relationship Id="rId20" Type="http://schemas.openxmlformats.org/officeDocument/2006/relationships/hyperlink" Target="http://eur-lex.europa.eu/legal-content/EN/TXT/?qid=1454940030920&amp;uri=CELEX:32013L0030" TargetMode="External"/><Relationship Id="rId41" Type="http://schemas.openxmlformats.org/officeDocument/2006/relationships/hyperlink" Target="http://eur-lex.europa.eu/legal-content/EN/TXT/?qid=1490090597427&amp;uri=CELEX:32013L0053" TargetMode="External"/><Relationship Id="rId54" Type="http://schemas.openxmlformats.org/officeDocument/2006/relationships/hyperlink" Target="http://eur-lex.europa.eu/legal-content/EN/TXT/?qid=1490090888051&amp;uri=CELEX:32013L0050" TargetMode="External"/><Relationship Id="rId62" Type="http://schemas.openxmlformats.org/officeDocument/2006/relationships/hyperlink" Target="http://eur-lex.europa.eu/legal-content/EN/TXT/?qid=1490091377224&amp;uri=CELEX:32011L0083" TargetMode="External"/><Relationship Id="rId70" Type="http://schemas.openxmlformats.org/officeDocument/2006/relationships/hyperlink" Target="http://eur-lex.europa.eu/legal-content/EN/TXT/?qid=1490091581599&amp;uri=CELEX:31999L0074" TargetMode="External"/><Relationship Id="rId75" Type="http://schemas.openxmlformats.org/officeDocument/2006/relationships/hyperlink" Target="http://eur-lex.europa.eu/legal-content/EN/TXT/?qid=1490091739075&amp;uri=CELEX:32009L0016" TargetMode="External"/><Relationship Id="rId83" Type="http://schemas.openxmlformats.org/officeDocument/2006/relationships/hyperlink" Target="http://eur-lex.europa.eu/legal-content/EN/TXT/?qid=1490092069549&amp;uri=CELEX:32014L0059" TargetMode="External"/><Relationship Id="rId88" Type="http://schemas.openxmlformats.org/officeDocument/2006/relationships/hyperlink" Target="http://eur-lex.europa.eu/legal-content/EN/TXT/?qid=1490092798155&amp;uri=CELEX:32012L0029" TargetMode="External"/><Relationship Id="rId91" Type="http://schemas.openxmlformats.org/officeDocument/2006/relationships/hyperlink" Target="http://eur-lex.europa.eu/legal-content/EN/TXT/?qid=1490092913001&amp;uri=CELEX:32014L0057" TargetMode="External"/><Relationship Id="rId96" Type="http://schemas.openxmlformats.org/officeDocument/2006/relationships/hyperlink" Target="http://eur-lex.europa.eu/legal-content/EN/TXT/?qid=1490093097259&amp;uri=CELEX:32013R0098" TargetMode="External"/><Relationship Id="rId111" Type="http://schemas.openxmlformats.org/officeDocument/2006/relationships/hyperlink" Target="http://eur-lex.europa.eu/legal-content/EN/TXT/?qid=1490093546871&amp;uri=CELEX:52016PC0371" TargetMode="External"/><Relationship Id="rId132" Type="http://schemas.openxmlformats.org/officeDocument/2006/relationships/hyperlink" Target="http://eur-lex.europa.eu/legal-content/EN/TXT/?qid=1487781404259&amp;uri=CELEX:32014L0104" TargetMode="External"/><Relationship Id="rId140" Type="http://schemas.openxmlformats.org/officeDocument/2006/relationships/hyperlink" Target="http://curia.europa.eu/juris/liste.jsf?language=en&amp;jur=C,T,F&amp;num=C-584/14&amp;td=ALL" TargetMode="External"/><Relationship Id="rId145" Type="http://schemas.openxmlformats.org/officeDocument/2006/relationships/hyperlink" Target="http://eur-lex.europa.eu/legal-content/EN/TXT/?qid=1487785592206&amp;uri=CELEX:32014L0026" TargetMode="External"/><Relationship Id="rId153" Type="http://schemas.openxmlformats.org/officeDocument/2006/relationships/hyperlink" Target="http://eur-lex.europa.eu/legal-content/EN/TXT/?qid=1490106309932&amp;uri=CELEX:32012L0034" TargetMode="External"/><Relationship Id="rId1" Type="http://schemas.openxmlformats.org/officeDocument/2006/relationships/hyperlink" Target="http://eur-lex.europa.eu/legal-content/EN/TXT/?uri=CELEX:12012M017" TargetMode="External"/><Relationship Id="rId6" Type="http://schemas.openxmlformats.org/officeDocument/2006/relationships/hyperlink" Target="http://eur-lex.europa.eu/legal-content/EN/TXT/?qid=1487784879883&amp;uri=CELEX:32013L0035" TargetMode="External"/><Relationship Id="rId15" Type="http://schemas.openxmlformats.org/officeDocument/2006/relationships/hyperlink" Target="http://eur-lex.europa.eu/legal-content/EN/TXT/?qid=1454940005165&amp;uri=CELEX:32009L0073" TargetMode="External"/><Relationship Id="rId23" Type="http://schemas.openxmlformats.org/officeDocument/2006/relationships/hyperlink" Target="http://eur-lex.europa.eu/legal-content/EN/TXT/?qid=1487785780771&amp;uri=CELEX:32010R0994" TargetMode="External"/><Relationship Id="rId28" Type="http://schemas.openxmlformats.org/officeDocument/2006/relationships/hyperlink" Target="http://curia.europa.eu/juris/documents.jsf?num=C-246/12P" TargetMode="External"/><Relationship Id="rId36" Type="http://schemas.openxmlformats.org/officeDocument/2006/relationships/hyperlink" Target="http://eur-lex.europa.eu/legal-content/EN/TXT/?qid=1490090445314&amp;uri=CELEX:32014L0024" TargetMode="External"/><Relationship Id="rId49" Type="http://schemas.openxmlformats.org/officeDocument/2006/relationships/hyperlink" Target="http://eur-lex.europa.eu/legal-content/EN/TXT/?qid=1490090804839&amp;uri=CELEX:32014L0028" TargetMode="External"/><Relationship Id="rId57" Type="http://schemas.openxmlformats.org/officeDocument/2006/relationships/hyperlink" Target="http://eur-lex.europa.eu/legal-content/EN/TXT/?qid=1490090962923&amp;uri=CELEX:32014L0091" TargetMode="External"/><Relationship Id="rId106" Type="http://schemas.openxmlformats.org/officeDocument/2006/relationships/hyperlink" Target="http://eur-lex.europa.eu/legal-content/EN/TXT/?qid=1490093378674&amp;uri=CELEX:32013L0033" TargetMode="External"/><Relationship Id="rId114" Type="http://schemas.openxmlformats.org/officeDocument/2006/relationships/hyperlink" Target="http://eur-lex.europa.eu/legal-content/EN/TXT/?qid=1490093886929&amp;uri=CELEX:31998L0041" TargetMode="External"/><Relationship Id="rId119" Type="http://schemas.openxmlformats.org/officeDocument/2006/relationships/hyperlink" Target="http://eur-lex.europa.eu/legal-content/EN/TXT/?qid=1490104070815&amp;uri=CELEX:32014L0049" TargetMode="External"/><Relationship Id="rId127" Type="http://schemas.openxmlformats.org/officeDocument/2006/relationships/hyperlink" Target="http://eur-lex.europa.eu/legal-content/EN/TXT/?qid=1490104310381&amp;uri=CELEX:32016L0970" TargetMode="External"/><Relationship Id="rId10" Type="http://schemas.openxmlformats.org/officeDocument/2006/relationships/hyperlink" Target="http://eur-lex.europa.eu/legal-content/EN/TXT/?qid=1487785212438&amp;uri=CELEX:32014L0089" TargetMode="External"/><Relationship Id="rId31" Type="http://schemas.openxmlformats.org/officeDocument/2006/relationships/hyperlink" Target="http://eur-lex.europa.eu/legal-content/EN/TXT/?qid=1490085512634&amp;uri=CELEX:52016DC0356" TargetMode="External"/><Relationship Id="rId44" Type="http://schemas.openxmlformats.org/officeDocument/2006/relationships/hyperlink" Target="http://eur-lex.europa.eu/legal-content/EN/TXT/?qid=1490090663250&amp;uri=CELEX:32014L0033" TargetMode="External"/><Relationship Id="rId52" Type="http://schemas.openxmlformats.org/officeDocument/2006/relationships/hyperlink" Target="http://eur-lex.europa.eu/legal-content/EN/TXT/?qid=1490091318404&amp;uri=CELEX:52015DC0468" TargetMode="External"/><Relationship Id="rId60" Type="http://schemas.openxmlformats.org/officeDocument/2006/relationships/hyperlink" Target="http://eur-lex.europa.eu/legal-content/EN/TXT/?qid=1490091011110&amp;uri=CELEX:32013R0524" TargetMode="External"/><Relationship Id="rId65" Type="http://schemas.openxmlformats.org/officeDocument/2006/relationships/hyperlink" Target="http://eur-lex.europa.eu/legal-content/EN/TXT/?qid=1490091445327&amp;uri=CELEX:31990L0314" TargetMode="External"/><Relationship Id="rId73" Type="http://schemas.openxmlformats.org/officeDocument/2006/relationships/hyperlink" Target="http://eur-lex.europa.eu/legal-content/EN/TXT/?qid=1490091682744&amp;uri=CELEX:32014L0094" TargetMode="External"/><Relationship Id="rId78" Type="http://schemas.openxmlformats.org/officeDocument/2006/relationships/hyperlink" Target="http://eur-lex.europa.eu/legal-content/EN/TXT/?qid=1490091927199&amp;uri=CELEX:32012L0034" TargetMode="External"/><Relationship Id="rId81" Type="http://schemas.openxmlformats.org/officeDocument/2006/relationships/hyperlink" Target="http://eur-lex.europa.eu/legal-content/EN/TXT/?qid=1490092013635&amp;uri=CELEX:32013L0036" TargetMode="External"/><Relationship Id="rId86" Type="http://schemas.openxmlformats.org/officeDocument/2006/relationships/hyperlink" Target="http://eur-lex.europa.eu/legal-content/EN/TXT/?qid=1490092209440&amp;uri=CELEX:32016L0800" TargetMode="External"/><Relationship Id="rId94" Type="http://schemas.openxmlformats.org/officeDocument/2006/relationships/hyperlink" Target="http://eur-lex.europa.eu/legal-content/EN/TXT/?qid=1490093020578&amp;uri=CELEX:32008F0977" TargetMode="External"/><Relationship Id="rId99" Type="http://schemas.openxmlformats.org/officeDocument/2006/relationships/hyperlink" Target="http://eur-lex.europa.eu/legal-content/EN/TXT/?qid=1490093151716&amp;uri=CELEX:32008D0616" TargetMode="External"/><Relationship Id="rId101" Type="http://schemas.openxmlformats.org/officeDocument/2006/relationships/hyperlink" Target="http://eur-lex.europa.eu/legal-content/EN/TXT/?qid=1490093242283&amp;uri=CELEX:32011L0093" TargetMode="External"/><Relationship Id="rId122" Type="http://schemas.openxmlformats.org/officeDocument/2006/relationships/hyperlink" Target="http://eur-lex.europa.eu/legal-content/EN/TXT/?qid=1490104173804&amp;uri=CELEX:32014L0092" TargetMode="External"/><Relationship Id="rId130" Type="http://schemas.openxmlformats.org/officeDocument/2006/relationships/hyperlink" Target="http://eur-lex.europa.eu/legal-content/EN/TXT/?qid=1490104395102&amp;uri=CELEX:32014L0036" TargetMode="External"/><Relationship Id="rId135" Type="http://schemas.openxmlformats.org/officeDocument/2006/relationships/hyperlink" Target="http://eur-lex.europa.eu/legal-content/EN/TXT/?qid=1490104469689&amp;uri=CELEX:32014L0040" TargetMode="External"/><Relationship Id="rId143" Type="http://schemas.openxmlformats.org/officeDocument/2006/relationships/hyperlink" Target="http://eur-lex.europa.eu/legal-content/EN/TXT/?qid=1487785379675&amp;uri=CELEX:32015L0565" TargetMode="External"/><Relationship Id="rId148" Type="http://schemas.openxmlformats.org/officeDocument/2006/relationships/hyperlink" Target="http://curia.europa.eu/juris/liste.jsf?language=en&amp;jur=C,T,F&amp;num=C-489/16&amp;td=ALL" TargetMode="External"/><Relationship Id="rId151" Type="http://schemas.openxmlformats.org/officeDocument/2006/relationships/hyperlink" Target="http://eur-lex.europa.eu/LexUriServ/LexUriServ.do?uri=OJ:L:2008:353:0001:1355:en:PDF" TargetMode="External"/><Relationship Id="rId4" Type="http://schemas.openxmlformats.org/officeDocument/2006/relationships/hyperlink" Target="http://eur-lex.europa.eu/legal-content/EN/TXT/?qid=1487784658133&amp;uri=CELEX:32014L0054" TargetMode="External"/><Relationship Id="rId9" Type="http://schemas.openxmlformats.org/officeDocument/2006/relationships/hyperlink" Target="http://eur-lex.europa.eu/legal-content/EN/TXT/?qid=1487785139254&amp;uri=CELEX:32015L2203" TargetMode="External"/><Relationship Id="rId13" Type="http://schemas.openxmlformats.org/officeDocument/2006/relationships/hyperlink" Target="http://eur-lex.europa.eu/legal-content/EN/TXT/?qid=1454939907662&amp;uri=CELEX:52015DC0080" TargetMode="External"/><Relationship Id="rId18" Type="http://schemas.openxmlformats.org/officeDocument/2006/relationships/hyperlink" Target="http://eur-lex.europa.eu/legal-content/EN/TXT/?qid=1454940211165&amp;uri=CELEX:32011L0070" TargetMode="External"/><Relationship Id="rId39" Type="http://schemas.openxmlformats.org/officeDocument/2006/relationships/hyperlink" Target="http://eur-lex.europa.eu/legal-content/EN/TXT/?qid=1490090525763&amp;uri=CELEX:32014L0032" TargetMode="External"/><Relationship Id="rId109" Type="http://schemas.openxmlformats.org/officeDocument/2006/relationships/hyperlink" Target="http://eur-lex.europa.eu/legal-content/EN/TXT/?qid=1490093464561&amp;uri=CELEX:32008L0115" TargetMode="External"/><Relationship Id="rId34" Type="http://schemas.openxmlformats.org/officeDocument/2006/relationships/hyperlink" Target="http://eur-lex.europa.eu/legal-content/EN/TXT/?qid=1490089021775&amp;uri=CELEX:32007R0715" TargetMode="External"/><Relationship Id="rId50" Type="http://schemas.openxmlformats.org/officeDocument/2006/relationships/hyperlink" Target="http://eur-lex.europa.eu/legal-content/EN/TXT/?qid=1490090827073&amp;uri=CELEX:32016L0970" TargetMode="External"/><Relationship Id="rId55" Type="http://schemas.openxmlformats.org/officeDocument/2006/relationships/hyperlink" Target="http://eur-lex.europa.eu/legal-content/EN/TXT/?qid=1490090910552&amp;uri=CELEX:32013L0034" TargetMode="External"/><Relationship Id="rId76" Type="http://schemas.openxmlformats.org/officeDocument/2006/relationships/hyperlink" Target="http://eur-lex.europa.eu/legal-content/EN/TXT/?qid=1490091757076&amp;uri=CELEX:32009L0015" TargetMode="External"/><Relationship Id="rId97" Type="http://schemas.openxmlformats.org/officeDocument/2006/relationships/hyperlink" Target="http://eur-lex.europa.eu/legal-content/EN/TXT/?qid=1490093122286&amp;uri=CELEX:32006F0960" TargetMode="External"/><Relationship Id="rId104" Type="http://schemas.openxmlformats.org/officeDocument/2006/relationships/hyperlink" Target="http://eur-lex.europa.eu/legal-content/EN/TXT/?qid=1490093308500&amp;uri=CELEX:52015DC0240" TargetMode="External"/><Relationship Id="rId120" Type="http://schemas.openxmlformats.org/officeDocument/2006/relationships/hyperlink" Target="http://eur-lex.europa.eu/legal-content/EN/TXT/?qid=1490104118646&amp;uri=CELEX:32014L0056" TargetMode="External"/><Relationship Id="rId125" Type="http://schemas.openxmlformats.org/officeDocument/2006/relationships/hyperlink" Target="http://eur-lex.europa.eu/legal-content/EN/TXT/?qid=1490104241267&amp;uri=CELEX:32014L0024" TargetMode="External"/><Relationship Id="rId141" Type="http://schemas.openxmlformats.org/officeDocument/2006/relationships/hyperlink" Target="http://curia.europa.eu/juris/liste.jsf?language=en&amp;num=C-167/14" TargetMode="External"/><Relationship Id="rId146" Type="http://schemas.openxmlformats.org/officeDocument/2006/relationships/hyperlink" Target="http://eur-lex.europa.eu/legal-content/EN/TXT/?uri=OJ:C:2011:012:TOC" TargetMode="External"/><Relationship Id="rId7" Type="http://schemas.openxmlformats.org/officeDocument/2006/relationships/hyperlink" Target="http://eur-lex.europa.eu/legal-content/EN/TXT/?qid=1487784968594&amp;uri=CELEX:32010L0032" TargetMode="External"/><Relationship Id="rId71" Type="http://schemas.openxmlformats.org/officeDocument/2006/relationships/hyperlink" Target="http://eur-lex.europa.eu/legal-content/EN/TXT/?qid=1490091627864&amp;uri=CELEX:32008L0120" TargetMode="External"/><Relationship Id="rId92" Type="http://schemas.openxmlformats.org/officeDocument/2006/relationships/hyperlink" Target="http://eur-lex.europa.eu/legal-content/EN/TXT/?qid=1490092958689&amp;uri=CELEX:32016R0679" TargetMode="External"/><Relationship Id="rId2" Type="http://schemas.openxmlformats.org/officeDocument/2006/relationships/hyperlink" Target="http://eur-lex.europa.eu/legal-content/EN/TXT/?uri=uriserv:OJ.C_.2017.018.01.0010.01.ENG&amp;toc=OJ:C:2017:018:TOC" TargetMode="External"/><Relationship Id="rId29" Type="http://schemas.openxmlformats.org/officeDocument/2006/relationships/hyperlink" Target="http://eur-lex.europa.eu/legal-content/EN/TXT/?qid=1487781404259&amp;uri=CELEX:32014L0104" TargetMode="External"/><Relationship Id="rId24" Type="http://schemas.openxmlformats.org/officeDocument/2006/relationships/hyperlink" Target="http://eur-lex.europa.eu/legal-content/EN/TXT/?qid=1456480409255&amp;uri=CELEX:32008L0101" TargetMode="External"/><Relationship Id="rId40" Type="http://schemas.openxmlformats.org/officeDocument/2006/relationships/hyperlink" Target="http://eur-lex.europa.eu/legal-content/EN/TXT/?qid=1490090567601&amp;uri=CELEX:32015L0013" TargetMode="External"/><Relationship Id="rId45" Type="http://schemas.openxmlformats.org/officeDocument/2006/relationships/hyperlink" Target="http://eur-lex.europa.eu/legal-content/EN/TXT/?qid=1490090679578&amp;uri=CELEX:32014L0034" TargetMode="External"/><Relationship Id="rId66" Type="http://schemas.openxmlformats.org/officeDocument/2006/relationships/hyperlink" Target="http://eur-lex.europa.eu/legal-content/EN/TXT/?qid=1490091467336&amp;uri=CELEX:32015L2302" TargetMode="External"/><Relationship Id="rId87" Type="http://schemas.openxmlformats.org/officeDocument/2006/relationships/hyperlink" Target="http://eur-lex.europa.eu/legal-content/EN/TXT/?uri=CELEX:32016L1919" TargetMode="External"/><Relationship Id="rId110" Type="http://schemas.openxmlformats.org/officeDocument/2006/relationships/hyperlink" Target="http://eur-lex.europa.eu/legal-content/EN/TXT/?qid=1490093494310&amp;uri=CELEX:32014L0036" TargetMode="External"/><Relationship Id="rId115" Type="http://schemas.openxmlformats.org/officeDocument/2006/relationships/hyperlink" Target="http://eur-lex.europa.eu/legal-content/EN/TXT/?qid=1490093914468&amp;uri=CELEX:52016PC0370" TargetMode="External"/><Relationship Id="rId131" Type="http://schemas.openxmlformats.org/officeDocument/2006/relationships/hyperlink" Target="http://eur-lex.europa.eu/legal-content/EN/TXT/?qid=1487785592206&amp;uri=CELEX:32014L0026" TargetMode="External"/><Relationship Id="rId136" Type="http://schemas.openxmlformats.org/officeDocument/2006/relationships/hyperlink" Target="http://eur-lex.europa.eu/legal-content/EN/TXT/?uri=uriserv:OJ.C_.2017.018.01.0010.01.ENG&amp;toc=OJ:C:2017:018:TOC" TargetMode="External"/><Relationship Id="rId61" Type="http://schemas.openxmlformats.org/officeDocument/2006/relationships/hyperlink" Target="http://eur-lex.europa.eu/legal-content/EN/TXT/?qid=1490091045657&amp;uri=CELEX:32013L0011" TargetMode="External"/><Relationship Id="rId82" Type="http://schemas.openxmlformats.org/officeDocument/2006/relationships/hyperlink" Target="http://eur-lex.europa.eu/legal-content/EN/TXT/?qid=1490092036225&amp;uri=CELEX:32014L0049" TargetMode="External"/><Relationship Id="rId152" Type="http://schemas.openxmlformats.org/officeDocument/2006/relationships/hyperlink" Target="http://curia.europa.eu/juris/liste.jsf?language=en&amp;jur=C,T,F&amp;num=C-62/16&amp;td=ALL" TargetMode="External"/><Relationship Id="rId19" Type="http://schemas.openxmlformats.org/officeDocument/2006/relationships/hyperlink" Target="http://eur-lex.europa.eu/legal-content/EN/TXT/?qid=1454940056281&amp;uri=CELEX:32012L0027" TargetMode="External"/><Relationship Id="rId14" Type="http://schemas.openxmlformats.org/officeDocument/2006/relationships/hyperlink" Target="http://eur-lex.europa.eu/legal-content/EN/TXT/?qid=1454939975010&amp;uri=CELEX:32009L0072" TargetMode="External"/><Relationship Id="rId30" Type="http://schemas.openxmlformats.org/officeDocument/2006/relationships/hyperlink" Target="http://eur-lex.europa.eu/legal-content/EN/TXT/?qid=1454940452353&amp;uri=CELEX:52015DC0550" TargetMode="External"/><Relationship Id="rId35" Type="http://schemas.openxmlformats.org/officeDocument/2006/relationships/hyperlink" Target="http://eur-lex.europa.eu/legal-content/EN/TXT/?qid=1490090417205&amp;uri=CELEX:32014L0023" TargetMode="External"/><Relationship Id="rId56" Type="http://schemas.openxmlformats.org/officeDocument/2006/relationships/hyperlink" Target="http://eur-lex.europa.eu/legal-content/EN/TXT/?qid=1490090935135&amp;uri=CELEX:32014L0056" TargetMode="External"/><Relationship Id="rId77" Type="http://schemas.openxmlformats.org/officeDocument/2006/relationships/hyperlink" Target="http://eur-lex.europa.eu/legal-content/EN/TXT/?qid=1454941454344&amp;uri=CELEX:32006L0126" TargetMode="External"/><Relationship Id="rId100" Type="http://schemas.openxmlformats.org/officeDocument/2006/relationships/hyperlink" Target="http://eur-lex.europa.eu/legal-content/EN/TXT/?qid=1490093204596&amp;uri=CELEX:32011L0036" TargetMode="External"/><Relationship Id="rId105" Type="http://schemas.openxmlformats.org/officeDocument/2006/relationships/hyperlink" Target="http://eur-lex.europa.eu/legal-content/EN/TXT/?qid=1490093357779&amp;uri=CELEX:32013L0032" TargetMode="External"/><Relationship Id="rId126" Type="http://schemas.openxmlformats.org/officeDocument/2006/relationships/hyperlink" Target="http://eur-lex.europa.eu/legal-content/EN/TXT/?qid=1490104275823&amp;uri=CELEX:32014L0025" TargetMode="External"/><Relationship Id="rId147" Type="http://schemas.openxmlformats.org/officeDocument/2006/relationships/hyperlink" Target="http://eur-lex.europa.eu/legal-content/EN/TXT/?uri=OJ:C:2017:018:TOC" TargetMode="External"/><Relationship Id="rId8" Type="http://schemas.openxmlformats.org/officeDocument/2006/relationships/hyperlink" Target="http://eur-lex.europa.eu/legal-content/EN/TXT/?qid=1487785054753&amp;uri=CELEX:52016DC0316" TargetMode="External"/><Relationship Id="rId51" Type="http://schemas.openxmlformats.org/officeDocument/2006/relationships/hyperlink" Target="http://eur-lex.europa.eu/legal-content/EN/TXT/?qid=1490090853421&amp;uri=CELEX:32013L0055" TargetMode="External"/><Relationship Id="rId72" Type="http://schemas.openxmlformats.org/officeDocument/2006/relationships/hyperlink" Target="http://eur-lex.europa.eu/legal-content/EN/TXT/?qid=1490091660007&amp;uri=CELEX:32004L0052" TargetMode="External"/><Relationship Id="rId93" Type="http://schemas.openxmlformats.org/officeDocument/2006/relationships/hyperlink" Target="http://eur-lex.europa.eu/legal-content/EN/TXT/?qid=1490092992790&amp;uri=CELEX:31995L0046" TargetMode="External"/><Relationship Id="rId98" Type="http://schemas.openxmlformats.org/officeDocument/2006/relationships/hyperlink" Target="http://eur-lex.europa.eu/legal-content/EN/TXT/?qid=1490093174495&amp;uri=CELEX:32008D0615" TargetMode="External"/><Relationship Id="rId121" Type="http://schemas.openxmlformats.org/officeDocument/2006/relationships/hyperlink" Target="http://eur-lex.europa.eu/legal-content/EN/TXT/?qid=1490104147801&amp;uri=CELEX:32014L0091" TargetMode="External"/><Relationship Id="rId142" Type="http://schemas.openxmlformats.org/officeDocument/2006/relationships/hyperlink" Target="http://eur-lex.europa.eu/legal-content/EN/TXT/?qid=1487785252330&amp;uri=CELEX:32014L0061" TargetMode="External"/><Relationship Id="rId3" Type="http://schemas.openxmlformats.org/officeDocument/2006/relationships/hyperlink" Target="http://eur-lex.europa.eu/legal-content/EN/TXT/?uri=uriserv:OJ.C_.2017.018.01.0010.01.ENG&amp;toc=OJ:C:2017:018: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7.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99"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sk-SK" sz="1099" b="0">
                <a:solidFill>
                  <a:srgbClr val="002060"/>
                </a:solidFill>
                <a:latin typeface="Arial" panose="020B0604020202020204" pitchFamily="34" charset="0"/>
              </a:rPr>
              <a:t>Počet sťažností (2012 – 2016)</a:t>
            </a:r>
          </a:p>
        </c:rich>
      </c:tx>
      <c:layout>
        <c:manualLayout>
          <c:xMode val="edge"/>
          <c:yMode val="edge"/>
          <c:x val="0.23146976007014111"/>
          <c:y val="2.3809216470891958E-2"/>
        </c:manualLayout>
      </c:layout>
      <c:overlay val="0"/>
    </c:title>
    <c:autoTitleDeleted val="0"/>
    <c:plotArea>
      <c:layout/>
      <c:lineChart>
        <c:grouping val="standard"/>
        <c:varyColors val="0"/>
        <c:ser>
          <c:idx val="0"/>
          <c:order val="0"/>
          <c:tx>
            <c:strRef>
              <c:f>Blad1!$B$2</c:f>
              <c:strCache>
                <c:ptCount val="1"/>
                <c:pt idx="0">
                  <c:v>Number of complaints (2012-2016)</c:v>
                </c:pt>
              </c:strCache>
            </c:strRef>
          </c:tx>
          <c:spPr>
            <a:effectLst>
              <a:outerShdw blurRad="40000" dist="23000" dir="5400000" rotWithShape="0">
                <a:srgbClr val="000000">
                  <a:alpha val="35000"/>
                </a:srgbClr>
              </a:outerShdw>
            </a:effectLst>
          </c:spPr>
          <c:dLbls>
            <c:dLbl>
              <c:idx val="0"/>
              <c:layout>
                <c:manualLayout>
                  <c:x val="-6.1309390873275631E-2"/>
                  <c:y val="6.5533021411230269E-2"/>
                </c:manualLayout>
              </c:layout>
              <c:dLblPos val="r"/>
              <c:showLegendKey val="0"/>
              <c:showVal val="1"/>
              <c:showCatName val="0"/>
              <c:showSerName val="0"/>
              <c:showPercent val="0"/>
              <c:showBubbleSize val="0"/>
            </c:dLbl>
            <c:dLbl>
              <c:idx val="1"/>
              <c:layout>
                <c:manualLayout>
                  <c:x val="-4.7263438803817864E-2"/>
                  <c:y val="7.3441963287712062E-2"/>
                </c:manualLayout>
              </c:layout>
              <c:dLblPos val="r"/>
              <c:showLegendKey val="0"/>
              <c:showVal val="1"/>
              <c:showCatName val="0"/>
              <c:showSerName val="0"/>
              <c:showPercent val="0"/>
              <c:showBubbleSize val="0"/>
            </c:dLbl>
            <c:dLbl>
              <c:idx val="2"/>
              <c:layout>
                <c:manualLayout>
                  <c:x val="-5.568415129013396E-2"/>
                  <c:y val="-5.6052476878875948E-2"/>
                </c:manualLayout>
              </c:layout>
              <c:dLblPos val="r"/>
              <c:showLegendKey val="0"/>
              <c:showVal val="1"/>
              <c:showCatName val="0"/>
              <c:showSerName val="0"/>
              <c:showPercent val="0"/>
              <c:showBubbleSize val="0"/>
            </c:dLbl>
            <c:dLbl>
              <c:idx val="3"/>
              <c:layout>
                <c:manualLayout>
                  <c:x val="-5.6146990451693538E-2"/>
                  <c:y val="5.2371712828075803E-2"/>
                </c:manualLayout>
              </c:layout>
              <c:dLblPos val="r"/>
              <c:showLegendKey val="0"/>
              <c:showVal val="1"/>
              <c:showCatName val="0"/>
              <c:showSerName val="0"/>
              <c:showPercent val="0"/>
              <c:showBubbleSize val="0"/>
            </c:dLbl>
            <c:dLbl>
              <c:idx val="4"/>
              <c:layout>
                <c:manualLayout>
                  <c:x val="-5.0028675247048661E-2"/>
                  <c:y val="-5.14403949954595E-2"/>
                </c:manualLayout>
              </c:layout>
              <c:dLblPos val="r"/>
              <c:showLegendKey val="0"/>
              <c:showVal val="1"/>
              <c:showCatName val="0"/>
              <c:showSerName val="0"/>
              <c:showPercent val="0"/>
              <c:showBubbleSize val="0"/>
            </c:dLbl>
            <c:spPr>
              <a:noFill/>
              <a:ln w="25385">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accent2"/>
                    </a:solidFill>
                    <a:latin typeface="Verdana" panose="020B0604030504040204" pitchFamily="34" charset="0"/>
                    <a:ea typeface="Verdana" panose="020B0604030504040204" pitchFamily="34" charset="0"/>
                    <a:cs typeface="Verdana" panose="020B0604030504040204" pitchFamily="34" charset="0"/>
                  </a:defRPr>
                </a:pPr>
                <a:endParaRPr lang="en-US"/>
              </a:p>
            </c:txPr>
            <c:dLblPos val="b"/>
            <c:showLegendKey val="0"/>
            <c:showVal val="1"/>
            <c:showCatName val="0"/>
            <c:showSerName val="0"/>
            <c:showPercent val="0"/>
            <c:showBubbleSize val="0"/>
            <c:showLeaderLines val="0"/>
          </c:dLbls>
          <c:cat>
            <c:numRef>
              <c:f>Blad1!$A$3:$A$7</c:f>
              <c:numCache>
                <c:formatCode>General</c:formatCode>
                <c:ptCount val="5"/>
                <c:pt idx="0">
                  <c:v>2012</c:v>
                </c:pt>
                <c:pt idx="1">
                  <c:v>2013</c:v>
                </c:pt>
                <c:pt idx="2">
                  <c:v>2014</c:v>
                </c:pt>
                <c:pt idx="3">
                  <c:v>2015</c:v>
                </c:pt>
                <c:pt idx="4">
                  <c:v>2016</c:v>
                </c:pt>
              </c:numCache>
            </c:numRef>
          </c:cat>
          <c:val>
            <c:numRef>
              <c:f>Blad1!$B$3:$B$7</c:f>
              <c:numCache>
                <c:formatCode>General</c:formatCode>
                <c:ptCount val="5"/>
                <c:pt idx="0">
                  <c:v>3141</c:v>
                </c:pt>
                <c:pt idx="1">
                  <c:v>3505</c:v>
                </c:pt>
                <c:pt idx="2">
                  <c:v>3715</c:v>
                </c:pt>
                <c:pt idx="3">
                  <c:v>3450</c:v>
                </c:pt>
                <c:pt idx="4">
                  <c:v>3783</c:v>
                </c:pt>
              </c:numCache>
            </c:numRef>
          </c:val>
          <c:smooth val="0"/>
        </c:ser>
        <c:dLbls>
          <c:showLegendKey val="0"/>
          <c:showVal val="0"/>
          <c:showCatName val="0"/>
          <c:showSerName val="0"/>
          <c:showPercent val="0"/>
          <c:showBubbleSize val="0"/>
        </c:dLbls>
        <c:marker val="1"/>
        <c:smooth val="0"/>
        <c:axId val="34744576"/>
        <c:axId val="34787328"/>
      </c:lineChart>
      <c:catAx>
        <c:axId val="34744576"/>
        <c:scaling>
          <c:orientation val="minMax"/>
        </c:scaling>
        <c:delete val="0"/>
        <c:axPos val="b"/>
        <c:numFmt formatCode="General" sourceLinked="1"/>
        <c:majorTickMark val="none"/>
        <c:minorTickMark val="none"/>
        <c:tickLblPos val="nextTo"/>
        <c:spPr>
          <a:noFill/>
          <a:ln w="12692"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34787328"/>
        <c:crosses val="autoZero"/>
        <c:auto val="1"/>
        <c:lblAlgn val="ctr"/>
        <c:lblOffset val="100"/>
        <c:noMultiLvlLbl val="0"/>
      </c:catAx>
      <c:valAx>
        <c:axId val="34787328"/>
        <c:scaling>
          <c:orientation val="minMax"/>
          <c:min val="3000"/>
        </c:scaling>
        <c:delete val="1"/>
        <c:axPos val="l"/>
        <c:majorGridlines>
          <c:spPr>
            <a:ln w="9519" cap="flat" cmpd="sng" algn="ctr">
              <a:solidFill>
                <a:schemeClr val="tx1">
                  <a:lumMod val="15000"/>
                  <a:lumOff val="85000"/>
                </a:schemeClr>
              </a:solidFill>
              <a:round/>
            </a:ln>
            <a:effectLst/>
          </c:spPr>
        </c:majorGridlines>
        <c:numFmt formatCode="General" sourceLinked="1"/>
        <c:majorTickMark val="out"/>
        <c:minorTickMark val="none"/>
        <c:tickLblPos val="nextTo"/>
        <c:crossAx val="34744576"/>
        <c:crosses val="autoZero"/>
        <c:crossBetween val="between"/>
      </c:valAx>
      <c:spPr>
        <a:noFill/>
        <a:ln w="25384">
          <a:noFill/>
        </a:ln>
      </c:spPr>
    </c:plotArea>
    <c:plotVisOnly val="1"/>
    <c:dispBlanksAs val="gap"/>
    <c:showDLblsOverMax val="0"/>
  </c:chart>
  <c:spPr>
    <a:solidFill>
      <a:schemeClr val="bg1"/>
    </a:solidFill>
    <a:ln w="9519"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99"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sk-SK"/>
              <a:t>Odôvodnené stanoviská zaslané členským štátom v roku 2016</a:t>
            </a:r>
          </a:p>
        </c:rich>
      </c:tx>
      <c:overlay val="0"/>
    </c:title>
    <c:autoTitleDeleted val="0"/>
    <c:plotArea>
      <c:layout/>
      <c:barChart>
        <c:barDir val="col"/>
        <c:grouping val="clustered"/>
        <c:varyColors val="0"/>
        <c:ser>
          <c:idx val="0"/>
          <c:order val="0"/>
          <c:tx>
            <c:strRef>
              <c:f>Blad1!$B$2</c:f>
              <c:strCache>
                <c:ptCount val="1"/>
                <c:pt idx="0">
                  <c:v>Number of late infringement cases</c:v>
                </c:pt>
              </c:strCache>
            </c:strRef>
          </c:tx>
          <c:spPr>
            <a:solidFill>
              <a:schemeClr val="accent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txPr>
              <a:bodyPr/>
              <a:lstStyle/>
              <a:p>
                <a:pPr>
                  <a:defRPr sz="799">
                    <a:latin typeface="Verdana" panose="020B0604030504040204" pitchFamily="34" charset="0"/>
                    <a:ea typeface="Verdana" panose="020B0604030504040204" pitchFamily="34" charset="0"/>
                    <a:cs typeface="Verdana" panose="020B0604030504040204" pitchFamily="34" charset="0"/>
                  </a:defRPr>
                </a:pPr>
                <a:endParaRPr lang="en-US"/>
              </a:p>
            </c:txPr>
            <c:dLblPos val="outEnd"/>
            <c:showLegendKey val="0"/>
            <c:showVal val="1"/>
            <c:showCatName val="0"/>
            <c:showSerName val="0"/>
            <c:showPercent val="0"/>
            <c:showBubbleSize val="0"/>
            <c:showLeaderLines val="0"/>
          </c:dLbls>
          <c:cat>
            <c:strRef>
              <c:f>Blad1!$A$3:$A$30</c:f>
              <c:strCache>
                <c:ptCount val="28"/>
                <c:pt idx="0">
                  <c:v>MT</c:v>
                </c:pt>
                <c:pt idx="1">
                  <c:v>CZ</c:v>
                </c:pt>
                <c:pt idx="2">
                  <c:v>IT</c:v>
                </c:pt>
                <c:pt idx="3">
                  <c:v>DK</c:v>
                </c:pt>
                <c:pt idx="4">
                  <c:v>HU</c:v>
                </c:pt>
                <c:pt idx="5">
                  <c:v>EE</c:v>
                </c:pt>
                <c:pt idx="6">
                  <c:v>NL</c:v>
                </c:pt>
                <c:pt idx="7">
                  <c:v>SE</c:v>
                </c:pt>
                <c:pt idx="8">
                  <c:v>UK</c:v>
                </c:pt>
                <c:pt idx="9">
                  <c:v>SK</c:v>
                </c:pt>
                <c:pt idx="10">
                  <c:v>LT</c:v>
                </c:pt>
                <c:pt idx="11">
                  <c:v>RO</c:v>
                </c:pt>
                <c:pt idx="12">
                  <c:v>BG</c:v>
                </c:pt>
                <c:pt idx="13">
                  <c:v>FR</c:v>
                </c:pt>
                <c:pt idx="14">
                  <c:v>IE</c:v>
                </c:pt>
                <c:pt idx="15">
                  <c:v>LV</c:v>
                </c:pt>
                <c:pt idx="16">
                  <c:v>AT</c:v>
                </c:pt>
                <c:pt idx="17">
                  <c:v>PL</c:v>
                </c:pt>
                <c:pt idx="18">
                  <c:v>EL</c:v>
                </c:pt>
                <c:pt idx="19">
                  <c:v>SI</c:v>
                </c:pt>
                <c:pt idx="20">
                  <c:v>DE</c:v>
                </c:pt>
                <c:pt idx="21">
                  <c:v>LU</c:v>
                </c:pt>
                <c:pt idx="22">
                  <c:v>CY</c:v>
                </c:pt>
                <c:pt idx="23">
                  <c:v>BE</c:v>
                </c:pt>
                <c:pt idx="24">
                  <c:v>FI</c:v>
                </c:pt>
                <c:pt idx="25">
                  <c:v>HR</c:v>
                </c:pt>
                <c:pt idx="26">
                  <c:v>ES</c:v>
                </c:pt>
                <c:pt idx="27">
                  <c:v>PT</c:v>
                </c:pt>
              </c:strCache>
            </c:strRef>
          </c:cat>
          <c:val>
            <c:numRef>
              <c:f>Blad1!$B$3:$B$30</c:f>
              <c:numCache>
                <c:formatCode>General</c:formatCode>
                <c:ptCount val="28"/>
                <c:pt idx="0">
                  <c:v>1</c:v>
                </c:pt>
                <c:pt idx="1">
                  <c:v>2</c:v>
                </c:pt>
                <c:pt idx="2">
                  <c:v>4</c:v>
                </c:pt>
                <c:pt idx="3">
                  <c:v>5</c:v>
                </c:pt>
                <c:pt idx="4">
                  <c:v>6</c:v>
                </c:pt>
                <c:pt idx="5">
                  <c:v>7</c:v>
                </c:pt>
                <c:pt idx="6">
                  <c:v>7</c:v>
                </c:pt>
                <c:pt idx="7">
                  <c:v>7</c:v>
                </c:pt>
                <c:pt idx="8">
                  <c:v>7</c:v>
                </c:pt>
                <c:pt idx="9">
                  <c:v>8</c:v>
                </c:pt>
                <c:pt idx="10">
                  <c:v>9</c:v>
                </c:pt>
                <c:pt idx="11">
                  <c:v>9</c:v>
                </c:pt>
                <c:pt idx="12">
                  <c:v>10</c:v>
                </c:pt>
                <c:pt idx="13">
                  <c:v>10</c:v>
                </c:pt>
                <c:pt idx="14">
                  <c:v>10</c:v>
                </c:pt>
                <c:pt idx="15">
                  <c:v>11</c:v>
                </c:pt>
                <c:pt idx="16">
                  <c:v>12</c:v>
                </c:pt>
                <c:pt idx="17">
                  <c:v>12</c:v>
                </c:pt>
                <c:pt idx="18">
                  <c:v>13</c:v>
                </c:pt>
                <c:pt idx="19">
                  <c:v>13</c:v>
                </c:pt>
                <c:pt idx="20">
                  <c:v>14</c:v>
                </c:pt>
                <c:pt idx="21">
                  <c:v>14</c:v>
                </c:pt>
                <c:pt idx="22">
                  <c:v>15</c:v>
                </c:pt>
                <c:pt idx="23">
                  <c:v>16</c:v>
                </c:pt>
                <c:pt idx="24">
                  <c:v>16</c:v>
                </c:pt>
                <c:pt idx="25">
                  <c:v>16</c:v>
                </c:pt>
                <c:pt idx="26">
                  <c:v>17</c:v>
                </c:pt>
                <c:pt idx="27">
                  <c:v>21</c:v>
                </c:pt>
              </c:numCache>
            </c:numRef>
          </c:val>
        </c:ser>
        <c:dLbls>
          <c:showLegendKey val="0"/>
          <c:showVal val="0"/>
          <c:showCatName val="0"/>
          <c:showSerName val="0"/>
          <c:showPercent val="0"/>
          <c:showBubbleSize val="0"/>
        </c:dLbls>
        <c:gapWidth val="75"/>
        <c:overlap val="-25"/>
        <c:axId val="73575424"/>
        <c:axId val="73581312"/>
      </c:barChart>
      <c:catAx>
        <c:axId val="73575424"/>
        <c:scaling>
          <c:orientation val="minMax"/>
        </c:scaling>
        <c:delete val="0"/>
        <c:axPos val="b"/>
        <c:numFmt formatCode="General" sourceLinked="1"/>
        <c:majorTickMark val="none"/>
        <c:minorTickMark val="none"/>
        <c:tickLblPos val="nextTo"/>
        <c:spPr>
          <a:noFill/>
          <a:ln w="12687" cap="flat" cmpd="sng" algn="ctr">
            <a:solidFill>
              <a:schemeClr val="tx1">
                <a:lumMod val="15000"/>
                <a:lumOff val="85000"/>
              </a:schemeClr>
            </a:solidFill>
            <a:round/>
          </a:ln>
          <a:effectLst/>
        </c:spPr>
        <c:txPr>
          <a:bodyPr rot="-60000000" spcFirstLastPara="1" vertOverflow="ellipsis" vert="horz" wrap="square" anchor="ctr" anchorCtr="1"/>
          <a:lstStyle/>
          <a:p>
            <a:pPr>
              <a:defRPr sz="799"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73581312"/>
        <c:crosses val="autoZero"/>
        <c:auto val="1"/>
        <c:lblAlgn val="ctr"/>
        <c:lblOffset val="100"/>
        <c:noMultiLvlLbl val="0"/>
      </c:catAx>
      <c:valAx>
        <c:axId val="73581312"/>
        <c:scaling>
          <c:orientation val="minMax"/>
        </c:scaling>
        <c:delete val="1"/>
        <c:axPos val="l"/>
        <c:majorGridlines>
          <c:spPr>
            <a:ln w="9515" cap="flat" cmpd="sng" algn="ctr">
              <a:solidFill>
                <a:schemeClr val="tx1">
                  <a:lumMod val="15000"/>
                  <a:lumOff val="85000"/>
                </a:schemeClr>
              </a:solidFill>
              <a:round/>
            </a:ln>
            <a:effectLst/>
          </c:spPr>
        </c:majorGridlines>
        <c:numFmt formatCode="General" sourceLinked="1"/>
        <c:majorTickMark val="out"/>
        <c:minorTickMark val="none"/>
        <c:tickLblPos val="nextTo"/>
        <c:crossAx val="73575424"/>
        <c:crosses val="autoZero"/>
        <c:crossBetween val="between"/>
      </c:valAx>
      <c:spPr>
        <a:noFill/>
        <a:ln w="25370">
          <a:noFill/>
        </a:ln>
      </c:spPr>
    </c:plotArea>
    <c:plotVisOnly val="1"/>
    <c:dispBlanksAs val="gap"/>
    <c:showDLblsOverMax val="0"/>
  </c:chart>
  <c:spPr>
    <a:solidFill>
      <a:schemeClr val="bg1"/>
    </a:solidFill>
    <a:ln w="951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1"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sk-SK" sz="1101" b="0" baseline="0">
                <a:solidFill>
                  <a:srgbClr val="002060"/>
                </a:solidFill>
                <a:latin typeface="Arial" panose="020B0604020202020204" pitchFamily="34" charset="0"/>
              </a:rPr>
              <a:t>Prípady nesplnenia povinnosti otvorené ku koncu roka </a:t>
            </a:r>
            <a:r>
              <a:rPr lang="sk-SK" sz="1101" b="0">
                <a:solidFill>
                  <a:srgbClr val="002060"/>
                </a:solidFill>
                <a:latin typeface="Arial" panose="020B0604020202020204" pitchFamily="34" charset="0"/>
              </a:rPr>
              <a:t>(2012 – 2016)</a:t>
            </a:r>
          </a:p>
        </c:rich>
      </c:tx>
      <c:layout>
        <c:manualLayout>
          <c:xMode val="edge"/>
          <c:yMode val="edge"/>
          <c:x val="0.18054378091176737"/>
          <c:y val="2.3809683364047578E-2"/>
        </c:manualLayout>
      </c:layout>
      <c:overlay val="0"/>
    </c:title>
    <c:autoTitleDeleted val="0"/>
    <c:plotArea>
      <c:layout>
        <c:manualLayout>
          <c:layoutTarget val="inner"/>
          <c:xMode val="edge"/>
          <c:yMode val="edge"/>
          <c:x val="5.8121854991056057E-2"/>
          <c:y val="0.14191764923959735"/>
          <c:w val="0.88688283756197139"/>
          <c:h val="0.7497423634929069"/>
        </c:manualLayout>
      </c:layout>
      <c:lineChart>
        <c:grouping val="standard"/>
        <c:varyColors val="0"/>
        <c:ser>
          <c:idx val="0"/>
          <c:order val="0"/>
          <c:tx>
            <c:strRef>
              <c:f>Blad1!$B$2</c:f>
              <c:strCache>
                <c:ptCount val="1"/>
                <c:pt idx="0">
                  <c:v>Open infringement cases (2010-2014)</c:v>
                </c:pt>
              </c:strCache>
            </c:strRef>
          </c:tx>
          <c:spPr>
            <a:effectLst>
              <a:outerShdw blurRad="40000" dist="23000" dir="5400000" rotWithShape="0">
                <a:srgbClr val="000000">
                  <a:alpha val="35000"/>
                </a:srgbClr>
              </a:outerShdw>
            </a:effectLst>
          </c:spPr>
          <c:dLbls>
            <c:dLbl>
              <c:idx val="0"/>
              <c:layout>
                <c:manualLayout>
                  <c:x val="-5.814521323293767E-2"/>
                  <c:y val="5.120501793158503E-2"/>
                </c:manualLayout>
              </c:layout>
              <c:dLblPos val="r"/>
              <c:showLegendKey val="0"/>
              <c:showVal val="1"/>
              <c:showCatName val="0"/>
              <c:showSerName val="0"/>
              <c:showPercent val="0"/>
              <c:showBubbleSize val="0"/>
            </c:dLbl>
            <c:dLbl>
              <c:idx val="1"/>
              <c:layout>
                <c:manualLayout>
                  <c:x val="-5.0593824475986565E-2"/>
                  <c:y val="6.2864616747166799E-2"/>
                </c:manualLayout>
              </c:layout>
              <c:dLblPos val="r"/>
              <c:showLegendKey val="0"/>
              <c:showVal val="1"/>
              <c:showCatName val="0"/>
              <c:showSerName val="0"/>
              <c:showPercent val="0"/>
              <c:showBubbleSize val="0"/>
            </c:dLbl>
            <c:dLbl>
              <c:idx val="4"/>
              <c:layout>
                <c:manualLayout>
                  <c:x val="-3.3625265392781413E-2"/>
                  <c:y val="-6.5892944163738504E-2"/>
                </c:manualLayout>
              </c:layout>
              <c:dLblPos val="r"/>
              <c:showLegendKey val="0"/>
              <c:showVal val="1"/>
              <c:showCatName val="0"/>
              <c:showSerName val="0"/>
              <c:showPercent val="0"/>
              <c:showBubbleSize val="0"/>
            </c:dLbl>
            <c:spPr>
              <a:noFill/>
              <a:ln w="25415">
                <a:noFill/>
              </a:ln>
            </c:spPr>
            <c:txPr>
              <a:bodyPr rot="0" spcFirstLastPara="1" vertOverflow="ellipsis" vert="horz" wrap="square" lIns="38100" tIns="19050" rIns="38100" bIns="19050" anchor="ctr" anchorCtr="1">
                <a:spAutoFit/>
              </a:bodyPr>
              <a:lstStyle/>
              <a:p>
                <a:pPr>
                  <a:defRPr sz="800" b="0" i="0" u="none" strike="noStrike" kern="1200" baseline="0">
                    <a:solidFill>
                      <a:schemeClr val="accent2"/>
                    </a:solidFill>
                    <a:latin typeface="Verdana" panose="020B0604030504040204" pitchFamily="34" charset="0"/>
                    <a:ea typeface="Verdana" panose="020B0604030504040204" pitchFamily="34" charset="0"/>
                    <a:cs typeface="Verdana" panose="020B0604030504040204" pitchFamily="34" charset="0"/>
                  </a:defRPr>
                </a:pPr>
                <a:endParaRPr lang="en-US"/>
              </a:p>
            </c:txPr>
            <c:dLblPos val="b"/>
            <c:showLegendKey val="0"/>
            <c:showVal val="1"/>
            <c:showCatName val="0"/>
            <c:showSerName val="0"/>
            <c:showPercent val="0"/>
            <c:showBubbleSize val="0"/>
            <c:showLeaderLines val="0"/>
          </c:dLbls>
          <c:cat>
            <c:numRef>
              <c:f>Blad1!$A$3:$A$7</c:f>
              <c:numCache>
                <c:formatCode>General</c:formatCode>
                <c:ptCount val="5"/>
                <c:pt idx="0">
                  <c:v>2012</c:v>
                </c:pt>
                <c:pt idx="1">
                  <c:v>2013</c:v>
                </c:pt>
                <c:pt idx="2">
                  <c:v>2014</c:v>
                </c:pt>
                <c:pt idx="3">
                  <c:v>2015</c:v>
                </c:pt>
                <c:pt idx="4">
                  <c:v>2016</c:v>
                </c:pt>
              </c:numCache>
            </c:numRef>
          </c:cat>
          <c:val>
            <c:numRef>
              <c:f>Blad1!$B$3:$B$7</c:f>
              <c:numCache>
                <c:formatCode>General</c:formatCode>
                <c:ptCount val="5"/>
                <c:pt idx="0">
                  <c:v>1343</c:v>
                </c:pt>
                <c:pt idx="1">
                  <c:v>1300</c:v>
                </c:pt>
                <c:pt idx="2">
                  <c:v>1347</c:v>
                </c:pt>
                <c:pt idx="3">
                  <c:v>1368</c:v>
                </c:pt>
                <c:pt idx="4">
                  <c:v>1657</c:v>
                </c:pt>
              </c:numCache>
            </c:numRef>
          </c:val>
          <c:smooth val="0"/>
        </c:ser>
        <c:dLbls>
          <c:showLegendKey val="0"/>
          <c:showVal val="0"/>
          <c:showCatName val="0"/>
          <c:showSerName val="0"/>
          <c:showPercent val="0"/>
          <c:showBubbleSize val="0"/>
        </c:dLbls>
        <c:marker val="1"/>
        <c:smooth val="0"/>
        <c:axId val="82158336"/>
        <c:axId val="82159872"/>
      </c:lineChart>
      <c:catAx>
        <c:axId val="82158336"/>
        <c:scaling>
          <c:orientation val="minMax"/>
        </c:scaling>
        <c:delete val="0"/>
        <c:axPos val="b"/>
        <c:numFmt formatCode="General" sourceLinked="1"/>
        <c:majorTickMark val="none"/>
        <c:minorTickMark val="none"/>
        <c:tickLblPos val="nextTo"/>
        <c:spPr>
          <a:noFill/>
          <a:ln w="12707"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82159872"/>
        <c:crosses val="autoZero"/>
        <c:auto val="1"/>
        <c:lblAlgn val="ctr"/>
        <c:lblOffset val="100"/>
        <c:noMultiLvlLbl val="0"/>
      </c:catAx>
      <c:valAx>
        <c:axId val="82159872"/>
        <c:scaling>
          <c:orientation val="minMax"/>
          <c:min val="1000"/>
        </c:scaling>
        <c:delete val="1"/>
        <c:axPos val="l"/>
        <c:majorGridlines>
          <c:spPr>
            <a:ln w="9530" cap="flat" cmpd="sng" algn="ctr">
              <a:solidFill>
                <a:schemeClr val="tx1">
                  <a:lumMod val="15000"/>
                  <a:lumOff val="85000"/>
                </a:schemeClr>
              </a:solidFill>
              <a:round/>
            </a:ln>
            <a:effectLst/>
          </c:spPr>
        </c:majorGridlines>
        <c:numFmt formatCode="General" sourceLinked="1"/>
        <c:majorTickMark val="out"/>
        <c:minorTickMark val="none"/>
        <c:tickLblPos val="nextTo"/>
        <c:crossAx val="82158336"/>
        <c:crosses val="autoZero"/>
        <c:crossBetween val="between"/>
      </c:valAx>
      <c:spPr>
        <a:noFill/>
        <a:ln w="25412">
          <a:noFill/>
        </a:ln>
      </c:spPr>
    </c:plotArea>
    <c:plotVisOnly val="1"/>
    <c:dispBlanksAs val="gap"/>
    <c:showDLblsOverMax val="0"/>
  </c:chart>
  <c:spPr>
    <a:solidFill>
      <a:schemeClr val="bg1"/>
    </a:solidFill>
    <a:ln w="9530"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solidFill>
                  <a:srgbClr val="002060"/>
                </a:solidFill>
              </a:defRPr>
            </a:pPr>
            <a:r>
              <a:rPr lang="sk-SK" sz="1100" b="0" baseline="0">
                <a:solidFill>
                  <a:srgbClr val="002060"/>
                </a:solidFill>
                <a:latin typeface="Arial" panose="020B0604020202020204" pitchFamily="34" charset="0"/>
                <a:ea typeface="Verdana" panose="020B0604030504040204" pitchFamily="34" charset="0"/>
              </a:rPr>
              <a:t>Prípady nesplnenia povinnosti otvorené k 31. decembru 2016</a:t>
            </a:r>
          </a:p>
        </c:rich>
      </c:tx>
      <c:overlay val="0"/>
    </c:title>
    <c:autoTitleDeleted val="0"/>
    <c:plotArea>
      <c:layout/>
      <c:barChart>
        <c:barDir val="col"/>
        <c:grouping val="stacked"/>
        <c:varyColors val="0"/>
        <c:ser>
          <c:idx val="0"/>
          <c:order val="0"/>
          <c:tx>
            <c:strRef>
              <c:f>Sheet1!$B$1</c:f>
              <c:strCache>
                <c:ptCount val="1"/>
                <c:pt idx="0">
                  <c:v>Prípady nesplnenia povinnosti v súvislosti s neskorou transpozíciou</c:v>
                </c:pt>
              </c:strCache>
            </c:strRef>
          </c:tx>
          <c:spPr>
            <a:solidFill>
              <a:srgbClr val="92D050"/>
            </a:solidFill>
            <a:scene3d>
              <a:camera prst="orthographicFront"/>
              <a:lightRig rig="threePt" dir="t"/>
            </a:scene3d>
            <a:sp3d prstMaterial="matte">
              <a:bevelT w="25400" h="19050" prst="artDeco"/>
              <a:contourClr>
                <a:srgbClr val="000000"/>
              </a:contourClr>
            </a:sp3d>
          </c:spPr>
          <c:invertIfNegative val="0"/>
          <c:dLbls>
            <c:txPr>
              <a:bodyPr/>
              <a:lstStyle/>
              <a:p>
                <a:pPr>
                  <a:defRPr sz="800">
                    <a:solidFill>
                      <a:srgbClr val="002060"/>
                    </a:solidFill>
                    <a:latin typeface="Verdana" panose="020B0604030504040204" pitchFamily="34" charset="0"/>
                    <a:ea typeface="Verdana" panose="020B0604030504040204" pitchFamily="34" charset="0"/>
                    <a:cs typeface="Verdana" panose="020B0604030504040204" pitchFamily="34" charset="0"/>
                  </a:defRPr>
                </a:pPr>
                <a:endParaRPr lang="en-US"/>
              </a:p>
            </c:txPr>
            <c:dLblPos val="inBase"/>
            <c:showLegendKey val="0"/>
            <c:showVal val="1"/>
            <c:showCatName val="0"/>
            <c:showSerName val="0"/>
            <c:showPercent val="0"/>
            <c:showBubbleSize val="0"/>
            <c:showLeaderLines val="0"/>
          </c:dLbls>
          <c:cat>
            <c:strRef>
              <c:f>Sheet1!$A$2:$A$29</c:f>
              <c:strCache>
                <c:ptCount val="28"/>
                <c:pt idx="0">
                  <c:v>EE</c:v>
                </c:pt>
                <c:pt idx="1">
                  <c:v>MT</c:v>
                </c:pt>
                <c:pt idx="2">
                  <c:v>DK</c:v>
                </c:pt>
                <c:pt idx="3">
                  <c:v>LV</c:v>
                </c:pt>
                <c:pt idx="4">
                  <c:v>SK</c:v>
                </c:pt>
                <c:pt idx="5">
                  <c:v>HR</c:v>
                </c:pt>
                <c:pt idx="6">
                  <c:v>NL</c:v>
                </c:pt>
                <c:pt idx="7">
                  <c:v>LT</c:v>
                </c:pt>
                <c:pt idx="8">
                  <c:v>LU</c:v>
                </c:pt>
                <c:pt idx="9">
                  <c:v>SE</c:v>
                </c:pt>
                <c:pt idx="10">
                  <c:v>FI</c:v>
                </c:pt>
                <c:pt idx="11">
                  <c:v>IE</c:v>
                </c:pt>
                <c:pt idx="12">
                  <c:v>SI</c:v>
                </c:pt>
                <c:pt idx="13">
                  <c:v>BG</c:v>
                </c:pt>
                <c:pt idx="14">
                  <c:v>UK</c:v>
                </c:pt>
                <c:pt idx="15">
                  <c:v>HU</c:v>
                </c:pt>
                <c:pt idx="16">
                  <c:v>RO</c:v>
                </c:pt>
                <c:pt idx="17">
                  <c:v>CZ</c:v>
                </c:pt>
                <c:pt idx="18">
                  <c:v>AT</c:v>
                </c:pt>
                <c:pt idx="19">
                  <c:v>CY</c:v>
                </c:pt>
                <c:pt idx="20">
                  <c:v>IT</c:v>
                </c:pt>
                <c:pt idx="21">
                  <c:v>PL</c:v>
                </c:pt>
                <c:pt idx="22">
                  <c:v>FR</c:v>
                </c:pt>
                <c:pt idx="23">
                  <c:v>PT</c:v>
                </c:pt>
                <c:pt idx="24">
                  <c:v>EL</c:v>
                </c:pt>
                <c:pt idx="25">
                  <c:v>BE</c:v>
                </c:pt>
                <c:pt idx="26">
                  <c:v>DE</c:v>
                </c:pt>
                <c:pt idx="27">
                  <c:v>ES</c:v>
                </c:pt>
              </c:strCache>
            </c:strRef>
          </c:cat>
          <c:val>
            <c:numRef>
              <c:f>Sheet1!$B$2:$B$29</c:f>
              <c:numCache>
                <c:formatCode>General</c:formatCode>
                <c:ptCount val="28"/>
                <c:pt idx="0">
                  <c:v>23</c:v>
                </c:pt>
                <c:pt idx="1">
                  <c:v>23</c:v>
                </c:pt>
                <c:pt idx="2">
                  <c:v>18</c:v>
                </c:pt>
                <c:pt idx="3">
                  <c:v>32</c:v>
                </c:pt>
                <c:pt idx="4">
                  <c:v>16</c:v>
                </c:pt>
                <c:pt idx="5">
                  <c:v>25</c:v>
                </c:pt>
                <c:pt idx="6">
                  <c:v>23</c:v>
                </c:pt>
                <c:pt idx="7">
                  <c:v>35</c:v>
                </c:pt>
                <c:pt idx="8">
                  <c:v>36</c:v>
                </c:pt>
                <c:pt idx="9">
                  <c:v>25</c:v>
                </c:pt>
                <c:pt idx="10">
                  <c:v>39</c:v>
                </c:pt>
                <c:pt idx="11">
                  <c:v>30</c:v>
                </c:pt>
                <c:pt idx="12">
                  <c:v>36</c:v>
                </c:pt>
                <c:pt idx="13">
                  <c:v>31</c:v>
                </c:pt>
                <c:pt idx="14">
                  <c:v>25</c:v>
                </c:pt>
                <c:pt idx="15">
                  <c:v>32</c:v>
                </c:pt>
                <c:pt idx="16">
                  <c:v>38</c:v>
                </c:pt>
                <c:pt idx="17">
                  <c:v>29</c:v>
                </c:pt>
                <c:pt idx="18">
                  <c:v>34</c:v>
                </c:pt>
                <c:pt idx="19">
                  <c:v>48</c:v>
                </c:pt>
                <c:pt idx="20">
                  <c:v>14</c:v>
                </c:pt>
                <c:pt idx="21">
                  <c:v>39</c:v>
                </c:pt>
                <c:pt idx="22">
                  <c:v>35</c:v>
                </c:pt>
                <c:pt idx="23">
                  <c:v>44</c:v>
                </c:pt>
                <c:pt idx="24">
                  <c:v>32</c:v>
                </c:pt>
                <c:pt idx="25">
                  <c:v>48</c:v>
                </c:pt>
                <c:pt idx="26">
                  <c:v>26</c:v>
                </c:pt>
                <c:pt idx="27">
                  <c:v>32</c:v>
                </c:pt>
              </c:numCache>
            </c:numRef>
          </c:val>
        </c:ser>
        <c:ser>
          <c:idx val="1"/>
          <c:order val="1"/>
          <c:tx>
            <c:strRef>
              <c:f>Sheet1!$C$1</c:f>
              <c:strCache>
                <c:ptCount val="1"/>
                <c:pt idx="0">
                  <c:v>Prípady nesplnenia povinnosti pre nesprávnu transpozíciu a/alebo nesprávnym uplatňovaním práva Únie</c:v>
                </c:pt>
              </c:strCache>
            </c:strRef>
          </c:tx>
          <c:spPr>
            <a:solidFill>
              <a:srgbClr val="0070C0"/>
            </a:solidFill>
            <a:scene3d>
              <a:camera prst="orthographicFront"/>
              <a:lightRig rig="threePt" dir="t"/>
            </a:scene3d>
            <a:sp3d prstMaterial="matte">
              <a:bevelT w="31750" h="12700" prst="artDeco"/>
              <a:contourClr>
                <a:srgbClr val="000000"/>
              </a:contourClr>
            </a:sp3d>
          </c:spPr>
          <c:invertIfNegative val="0"/>
          <c:cat>
            <c:strRef>
              <c:f>Sheet1!$A$2:$A$29</c:f>
              <c:strCache>
                <c:ptCount val="28"/>
                <c:pt idx="0">
                  <c:v>EE</c:v>
                </c:pt>
                <c:pt idx="1">
                  <c:v>MT</c:v>
                </c:pt>
                <c:pt idx="2">
                  <c:v>DK</c:v>
                </c:pt>
                <c:pt idx="3">
                  <c:v>LV</c:v>
                </c:pt>
                <c:pt idx="4">
                  <c:v>SK</c:v>
                </c:pt>
                <c:pt idx="5">
                  <c:v>HR</c:v>
                </c:pt>
                <c:pt idx="6">
                  <c:v>NL</c:v>
                </c:pt>
                <c:pt idx="7">
                  <c:v>LT</c:v>
                </c:pt>
                <c:pt idx="8">
                  <c:v>LU</c:v>
                </c:pt>
                <c:pt idx="9">
                  <c:v>SE</c:v>
                </c:pt>
                <c:pt idx="10">
                  <c:v>FI</c:v>
                </c:pt>
                <c:pt idx="11">
                  <c:v>IE</c:v>
                </c:pt>
                <c:pt idx="12">
                  <c:v>SI</c:v>
                </c:pt>
                <c:pt idx="13">
                  <c:v>BG</c:v>
                </c:pt>
                <c:pt idx="14">
                  <c:v>UK</c:v>
                </c:pt>
                <c:pt idx="15">
                  <c:v>HU</c:v>
                </c:pt>
                <c:pt idx="16">
                  <c:v>RO</c:v>
                </c:pt>
                <c:pt idx="17">
                  <c:v>CZ</c:v>
                </c:pt>
                <c:pt idx="18">
                  <c:v>AT</c:v>
                </c:pt>
                <c:pt idx="19">
                  <c:v>CY</c:v>
                </c:pt>
                <c:pt idx="20">
                  <c:v>IT</c:v>
                </c:pt>
                <c:pt idx="21">
                  <c:v>PL</c:v>
                </c:pt>
                <c:pt idx="22">
                  <c:v>FR</c:v>
                </c:pt>
                <c:pt idx="23">
                  <c:v>PT</c:v>
                </c:pt>
                <c:pt idx="24">
                  <c:v>EL</c:v>
                </c:pt>
                <c:pt idx="25">
                  <c:v>BE</c:v>
                </c:pt>
                <c:pt idx="26">
                  <c:v>DE</c:v>
                </c:pt>
                <c:pt idx="27">
                  <c:v>ES</c:v>
                </c:pt>
              </c:strCache>
            </c:strRef>
          </c:cat>
          <c:val>
            <c:numRef>
              <c:f>Sheet1!$C$2:$C$29</c:f>
              <c:numCache>
                <c:formatCode>General</c:formatCode>
                <c:ptCount val="28"/>
                <c:pt idx="0">
                  <c:v>7</c:v>
                </c:pt>
                <c:pt idx="1">
                  <c:v>8</c:v>
                </c:pt>
                <c:pt idx="2">
                  <c:v>16</c:v>
                </c:pt>
                <c:pt idx="3">
                  <c:v>6</c:v>
                </c:pt>
                <c:pt idx="4">
                  <c:v>25</c:v>
                </c:pt>
                <c:pt idx="5">
                  <c:v>19</c:v>
                </c:pt>
                <c:pt idx="6">
                  <c:v>22</c:v>
                </c:pt>
                <c:pt idx="7">
                  <c:v>15</c:v>
                </c:pt>
                <c:pt idx="8">
                  <c:v>14</c:v>
                </c:pt>
                <c:pt idx="9">
                  <c:v>25</c:v>
                </c:pt>
                <c:pt idx="10">
                  <c:v>13</c:v>
                </c:pt>
                <c:pt idx="11">
                  <c:v>23</c:v>
                </c:pt>
                <c:pt idx="12">
                  <c:v>17</c:v>
                </c:pt>
                <c:pt idx="13">
                  <c:v>24</c:v>
                </c:pt>
                <c:pt idx="14">
                  <c:v>30</c:v>
                </c:pt>
                <c:pt idx="15">
                  <c:v>25</c:v>
                </c:pt>
                <c:pt idx="16">
                  <c:v>19</c:v>
                </c:pt>
                <c:pt idx="17">
                  <c:v>31</c:v>
                </c:pt>
                <c:pt idx="18">
                  <c:v>32</c:v>
                </c:pt>
                <c:pt idx="19">
                  <c:v>20</c:v>
                </c:pt>
                <c:pt idx="20">
                  <c:v>56</c:v>
                </c:pt>
                <c:pt idx="21">
                  <c:v>37</c:v>
                </c:pt>
                <c:pt idx="22">
                  <c:v>48</c:v>
                </c:pt>
                <c:pt idx="23">
                  <c:v>40</c:v>
                </c:pt>
                <c:pt idx="24">
                  <c:v>54</c:v>
                </c:pt>
                <c:pt idx="25">
                  <c:v>39</c:v>
                </c:pt>
                <c:pt idx="26">
                  <c:v>65</c:v>
                </c:pt>
                <c:pt idx="27">
                  <c:v>59</c:v>
                </c:pt>
              </c:numCache>
            </c:numRef>
          </c:val>
        </c:ser>
        <c:ser>
          <c:idx val="2"/>
          <c:order val="2"/>
          <c:tx>
            <c:strRef>
              <c:f>Sheet1!$D$1</c:f>
              <c:strCache>
                <c:ptCount val="1"/>
                <c:pt idx="0">
                  <c:v>Hore uvedené čísla: celkový počet prípadov nesplnenia povinnosti</c:v>
                </c:pt>
              </c:strCache>
            </c:strRef>
          </c:tx>
          <c:spPr>
            <a:noFill/>
          </c:spPr>
          <c:invertIfNegative val="0"/>
          <c:dLbls>
            <c:txPr>
              <a:bodyPr/>
              <a:lstStyle/>
              <a:p>
                <a:pPr>
                  <a:defRPr sz="800">
                    <a:solidFill>
                      <a:srgbClr val="0070C0"/>
                    </a:solidFill>
                    <a:latin typeface="Verdana" panose="020B0604030504040204" pitchFamily="34" charset="0"/>
                    <a:ea typeface="Verdana" panose="020B0604030504040204" pitchFamily="34" charset="0"/>
                    <a:cs typeface="Verdana" panose="020B0604030504040204" pitchFamily="34" charset="0"/>
                  </a:defRPr>
                </a:pPr>
                <a:endParaRPr lang="en-US"/>
              </a:p>
            </c:txPr>
            <c:dLblPos val="inBase"/>
            <c:showLegendKey val="0"/>
            <c:showVal val="1"/>
            <c:showCatName val="0"/>
            <c:showSerName val="0"/>
            <c:showPercent val="0"/>
            <c:showBubbleSize val="0"/>
            <c:showLeaderLines val="0"/>
          </c:dLbls>
          <c:cat>
            <c:strRef>
              <c:f>Sheet1!$A$2:$A$29</c:f>
              <c:strCache>
                <c:ptCount val="28"/>
                <c:pt idx="0">
                  <c:v>EE</c:v>
                </c:pt>
                <c:pt idx="1">
                  <c:v>MT</c:v>
                </c:pt>
                <c:pt idx="2">
                  <c:v>DK</c:v>
                </c:pt>
                <c:pt idx="3">
                  <c:v>LV</c:v>
                </c:pt>
                <c:pt idx="4">
                  <c:v>SK</c:v>
                </c:pt>
                <c:pt idx="5">
                  <c:v>HR</c:v>
                </c:pt>
                <c:pt idx="6">
                  <c:v>NL</c:v>
                </c:pt>
                <c:pt idx="7">
                  <c:v>LT</c:v>
                </c:pt>
                <c:pt idx="8">
                  <c:v>LU</c:v>
                </c:pt>
                <c:pt idx="9">
                  <c:v>SE</c:v>
                </c:pt>
                <c:pt idx="10">
                  <c:v>FI</c:v>
                </c:pt>
                <c:pt idx="11">
                  <c:v>IE</c:v>
                </c:pt>
                <c:pt idx="12">
                  <c:v>SI</c:v>
                </c:pt>
                <c:pt idx="13">
                  <c:v>BG</c:v>
                </c:pt>
                <c:pt idx="14">
                  <c:v>UK</c:v>
                </c:pt>
                <c:pt idx="15">
                  <c:v>HU</c:v>
                </c:pt>
                <c:pt idx="16">
                  <c:v>RO</c:v>
                </c:pt>
                <c:pt idx="17">
                  <c:v>CZ</c:v>
                </c:pt>
                <c:pt idx="18">
                  <c:v>AT</c:v>
                </c:pt>
                <c:pt idx="19">
                  <c:v>CY</c:v>
                </c:pt>
                <c:pt idx="20">
                  <c:v>IT</c:v>
                </c:pt>
                <c:pt idx="21">
                  <c:v>PL</c:v>
                </c:pt>
                <c:pt idx="22">
                  <c:v>FR</c:v>
                </c:pt>
                <c:pt idx="23">
                  <c:v>PT</c:v>
                </c:pt>
                <c:pt idx="24">
                  <c:v>EL</c:v>
                </c:pt>
                <c:pt idx="25">
                  <c:v>BE</c:v>
                </c:pt>
                <c:pt idx="26">
                  <c:v>DE</c:v>
                </c:pt>
                <c:pt idx="27">
                  <c:v>ES</c:v>
                </c:pt>
              </c:strCache>
            </c:strRef>
          </c:cat>
          <c:val>
            <c:numRef>
              <c:f>Sheet1!$D$2:$D$29</c:f>
              <c:numCache>
                <c:formatCode>General</c:formatCode>
                <c:ptCount val="28"/>
                <c:pt idx="0">
                  <c:v>30</c:v>
                </c:pt>
                <c:pt idx="1">
                  <c:v>31</c:v>
                </c:pt>
                <c:pt idx="2">
                  <c:v>34</c:v>
                </c:pt>
                <c:pt idx="3">
                  <c:v>38</c:v>
                </c:pt>
                <c:pt idx="4">
                  <c:v>41</c:v>
                </c:pt>
                <c:pt idx="5">
                  <c:v>44</c:v>
                </c:pt>
                <c:pt idx="6">
                  <c:v>45</c:v>
                </c:pt>
                <c:pt idx="7">
                  <c:v>50</c:v>
                </c:pt>
                <c:pt idx="8">
                  <c:v>50</c:v>
                </c:pt>
                <c:pt idx="9">
                  <c:v>50</c:v>
                </c:pt>
                <c:pt idx="10">
                  <c:v>52</c:v>
                </c:pt>
                <c:pt idx="11">
                  <c:v>53</c:v>
                </c:pt>
                <c:pt idx="12">
                  <c:v>53</c:v>
                </c:pt>
                <c:pt idx="13">
                  <c:v>55</c:v>
                </c:pt>
                <c:pt idx="14">
                  <c:v>55</c:v>
                </c:pt>
                <c:pt idx="15">
                  <c:v>57</c:v>
                </c:pt>
                <c:pt idx="16">
                  <c:v>57</c:v>
                </c:pt>
                <c:pt idx="17">
                  <c:v>60</c:v>
                </c:pt>
                <c:pt idx="18">
                  <c:v>66</c:v>
                </c:pt>
                <c:pt idx="19">
                  <c:v>68</c:v>
                </c:pt>
                <c:pt idx="20">
                  <c:v>70</c:v>
                </c:pt>
                <c:pt idx="21">
                  <c:v>76</c:v>
                </c:pt>
                <c:pt idx="22">
                  <c:v>83</c:v>
                </c:pt>
                <c:pt idx="23">
                  <c:v>84</c:v>
                </c:pt>
                <c:pt idx="24">
                  <c:v>86</c:v>
                </c:pt>
                <c:pt idx="25">
                  <c:v>87</c:v>
                </c:pt>
                <c:pt idx="26">
                  <c:v>91</c:v>
                </c:pt>
                <c:pt idx="27">
                  <c:v>91</c:v>
                </c:pt>
              </c:numCache>
            </c:numRef>
          </c:val>
        </c:ser>
        <c:dLbls>
          <c:showLegendKey val="0"/>
          <c:showVal val="0"/>
          <c:showCatName val="0"/>
          <c:showSerName val="0"/>
          <c:showPercent val="0"/>
          <c:showBubbleSize val="0"/>
        </c:dLbls>
        <c:gapWidth val="75"/>
        <c:overlap val="100"/>
        <c:axId val="80639488"/>
        <c:axId val="80641024"/>
      </c:barChart>
      <c:catAx>
        <c:axId val="80639488"/>
        <c:scaling>
          <c:orientation val="minMax"/>
        </c:scaling>
        <c:delete val="0"/>
        <c:axPos val="b"/>
        <c:numFmt formatCode="General" sourceLinked="0"/>
        <c:majorTickMark val="none"/>
        <c:minorTickMark val="none"/>
        <c:tickLblPos val="nextTo"/>
        <c:txPr>
          <a:bodyPr/>
          <a:lstStyle/>
          <a:p>
            <a:pPr>
              <a:defRPr sz="80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80641024"/>
        <c:crosses val="autoZero"/>
        <c:auto val="1"/>
        <c:lblAlgn val="ctr"/>
        <c:lblOffset val="100"/>
        <c:noMultiLvlLbl val="0"/>
      </c:catAx>
      <c:valAx>
        <c:axId val="80641024"/>
        <c:scaling>
          <c:orientation val="minMax"/>
          <c:max val="100"/>
        </c:scaling>
        <c:delete val="1"/>
        <c:axPos val="l"/>
        <c:majorGridlines>
          <c:spPr>
            <a:ln>
              <a:solidFill>
                <a:sysClr val="windowText" lastClr="000000">
                  <a:lumMod val="15000"/>
                  <a:lumOff val="85000"/>
                </a:sysClr>
              </a:solidFill>
            </a:ln>
          </c:spPr>
        </c:majorGridlines>
        <c:numFmt formatCode="General" sourceLinked="1"/>
        <c:majorTickMark val="out"/>
        <c:minorTickMark val="none"/>
        <c:tickLblPos val="nextTo"/>
        <c:crossAx val="80639488"/>
        <c:crosses val="autoZero"/>
        <c:crossBetween val="between"/>
        <c:majorUnit val="10"/>
        <c:minorUnit val="5"/>
      </c:valAx>
    </c:plotArea>
    <c:legend>
      <c:legendPos val="b"/>
      <c:overlay val="0"/>
      <c:txPr>
        <a:bodyPr/>
        <a:lstStyle/>
        <a:p>
          <a:pPr>
            <a:defRPr sz="900">
              <a:latin typeface="Arial" panose="020B0604020202020204" pitchFamily="34" charset="0"/>
              <a:ea typeface="Verdana" panose="020B0604030504040204" pitchFamily="34" charset="0"/>
              <a:cs typeface="Arial" panose="020B0604020202020204" pitchFamily="34" charset="0"/>
            </a:defRPr>
          </a:pPr>
          <a:endParaRPr lang="en-US"/>
        </a:p>
      </c:txPr>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99" b="0" i="0" u="none" strike="noStrike" kern="1200" baseline="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sk-SK" sz="1099" b="0" baseline="0">
                <a:solidFill>
                  <a:srgbClr val="002060"/>
                </a:solidFill>
                <a:latin typeface="Arial" panose="020B0604020202020204" pitchFamily="34" charset="0"/>
                <a:ea typeface="Verdana" panose="020B0604030504040204" pitchFamily="34" charset="0"/>
              </a:rPr>
              <a:t>Prípady nesplnenia povinnosti otvorené ku koncu roka 2016: oblasti politiky</a:t>
            </a:r>
          </a:p>
        </c:rich>
      </c:tx>
      <c:layout>
        <c:manualLayout>
          <c:xMode val="edge"/>
          <c:yMode val="edge"/>
          <c:x val="0.15492087386135556"/>
          <c:y val="1.7647094812449143E-3"/>
        </c:manualLayout>
      </c:layout>
      <c:overlay val="0"/>
      <c:spPr>
        <a:noFill/>
        <a:ln w="25383">
          <a:noFill/>
        </a:ln>
      </c:spPr>
    </c:title>
    <c:autoTitleDeleted val="0"/>
    <c:plotArea>
      <c:layout/>
      <c:pieChart>
        <c:varyColors val="1"/>
        <c:ser>
          <c:idx val="0"/>
          <c:order val="0"/>
          <c:tx>
            <c:strRef>
              <c:f>Blad1!$B$1</c:f>
              <c:strCache>
                <c:ptCount val="1"/>
                <c:pt idx="0">
                  <c:v>xxx open infringement cases in 2016</c:v>
                </c:pt>
              </c:strCache>
            </c:strRef>
          </c:tx>
          <c:spPr>
            <a:scene3d>
              <a:camera prst="orthographicFront"/>
              <a:lightRig rig="threePt" dir="t"/>
            </a:scene3d>
            <a:sp3d>
              <a:bevelT w="63500" h="25400"/>
            </a:sp3d>
          </c:spPr>
          <c:dPt>
            <c:idx val="0"/>
            <c:bubble3D val="0"/>
            <c:spPr>
              <a:solidFill>
                <a:srgbClr val="000099"/>
              </a:solidFill>
              <a:ln>
                <a:noFill/>
              </a:ln>
              <a:effectLst>
                <a:outerShdw blurRad="40000" dist="23000" dir="5400000" rotWithShape="0">
                  <a:srgbClr val="000000">
                    <a:alpha val="35000"/>
                  </a:srgbClr>
                </a:outerShdw>
              </a:effectLst>
              <a:scene3d>
                <a:camera prst="orthographicFront"/>
                <a:lightRig rig="threePt" dir="t"/>
              </a:scene3d>
              <a:sp3d>
                <a:bevelT w="63500" h="25400"/>
              </a:sp3d>
            </c:spPr>
          </c:dPt>
          <c:dPt>
            <c:idx val="1"/>
            <c:bubble3D val="0"/>
            <c:spPr>
              <a:solidFill>
                <a:srgbClr val="00A676"/>
              </a:solidFill>
              <a:ln>
                <a:noFill/>
              </a:ln>
              <a:effectLst>
                <a:outerShdw blurRad="40000" dist="23000" dir="5400000" rotWithShape="0">
                  <a:srgbClr val="000000">
                    <a:alpha val="35000"/>
                  </a:srgbClr>
                </a:outerShdw>
              </a:effectLst>
              <a:scene3d>
                <a:camera prst="orthographicFront"/>
                <a:lightRig rig="threePt" dir="t"/>
              </a:scene3d>
              <a:sp3d>
                <a:bevelT w="63500" h="25400"/>
              </a:sp3d>
            </c:spPr>
          </c:dPt>
          <c:dPt>
            <c:idx val="2"/>
            <c:bubble3D val="0"/>
            <c:spPr>
              <a:solidFill>
                <a:srgbClr val="7030A0"/>
              </a:solidFill>
              <a:ln>
                <a:noFill/>
              </a:ln>
              <a:effectLst>
                <a:outerShdw blurRad="40000" dist="23000" dir="5400000" rotWithShape="0">
                  <a:srgbClr val="000000">
                    <a:alpha val="35000"/>
                  </a:srgbClr>
                </a:outerShdw>
              </a:effectLst>
              <a:scene3d>
                <a:camera prst="orthographicFront"/>
                <a:lightRig rig="threePt" dir="t"/>
              </a:scene3d>
              <a:sp3d>
                <a:bevelT w="63500" h="25400"/>
              </a:sp3d>
            </c:spPr>
          </c:dPt>
          <c:dPt>
            <c:idx val="3"/>
            <c:bubble3D val="0"/>
            <c:spPr>
              <a:solidFill>
                <a:srgbClr val="FF9900"/>
              </a:solidFill>
              <a:scene3d>
                <a:camera prst="orthographicFront"/>
                <a:lightRig rig="threePt" dir="t"/>
              </a:scene3d>
              <a:sp3d>
                <a:bevelT w="63500" h="25400"/>
              </a:sp3d>
            </c:spPr>
          </c:dPt>
          <c:dPt>
            <c:idx val="4"/>
            <c:bubble3D val="0"/>
            <c:spPr>
              <a:solidFill>
                <a:srgbClr val="37ACDE"/>
              </a:solidFill>
              <a:scene3d>
                <a:camera prst="orthographicFront"/>
                <a:lightRig rig="threePt" dir="t"/>
              </a:scene3d>
              <a:sp3d>
                <a:bevelT w="63500" h="25400"/>
              </a:sp3d>
            </c:spPr>
          </c:dPt>
          <c:dPt>
            <c:idx val="5"/>
            <c:bubble3D val="0"/>
            <c:spPr>
              <a:solidFill>
                <a:srgbClr val="A20000"/>
              </a:solidFill>
              <a:scene3d>
                <a:camera prst="orthographicFront"/>
                <a:lightRig rig="threePt" dir="t"/>
              </a:scene3d>
              <a:sp3d>
                <a:bevelT w="63500" h="25400"/>
              </a:sp3d>
            </c:spPr>
          </c:dPt>
          <c:dPt>
            <c:idx val="6"/>
            <c:bubble3D val="0"/>
            <c:spPr>
              <a:solidFill>
                <a:srgbClr val="FF7DFF"/>
              </a:solidFill>
              <a:scene3d>
                <a:camera prst="orthographicFront"/>
                <a:lightRig rig="threePt" dir="t"/>
              </a:scene3d>
              <a:sp3d>
                <a:bevelT w="63500" h="25400"/>
              </a:sp3d>
            </c:spPr>
          </c:dPt>
          <c:dPt>
            <c:idx val="7"/>
            <c:bubble3D val="0"/>
            <c:spPr>
              <a:solidFill>
                <a:srgbClr val="996633"/>
              </a:solidFill>
              <a:scene3d>
                <a:camera prst="orthographicFront"/>
                <a:lightRig rig="threePt" dir="t"/>
              </a:scene3d>
              <a:sp3d>
                <a:bevelT w="63500" h="25400"/>
              </a:sp3d>
            </c:spPr>
          </c:dPt>
          <c:dPt>
            <c:idx val="8"/>
            <c:bubble3D val="0"/>
            <c:spPr>
              <a:solidFill>
                <a:srgbClr val="FFD617"/>
              </a:solidFill>
              <a:scene3d>
                <a:camera prst="orthographicFront"/>
                <a:lightRig rig="threePt" dir="t"/>
              </a:scene3d>
              <a:sp3d>
                <a:bevelT w="63500" h="25400"/>
              </a:sp3d>
            </c:spPr>
          </c:dPt>
          <c:dPt>
            <c:idx val="9"/>
            <c:bubble3D val="0"/>
            <c:spPr>
              <a:solidFill>
                <a:srgbClr val="95C154"/>
              </a:solidFill>
              <a:scene3d>
                <a:camera prst="orthographicFront"/>
                <a:lightRig rig="threePt" dir="t"/>
              </a:scene3d>
              <a:sp3d>
                <a:bevelT w="63500" h="25400"/>
              </a:sp3d>
            </c:spPr>
          </c:dPt>
          <c:dPt>
            <c:idx val="10"/>
            <c:bubble3D val="0"/>
            <c:spPr>
              <a:solidFill>
                <a:srgbClr val="E75113"/>
              </a:solidFill>
              <a:scene3d>
                <a:camera prst="orthographicFront"/>
                <a:lightRig rig="threePt" dir="t"/>
              </a:scene3d>
              <a:sp3d>
                <a:bevelT w="63500" h="25400"/>
              </a:sp3d>
            </c:spPr>
          </c:dPt>
          <c:dPt>
            <c:idx val="11"/>
            <c:bubble3D val="0"/>
            <c:spPr>
              <a:solidFill>
                <a:srgbClr val="808AA4"/>
              </a:solidFill>
              <a:scene3d>
                <a:camera prst="orthographicFront"/>
                <a:lightRig rig="threePt" dir="t"/>
              </a:scene3d>
              <a:sp3d>
                <a:bevelT w="63500" h="25400"/>
              </a:sp3d>
            </c:spPr>
          </c:dPt>
          <c:dLbls>
            <c:dLbl>
              <c:idx val="0"/>
              <c:layout>
                <c:manualLayout>
                  <c:x val="-3.5907540373017043E-2"/>
                  <c:y val="6.6477890517319435E-2"/>
                </c:manualLayout>
              </c:layout>
              <c:tx>
                <c:rich>
                  <a:bodyPr/>
                  <a:lstStyle/>
                  <a:p>
                    <a:r>
                      <a:rPr lang="en-GB" sz="899" b="0" i="0" u="none" strike="noStrike" baseline="0">
                        <a:effectLst/>
                      </a:rPr>
                      <a:t>Vnútorný trh, priemysel, podnikanie a MSP</a:t>
                    </a:r>
                    <a:r>
                      <a:rPr lang="en-US"/>
                      <a:t>
270</a:t>
                    </a:r>
                  </a:p>
                </c:rich>
              </c:tx>
              <c:dLblPos val="bestFit"/>
              <c:showLegendKey val="1"/>
              <c:showVal val="1"/>
              <c:showCatName val="1"/>
              <c:showSerName val="0"/>
              <c:showPercent val="0"/>
              <c:showBubbleSize val="0"/>
              <c:separator>
</c:separator>
            </c:dLbl>
            <c:dLbl>
              <c:idx val="1"/>
              <c:layout>
                <c:manualLayout>
                  <c:x val="-7.5260746003350844E-3"/>
                  <c:y val="-0.11475282298297249"/>
                </c:manualLayout>
              </c:layout>
              <c:tx>
                <c:rich>
                  <a:bodyPr/>
                  <a:lstStyle/>
                  <a:p>
                    <a:r>
                      <a:rPr lang="sk-SK"/>
                      <a:t>Životné</a:t>
                    </a:r>
                    <a:r>
                      <a:rPr lang="sk-SK" baseline="0"/>
                      <a:t> prostredie</a:t>
                    </a:r>
                    <a:r>
                      <a:rPr lang="en-US"/>
                      <a:t>
269</a:t>
                    </a:r>
                  </a:p>
                </c:rich>
              </c:tx>
              <c:dLblPos val="bestFit"/>
              <c:showLegendKey val="1"/>
              <c:showVal val="1"/>
              <c:showCatName val="1"/>
              <c:showSerName val="0"/>
              <c:showPercent val="0"/>
              <c:showBubbleSize val="0"/>
              <c:separator>
</c:separator>
            </c:dLbl>
            <c:dLbl>
              <c:idx val="2"/>
              <c:layout>
                <c:manualLayout>
                  <c:x val="4.9714180294035279E-2"/>
                  <c:y val="-1.2136974839907807E-2"/>
                </c:manualLayout>
              </c:layout>
              <c:tx>
                <c:rich>
                  <a:bodyPr/>
                  <a:lstStyle/>
                  <a:p>
                    <a:r>
                      <a:rPr lang="en-GB" sz="899" b="0" i="0" u="none" strike="noStrike" baseline="0">
                        <a:effectLst/>
                      </a:rPr>
                      <a:t>Finančná stabilita, finančné služby a</a:t>
                    </a:r>
                    <a:r>
                      <a:rPr lang="sk-SK" sz="899" b="0" i="0" u="none" strike="noStrike" baseline="0">
                        <a:effectLst/>
                      </a:rPr>
                      <a:t> </a:t>
                    </a:r>
                    <a:r>
                      <a:rPr lang="en-GB" sz="899" b="0" i="0" u="none" strike="noStrike" baseline="0">
                        <a:effectLst/>
                      </a:rPr>
                      <a:t>únia kapitálových trhov</a:t>
                    </a:r>
                    <a:r>
                      <a:rPr lang="en-US"/>
                      <a:t>
230</a:t>
                    </a:r>
                  </a:p>
                </c:rich>
              </c:tx>
              <c:dLblPos val="bestFit"/>
              <c:showLegendKey val="1"/>
              <c:showVal val="1"/>
              <c:showCatName val="1"/>
              <c:showSerName val="0"/>
              <c:showPercent val="0"/>
              <c:showBubbleSize val="0"/>
              <c:separator>
</c:separator>
            </c:dLbl>
            <c:dLbl>
              <c:idx val="3"/>
              <c:layout>
                <c:manualLayout>
                  <c:x val="1.444043321299639E-2"/>
                  <c:y val="0"/>
                </c:manualLayout>
              </c:layout>
              <c:tx>
                <c:rich>
                  <a:bodyPr/>
                  <a:lstStyle/>
                  <a:p>
                    <a:r>
                      <a:rPr lang="en-US"/>
                      <a:t>Mobilit</a:t>
                    </a:r>
                    <a:r>
                      <a:rPr lang="sk-SK"/>
                      <a:t>a</a:t>
                    </a:r>
                    <a:r>
                      <a:rPr lang="en-US"/>
                      <a:t> a </a:t>
                    </a:r>
                    <a:r>
                      <a:rPr lang="en-GB" sz="899" b="0" i="0" u="none" strike="noStrike" baseline="0">
                        <a:effectLst/>
                      </a:rPr>
                      <a:t>doprava</a:t>
                    </a:r>
                    <a:r>
                      <a:rPr lang="en-US"/>
                      <a:t>
191</a:t>
                    </a:r>
                  </a:p>
                </c:rich>
              </c:tx>
              <c:dLblPos val="bestFit"/>
              <c:showLegendKey val="1"/>
              <c:showVal val="1"/>
              <c:showCatName val="1"/>
              <c:showSerName val="0"/>
              <c:showPercent val="0"/>
              <c:showBubbleSize val="0"/>
              <c:separator>
</c:separator>
            </c:dLbl>
            <c:dLbl>
              <c:idx val="4"/>
              <c:layout>
                <c:manualLayout>
                  <c:x val="4.8134777376654635E-3"/>
                  <c:y val="-2.2293568656993048E-3"/>
                </c:manualLayout>
              </c:layout>
              <c:tx>
                <c:rich>
                  <a:bodyPr/>
                  <a:lstStyle/>
                  <a:p>
                    <a:r>
                      <a:rPr lang="en-GB" sz="899" b="0" i="0" u="none" strike="noStrike" baseline="0">
                        <a:effectLst/>
                      </a:rPr>
                      <a:t>Migrácia a vnútorné záležitosti</a:t>
                    </a:r>
                    <a:r>
                      <a:rPr lang="en-US"/>
                      <a:t>
138</a:t>
                    </a:r>
                  </a:p>
                </c:rich>
              </c:tx>
              <c:dLblPos val="bestFit"/>
              <c:showLegendKey val="1"/>
              <c:showVal val="1"/>
              <c:showCatName val="1"/>
              <c:showSerName val="0"/>
              <c:showPercent val="0"/>
              <c:showBubbleSize val="0"/>
              <c:separator>
</c:separator>
            </c:dLbl>
            <c:dLbl>
              <c:idx val="5"/>
              <c:layout>
                <c:manualLayout>
                  <c:x val="7.3276670741067168E-3"/>
                  <c:y val="2.9668478228376351E-2"/>
                </c:manualLayout>
              </c:layout>
              <c:tx>
                <c:rich>
                  <a:bodyPr/>
                  <a:lstStyle/>
                  <a:p>
                    <a:r>
                      <a:rPr lang="sk-SK"/>
                      <a:t>Dane </a:t>
                    </a:r>
                    <a:r>
                      <a:rPr lang="en-US"/>
                      <a:t>a c</a:t>
                    </a:r>
                    <a:r>
                      <a:rPr lang="sk-SK"/>
                      <a:t>lá</a:t>
                    </a:r>
                    <a:r>
                      <a:rPr lang="en-US"/>
                      <a:t>
118</a:t>
                    </a:r>
                  </a:p>
                </c:rich>
              </c:tx>
              <c:dLblPos val="bestFit"/>
              <c:showLegendKey val="1"/>
              <c:showVal val="1"/>
              <c:showCatName val="1"/>
              <c:showSerName val="0"/>
              <c:showPercent val="0"/>
              <c:showBubbleSize val="0"/>
              <c:separator>
</c:separator>
            </c:dLbl>
            <c:dLbl>
              <c:idx val="6"/>
              <c:layout>
                <c:manualLayout>
                  <c:x val="1.4455972786795156E-2"/>
                  <c:y val="2.5502962471376726E-2"/>
                </c:manualLayout>
              </c:layout>
              <c:tx>
                <c:rich>
                  <a:bodyPr/>
                  <a:lstStyle/>
                  <a:p>
                    <a:r>
                      <a:rPr lang="en-GB" sz="899" b="0" i="0" u="none" strike="noStrike" baseline="0">
                        <a:effectLst/>
                      </a:rPr>
                      <a:t>Zdravie a bezpečnosť potravín</a:t>
                    </a:r>
                    <a:r>
                      <a:rPr lang="en-US"/>
                      <a:t>
107</a:t>
                    </a:r>
                  </a:p>
                </c:rich>
              </c:tx>
              <c:dLblPos val="bestFit"/>
              <c:showLegendKey val="1"/>
              <c:showVal val="1"/>
              <c:showCatName val="1"/>
              <c:showSerName val="0"/>
              <c:showPercent val="0"/>
              <c:showBubbleSize val="0"/>
              <c:separator>
</c:separator>
            </c:dLbl>
            <c:dLbl>
              <c:idx val="7"/>
              <c:layout>
                <c:manualLayout>
                  <c:x val="-2.1659133763514218E-2"/>
                  <c:y val="4.3680041133810438E-2"/>
                </c:manualLayout>
              </c:layout>
              <c:tx>
                <c:rich>
                  <a:bodyPr/>
                  <a:lstStyle/>
                  <a:p>
                    <a:r>
                      <a:rPr lang="en-GB" sz="899" b="0" i="0" u="none" strike="noStrike" baseline="0">
                        <a:effectLst/>
                      </a:rPr>
                      <a:t>Spravodlivosť a spotrebitelia</a:t>
                    </a:r>
                    <a:r>
                      <a:rPr lang="en-US"/>
                      <a:t>
88</a:t>
                    </a:r>
                  </a:p>
                </c:rich>
              </c:tx>
              <c:dLblPos val="bestFit"/>
              <c:showLegendKey val="1"/>
              <c:showVal val="1"/>
              <c:showCatName val="1"/>
              <c:showSerName val="0"/>
              <c:showPercent val="0"/>
              <c:showBubbleSize val="0"/>
              <c:separator>
</c:separator>
            </c:dLbl>
            <c:dLbl>
              <c:idx val="8"/>
              <c:layout>
                <c:manualLayout>
                  <c:x val="-9.2418772563176901E-3"/>
                  <c:y val="4.0873136871558483E-2"/>
                </c:manualLayout>
              </c:layout>
              <c:tx>
                <c:rich>
                  <a:bodyPr/>
                  <a:lstStyle/>
                  <a:p>
                    <a:r>
                      <a:rPr lang="en-GB" sz="899" b="0" i="0" u="none" strike="noStrike" baseline="0">
                        <a:effectLst/>
                      </a:rPr>
                      <a:t>Zamestnanosť</a:t>
                    </a:r>
                    <a:r>
                      <a:rPr lang="en-US"/>
                      <a:t>
83</a:t>
                    </a:r>
                  </a:p>
                </c:rich>
              </c:tx>
              <c:dLblPos val="bestFit"/>
              <c:showLegendKey val="1"/>
              <c:showVal val="1"/>
              <c:showCatName val="1"/>
              <c:showSerName val="0"/>
              <c:showPercent val="0"/>
              <c:showBubbleSize val="0"/>
              <c:separator>
</c:separator>
            </c:dLbl>
            <c:dLbl>
              <c:idx val="9"/>
              <c:layout>
                <c:manualLayout>
                  <c:x val="2.6465031221277847E-2"/>
                  <c:y val="2.5174848588117828E-2"/>
                </c:manualLayout>
              </c:layout>
              <c:tx>
                <c:rich>
                  <a:bodyPr/>
                  <a:lstStyle/>
                  <a:p>
                    <a:r>
                      <a:rPr lang="en-GB" sz="899" b="0" i="0" u="none" strike="noStrike" baseline="0">
                        <a:effectLst/>
                      </a:rPr>
                      <a:t>Komunikačné siete</a:t>
                    </a:r>
                    <a:r>
                      <a:rPr lang="en-US"/>
                      <a:t>
58</a:t>
                    </a:r>
                  </a:p>
                </c:rich>
              </c:tx>
              <c:dLblPos val="bestFit"/>
              <c:showLegendKey val="1"/>
              <c:showVal val="1"/>
              <c:showCatName val="1"/>
              <c:showSerName val="0"/>
              <c:showPercent val="0"/>
              <c:showBubbleSize val="0"/>
              <c:separator>
</c:separator>
            </c:dLbl>
            <c:dLbl>
              <c:idx val="10"/>
              <c:layout>
                <c:manualLayout>
                  <c:x val="2.4051659607531008E-2"/>
                  <c:y val="-1.0039997847649454E-2"/>
                </c:manualLayout>
              </c:layout>
              <c:tx>
                <c:rich>
                  <a:bodyPr/>
                  <a:lstStyle/>
                  <a:p>
                    <a:r>
                      <a:rPr lang="en-US"/>
                      <a:t>Energ</a:t>
                    </a:r>
                    <a:r>
                      <a:rPr lang="sk-SK"/>
                      <a:t>etika</a:t>
                    </a:r>
                    <a:r>
                      <a:rPr lang="en-US"/>
                      <a:t>
56</a:t>
                    </a:r>
                  </a:p>
                </c:rich>
              </c:tx>
              <c:dLblPos val="bestFit"/>
              <c:showLegendKey val="1"/>
              <c:showVal val="1"/>
              <c:showCatName val="1"/>
              <c:showSerName val="0"/>
              <c:showPercent val="0"/>
              <c:showBubbleSize val="0"/>
              <c:separator>
</c:separator>
            </c:dLbl>
            <c:dLbl>
              <c:idx val="11"/>
              <c:layout>
                <c:manualLayout>
                  <c:x val="2.7744203454712565E-2"/>
                  <c:y val="3.0730782797936133E-4"/>
                </c:manualLayout>
              </c:layout>
              <c:tx>
                <c:rich>
                  <a:bodyPr/>
                  <a:lstStyle/>
                  <a:p>
                    <a:r>
                      <a:rPr lang="sk-SK"/>
                      <a:t>Iné</a:t>
                    </a:r>
                    <a:r>
                      <a:rPr lang="en-US"/>
                      <a:t>
49</a:t>
                    </a:r>
                  </a:p>
                </c:rich>
              </c:tx>
              <c:dLblPos val="bestFit"/>
              <c:showLegendKey val="1"/>
              <c:showVal val="1"/>
              <c:showCatName val="1"/>
              <c:showSerName val="0"/>
              <c:showPercent val="0"/>
              <c:showBubbleSize val="0"/>
              <c:separator>
</c:separator>
            </c:dLbl>
            <c:spPr>
              <a:noFill/>
              <a:ln w="25383">
                <a:noFill/>
              </a:ln>
            </c:spPr>
            <c:txPr>
              <a:bodyPr rot="0" spcFirstLastPara="1" vertOverflow="ellipsis" vert="horz" wrap="square" lIns="38100" tIns="19050" rIns="38100" bIns="19050" anchor="ctr" anchorCtr="1">
                <a:spAutoFit/>
              </a:bodyPr>
              <a:lstStyle/>
              <a:p>
                <a:pPr>
                  <a:defRPr sz="899" b="0" i="0" u="none" strike="noStrike" kern="1200" baseline="0">
                    <a:solidFill>
                      <a:sysClr val="windowText" lastClr="000000"/>
                    </a:solidFill>
                    <a:latin typeface="Arial" panose="020B0604020202020204" pitchFamily="34" charset="0"/>
                    <a:ea typeface="Verdana" panose="020B0604030504040204" pitchFamily="34" charset="0"/>
                    <a:cs typeface="Arial" panose="020B0604020202020204" pitchFamily="34" charset="0"/>
                  </a:defRPr>
                </a:pPr>
                <a:endParaRPr lang="en-US"/>
              </a:p>
            </c:txPr>
            <c:dLblPos val="outEnd"/>
            <c:showLegendKey val="1"/>
            <c:showVal val="1"/>
            <c:showCatName val="1"/>
            <c:showSerName val="0"/>
            <c:showPercent val="0"/>
            <c:showBubbleSize val="0"/>
            <c:separator>
</c:separator>
            <c:showLeaderLines val="0"/>
          </c:dLbls>
          <c:cat>
            <c:strRef>
              <c:f>Blad1!$A$3:$A$14</c:f>
              <c:strCache>
                <c:ptCount val="12"/>
                <c:pt idx="0">
                  <c:v>Internal market, industry, entrepreneurship and SMEs</c:v>
                </c:pt>
                <c:pt idx="1">
                  <c:v>Environment</c:v>
                </c:pt>
                <c:pt idx="2">
                  <c:v>Financial stability, financial services and capital markets union</c:v>
                </c:pt>
                <c:pt idx="3">
                  <c:v>Mobility and transport</c:v>
                </c:pt>
                <c:pt idx="4">
                  <c:v>Migration and home affairs</c:v>
                </c:pt>
                <c:pt idx="5">
                  <c:v>Taxation and customs</c:v>
                </c:pt>
                <c:pt idx="6">
                  <c:v>Health and food safety</c:v>
                </c:pt>
                <c:pt idx="7">
                  <c:v>Justice and consumers</c:v>
                </c:pt>
                <c:pt idx="8">
                  <c:v>Employment</c:v>
                </c:pt>
                <c:pt idx="9">
                  <c:v>Communication networks</c:v>
                </c:pt>
                <c:pt idx="10">
                  <c:v>Energy</c:v>
                </c:pt>
                <c:pt idx="11">
                  <c:v>Other</c:v>
                </c:pt>
              </c:strCache>
            </c:strRef>
          </c:cat>
          <c:val>
            <c:numRef>
              <c:f>Blad1!$B$3:$B$14</c:f>
              <c:numCache>
                <c:formatCode>General</c:formatCode>
                <c:ptCount val="12"/>
                <c:pt idx="0">
                  <c:v>270</c:v>
                </c:pt>
                <c:pt idx="1">
                  <c:v>269</c:v>
                </c:pt>
                <c:pt idx="2">
                  <c:v>230</c:v>
                </c:pt>
                <c:pt idx="3">
                  <c:v>191</c:v>
                </c:pt>
                <c:pt idx="4">
                  <c:v>138</c:v>
                </c:pt>
                <c:pt idx="5">
                  <c:v>118</c:v>
                </c:pt>
                <c:pt idx="6">
                  <c:v>107</c:v>
                </c:pt>
                <c:pt idx="7">
                  <c:v>88</c:v>
                </c:pt>
                <c:pt idx="8">
                  <c:v>83</c:v>
                </c:pt>
                <c:pt idx="9">
                  <c:v>58</c:v>
                </c:pt>
                <c:pt idx="10">
                  <c:v>56</c:v>
                </c:pt>
                <c:pt idx="11">
                  <c:v>49</c:v>
                </c:pt>
              </c:numCache>
            </c:numRef>
          </c:val>
        </c:ser>
        <c:dLbls>
          <c:showLegendKey val="0"/>
          <c:showVal val="0"/>
          <c:showCatName val="0"/>
          <c:showSerName val="0"/>
          <c:showPercent val="0"/>
          <c:showBubbleSize val="0"/>
          <c:showLeaderLines val="0"/>
        </c:dLbls>
        <c:firstSliceAng val="10"/>
      </c:pieChart>
      <c:spPr>
        <a:noFill/>
        <a:ln w="25383">
          <a:noFill/>
        </a:ln>
      </c:spPr>
    </c:plotArea>
    <c:plotVisOnly val="1"/>
    <c:dispBlanksAs val="gap"/>
    <c:showDLblsOverMax val="0"/>
  </c:chart>
  <c:spPr>
    <a:solidFill>
      <a:schemeClr val="bg1"/>
    </a:solidFill>
    <a:ln w="9519"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99"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sk-SK" sz="1099" b="0">
                <a:solidFill>
                  <a:srgbClr val="002060"/>
                </a:solidFill>
                <a:latin typeface="Arial" panose="020B0604020202020204" pitchFamily="34" charset="0"/>
                <a:ea typeface="Verdana" panose="020B0604030504040204" pitchFamily="34" charset="0"/>
              </a:rPr>
              <a:t>Smernice</a:t>
            </a:r>
            <a:r>
              <a:rPr lang="sk-SK" sz="1099" b="0" baseline="0">
                <a:solidFill>
                  <a:srgbClr val="002060"/>
                </a:solidFill>
                <a:latin typeface="Arial" panose="020B0604020202020204" pitchFamily="34" charset="0"/>
                <a:ea typeface="Verdana" panose="020B0604030504040204" pitchFamily="34" charset="0"/>
              </a:rPr>
              <a:t> a prípady nesplnenia povinnosti v súvislosti s neskorou transpozíciou</a:t>
            </a:r>
          </a:p>
        </c:rich>
      </c:tx>
      <c:overlay val="0"/>
    </c:title>
    <c:autoTitleDeleted val="0"/>
    <c:plotArea>
      <c:layout>
        <c:manualLayout>
          <c:layoutTarget val="inner"/>
          <c:xMode val="edge"/>
          <c:yMode val="edge"/>
          <c:x val="9.3281602049698487E-2"/>
          <c:y val="0.28296218832020997"/>
          <c:w val="0.88305424093872276"/>
          <c:h val="0.42638351874253227"/>
        </c:manualLayout>
      </c:layout>
      <c:barChart>
        <c:barDir val="col"/>
        <c:grouping val="clustered"/>
        <c:varyColors val="0"/>
        <c:ser>
          <c:idx val="0"/>
          <c:order val="0"/>
          <c:tx>
            <c:strRef>
              <c:f>Blad1!$B$2</c:f>
              <c:strCache>
                <c:ptCount val="1"/>
                <c:pt idx="0">
                  <c:v>Počet smerníc s lehotou na transpozíciu v danom roku</c:v>
                </c:pt>
              </c:strCache>
            </c:strRef>
          </c:tx>
          <c:spPr>
            <a:solidFill>
              <a:srgbClr val="4F81BD"/>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4"/>
              <c:tx>
                <c:rich>
                  <a:bodyPr/>
                  <a:lstStyle/>
                  <a:p>
                    <a:r>
                      <a:rPr lang="en-US">
                        <a:solidFill>
                          <a:srgbClr val="0070C0"/>
                        </a:solidFill>
                      </a:rPr>
                      <a:t>70</a:t>
                    </a:r>
                    <a:endParaRPr lang="en-US"/>
                  </a:p>
                </c:rich>
              </c:tx>
              <c:dLblPos val="outEnd"/>
              <c:showLegendKey val="0"/>
              <c:showVal val="0"/>
              <c:showCatName val="0"/>
              <c:showSerName val="0"/>
              <c:showPercent val="0"/>
              <c:showBubbleSize val="0"/>
            </c:dLbl>
            <c:spPr>
              <a:noFill/>
              <a:ln w="25389">
                <a:noFill/>
              </a:ln>
            </c:spPr>
            <c:txPr>
              <a:bodyPr rot="0" spcFirstLastPara="1" vertOverflow="ellipsis" vert="horz" wrap="square" lIns="38100" tIns="19050" rIns="38100" bIns="19050" anchor="ctr" anchorCtr="1">
                <a:spAutoFit/>
              </a:bodyPr>
              <a:lstStyle/>
              <a:p>
                <a:pPr>
                  <a:defRPr sz="899" b="0" i="0" u="none" strike="noStrike" kern="1200" baseline="0">
                    <a:solidFill>
                      <a:srgbClr val="0070C0"/>
                    </a:solidFill>
                    <a:latin typeface="Verdana" panose="020B0604030504040204" pitchFamily="34" charset="0"/>
                    <a:ea typeface="Verdana" panose="020B0604030504040204" pitchFamily="34" charset="0"/>
                    <a:cs typeface="Verdana" panose="020B0604030504040204" pitchFamily="34" charset="0"/>
                  </a:defRPr>
                </a:pPr>
                <a:endParaRPr lang="en-US"/>
              </a:p>
            </c:txPr>
            <c:dLblPos val="outEnd"/>
            <c:showLegendKey val="0"/>
            <c:showVal val="1"/>
            <c:showCatName val="0"/>
            <c:showSerName val="0"/>
            <c:showPercent val="0"/>
            <c:showBubbleSize val="0"/>
            <c:showLeaderLines val="0"/>
          </c:dLbls>
          <c:cat>
            <c:numRef>
              <c:f>Blad1!$A$3:$A$7</c:f>
              <c:numCache>
                <c:formatCode>General</c:formatCode>
                <c:ptCount val="5"/>
                <c:pt idx="0">
                  <c:v>2012</c:v>
                </c:pt>
                <c:pt idx="1">
                  <c:v>2013</c:v>
                </c:pt>
                <c:pt idx="2">
                  <c:v>2014</c:v>
                </c:pt>
                <c:pt idx="3">
                  <c:v>2015</c:v>
                </c:pt>
                <c:pt idx="4">
                  <c:v>2016</c:v>
                </c:pt>
              </c:numCache>
            </c:numRef>
          </c:cat>
          <c:val>
            <c:numRef>
              <c:f>Blad1!$B$3:$B$7</c:f>
              <c:numCache>
                <c:formatCode>General</c:formatCode>
                <c:ptCount val="5"/>
                <c:pt idx="0">
                  <c:v>56</c:v>
                </c:pt>
                <c:pt idx="1">
                  <c:v>74</c:v>
                </c:pt>
                <c:pt idx="2">
                  <c:v>67</c:v>
                </c:pt>
                <c:pt idx="3">
                  <c:v>56</c:v>
                </c:pt>
                <c:pt idx="4">
                  <c:v>70</c:v>
                </c:pt>
              </c:numCache>
            </c:numRef>
          </c:val>
        </c:ser>
        <c:ser>
          <c:idx val="1"/>
          <c:order val="1"/>
          <c:tx>
            <c:strRef>
              <c:f>Blad1!$C$2</c:f>
              <c:strCache>
                <c:ptCount val="1"/>
                <c:pt idx="0">
                  <c:v>Nové prípady nesplnenia povinnosti v súvislosti neskorou transpozíciou</c:v>
                </c:pt>
              </c:strCache>
            </c:strRef>
          </c:tx>
          <c:spPr>
            <a:solidFill>
              <a:srgbClr val="92D050"/>
            </a:solidFill>
            <a:scene3d>
              <a:camera prst="orthographicFront"/>
              <a:lightRig rig="threePt" dir="t"/>
            </a:scene3d>
            <a:sp3d prstMaterial="matte">
              <a:bevelT w="63500" h="25400" prst="artDeco"/>
              <a:bevelB w="0" h="0"/>
              <a:contourClr>
                <a:srgbClr val="000000"/>
              </a:contourClr>
            </a:sp3d>
          </c:spPr>
          <c:invertIfNegative val="0"/>
          <c:dLbls>
            <c:spPr>
              <a:noFill/>
              <a:ln w="25389">
                <a:noFill/>
              </a:ln>
            </c:spPr>
            <c:txPr>
              <a:bodyPr wrap="square" lIns="38100" tIns="19050" rIns="38100" bIns="19050" anchor="ctr">
                <a:spAutoFit/>
              </a:bodyPr>
              <a:lstStyle/>
              <a:p>
                <a:pPr>
                  <a:defRPr sz="899">
                    <a:solidFill>
                      <a:srgbClr val="002060"/>
                    </a:solidFill>
                    <a:latin typeface="Verdana" panose="020B0604030504040204" pitchFamily="34" charset="0"/>
                    <a:ea typeface="Verdana" panose="020B0604030504040204" pitchFamily="34" charset="0"/>
                    <a:cs typeface="Verdana" panose="020B0604030504040204" pitchFamily="34" charset="0"/>
                  </a:defRPr>
                </a:pPr>
                <a:endParaRPr lang="en-US"/>
              </a:p>
            </c:txPr>
            <c:dLblPos val="outEnd"/>
            <c:showLegendKey val="0"/>
            <c:showVal val="1"/>
            <c:showCatName val="0"/>
            <c:showSerName val="0"/>
            <c:showPercent val="0"/>
            <c:showBubbleSize val="0"/>
            <c:showLeaderLines val="0"/>
          </c:dLbls>
          <c:cat>
            <c:numRef>
              <c:f>Blad1!$A$3:$A$7</c:f>
              <c:numCache>
                <c:formatCode>General</c:formatCode>
                <c:ptCount val="5"/>
                <c:pt idx="0">
                  <c:v>2012</c:v>
                </c:pt>
                <c:pt idx="1">
                  <c:v>2013</c:v>
                </c:pt>
                <c:pt idx="2">
                  <c:v>2014</c:v>
                </c:pt>
                <c:pt idx="3">
                  <c:v>2015</c:v>
                </c:pt>
                <c:pt idx="4">
                  <c:v>2016</c:v>
                </c:pt>
              </c:numCache>
            </c:numRef>
          </c:cat>
          <c:val>
            <c:numRef>
              <c:f>Blad1!$C$3:$C$7</c:f>
              <c:numCache>
                <c:formatCode>General</c:formatCode>
                <c:ptCount val="5"/>
                <c:pt idx="0">
                  <c:v>447</c:v>
                </c:pt>
                <c:pt idx="1">
                  <c:v>478</c:v>
                </c:pt>
                <c:pt idx="2">
                  <c:v>585</c:v>
                </c:pt>
                <c:pt idx="3">
                  <c:v>543</c:v>
                </c:pt>
                <c:pt idx="4">
                  <c:v>847</c:v>
                </c:pt>
              </c:numCache>
            </c:numRef>
          </c:val>
        </c:ser>
        <c:dLbls>
          <c:showLegendKey val="0"/>
          <c:showVal val="0"/>
          <c:showCatName val="0"/>
          <c:showSerName val="0"/>
          <c:showPercent val="0"/>
          <c:showBubbleSize val="0"/>
        </c:dLbls>
        <c:gapWidth val="100"/>
        <c:overlap val="-24"/>
        <c:axId val="96868992"/>
        <c:axId val="96887168"/>
      </c:barChart>
      <c:catAx>
        <c:axId val="96868992"/>
        <c:scaling>
          <c:orientation val="minMax"/>
        </c:scaling>
        <c:delete val="0"/>
        <c:axPos val="b"/>
        <c:numFmt formatCode="General" sourceLinked="1"/>
        <c:majorTickMark val="none"/>
        <c:minorTickMark val="none"/>
        <c:tickLblPos val="nextTo"/>
        <c:spPr>
          <a:noFill/>
          <a:ln w="12695"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96887168"/>
        <c:crosses val="autoZero"/>
        <c:auto val="1"/>
        <c:lblAlgn val="ctr"/>
        <c:lblOffset val="100"/>
        <c:noMultiLvlLbl val="0"/>
      </c:catAx>
      <c:valAx>
        <c:axId val="96887168"/>
        <c:scaling>
          <c:orientation val="minMax"/>
          <c:max val="1200"/>
        </c:scaling>
        <c:delete val="1"/>
        <c:axPos val="l"/>
        <c:majorGridlines>
          <c:spPr>
            <a:ln w="9521" cap="flat" cmpd="sng" algn="ctr">
              <a:solidFill>
                <a:schemeClr val="tx1">
                  <a:lumMod val="15000"/>
                  <a:lumOff val="85000"/>
                </a:schemeClr>
              </a:solidFill>
              <a:round/>
            </a:ln>
            <a:effectLst/>
          </c:spPr>
        </c:majorGridlines>
        <c:numFmt formatCode="General" sourceLinked="1"/>
        <c:majorTickMark val="out"/>
        <c:minorTickMark val="none"/>
        <c:tickLblPos val="nextTo"/>
        <c:crossAx val="96868992"/>
        <c:crosses val="autoZero"/>
        <c:crossBetween val="between"/>
        <c:majorUnit val="300"/>
      </c:valAx>
      <c:spPr>
        <a:noFill/>
        <a:ln w="25404">
          <a:noFill/>
        </a:ln>
      </c:spPr>
    </c:plotArea>
    <c:legend>
      <c:legendPos val="b"/>
      <c:overlay val="0"/>
      <c:txPr>
        <a:bodyPr/>
        <a:lstStyle/>
        <a:p>
          <a:pPr>
            <a:defRPr sz="899" baseline="0">
              <a:latin typeface="Arial" panose="020B0604020202020204" pitchFamily="34" charset="0"/>
              <a:cs typeface="Arial" panose="020B0604020202020204" pitchFamily="34" charset="0"/>
            </a:defRPr>
          </a:pPr>
          <a:endParaRPr lang="en-US"/>
        </a:p>
      </c:txPr>
    </c:legend>
    <c:plotVisOnly val="1"/>
    <c:dispBlanksAs val="gap"/>
    <c:showDLblsOverMax val="0"/>
  </c:chart>
  <c:spPr>
    <a:solidFill>
      <a:schemeClr val="bg1"/>
    </a:solidFill>
    <a:ln w="9521"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99"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sk-SK" sz="1099" b="0">
                <a:solidFill>
                  <a:srgbClr val="002060"/>
                </a:solidFill>
                <a:latin typeface="Arial" panose="020B0604020202020204" pitchFamily="34" charset="0"/>
                <a:ea typeface="Verdana" panose="020B0604030504040204" pitchFamily="34" charset="0"/>
              </a:rPr>
              <a:t>Prípady nesplnenia povinnosti v súvislosti s </a:t>
            </a:r>
            <a:r>
              <a:rPr lang="sk-SK" sz="1099" b="0" baseline="0">
                <a:solidFill>
                  <a:srgbClr val="002060"/>
                </a:solidFill>
                <a:latin typeface="Arial" panose="020B0604020202020204" pitchFamily="34" charset="0"/>
                <a:ea typeface="Verdana" panose="020B0604030504040204" pitchFamily="34" charset="0"/>
              </a:rPr>
              <a:t>neskorou</a:t>
            </a:r>
            <a:r>
              <a:rPr lang="sk-SK"/>
              <a:t> transpozíciou otvorené k 31. decembru 2016</a:t>
            </a:r>
          </a:p>
        </c:rich>
      </c:tx>
      <c:overlay val="0"/>
    </c:title>
    <c:autoTitleDeleted val="0"/>
    <c:plotArea>
      <c:layout>
        <c:manualLayout>
          <c:layoutTarget val="inner"/>
          <c:xMode val="edge"/>
          <c:yMode val="edge"/>
          <c:x val="2.782608695652174E-2"/>
          <c:y val="0.16813263525305411"/>
          <c:w val="0.94897282702591934"/>
          <c:h val="0.74625614853067856"/>
        </c:manualLayout>
      </c:layout>
      <c:barChart>
        <c:barDir val="col"/>
        <c:grouping val="clustered"/>
        <c:varyColors val="0"/>
        <c:ser>
          <c:idx val="0"/>
          <c:order val="0"/>
          <c:tx>
            <c:strRef>
              <c:f>Blad1!$B$2</c:f>
              <c:strCache>
                <c:ptCount val="1"/>
                <c:pt idx="0">
                  <c:v>Number of late infringement cases</c:v>
                </c:pt>
              </c:strCache>
            </c:strRef>
          </c:tx>
          <c:spPr>
            <a:solidFill>
              <a:schemeClr val="accent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txPr>
              <a:bodyPr/>
              <a:lstStyle/>
              <a:p>
                <a:pPr>
                  <a:defRPr sz="800">
                    <a:latin typeface="Verdana" panose="020B0604030504040204" pitchFamily="34" charset="0"/>
                    <a:ea typeface="Verdana" panose="020B0604030504040204" pitchFamily="34" charset="0"/>
                    <a:cs typeface="Verdana" panose="020B0604030504040204" pitchFamily="34" charset="0"/>
                  </a:defRPr>
                </a:pPr>
                <a:endParaRPr lang="en-US"/>
              </a:p>
            </c:txPr>
            <c:dLblPos val="outEnd"/>
            <c:showLegendKey val="0"/>
            <c:showVal val="1"/>
            <c:showCatName val="0"/>
            <c:showSerName val="0"/>
            <c:showPercent val="0"/>
            <c:showBubbleSize val="0"/>
            <c:showLeaderLines val="0"/>
          </c:dLbls>
          <c:cat>
            <c:strRef>
              <c:f>Blad1!$A$3:$A$30</c:f>
              <c:strCache>
                <c:ptCount val="28"/>
                <c:pt idx="0">
                  <c:v>IT</c:v>
                </c:pt>
                <c:pt idx="1">
                  <c:v>SK</c:v>
                </c:pt>
                <c:pt idx="2">
                  <c:v>DK</c:v>
                </c:pt>
                <c:pt idx="3">
                  <c:v>EE</c:v>
                </c:pt>
                <c:pt idx="4">
                  <c:v>MT</c:v>
                </c:pt>
                <c:pt idx="5">
                  <c:v>NL</c:v>
                </c:pt>
                <c:pt idx="6">
                  <c:v>HR</c:v>
                </c:pt>
                <c:pt idx="7">
                  <c:v>SE</c:v>
                </c:pt>
                <c:pt idx="8">
                  <c:v>UK</c:v>
                </c:pt>
                <c:pt idx="9">
                  <c:v>DE</c:v>
                </c:pt>
                <c:pt idx="10">
                  <c:v>CZ</c:v>
                </c:pt>
                <c:pt idx="11">
                  <c:v>IE</c:v>
                </c:pt>
                <c:pt idx="12">
                  <c:v>BG</c:v>
                </c:pt>
                <c:pt idx="13">
                  <c:v>EL</c:v>
                </c:pt>
                <c:pt idx="14">
                  <c:v>ES</c:v>
                </c:pt>
                <c:pt idx="15">
                  <c:v>HU</c:v>
                </c:pt>
                <c:pt idx="16">
                  <c:v>LV</c:v>
                </c:pt>
                <c:pt idx="17">
                  <c:v>AT</c:v>
                </c:pt>
                <c:pt idx="18">
                  <c:v>FR</c:v>
                </c:pt>
                <c:pt idx="19">
                  <c:v>LT</c:v>
                </c:pt>
                <c:pt idx="20">
                  <c:v>LU</c:v>
                </c:pt>
                <c:pt idx="21">
                  <c:v>SI</c:v>
                </c:pt>
                <c:pt idx="22">
                  <c:v>RO</c:v>
                </c:pt>
                <c:pt idx="23">
                  <c:v>FI</c:v>
                </c:pt>
                <c:pt idx="24">
                  <c:v>PL</c:v>
                </c:pt>
                <c:pt idx="25">
                  <c:v>PT</c:v>
                </c:pt>
                <c:pt idx="26">
                  <c:v>BE</c:v>
                </c:pt>
                <c:pt idx="27">
                  <c:v>CY</c:v>
                </c:pt>
              </c:strCache>
            </c:strRef>
          </c:cat>
          <c:val>
            <c:numRef>
              <c:f>Blad1!$B$3:$B$30</c:f>
              <c:numCache>
                <c:formatCode>General</c:formatCode>
                <c:ptCount val="28"/>
                <c:pt idx="0">
                  <c:v>14</c:v>
                </c:pt>
                <c:pt idx="1">
                  <c:v>16</c:v>
                </c:pt>
                <c:pt idx="2">
                  <c:v>18</c:v>
                </c:pt>
                <c:pt idx="3">
                  <c:v>23</c:v>
                </c:pt>
                <c:pt idx="4">
                  <c:v>23</c:v>
                </c:pt>
                <c:pt idx="5">
                  <c:v>23</c:v>
                </c:pt>
                <c:pt idx="6">
                  <c:v>25</c:v>
                </c:pt>
                <c:pt idx="7">
                  <c:v>25</c:v>
                </c:pt>
                <c:pt idx="8">
                  <c:v>25</c:v>
                </c:pt>
                <c:pt idx="9">
                  <c:v>26</c:v>
                </c:pt>
                <c:pt idx="10">
                  <c:v>29</c:v>
                </c:pt>
                <c:pt idx="11">
                  <c:v>30</c:v>
                </c:pt>
                <c:pt idx="12">
                  <c:v>31</c:v>
                </c:pt>
                <c:pt idx="13">
                  <c:v>32</c:v>
                </c:pt>
                <c:pt idx="14">
                  <c:v>32</c:v>
                </c:pt>
                <c:pt idx="15">
                  <c:v>32</c:v>
                </c:pt>
                <c:pt idx="16">
                  <c:v>32</c:v>
                </c:pt>
                <c:pt idx="17">
                  <c:v>34</c:v>
                </c:pt>
                <c:pt idx="18">
                  <c:v>35</c:v>
                </c:pt>
                <c:pt idx="19">
                  <c:v>35</c:v>
                </c:pt>
                <c:pt idx="20">
                  <c:v>36</c:v>
                </c:pt>
                <c:pt idx="21">
                  <c:v>36</c:v>
                </c:pt>
                <c:pt idx="22">
                  <c:v>38</c:v>
                </c:pt>
                <c:pt idx="23">
                  <c:v>39</c:v>
                </c:pt>
                <c:pt idx="24">
                  <c:v>39</c:v>
                </c:pt>
                <c:pt idx="25">
                  <c:v>44</c:v>
                </c:pt>
                <c:pt idx="26">
                  <c:v>48</c:v>
                </c:pt>
                <c:pt idx="27">
                  <c:v>48</c:v>
                </c:pt>
              </c:numCache>
            </c:numRef>
          </c:val>
        </c:ser>
        <c:dLbls>
          <c:showLegendKey val="0"/>
          <c:showVal val="0"/>
          <c:showCatName val="0"/>
          <c:showSerName val="0"/>
          <c:showPercent val="0"/>
          <c:showBubbleSize val="0"/>
        </c:dLbls>
        <c:gapWidth val="75"/>
        <c:overlap val="-25"/>
        <c:axId val="96826112"/>
        <c:axId val="96827648"/>
      </c:barChart>
      <c:catAx>
        <c:axId val="96826112"/>
        <c:scaling>
          <c:orientation val="minMax"/>
        </c:scaling>
        <c:delete val="0"/>
        <c:axPos val="b"/>
        <c:numFmt formatCode="General" sourceLinked="1"/>
        <c:majorTickMark val="none"/>
        <c:minorTickMark val="none"/>
        <c:tickLblPos val="nextTo"/>
        <c:spPr>
          <a:noFill/>
          <a:ln w="12694"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96827648"/>
        <c:crosses val="autoZero"/>
        <c:auto val="1"/>
        <c:lblAlgn val="ctr"/>
        <c:lblOffset val="100"/>
        <c:noMultiLvlLbl val="0"/>
      </c:catAx>
      <c:valAx>
        <c:axId val="96827648"/>
        <c:scaling>
          <c:orientation val="minMax"/>
        </c:scaling>
        <c:delete val="1"/>
        <c:axPos val="l"/>
        <c:majorGridlines>
          <c:spPr>
            <a:ln>
              <a:solidFill>
                <a:srgbClr val="D9D9D9"/>
              </a:solidFill>
            </a:ln>
          </c:spPr>
        </c:majorGridlines>
        <c:numFmt formatCode="General" sourceLinked="1"/>
        <c:majorTickMark val="out"/>
        <c:minorTickMark val="none"/>
        <c:tickLblPos val="nextTo"/>
        <c:crossAx val="96826112"/>
        <c:crosses val="autoZero"/>
        <c:crossBetween val="between"/>
      </c:valAx>
      <c:spPr>
        <a:solidFill>
          <a:schemeClr val="bg1"/>
        </a:solidFill>
        <a:ln>
          <a:noFill/>
        </a:ln>
        <a:effectLst/>
      </c:spPr>
    </c:plotArea>
    <c:plotVisOnly val="1"/>
    <c:dispBlanksAs val="gap"/>
    <c:showDLblsOverMax val="0"/>
  </c:chart>
  <c:spPr>
    <a:solidFill>
      <a:schemeClr val="bg1"/>
    </a:solidFill>
    <a:ln w="9520"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99"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sk-SK" sz="1099" b="0">
                <a:solidFill>
                  <a:srgbClr val="002060"/>
                </a:solidFill>
                <a:latin typeface="Arial" panose="020B0604020202020204" pitchFamily="34" charset="0"/>
                <a:ea typeface="Verdana" panose="020B0604030504040204" pitchFamily="34" charset="0"/>
              </a:rPr>
              <a:t>Nové</a:t>
            </a:r>
            <a:r>
              <a:rPr lang="sk-SK" sz="1099" b="0" baseline="0">
                <a:solidFill>
                  <a:srgbClr val="002060"/>
                </a:solidFill>
                <a:latin typeface="Arial" panose="020B0604020202020204" pitchFamily="34" charset="0"/>
                <a:ea typeface="Verdana" panose="020B0604030504040204" pitchFamily="34" charset="0"/>
              </a:rPr>
              <a:t> </a:t>
            </a:r>
            <a:r>
              <a:rPr lang="sk-SK" sz="1099" b="0">
                <a:solidFill>
                  <a:srgbClr val="002060"/>
                </a:solidFill>
                <a:latin typeface="Arial" panose="020B0604020202020204" pitchFamily="34" charset="0"/>
                <a:ea typeface="Verdana" panose="020B0604030504040204" pitchFamily="34" charset="0"/>
              </a:rPr>
              <a:t>prípady nesplnenia povinnosti v súvislosti s </a:t>
            </a:r>
            <a:r>
              <a:rPr lang="sk-SK" sz="1099" b="0" baseline="0">
                <a:solidFill>
                  <a:srgbClr val="002060"/>
                </a:solidFill>
                <a:latin typeface="Arial" panose="020B0604020202020204" pitchFamily="34" charset="0"/>
                <a:ea typeface="Verdana" panose="020B0604030504040204" pitchFamily="34" charset="0"/>
              </a:rPr>
              <a:t>neskorou transpozíciou</a:t>
            </a:r>
          </a:p>
        </c:rich>
      </c:tx>
      <c:overlay val="1"/>
    </c:title>
    <c:autoTitleDeleted val="0"/>
    <c:plotArea>
      <c:layout>
        <c:manualLayout>
          <c:layoutTarget val="inner"/>
          <c:xMode val="edge"/>
          <c:yMode val="edge"/>
          <c:x val="5.6932961504811898E-2"/>
          <c:y val="0.11073490813648294"/>
          <c:w val="0.91760407553222512"/>
          <c:h val="0.80730689913760778"/>
        </c:manualLayout>
      </c:layout>
      <c:barChart>
        <c:barDir val="col"/>
        <c:grouping val="clustered"/>
        <c:varyColors val="0"/>
        <c:ser>
          <c:idx val="0"/>
          <c:order val="0"/>
          <c:tx>
            <c:strRef>
              <c:f>Blad1!$B$2</c:f>
              <c:strCache>
                <c:ptCount val="1"/>
                <c:pt idx="0">
                  <c:v>Number of late infringement cases</c:v>
                </c:pt>
              </c:strCache>
            </c:strRef>
          </c:tx>
          <c:spPr>
            <a:solidFill>
              <a:schemeClr val="accent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w="25387">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Verdana" panose="020B0604030504040204" pitchFamily="34" charset="0"/>
                    <a:ea typeface="+mn-ea"/>
                    <a:cs typeface="+mn-cs"/>
                  </a:defRPr>
                </a:pPr>
                <a:endParaRPr lang="en-US"/>
              </a:p>
            </c:txPr>
            <c:dLblPos val="outEnd"/>
            <c:showLegendKey val="0"/>
            <c:showVal val="1"/>
            <c:showCatName val="0"/>
            <c:showSerName val="0"/>
            <c:showPercent val="0"/>
            <c:showBubbleSize val="0"/>
            <c:showLeaderLines val="0"/>
          </c:dLbls>
          <c:cat>
            <c:strRef>
              <c:f>Blad1!$A$3:$A$30</c:f>
              <c:strCache>
                <c:ptCount val="28"/>
                <c:pt idx="0">
                  <c:v>IT</c:v>
                </c:pt>
                <c:pt idx="1">
                  <c:v>SK</c:v>
                </c:pt>
                <c:pt idx="2">
                  <c:v>EE</c:v>
                </c:pt>
                <c:pt idx="3">
                  <c:v>MT</c:v>
                </c:pt>
                <c:pt idx="4">
                  <c:v>LV</c:v>
                </c:pt>
                <c:pt idx="5">
                  <c:v>NL</c:v>
                </c:pt>
                <c:pt idx="6">
                  <c:v>DE</c:v>
                </c:pt>
                <c:pt idx="7">
                  <c:v>SE</c:v>
                </c:pt>
                <c:pt idx="8">
                  <c:v>HR</c:v>
                </c:pt>
                <c:pt idx="9">
                  <c:v>UK</c:v>
                </c:pt>
                <c:pt idx="10">
                  <c:v>BG</c:v>
                </c:pt>
                <c:pt idx="11">
                  <c:v>DK</c:v>
                </c:pt>
                <c:pt idx="12">
                  <c:v>LT</c:v>
                </c:pt>
                <c:pt idx="13">
                  <c:v>CZ</c:v>
                </c:pt>
                <c:pt idx="14">
                  <c:v>FR</c:v>
                </c:pt>
                <c:pt idx="15">
                  <c:v>SI</c:v>
                </c:pt>
                <c:pt idx="16">
                  <c:v>ES</c:v>
                </c:pt>
                <c:pt idx="17">
                  <c:v>RO</c:v>
                </c:pt>
                <c:pt idx="18">
                  <c:v>EL</c:v>
                </c:pt>
                <c:pt idx="19">
                  <c:v>FI</c:v>
                </c:pt>
                <c:pt idx="20">
                  <c:v>HU</c:v>
                </c:pt>
                <c:pt idx="21">
                  <c:v>IE</c:v>
                </c:pt>
                <c:pt idx="22">
                  <c:v>PL</c:v>
                </c:pt>
                <c:pt idx="23">
                  <c:v>LU</c:v>
                </c:pt>
                <c:pt idx="24">
                  <c:v>AT</c:v>
                </c:pt>
                <c:pt idx="25">
                  <c:v>BE</c:v>
                </c:pt>
                <c:pt idx="26">
                  <c:v>CY</c:v>
                </c:pt>
                <c:pt idx="27">
                  <c:v>PT</c:v>
                </c:pt>
              </c:strCache>
            </c:strRef>
          </c:cat>
          <c:val>
            <c:numRef>
              <c:f>Blad1!$B$3:$B$30</c:f>
              <c:numCache>
                <c:formatCode>General</c:formatCode>
                <c:ptCount val="28"/>
                <c:pt idx="0">
                  <c:v>15</c:v>
                </c:pt>
                <c:pt idx="1">
                  <c:v>15</c:v>
                </c:pt>
                <c:pt idx="2">
                  <c:v>18</c:v>
                </c:pt>
                <c:pt idx="3">
                  <c:v>19</c:v>
                </c:pt>
                <c:pt idx="4">
                  <c:v>20</c:v>
                </c:pt>
                <c:pt idx="5">
                  <c:v>20</c:v>
                </c:pt>
                <c:pt idx="6">
                  <c:v>21</c:v>
                </c:pt>
                <c:pt idx="7">
                  <c:v>22</c:v>
                </c:pt>
                <c:pt idx="8">
                  <c:v>25</c:v>
                </c:pt>
                <c:pt idx="9">
                  <c:v>25</c:v>
                </c:pt>
                <c:pt idx="10">
                  <c:v>27</c:v>
                </c:pt>
                <c:pt idx="11">
                  <c:v>28</c:v>
                </c:pt>
                <c:pt idx="12">
                  <c:v>29</c:v>
                </c:pt>
                <c:pt idx="13">
                  <c:v>33</c:v>
                </c:pt>
                <c:pt idx="14">
                  <c:v>33</c:v>
                </c:pt>
                <c:pt idx="15">
                  <c:v>33</c:v>
                </c:pt>
                <c:pt idx="16">
                  <c:v>34</c:v>
                </c:pt>
                <c:pt idx="17">
                  <c:v>35</c:v>
                </c:pt>
                <c:pt idx="18">
                  <c:v>36</c:v>
                </c:pt>
                <c:pt idx="19">
                  <c:v>36</c:v>
                </c:pt>
                <c:pt idx="20">
                  <c:v>36</c:v>
                </c:pt>
                <c:pt idx="21">
                  <c:v>36</c:v>
                </c:pt>
                <c:pt idx="22">
                  <c:v>36</c:v>
                </c:pt>
                <c:pt idx="23">
                  <c:v>37</c:v>
                </c:pt>
                <c:pt idx="24">
                  <c:v>40</c:v>
                </c:pt>
                <c:pt idx="25">
                  <c:v>43</c:v>
                </c:pt>
                <c:pt idx="26">
                  <c:v>44</c:v>
                </c:pt>
                <c:pt idx="27">
                  <c:v>51</c:v>
                </c:pt>
              </c:numCache>
            </c:numRef>
          </c:val>
        </c:ser>
        <c:dLbls>
          <c:showLegendKey val="0"/>
          <c:showVal val="0"/>
          <c:showCatName val="0"/>
          <c:showSerName val="0"/>
          <c:showPercent val="0"/>
          <c:showBubbleSize val="0"/>
        </c:dLbls>
        <c:gapWidth val="100"/>
        <c:overlap val="-24"/>
        <c:axId val="96934144"/>
        <c:axId val="96944128"/>
      </c:barChart>
      <c:catAx>
        <c:axId val="96934144"/>
        <c:scaling>
          <c:orientation val="minMax"/>
        </c:scaling>
        <c:delete val="0"/>
        <c:axPos val="b"/>
        <c:numFmt formatCode="General" sourceLinked="1"/>
        <c:majorTickMark val="none"/>
        <c:minorTickMark val="none"/>
        <c:tickLblPos val="nextTo"/>
        <c:spPr>
          <a:noFill/>
          <a:ln w="12694"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96944128"/>
        <c:crosses val="autoZero"/>
        <c:auto val="1"/>
        <c:lblAlgn val="ctr"/>
        <c:lblOffset val="100"/>
        <c:noMultiLvlLbl val="0"/>
      </c:catAx>
      <c:valAx>
        <c:axId val="96944128"/>
        <c:scaling>
          <c:orientation val="minMax"/>
        </c:scaling>
        <c:delete val="1"/>
        <c:axPos val="l"/>
        <c:majorGridlines>
          <c:spPr>
            <a:ln w="9521" cap="flat" cmpd="sng" algn="ctr">
              <a:solidFill>
                <a:schemeClr val="tx1">
                  <a:lumMod val="15000"/>
                  <a:lumOff val="85000"/>
                </a:schemeClr>
              </a:solidFill>
              <a:round/>
            </a:ln>
            <a:effectLst/>
          </c:spPr>
        </c:majorGridlines>
        <c:numFmt formatCode="General" sourceLinked="1"/>
        <c:majorTickMark val="out"/>
        <c:minorTickMark val="none"/>
        <c:tickLblPos val="nextTo"/>
        <c:crossAx val="96934144"/>
        <c:crosses val="autoZero"/>
        <c:crossBetween val="between"/>
      </c:valAx>
      <c:spPr>
        <a:noFill/>
        <a:ln w="25386">
          <a:noFill/>
        </a:ln>
      </c:spPr>
    </c:plotArea>
    <c:plotVisOnly val="1"/>
    <c:dispBlanksAs val="gap"/>
    <c:showDLblsOverMax val="0"/>
  </c:chart>
  <c:spPr>
    <a:solidFill>
      <a:schemeClr val="bg1"/>
    </a:solidFill>
    <a:ln w="9521"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sk-SK" sz="1100" b="0">
                <a:solidFill>
                  <a:srgbClr val="002060"/>
                </a:solidFill>
                <a:effectLst/>
                <a:latin typeface="Arial" panose="020B0604020202020204" pitchFamily="34" charset="0"/>
                <a:ea typeface="Verdana" panose="020B0604030504040204" pitchFamily="34" charset="0"/>
              </a:rPr>
              <a:t>Nové</a:t>
            </a:r>
            <a:r>
              <a:rPr lang="sk-SK" sz="1100" b="0" baseline="0">
                <a:solidFill>
                  <a:srgbClr val="002060"/>
                </a:solidFill>
                <a:effectLst/>
                <a:latin typeface="Arial" panose="020B0604020202020204" pitchFamily="34" charset="0"/>
                <a:ea typeface="Verdana" panose="020B0604030504040204" pitchFamily="34" charset="0"/>
              </a:rPr>
              <a:t> </a:t>
            </a:r>
            <a:r>
              <a:rPr lang="sk-SK" sz="1100" b="0">
                <a:solidFill>
                  <a:srgbClr val="002060"/>
                </a:solidFill>
                <a:effectLst/>
                <a:latin typeface="Arial" panose="020B0604020202020204" pitchFamily="34" charset="0"/>
                <a:ea typeface="Verdana" panose="020B0604030504040204" pitchFamily="34" charset="0"/>
              </a:rPr>
              <a:t>prípady nesplnenia povinnosti v súvislosti s neskorou transpozíciou otvorené v roku 2016: hlavné oblasti politiky</a:t>
            </a:r>
          </a:p>
        </c:rich>
      </c:tx>
      <c:layout>
        <c:manualLayout>
          <c:xMode val="edge"/>
          <c:yMode val="edge"/>
          <c:x val="0.12437175576176711"/>
          <c:y val="2.7993610890381822E-2"/>
        </c:manualLayout>
      </c:layout>
      <c:overlay val="0"/>
      <c:spPr>
        <a:noFill/>
        <a:ln w="25389">
          <a:noFill/>
        </a:ln>
      </c:spPr>
    </c:title>
    <c:autoTitleDeleted val="0"/>
    <c:plotArea>
      <c:layout/>
      <c:pieChart>
        <c:varyColors val="1"/>
        <c:ser>
          <c:idx val="0"/>
          <c:order val="0"/>
          <c:tx>
            <c:strRef>
              <c:f>Blad1!$B$1</c:f>
              <c:strCache>
                <c:ptCount val="1"/>
                <c:pt idx="0">
                  <c:v>xxx late transposition cases in 2016</c:v>
                </c:pt>
              </c:strCache>
            </c:strRef>
          </c:tx>
          <c:spPr>
            <a:ln>
              <a:noFill/>
            </a:ln>
            <a:effectLst/>
            <a:scene3d>
              <a:camera prst="orthographicFront"/>
              <a:lightRig rig="threePt" dir="t"/>
            </a:scene3d>
            <a:sp3d>
              <a:bevelT w="63500" h="25400"/>
            </a:sp3d>
          </c:spPr>
          <c:dPt>
            <c:idx val="0"/>
            <c:bubble3D val="0"/>
            <c:spPr>
              <a:solidFill>
                <a:srgbClr val="000099"/>
              </a:solidFill>
              <a:ln>
                <a:noFill/>
              </a:ln>
              <a:effectLst/>
              <a:scene3d>
                <a:camera prst="orthographicFront"/>
                <a:lightRig rig="threePt" dir="t"/>
              </a:scene3d>
              <a:sp3d>
                <a:bevelT w="63500" h="25400"/>
              </a:sp3d>
            </c:spPr>
          </c:dPt>
          <c:dPt>
            <c:idx val="1"/>
            <c:bubble3D val="0"/>
            <c:spPr>
              <a:solidFill>
                <a:srgbClr val="FF7DFF"/>
              </a:solidFill>
              <a:ln>
                <a:noFill/>
              </a:ln>
              <a:effectLst/>
              <a:scene3d>
                <a:camera prst="orthographicFront"/>
                <a:lightRig rig="threePt" dir="t"/>
              </a:scene3d>
              <a:sp3d>
                <a:bevelT w="63500" h="25400"/>
              </a:sp3d>
            </c:spPr>
          </c:dPt>
          <c:dPt>
            <c:idx val="2"/>
            <c:bubble3D val="0"/>
            <c:spPr>
              <a:solidFill>
                <a:srgbClr val="7030A0"/>
              </a:solidFill>
              <a:ln>
                <a:noFill/>
              </a:ln>
              <a:effectLst/>
              <a:scene3d>
                <a:camera prst="orthographicFront"/>
                <a:lightRig rig="threePt" dir="t"/>
              </a:scene3d>
              <a:sp3d>
                <a:bevelT w="63500" h="25400"/>
              </a:sp3d>
            </c:spPr>
          </c:dPt>
          <c:dPt>
            <c:idx val="3"/>
            <c:bubble3D val="0"/>
            <c:spPr>
              <a:solidFill>
                <a:srgbClr val="00A676"/>
              </a:solidFill>
              <a:ln>
                <a:noFill/>
              </a:ln>
              <a:effectLst/>
              <a:scene3d>
                <a:camera prst="orthographicFront"/>
                <a:lightRig rig="threePt" dir="t"/>
              </a:scene3d>
              <a:sp3d>
                <a:bevelT w="63500" h="25400"/>
              </a:sp3d>
            </c:spPr>
          </c:dPt>
          <c:dPt>
            <c:idx val="4"/>
            <c:bubble3D val="0"/>
            <c:spPr>
              <a:solidFill>
                <a:srgbClr val="FF9900"/>
              </a:solidFill>
              <a:ln>
                <a:noFill/>
              </a:ln>
              <a:effectLst/>
              <a:scene3d>
                <a:camera prst="orthographicFront"/>
                <a:lightRig rig="threePt" dir="t"/>
              </a:scene3d>
              <a:sp3d>
                <a:bevelT w="63500" h="25400"/>
              </a:sp3d>
            </c:spPr>
          </c:dPt>
          <c:dPt>
            <c:idx val="5"/>
            <c:bubble3D val="0"/>
            <c:spPr>
              <a:solidFill>
                <a:srgbClr val="808AA4"/>
              </a:solidFill>
              <a:ln>
                <a:noFill/>
              </a:ln>
              <a:effectLst/>
              <a:scene3d>
                <a:camera prst="orthographicFront"/>
                <a:lightRig rig="threePt" dir="t"/>
              </a:scene3d>
              <a:sp3d>
                <a:bevelT w="63500" h="25400"/>
              </a:sp3d>
            </c:spPr>
          </c:dPt>
          <c:dLbls>
            <c:dLbl>
              <c:idx val="0"/>
              <c:layout>
                <c:manualLayout>
                  <c:x val="4.9258256236857072E-5"/>
                  <c:y val="0.10720562006900473"/>
                </c:manualLayout>
              </c:layout>
              <c:tx>
                <c:rich>
                  <a:bodyPr/>
                  <a:lstStyle/>
                  <a:p>
                    <a:r>
                      <a:rPr lang="en-GB" sz="900" b="0" i="0" u="none" strike="noStrike" baseline="0">
                        <a:effectLst/>
                      </a:rPr>
                      <a:t>Vnútorný trh, priemysel, podnikanie a MSP</a:t>
                    </a:r>
                    <a:r>
                      <a:rPr lang="en-US"/>
                      <a:t>
267</a:t>
                    </a:r>
                  </a:p>
                </c:rich>
              </c:tx>
              <c:dLblPos val="bestFit"/>
              <c:showLegendKey val="1"/>
              <c:showVal val="1"/>
              <c:showCatName val="1"/>
              <c:showSerName val="0"/>
              <c:showPercent val="0"/>
              <c:showBubbleSize val="0"/>
              <c:separator>
</c:separator>
            </c:dLbl>
            <c:dLbl>
              <c:idx val="1"/>
              <c:layout>
                <c:manualLayout>
                  <c:x val="-3.9506849006504557E-2"/>
                  <c:y val="7.2869462552778812E-3"/>
                </c:manualLayout>
              </c:layout>
              <c:tx>
                <c:rich>
                  <a:bodyPr/>
                  <a:lstStyle/>
                  <a:p>
                    <a:r>
                      <a:rPr lang="en-GB" sz="900" b="0" i="0" u="none" strike="noStrike" baseline="0">
                        <a:effectLst/>
                      </a:rPr>
                      <a:t>Zdravie a</a:t>
                    </a:r>
                    <a:r>
                      <a:rPr lang="sk-SK" sz="900" b="0" i="0" u="none" strike="noStrike" baseline="0">
                        <a:effectLst/>
                      </a:rPr>
                      <a:t> </a:t>
                    </a:r>
                    <a:r>
                      <a:rPr lang="en-GB" sz="900" b="0" i="0" u="none" strike="noStrike" baseline="0">
                        <a:effectLst/>
                      </a:rPr>
                      <a:t>bezpečnosť potravín</a:t>
                    </a:r>
                    <a:r>
                      <a:rPr lang="en-US"/>
                      <a:t>
147</a:t>
                    </a:r>
                  </a:p>
                </c:rich>
              </c:tx>
              <c:dLblPos val="bestFit"/>
              <c:showLegendKey val="1"/>
              <c:showVal val="1"/>
              <c:showCatName val="1"/>
              <c:showSerName val="0"/>
              <c:showPercent val="0"/>
              <c:showBubbleSize val="0"/>
              <c:separator>
</c:separator>
            </c:dLbl>
            <c:dLbl>
              <c:idx val="2"/>
              <c:layout>
                <c:manualLayout>
                  <c:x val="3.5391626102247156E-3"/>
                  <c:y val="-2.360230278183971E-2"/>
                </c:manualLayout>
              </c:layout>
              <c:tx>
                <c:rich>
                  <a:bodyPr/>
                  <a:lstStyle/>
                  <a:p>
                    <a:r>
                      <a:rPr lang="en-GB" sz="900" b="0" i="0" u="none" strike="noStrike" baseline="0">
                        <a:effectLst/>
                      </a:rPr>
                      <a:t>Finančná stabilita, finančné služby a únia kapitálových trhov</a:t>
                    </a:r>
                    <a:r>
                      <a:rPr lang="en-US"/>
                      <a:t>
116</a:t>
                    </a:r>
                  </a:p>
                </c:rich>
              </c:tx>
              <c:dLblPos val="bestFit"/>
              <c:showLegendKey val="1"/>
              <c:showVal val="1"/>
              <c:showCatName val="1"/>
              <c:showSerName val="0"/>
              <c:showPercent val="0"/>
              <c:showBubbleSize val="0"/>
              <c:separator>
</c:separator>
            </c:dLbl>
            <c:dLbl>
              <c:idx val="3"/>
              <c:layout>
                <c:manualLayout>
                  <c:x val="1.5883862447130415E-2"/>
                  <c:y val="-3.9566773274480833E-2"/>
                </c:manualLayout>
              </c:layout>
              <c:tx>
                <c:rich>
                  <a:bodyPr/>
                  <a:lstStyle/>
                  <a:p>
                    <a:r>
                      <a:rPr lang="en-GB" sz="900" b="0" i="0" u="none" strike="noStrike" baseline="0">
                        <a:effectLst/>
                      </a:rPr>
                      <a:t>Životné prostredie </a:t>
                    </a:r>
                    <a:r>
                      <a:rPr lang="en-US"/>
                      <a:t>
50</a:t>
                    </a:r>
                  </a:p>
                </c:rich>
              </c:tx>
              <c:dLblPos val="bestFit"/>
              <c:showLegendKey val="1"/>
              <c:showVal val="1"/>
              <c:showCatName val="1"/>
              <c:showSerName val="0"/>
              <c:showPercent val="0"/>
              <c:showBubbleSize val="0"/>
              <c:separator>
</c:separator>
            </c:dLbl>
            <c:dLbl>
              <c:idx val="4"/>
              <c:layout>
                <c:manualLayout>
                  <c:x val="-1.3245215435495951E-2"/>
                  <c:y val="0"/>
                </c:manualLayout>
              </c:layout>
              <c:tx>
                <c:rich>
                  <a:bodyPr/>
                  <a:lstStyle/>
                  <a:p>
                    <a:r>
                      <a:rPr lang="en-US"/>
                      <a:t>Mobilit</a:t>
                    </a:r>
                    <a:r>
                      <a:rPr lang="sk-SK"/>
                      <a:t>a</a:t>
                    </a:r>
                    <a:r>
                      <a:rPr lang="en-US"/>
                      <a:t> a</a:t>
                    </a:r>
                    <a:r>
                      <a:rPr lang="sk-SK"/>
                      <a:t> doprava</a:t>
                    </a:r>
                    <a:r>
                      <a:rPr lang="en-US"/>
                      <a:t>
54</a:t>
                    </a:r>
                  </a:p>
                </c:rich>
              </c:tx>
              <c:dLblPos val="bestFit"/>
              <c:showLegendKey val="1"/>
              <c:showVal val="1"/>
              <c:showCatName val="1"/>
              <c:showSerName val="0"/>
              <c:showPercent val="0"/>
              <c:showBubbleSize val="0"/>
              <c:separator>
</c:separator>
            </c:dLbl>
            <c:dLbl>
              <c:idx val="5"/>
              <c:layout>
                <c:manualLayout>
                  <c:x val="-7.9522862823061632E-2"/>
                  <c:y val="-0.13452027695351138"/>
                </c:manualLayout>
              </c:layout>
              <c:tx>
                <c:rich>
                  <a:bodyPr/>
                  <a:lstStyle/>
                  <a:p>
                    <a:r>
                      <a:rPr lang="sk-SK"/>
                      <a:t>Iné</a:t>
                    </a:r>
                    <a:r>
                      <a:rPr lang="en-US"/>
                      <a:t>
213</a:t>
                    </a:r>
                  </a:p>
                </c:rich>
              </c:tx>
              <c:dLblPos val="bestFit"/>
              <c:showLegendKey val="1"/>
              <c:showVal val="1"/>
              <c:showCatName val="1"/>
              <c:showSerName val="0"/>
              <c:showPercent val="0"/>
              <c:showBubbleSize val="0"/>
              <c:separator>
</c:separator>
            </c:dLbl>
            <c:spPr>
              <a:noFill/>
              <a:ln w="25389">
                <a:noFill/>
              </a:ln>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Verdana" panose="020B0604030504040204" pitchFamily="34" charset="0"/>
                    <a:cs typeface="Arial" panose="020B0604020202020204" pitchFamily="34" charset="0"/>
                  </a:defRPr>
                </a:pPr>
                <a:endParaRPr lang="en-US"/>
              </a:p>
            </c:txPr>
            <c:dLblPos val="outEnd"/>
            <c:showLegendKey val="1"/>
            <c:showVal val="1"/>
            <c:showCatName val="1"/>
            <c:showSerName val="0"/>
            <c:showPercent val="0"/>
            <c:showBubbleSize val="0"/>
            <c:separator>
</c:separator>
            <c:showLeaderLines val="0"/>
          </c:dLbls>
          <c:cat>
            <c:strRef>
              <c:f>Blad1!$A$4:$A$9</c:f>
              <c:strCache>
                <c:ptCount val="6"/>
                <c:pt idx="0">
                  <c:v>Internal market, industry, entrepreneurship and SMEs</c:v>
                </c:pt>
                <c:pt idx="1">
                  <c:v>Health and food safety</c:v>
                </c:pt>
                <c:pt idx="2">
                  <c:v>Financial stability, financial services and capital markets union</c:v>
                </c:pt>
                <c:pt idx="3">
                  <c:v>Environment</c:v>
                </c:pt>
                <c:pt idx="4">
                  <c:v>Mobility and transport</c:v>
                </c:pt>
                <c:pt idx="5">
                  <c:v>Other </c:v>
                </c:pt>
              </c:strCache>
            </c:strRef>
          </c:cat>
          <c:val>
            <c:numRef>
              <c:f>Blad1!$B$4:$B$9</c:f>
              <c:numCache>
                <c:formatCode>General</c:formatCode>
                <c:ptCount val="6"/>
                <c:pt idx="0">
                  <c:v>267</c:v>
                </c:pt>
                <c:pt idx="1">
                  <c:v>147</c:v>
                </c:pt>
                <c:pt idx="2">
                  <c:v>116</c:v>
                </c:pt>
                <c:pt idx="3">
                  <c:v>50</c:v>
                </c:pt>
                <c:pt idx="4">
                  <c:v>54</c:v>
                </c:pt>
                <c:pt idx="5">
                  <c:v>213</c:v>
                </c:pt>
              </c:numCache>
            </c:numRef>
          </c:val>
        </c:ser>
        <c:dLbls>
          <c:showLegendKey val="0"/>
          <c:showVal val="0"/>
          <c:showCatName val="0"/>
          <c:showSerName val="0"/>
          <c:showPercent val="0"/>
          <c:showBubbleSize val="0"/>
          <c:showLeaderLines val="0"/>
        </c:dLbls>
        <c:firstSliceAng val="260"/>
      </c:pieChart>
      <c:spPr>
        <a:noFill/>
        <a:ln w="25399">
          <a:noFill/>
        </a:ln>
      </c:spPr>
    </c:plotArea>
    <c:plotVisOnly val="1"/>
    <c:dispBlanksAs val="gap"/>
    <c:showDLblsOverMax val="0"/>
  </c:chart>
  <c:spPr>
    <a:solidFill>
      <a:schemeClr val="bg1"/>
    </a:solidFill>
    <a:ln w="9521"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baseline="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sk-SK" sz="1100" b="0" i="0" baseline="0">
                <a:solidFill>
                  <a:srgbClr val="002060"/>
                </a:solidFill>
                <a:latin typeface="Arial" panose="020B0604020202020204" pitchFamily="34" charset="0"/>
              </a:rPr>
              <a:t>Nové sťažnosti zaregistrované v roku 2016: hlavné oblasti politiky</a:t>
            </a:r>
          </a:p>
        </c:rich>
      </c:tx>
      <c:overlay val="0"/>
      <c:spPr>
        <a:noFill/>
        <a:ln w="25397">
          <a:noFill/>
        </a:ln>
      </c:spPr>
    </c:title>
    <c:autoTitleDeleted val="0"/>
    <c:plotArea>
      <c:layout/>
      <c:pieChart>
        <c:varyColors val="1"/>
        <c:ser>
          <c:idx val="0"/>
          <c:order val="0"/>
          <c:tx>
            <c:strRef>
              <c:f>Blad1!$B$1</c:f>
              <c:strCache>
                <c:ptCount val="1"/>
                <c:pt idx="0">
                  <c:v>xxxx complaints in 2016</c:v>
                </c:pt>
              </c:strCache>
            </c:strRef>
          </c:tx>
          <c:spPr>
            <a:solidFill>
              <a:schemeClr val="accent1"/>
            </a:solidFill>
          </c:spPr>
          <c:dPt>
            <c:idx val="0"/>
            <c:bubble3D val="0"/>
            <c:spPr>
              <a:solidFill>
                <a:schemeClr val="accent1"/>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bubble3D val="0"/>
            <c:spPr>
              <a:solidFill>
                <a:srgbClr val="996633"/>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bubble3D val="0"/>
            <c:spPr>
              <a:solidFill>
                <a:srgbClr val="FFD617"/>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3"/>
            <c:bubble3D val="0"/>
            <c:spPr>
              <a:solidFill>
                <a:srgbClr val="000099"/>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4"/>
            <c:bubble3D val="0"/>
            <c:spPr>
              <a:solidFill>
                <a:srgbClr val="A2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5"/>
            <c:bubble3D val="0"/>
            <c:spPr>
              <a:solidFill>
                <a:srgbClr val="00A676"/>
              </a:solidFill>
              <a:scene3d>
                <a:camera prst="orthographicFront"/>
                <a:lightRig rig="threePt" dir="t"/>
              </a:scene3d>
              <a:sp3d>
                <a:bevelT w="63500" h="25400"/>
              </a:sp3d>
            </c:spPr>
          </c:dPt>
          <c:dPt>
            <c:idx val="6"/>
            <c:bubble3D val="0"/>
            <c:spPr>
              <a:solidFill>
                <a:srgbClr val="808AA4"/>
              </a:solidFill>
              <a:scene3d>
                <a:camera prst="orthographicFront"/>
                <a:lightRig rig="threePt" dir="t"/>
              </a:scene3d>
              <a:sp3d>
                <a:bevelT w="63500" h="25400"/>
              </a:sp3d>
            </c:spPr>
          </c:dPt>
          <c:dLbls>
            <c:dLbl>
              <c:idx val="0"/>
              <c:delete val="1"/>
            </c:dLbl>
            <c:dLbl>
              <c:idx val="1"/>
              <c:layout>
                <c:manualLayout>
                  <c:x val="-7.2271135435101079E-4"/>
                  <c:y val="9.609885154573268E-2"/>
                </c:manualLayout>
              </c:layout>
              <c:tx>
                <c:rich>
                  <a:bodyPr/>
                  <a:lstStyle/>
                  <a:p>
                    <a:r>
                      <a:rPr lang="sk-SK"/>
                      <a:t>Spravodlivosť</a:t>
                    </a:r>
                    <a:r>
                      <a:rPr lang="en-US"/>
                      <a:t> a</a:t>
                    </a:r>
                    <a:r>
                      <a:rPr lang="sk-SK"/>
                      <a:t> </a:t>
                    </a:r>
                    <a:r>
                      <a:rPr lang="en-US"/>
                      <a:t>s</a:t>
                    </a:r>
                    <a:r>
                      <a:rPr lang="sk-SK"/>
                      <a:t>potrebitelia</a:t>
                    </a:r>
                    <a:r>
                      <a:rPr lang="en-US"/>
                      <a:t>
919</a:t>
                    </a:r>
                  </a:p>
                </c:rich>
              </c:tx>
              <c:dLblPos val="bestFit"/>
              <c:showLegendKey val="1"/>
              <c:showVal val="1"/>
              <c:showCatName val="1"/>
              <c:showSerName val="0"/>
              <c:showPercent val="0"/>
              <c:showBubbleSize val="0"/>
              <c:separator>
</c:separator>
            </c:dLbl>
            <c:dLbl>
              <c:idx val="2"/>
              <c:layout>
                <c:manualLayout>
                  <c:x val="-2.4587286901305923E-3"/>
                  <c:y val="-0.11779932873647199"/>
                </c:manualLayout>
              </c:layout>
              <c:tx>
                <c:rich>
                  <a:bodyPr rot="0" spcFirstLastPara="1" vertOverflow="ellipsis" vert="horz" wrap="square" lIns="38100" tIns="19050" rIns="38100" bIns="19050" anchor="ctr" anchorCtr="1">
                    <a:spAutoFit/>
                  </a:bodyPr>
                  <a:lstStyle/>
                  <a:p>
                    <a:pPr>
                      <a:defRPr sz="850" b="0" i="0" u="none" strike="noStrike" kern="1200" baseline="0">
                        <a:solidFill>
                          <a:sysClr val="windowText" lastClr="000000"/>
                        </a:solidFill>
                        <a:latin typeface="Arial" panose="020B0604020202020204" pitchFamily="34" charset="0"/>
                        <a:ea typeface="Verdana" panose="020B0604030504040204" pitchFamily="34" charset="0"/>
                        <a:cs typeface="Arial" panose="020B0604020202020204" pitchFamily="34" charset="0"/>
                      </a:defRPr>
                    </a:pPr>
                    <a:r>
                      <a:rPr lang="sk-SK"/>
                      <a:t>Zamestnanosť</a:t>
                    </a:r>
                    <a:r>
                      <a:rPr lang="en-US"/>
                      <a:t>
679</a:t>
                    </a:r>
                  </a:p>
                </c:rich>
              </c:tx>
              <c:spPr>
                <a:noFill/>
                <a:ln w="25397">
                  <a:noFill/>
                </a:ln>
              </c:spPr>
              <c:dLblPos val="bestFit"/>
              <c:showLegendKey val="1"/>
              <c:showVal val="1"/>
              <c:showCatName val="1"/>
              <c:showSerName val="0"/>
              <c:showPercent val="0"/>
              <c:showBubbleSize val="0"/>
            </c:dLbl>
            <c:dLbl>
              <c:idx val="3"/>
              <c:layout>
                <c:manualLayout>
                  <c:x val="5.4092031182875012E-2"/>
                  <c:y val="0"/>
                </c:manualLayout>
              </c:layout>
              <c:tx>
                <c:rich>
                  <a:bodyPr/>
                  <a:lstStyle/>
                  <a:p>
                    <a:r>
                      <a:rPr lang="sk-SK"/>
                      <a:t>Vnútorný</a:t>
                    </a:r>
                    <a:r>
                      <a:rPr lang="sk-SK" baseline="0"/>
                      <a:t> trh</a:t>
                    </a:r>
                    <a:r>
                      <a:rPr lang="en-US"/>
                      <a:t>,</a:t>
                    </a:r>
                    <a:r>
                      <a:rPr lang="sk-SK"/>
                      <a:t> priemysel,</a:t>
                    </a:r>
                    <a:r>
                      <a:rPr lang="en-US"/>
                      <a:t> </a:t>
                    </a:r>
                    <a:r>
                      <a:rPr lang="sk-SK"/>
                      <a:t>podnikanie </a:t>
                    </a:r>
                    <a:r>
                      <a:rPr lang="en-US"/>
                      <a:t>a </a:t>
                    </a:r>
                    <a:r>
                      <a:rPr lang="sk-SK"/>
                      <a:t>MSP</a:t>
                    </a:r>
                    <a:r>
                      <a:rPr lang="en-US"/>
                      <a:t>
483</a:t>
                    </a:r>
                  </a:p>
                </c:rich>
              </c:tx>
              <c:dLblPos val="bestFit"/>
              <c:showLegendKey val="1"/>
              <c:showVal val="1"/>
              <c:showCatName val="1"/>
              <c:showSerName val="0"/>
              <c:showPercent val="0"/>
              <c:showBubbleSize val="0"/>
              <c:separator>
</c:separator>
            </c:dLbl>
            <c:dLbl>
              <c:idx val="4"/>
              <c:layout>
                <c:manualLayout>
                  <c:x val="-3.687315634218289E-2"/>
                  <c:y val="0.10869565217391304"/>
                </c:manualLayout>
              </c:layout>
              <c:tx>
                <c:rich>
                  <a:bodyPr/>
                  <a:lstStyle/>
                  <a:p>
                    <a:r>
                      <a:rPr lang="sk-SK"/>
                      <a:t>Dane</a:t>
                    </a:r>
                    <a:r>
                      <a:rPr lang="en-US"/>
                      <a:t> a </a:t>
                    </a:r>
                    <a:r>
                      <a:rPr lang="sk-SK"/>
                      <a:t>clá</a:t>
                    </a:r>
                    <a:r>
                      <a:rPr lang="en-US"/>
                      <a:t>
406</a:t>
                    </a:r>
                  </a:p>
                </c:rich>
              </c:tx>
              <c:dLblPos val="bestFit"/>
              <c:showLegendKey val="1"/>
              <c:showVal val="1"/>
              <c:showCatName val="1"/>
              <c:showSerName val="0"/>
              <c:showPercent val="0"/>
              <c:showBubbleSize val="0"/>
              <c:separator>
</c:separator>
            </c:dLbl>
            <c:dLbl>
              <c:idx val="5"/>
              <c:layout>
                <c:manualLayout>
                  <c:x val="-6.4662628543594319E-4"/>
                  <c:y val="-3.8991149710032424E-2"/>
                </c:manualLayout>
              </c:layout>
              <c:tx>
                <c:rich>
                  <a:bodyPr/>
                  <a:lstStyle/>
                  <a:p>
                    <a:r>
                      <a:rPr lang="sk-SK"/>
                      <a:t>Životné prostredie</a:t>
                    </a:r>
                    <a:r>
                      <a:rPr lang="en-US"/>
                      <a:t>
348</a:t>
                    </a:r>
                  </a:p>
                </c:rich>
              </c:tx>
              <c:dLblPos val="bestFit"/>
              <c:showLegendKey val="1"/>
              <c:showVal val="1"/>
              <c:showCatName val="1"/>
              <c:showSerName val="0"/>
              <c:showPercent val="0"/>
              <c:showBubbleSize val="0"/>
              <c:separator>
</c:separator>
            </c:dLbl>
            <c:dLbl>
              <c:idx val="6"/>
              <c:tx>
                <c:rich>
                  <a:bodyPr/>
                  <a:lstStyle/>
                  <a:p>
                    <a:r>
                      <a:rPr lang="sk-SK"/>
                      <a:t>Iné</a:t>
                    </a:r>
                    <a:r>
                      <a:rPr lang="en-US"/>
                      <a:t>
948</a:t>
                    </a:r>
                  </a:p>
                </c:rich>
              </c:tx>
              <c:dLblPos val="outEnd"/>
              <c:showLegendKey val="1"/>
              <c:showVal val="1"/>
              <c:showCatName val="1"/>
              <c:showSerName val="0"/>
              <c:showPercent val="0"/>
              <c:showBubbleSize val="0"/>
              <c:separator>
</c:separator>
            </c:dLbl>
            <c:spPr>
              <a:noFill/>
              <a:ln w="25397">
                <a:noFill/>
              </a:ln>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Verdana" panose="020B0604030504040204" pitchFamily="34" charset="0"/>
                    <a:cs typeface="Arial" panose="020B0604020202020204" pitchFamily="34" charset="0"/>
                  </a:defRPr>
                </a:pPr>
                <a:endParaRPr lang="en-US"/>
              </a:p>
            </c:txPr>
            <c:dLblPos val="outEnd"/>
            <c:showLegendKey val="1"/>
            <c:showVal val="1"/>
            <c:showCatName val="1"/>
            <c:showSerName val="0"/>
            <c:showPercent val="0"/>
            <c:showBubbleSize val="0"/>
            <c:separator>
</c:separator>
            <c:showLeaderLines val="0"/>
          </c:dLbls>
          <c:cat>
            <c:strRef>
              <c:f>Blad1!$A$2:$A$8</c:f>
              <c:strCache>
                <c:ptCount val="7"/>
                <c:pt idx="0">
                  <c:v>Sector</c:v>
                </c:pt>
                <c:pt idx="1">
                  <c:v>Justice and consumers</c:v>
                </c:pt>
                <c:pt idx="2">
                  <c:v>Employment</c:v>
                </c:pt>
                <c:pt idx="3">
                  <c:v>Internal market, industry, entrepreneurship and SMEs</c:v>
                </c:pt>
                <c:pt idx="4">
                  <c:v>Taxation and customs</c:v>
                </c:pt>
                <c:pt idx="5">
                  <c:v>Environment</c:v>
                </c:pt>
                <c:pt idx="6">
                  <c:v>Other</c:v>
                </c:pt>
              </c:strCache>
            </c:strRef>
          </c:cat>
          <c:val>
            <c:numRef>
              <c:f>Blad1!$B$2:$B$8</c:f>
              <c:numCache>
                <c:formatCode>General</c:formatCode>
                <c:ptCount val="7"/>
                <c:pt idx="0">
                  <c:v>0</c:v>
                </c:pt>
                <c:pt idx="1">
                  <c:v>919</c:v>
                </c:pt>
                <c:pt idx="2">
                  <c:v>679</c:v>
                </c:pt>
                <c:pt idx="3">
                  <c:v>483</c:v>
                </c:pt>
                <c:pt idx="4">
                  <c:v>406</c:v>
                </c:pt>
                <c:pt idx="5">
                  <c:v>348</c:v>
                </c:pt>
                <c:pt idx="6">
                  <c:v>948</c:v>
                </c:pt>
              </c:numCache>
            </c:numRef>
          </c:val>
        </c:ser>
        <c:dLbls>
          <c:showLegendKey val="0"/>
          <c:showVal val="0"/>
          <c:showCatName val="0"/>
          <c:showSerName val="0"/>
          <c:showPercent val="0"/>
          <c:showBubbleSize val="0"/>
          <c:showLeaderLines val="0"/>
        </c:dLbls>
        <c:firstSliceAng val="338"/>
      </c:pieChart>
      <c:spPr>
        <a:noFill/>
        <a:ln w="25397">
          <a:noFill/>
        </a:ln>
      </c:spPr>
    </c:plotArea>
    <c:plotVisOnly val="1"/>
    <c:dispBlanksAs val="gap"/>
    <c:showDLblsOverMax val="0"/>
  </c:chart>
  <c:spPr>
    <a:solidFill>
      <a:schemeClr val="bg1"/>
    </a:solidFill>
    <a:ln w="9524"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99" b="0">
                <a:solidFill>
                  <a:srgbClr val="002060"/>
                </a:solidFill>
                <a:latin typeface="Arial" panose="020B0604020202020204" pitchFamily="34" charset="0"/>
                <a:ea typeface="Verdana" panose="020B0604030504040204" pitchFamily="34" charset="0"/>
                <a:cs typeface="Arial" panose="020B0604020202020204" pitchFamily="34" charset="0"/>
              </a:defRPr>
            </a:pPr>
            <a:r>
              <a:rPr lang="sk-SK" sz="1099" b="0">
                <a:solidFill>
                  <a:srgbClr val="002060"/>
                </a:solidFill>
                <a:latin typeface="Arial" panose="020B0604020202020204" pitchFamily="34" charset="0"/>
              </a:rPr>
              <a:t>Počet prípadov v rámci projektu EU Pilot (2012 – 2016)</a:t>
            </a:r>
          </a:p>
        </c:rich>
      </c:tx>
      <c:overlay val="0"/>
    </c:title>
    <c:autoTitleDeleted val="0"/>
    <c:plotArea>
      <c:layout/>
      <c:lineChart>
        <c:grouping val="standard"/>
        <c:varyColors val="0"/>
        <c:ser>
          <c:idx val="0"/>
          <c:order val="0"/>
          <c:tx>
            <c:strRef>
              <c:f>Blad1!$B$2</c:f>
              <c:strCache>
                <c:ptCount val="1"/>
                <c:pt idx="0">
                  <c:v>Number of EU Pilot files (2011-2014)</c:v>
                </c:pt>
              </c:strCache>
            </c:strRef>
          </c:tx>
          <c:spPr>
            <a:effectLst>
              <a:outerShdw blurRad="40000" dist="23000" dir="5400000" rotWithShape="0">
                <a:srgbClr val="000000">
                  <a:alpha val="35000"/>
                </a:srgbClr>
              </a:outerShdw>
            </a:effectLst>
          </c:spPr>
          <c:dLbls>
            <c:dLbl>
              <c:idx val="1"/>
              <c:layout>
                <c:manualLayout>
                  <c:x val="-4.7044158584874381E-2"/>
                  <c:y val="-6.4983892820578135E-2"/>
                </c:manualLayout>
              </c:layout>
              <c:dLblPos val="r"/>
              <c:showLegendKey val="0"/>
              <c:showVal val="1"/>
              <c:showCatName val="0"/>
              <c:showSerName val="0"/>
              <c:showPercent val="0"/>
              <c:showBubbleSize val="0"/>
            </c:dLbl>
            <c:dLbl>
              <c:idx val="2"/>
              <c:layout>
                <c:manualLayout>
                  <c:x val="-5.3302582117542588E-2"/>
                  <c:y val="8.7882759082838255E-2"/>
                </c:manualLayout>
              </c:layout>
              <c:dLblPos val="r"/>
              <c:showLegendKey val="0"/>
              <c:showVal val="1"/>
              <c:showCatName val="0"/>
              <c:showSerName val="0"/>
              <c:showPercent val="0"/>
              <c:showBubbleSize val="0"/>
            </c:dLbl>
            <c:txPr>
              <a:bodyPr/>
              <a:lstStyle/>
              <a:p>
                <a:pPr>
                  <a:defRPr sz="900">
                    <a:solidFill>
                      <a:srgbClr val="0070C0"/>
                    </a:solidFill>
                    <a:latin typeface="Verdana" panose="020B0604030504040204" pitchFamily="34" charset="0"/>
                    <a:ea typeface="Verdana" panose="020B0604030504040204" pitchFamily="34" charset="0"/>
                    <a:cs typeface="Verdana" panose="020B0604030504040204" pitchFamily="34" charset="0"/>
                  </a:defRPr>
                </a:pPr>
                <a:endParaRPr lang="en-US"/>
              </a:p>
            </c:txPr>
            <c:dLblPos val="b"/>
            <c:showLegendKey val="0"/>
            <c:showVal val="1"/>
            <c:showCatName val="0"/>
            <c:showSerName val="0"/>
            <c:showPercent val="0"/>
            <c:showBubbleSize val="0"/>
            <c:showLeaderLines val="0"/>
          </c:dLbls>
          <c:cat>
            <c:numRef>
              <c:f>Blad1!$A$3:$A$7</c:f>
              <c:numCache>
                <c:formatCode>General</c:formatCode>
                <c:ptCount val="5"/>
                <c:pt idx="0">
                  <c:v>2012</c:v>
                </c:pt>
                <c:pt idx="1">
                  <c:v>2013</c:v>
                </c:pt>
                <c:pt idx="2">
                  <c:v>2014</c:v>
                </c:pt>
                <c:pt idx="3">
                  <c:v>2015</c:v>
                </c:pt>
                <c:pt idx="4">
                  <c:v>2016</c:v>
                </c:pt>
              </c:numCache>
            </c:numRef>
          </c:cat>
          <c:val>
            <c:numRef>
              <c:f>Blad1!$B$3:$B$7</c:f>
              <c:numCache>
                <c:formatCode>General</c:formatCode>
                <c:ptCount val="5"/>
                <c:pt idx="0">
                  <c:v>1405</c:v>
                </c:pt>
                <c:pt idx="1">
                  <c:v>1502</c:v>
                </c:pt>
                <c:pt idx="2">
                  <c:v>1208</c:v>
                </c:pt>
                <c:pt idx="3">
                  <c:v>881</c:v>
                </c:pt>
                <c:pt idx="4">
                  <c:v>790</c:v>
                </c:pt>
              </c:numCache>
            </c:numRef>
          </c:val>
          <c:smooth val="0"/>
        </c:ser>
        <c:dLbls>
          <c:showLegendKey val="0"/>
          <c:showVal val="0"/>
          <c:showCatName val="0"/>
          <c:showSerName val="0"/>
          <c:showPercent val="0"/>
          <c:showBubbleSize val="0"/>
        </c:dLbls>
        <c:marker val="1"/>
        <c:smooth val="0"/>
        <c:axId val="71833088"/>
        <c:axId val="71834624"/>
      </c:lineChart>
      <c:catAx>
        <c:axId val="71833088"/>
        <c:scaling>
          <c:orientation val="minMax"/>
        </c:scaling>
        <c:delete val="0"/>
        <c:axPos val="b"/>
        <c:numFmt formatCode="General" sourceLinked="1"/>
        <c:majorTickMark val="none"/>
        <c:minorTickMark val="none"/>
        <c:tickLblPos val="nextTo"/>
        <c:spPr>
          <a:noFill/>
          <a:ln w="12689"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71834624"/>
        <c:crosses val="autoZero"/>
        <c:auto val="1"/>
        <c:lblAlgn val="ctr"/>
        <c:lblOffset val="100"/>
        <c:noMultiLvlLbl val="0"/>
      </c:catAx>
      <c:valAx>
        <c:axId val="71834624"/>
        <c:scaling>
          <c:orientation val="minMax"/>
          <c:min val="500"/>
        </c:scaling>
        <c:delete val="1"/>
        <c:axPos val="l"/>
        <c:majorGridlines>
          <c:spPr>
            <a:ln w="9517" cap="flat" cmpd="sng" algn="ctr">
              <a:solidFill>
                <a:schemeClr val="tx1">
                  <a:lumMod val="15000"/>
                  <a:lumOff val="85000"/>
                </a:schemeClr>
              </a:solidFill>
              <a:round/>
            </a:ln>
            <a:effectLst/>
          </c:spPr>
        </c:majorGridlines>
        <c:numFmt formatCode="General" sourceLinked="1"/>
        <c:majorTickMark val="out"/>
        <c:minorTickMark val="none"/>
        <c:tickLblPos val="nextTo"/>
        <c:crossAx val="71833088"/>
        <c:crosses val="autoZero"/>
        <c:crossBetween val="between"/>
      </c:valAx>
      <c:spPr>
        <a:noFill/>
        <a:ln w="25386">
          <a:noFill/>
        </a:ln>
      </c:spPr>
    </c:plotArea>
    <c:plotVisOnly val="1"/>
    <c:dispBlanksAs val="gap"/>
    <c:showDLblsOverMax val="0"/>
  </c:chart>
  <c:spPr>
    <a:solidFill>
      <a:schemeClr val="bg1"/>
    </a:solidFill>
    <a:ln w="9517"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99" b="0" i="0" u="none" strike="noStrike" kern="1200" baseline="0">
                <a:solidFill>
                  <a:srgbClr val="002060"/>
                </a:solidFill>
                <a:latin typeface="+mn-lt"/>
                <a:ea typeface="+mn-ea"/>
                <a:cs typeface="+mn-cs"/>
              </a:defRPr>
            </a:pPr>
            <a:r>
              <a:rPr lang="sk-SK" sz="1099" b="0" baseline="0">
                <a:solidFill>
                  <a:srgbClr val="002060"/>
                </a:solidFill>
                <a:latin typeface="Arial" panose="020B0604020202020204" pitchFamily="34" charset="0"/>
                <a:ea typeface="Verdana" panose="020B0604030504040204" pitchFamily="34" charset="0"/>
              </a:rPr>
              <a:t>Prípady v rámci projektu EU Pilot otvorené v roku 2016: hlavné oblasti politiky</a:t>
            </a:r>
          </a:p>
        </c:rich>
      </c:tx>
      <c:overlay val="0"/>
      <c:spPr>
        <a:noFill/>
        <a:ln w="25386">
          <a:noFill/>
        </a:ln>
      </c:spPr>
    </c:title>
    <c:autoTitleDeleted val="0"/>
    <c:plotArea>
      <c:layout/>
      <c:pieChart>
        <c:varyColors val="1"/>
        <c:ser>
          <c:idx val="0"/>
          <c:order val="0"/>
          <c:tx>
            <c:strRef>
              <c:f>Blad1!$B$1</c:f>
              <c:strCache>
                <c:ptCount val="1"/>
                <c:pt idx="0">
                  <c:v>824 EU Pilot files opened in 2016</c:v>
                </c:pt>
              </c:strCache>
            </c:strRef>
          </c:tx>
          <c:spPr>
            <a:solidFill>
              <a:schemeClr val="accent1"/>
            </a:solidFill>
          </c:spPr>
          <c:dPt>
            <c:idx val="0"/>
            <c:bubble3D val="0"/>
            <c:spPr>
              <a:solidFill>
                <a:schemeClr val="accent1"/>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bubble3D val="0"/>
            <c:spPr>
              <a:solidFill>
                <a:srgbClr val="808AA4"/>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bubble3D val="0"/>
            <c:spPr>
              <a:solidFill>
                <a:srgbClr val="00A676"/>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3"/>
            <c:bubble3D val="0"/>
            <c:spPr>
              <a:solidFill>
                <a:srgbClr val="A2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4"/>
            <c:bubble3D val="0"/>
            <c:spPr>
              <a:solidFill>
                <a:srgbClr val="000099"/>
              </a:solidFill>
              <a:scene3d>
                <a:camera prst="orthographicFront"/>
                <a:lightRig rig="threePt" dir="t"/>
              </a:scene3d>
              <a:sp3d>
                <a:bevelT w="63500" h="25400"/>
              </a:sp3d>
            </c:spPr>
          </c:dPt>
          <c:dPt>
            <c:idx val="5"/>
            <c:bubble3D val="0"/>
            <c:spPr>
              <a:solidFill>
                <a:srgbClr val="FF9900"/>
              </a:solidFill>
              <a:scene3d>
                <a:camera prst="orthographicFront"/>
                <a:lightRig rig="threePt" dir="t"/>
              </a:scene3d>
              <a:sp3d>
                <a:bevelT w="63500" h="25400"/>
              </a:sp3d>
            </c:spPr>
          </c:dPt>
          <c:dPt>
            <c:idx val="6"/>
            <c:bubble3D val="0"/>
            <c:spPr>
              <a:solidFill>
                <a:srgbClr val="E75113"/>
              </a:solidFill>
              <a:scene3d>
                <a:camera prst="orthographicFront"/>
                <a:lightRig rig="threePt" dir="t"/>
              </a:scene3d>
              <a:sp3d>
                <a:bevelT w="63500" h="25400"/>
              </a:sp3d>
            </c:spPr>
          </c:dPt>
          <c:dPt>
            <c:idx val="7"/>
            <c:bubble3D val="0"/>
            <c:spPr>
              <a:solidFill>
                <a:srgbClr val="996633"/>
              </a:solidFill>
              <a:scene3d>
                <a:camera prst="orthographicFront"/>
                <a:lightRig rig="threePt" dir="t"/>
              </a:scene3d>
              <a:sp3d>
                <a:bevelT w="63500" h="25400"/>
              </a:sp3d>
            </c:spPr>
          </c:dPt>
          <c:dLbls>
            <c:dLbl>
              <c:idx val="0"/>
              <c:delete val="1"/>
            </c:dLbl>
            <c:dLbl>
              <c:idx val="1"/>
              <c:layout>
                <c:manualLayout>
                  <c:x val="-8.5902362204724417E-3"/>
                  <c:y val="6.6025411596277742E-2"/>
                </c:manualLayout>
              </c:layout>
              <c:tx>
                <c:rich>
                  <a:bodyPr/>
                  <a:lstStyle/>
                  <a:p>
                    <a:r>
                      <a:rPr lang="sk-SK"/>
                      <a:t>Iné</a:t>
                    </a:r>
                    <a:r>
                      <a:rPr lang="en-US"/>
                      <a:t>
201</a:t>
                    </a:r>
                  </a:p>
                </c:rich>
              </c:tx>
              <c:dLblPos val="bestFit"/>
              <c:showLegendKey val="1"/>
              <c:showVal val="1"/>
              <c:showCatName val="1"/>
              <c:showSerName val="0"/>
              <c:showPercent val="0"/>
              <c:showBubbleSize val="0"/>
              <c:separator>
</c:separator>
            </c:dLbl>
            <c:dLbl>
              <c:idx val="2"/>
              <c:layout>
                <c:manualLayout>
                  <c:x val="3.484092951031318E-2"/>
                  <c:y val="1.6771468343493495E-2"/>
                </c:manualLayout>
              </c:layout>
              <c:tx>
                <c:rich>
                  <a:bodyPr/>
                  <a:lstStyle/>
                  <a:p>
                    <a:r>
                      <a:rPr lang="sk-SK"/>
                      <a:t>Životné</a:t>
                    </a:r>
                    <a:r>
                      <a:rPr lang="sk-SK" baseline="0"/>
                      <a:t> prostredie</a:t>
                    </a:r>
                    <a:r>
                      <a:rPr lang="en-US"/>
                      <a:t>
151</a:t>
                    </a:r>
                  </a:p>
                </c:rich>
              </c:tx>
              <c:dLblPos val="bestFit"/>
              <c:showLegendKey val="1"/>
              <c:showVal val="1"/>
              <c:showCatName val="1"/>
              <c:showSerName val="0"/>
              <c:showPercent val="0"/>
              <c:showBubbleSize val="0"/>
              <c:separator>
</c:separator>
            </c:dLbl>
            <c:dLbl>
              <c:idx val="3"/>
              <c:layout>
                <c:manualLayout>
                  <c:x val="-4.6870005218609387E-2"/>
                  <c:y val="-1.5832308489349623E-2"/>
                </c:manualLayout>
              </c:layout>
              <c:tx>
                <c:rich>
                  <a:bodyPr/>
                  <a:lstStyle/>
                  <a:p>
                    <a:r>
                      <a:rPr lang="sk-SK"/>
                      <a:t>Dane</a:t>
                    </a:r>
                    <a:r>
                      <a:rPr lang="en-US"/>
                      <a:t> a </a:t>
                    </a:r>
                    <a:r>
                      <a:rPr lang="sk-SK"/>
                      <a:t>clá</a:t>
                    </a:r>
                    <a:r>
                      <a:rPr lang="en-US"/>
                      <a:t>
106</a:t>
                    </a:r>
                  </a:p>
                </c:rich>
              </c:tx>
              <c:dLblPos val="bestFit"/>
              <c:showLegendKey val="1"/>
              <c:showVal val="1"/>
              <c:showCatName val="1"/>
              <c:showSerName val="0"/>
              <c:showPercent val="0"/>
              <c:showBubbleSize val="0"/>
              <c:separator>
</c:separator>
            </c:dLbl>
            <c:dLbl>
              <c:idx val="4"/>
              <c:layout>
                <c:manualLayout>
                  <c:x val="6.7562048809705812E-3"/>
                  <c:y val="-4.2083100915821549E-2"/>
                </c:manualLayout>
              </c:layout>
              <c:tx>
                <c:rich>
                  <a:bodyPr/>
                  <a:lstStyle/>
                  <a:p>
                    <a:r>
                      <a:rPr lang="en-GB" sz="900" b="0" i="0" u="none" strike="noStrike" baseline="0">
                        <a:effectLst/>
                      </a:rPr>
                      <a:t>Vnútorný trh, priemysel, podnikanie a MSP</a:t>
                    </a:r>
                    <a:r>
                      <a:rPr lang="en-US"/>
                      <a:t>
111</a:t>
                    </a:r>
                  </a:p>
                </c:rich>
              </c:tx>
              <c:dLblPos val="bestFit"/>
              <c:showLegendKey val="1"/>
              <c:showVal val="1"/>
              <c:showCatName val="1"/>
              <c:showSerName val="0"/>
              <c:showPercent val="0"/>
              <c:showBubbleSize val="0"/>
              <c:separator>
</c:separator>
            </c:dLbl>
            <c:dLbl>
              <c:idx val="5"/>
              <c:layout>
                <c:manualLayout>
                  <c:x val="2.1084629243594829E-2"/>
                  <c:y val="-2.1043867736366541E-2"/>
                </c:manualLayout>
              </c:layout>
              <c:tx>
                <c:rich>
                  <a:bodyPr/>
                  <a:lstStyle/>
                  <a:p>
                    <a:r>
                      <a:rPr lang="en-US"/>
                      <a:t>Mobilit</a:t>
                    </a:r>
                    <a:r>
                      <a:rPr lang="sk-SK"/>
                      <a:t>a</a:t>
                    </a:r>
                    <a:r>
                      <a:rPr lang="en-US"/>
                      <a:t> a </a:t>
                    </a:r>
                    <a:r>
                      <a:rPr lang="sk-SK"/>
                      <a:t>doprava</a:t>
                    </a:r>
                    <a:r>
                      <a:rPr lang="en-US"/>
                      <a:t>
106</a:t>
                    </a:r>
                  </a:p>
                </c:rich>
              </c:tx>
              <c:dLblPos val="bestFit"/>
              <c:showLegendKey val="1"/>
              <c:showVal val="1"/>
              <c:showCatName val="1"/>
              <c:showSerName val="0"/>
              <c:showPercent val="0"/>
              <c:showBubbleSize val="0"/>
              <c:separator>
</c:separator>
            </c:dLbl>
            <c:dLbl>
              <c:idx val="6"/>
              <c:layout>
                <c:manualLayout>
                  <c:x val="3.8324032714239266E-2"/>
                  <c:y val="1.4625628534946759E-2"/>
                </c:manualLayout>
              </c:layout>
              <c:tx>
                <c:rich>
                  <a:bodyPr/>
                  <a:lstStyle/>
                  <a:p>
                    <a:r>
                      <a:rPr lang="en-US"/>
                      <a:t>Energ</a:t>
                    </a:r>
                    <a:r>
                      <a:rPr lang="sk-SK"/>
                      <a:t>etika</a:t>
                    </a:r>
                    <a:r>
                      <a:rPr lang="en-US"/>
                      <a:t>
65</a:t>
                    </a:r>
                  </a:p>
                </c:rich>
              </c:tx>
              <c:dLblPos val="bestFit"/>
              <c:showLegendKey val="1"/>
              <c:showVal val="1"/>
              <c:showCatName val="1"/>
              <c:showSerName val="0"/>
              <c:showPercent val="0"/>
              <c:showBubbleSize val="0"/>
              <c:separator>
</c:separator>
            </c:dLbl>
            <c:dLbl>
              <c:idx val="7"/>
              <c:layout>
                <c:manualLayout>
                  <c:x val="-7.2381678278448328E-3"/>
                  <c:y val="0"/>
                </c:manualLayout>
              </c:layout>
              <c:tx>
                <c:rich>
                  <a:bodyPr/>
                  <a:lstStyle/>
                  <a:p>
                    <a:r>
                      <a:rPr lang="en-GB" sz="900" b="0" i="0" u="none" strike="noStrike" baseline="0">
                        <a:effectLst/>
                      </a:rPr>
                      <a:t>Spravodlivosť a spotrebitelia </a:t>
                    </a:r>
                    <a:r>
                      <a:rPr lang="en-US"/>
                      <a:t>50</a:t>
                    </a:r>
                  </a:p>
                </c:rich>
              </c:tx>
              <c:dLblPos val="bestFit"/>
              <c:showLegendKey val="1"/>
              <c:showVal val="1"/>
              <c:showCatName val="1"/>
              <c:showSerName val="0"/>
              <c:showPercent val="0"/>
              <c:showBubbleSize val="0"/>
              <c:separator>
</c:separator>
            </c:dLbl>
            <c:spPr>
              <a:noFill/>
              <a:ln w="25386">
                <a:noFill/>
              </a:ln>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Verdana" panose="020B0604030504040204" pitchFamily="34" charset="0"/>
                    <a:cs typeface="Arial" panose="020B0604020202020204" pitchFamily="34" charset="0"/>
                  </a:defRPr>
                </a:pPr>
                <a:endParaRPr lang="en-US"/>
              </a:p>
            </c:txPr>
            <c:dLblPos val="outEnd"/>
            <c:showLegendKey val="1"/>
            <c:showVal val="1"/>
            <c:showCatName val="1"/>
            <c:showSerName val="0"/>
            <c:showPercent val="0"/>
            <c:showBubbleSize val="0"/>
            <c:separator>
</c:separator>
            <c:showLeaderLines val="0"/>
          </c:dLbls>
          <c:cat>
            <c:strRef>
              <c:f>Blad1!$A$2:$A$9</c:f>
              <c:strCache>
                <c:ptCount val="8"/>
                <c:pt idx="0">
                  <c:v>Sector</c:v>
                </c:pt>
                <c:pt idx="1">
                  <c:v>Other</c:v>
                </c:pt>
                <c:pt idx="2">
                  <c:v>Environment</c:v>
                </c:pt>
                <c:pt idx="3">
                  <c:v>Taxation and customs</c:v>
                </c:pt>
                <c:pt idx="4">
                  <c:v>Internal market, industry, entrepreneurship and SMEs</c:v>
                </c:pt>
                <c:pt idx="5">
                  <c:v>Mobility and transport</c:v>
                </c:pt>
                <c:pt idx="6">
                  <c:v>Energy</c:v>
                </c:pt>
                <c:pt idx="7">
                  <c:v>Justice and consumers</c:v>
                </c:pt>
              </c:strCache>
            </c:strRef>
          </c:cat>
          <c:val>
            <c:numRef>
              <c:f>Blad1!$B$2:$B$9</c:f>
              <c:numCache>
                <c:formatCode>General</c:formatCode>
                <c:ptCount val="8"/>
                <c:pt idx="0">
                  <c:v>0</c:v>
                </c:pt>
                <c:pt idx="1">
                  <c:v>201</c:v>
                </c:pt>
                <c:pt idx="2">
                  <c:v>151</c:v>
                </c:pt>
                <c:pt idx="3">
                  <c:v>106</c:v>
                </c:pt>
                <c:pt idx="4">
                  <c:v>111</c:v>
                </c:pt>
                <c:pt idx="5">
                  <c:v>106</c:v>
                </c:pt>
                <c:pt idx="6">
                  <c:v>65</c:v>
                </c:pt>
                <c:pt idx="7">
                  <c:v>50</c:v>
                </c:pt>
              </c:numCache>
            </c:numRef>
          </c:val>
        </c:ser>
        <c:dLbls>
          <c:showLegendKey val="0"/>
          <c:showVal val="0"/>
          <c:showCatName val="0"/>
          <c:showSerName val="0"/>
          <c:showPercent val="0"/>
          <c:showBubbleSize val="0"/>
          <c:showLeaderLines val="0"/>
        </c:dLbls>
        <c:firstSliceAng val="233"/>
      </c:pieChart>
      <c:spPr>
        <a:noFill/>
        <a:ln w="25386">
          <a:noFill/>
        </a:ln>
      </c:spPr>
    </c:plotArea>
    <c:plotVisOnly val="1"/>
    <c:dispBlanksAs val="gap"/>
    <c:showDLblsOverMax val="0"/>
  </c:chart>
  <c:spPr>
    <a:solidFill>
      <a:schemeClr val="bg1"/>
    </a:solidFill>
    <a:ln w="9520"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1" b="0" i="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sk-SK" sz="1101" b="0" i="0">
                <a:solidFill>
                  <a:srgbClr val="002060"/>
                </a:solidFill>
                <a:latin typeface="Arial" panose="020B0604020202020204" pitchFamily="34" charset="0"/>
                <a:ea typeface="Verdana" panose="020B0604030504040204" pitchFamily="34" charset="0"/>
              </a:rPr>
              <a:t>Prípady v rámci projektu EU Pilot:</a:t>
            </a:r>
            <a:r>
              <a:rPr lang="sk-SK" sz="1101" b="0" i="0" baseline="0">
                <a:solidFill>
                  <a:srgbClr val="002060"/>
                </a:solidFill>
                <a:latin typeface="Arial" panose="020B0604020202020204" pitchFamily="34" charset="0"/>
                <a:ea typeface="Verdana" panose="020B0604030504040204" pitchFamily="34" charset="0"/>
              </a:rPr>
              <a:t> Priemerná miera úspešne vyriešených prípadov v EÚ</a:t>
            </a:r>
            <a:r>
              <a:rPr lang="sk-SK" sz="1101" b="0" i="0" u="none" strike="noStrike" baseline="0">
                <a:solidFill>
                  <a:srgbClr val="002060"/>
                </a:solidFill>
                <a:effectLst/>
                <a:latin typeface="Arial" panose="020B0604020202020204" pitchFamily="34" charset="0"/>
              </a:rPr>
              <a:t> </a:t>
            </a:r>
            <a:r>
              <a:rPr lang="sk-SK" sz="1101" b="0" i="0">
                <a:solidFill>
                  <a:srgbClr val="002060"/>
                </a:solidFill>
                <a:latin typeface="Arial" panose="020B0604020202020204" pitchFamily="34" charset="0"/>
                <a:ea typeface="Verdana" panose="020B0604030504040204" pitchFamily="34" charset="0"/>
              </a:rPr>
              <a:t>(2012 – 2016)</a:t>
            </a:r>
          </a:p>
        </c:rich>
      </c:tx>
      <c:overlay val="0"/>
    </c:title>
    <c:autoTitleDeleted val="0"/>
    <c:plotArea>
      <c:layout/>
      <c:lineChart>
        <c:grouping val="standard"/>
        <c:varyColors val="0"/>
        <c:ser>
          <c:idx val="0"/>
          <c:order val="0"/>
          <c:tx>
            <c:strRef>
              <c:f>Blad1!$B$2</c:f>
              <c:strCache>
                <c:ptCount val="1"/>
                <c:pt idx="0">
                  <c:v>Percentage</c:v>
                </c:pt>
              </c:strCache>
            </c:strRef>
          </c:tx>
          <c:spPr>
            <a:ln>
              <a:solidFill>
                <a:srgbClr val="0070C0"/>
              </a:solidFill>
            </a:ln>
            <a:effectLst>
              <a:outerShdw blurRad="40000" dist="23000" dir="5400000" rotWithShape="0">
                <a:srgbClr val="000000">
                  <a:alpha val="35000"/>
                </a:srgbClr>
              </a:outerShdw>
            </a:effectLst>
          </c:spPr>
          <c:marker>
            <c:spPr>
              <a:solidFill>
                <a:srgbClr val="0070C0"/>
              </a:solidFill>
              <a:ln>
                <a:solidFill>
                  <a:srgbClr val="0070C0"/>
                </a:solidFill>
              </a:ln>
            </c:spPr>
          </c:marker>
          <c:dLbls>
            <c:dLbl>
              <c:idx val="0"/>
              <c:layout>
                <c:manualLayout>
                  <c:x val="-4.9328292745917879E-2"/>
                  <c:y val="6.4516370647388702E-2"/>
                </c:manualLayout>
              </c:layout>
              <c:dLblPos val="r"/>
              <c:showLegendKey val="0"/>
              <c:showVal val="1"/>
              <c:showCatName val="0"/>
              <c:showSerName val="0"/>
              <c:showPercent val="0"/>
              <c:showBubbleSize val="0"/>
            </c:dLbl>
            <c:dLbl>
              <c:idx val="1"/>
              <c:layout>
                <c:manualLayout>
                  <c:x val="-5.0282004223156318E-2"/>
                  <c:y val="7.396624472573847E-2"/>
                </c:manualLayout>
              </c:layout>
              <c:dLblPos val="r"/>
              <c:showLegendKey val="0"/>
              <c:showVal val="1"/>
              <c:showCatName val="0"/>
              <c:showSerName val="0"/>
              <c:showPercent val="0"/>
              <c:showBubbleSize val="0"/>
            </c:dLbl>
            <c:spPr>
              <a:noFill/>
              <a:ln w="25407">
                <a:noFill/>
              </a:ln>
            </c:spPr>
            <c:txPr>
              <a:bodyPr rot="0" spcFirstLastPara="1" vertOverflow="ellipsis" vert="horz" wrap="square" lIns="38100" tIns="19050" rIns="38100" bIns="19050" anchor="ctr" anchorCtr="1">
                <a:spAutoFit/>
              </a:bodyPr>
              <a:lstStyle/>
              <a:p>
                <a:pPr>
                  <a:defRPr sz="901" b="0" i="0" u="none" strike="noStrike" kern="1200" baseline="0">
                    <a:solidFill>
                      <a:schemeClr val="accent2"/>
                    </a:solidFill>
                    <a:latin typeface="Verdana" panose="020B0604030504040204" pitchFamily="34" charset="0"/>
                    <a:ea typeface="Verdana" panose="020B0604030504040204" pitchFamily="34" charset="0"/>
                    <a:cs typeface="Verdana" panose="020B0604030504040204" pitchFamily="34" charset="0"/>
                  </a:defRPr>
                </a:pPr>
                <a:endParaRPr lang="en-US"/>
              </a:p>
            </c:txPr>
            <c:dLblPos val="t"/>
            <c:showLegendKey val="0"/>
            <c:showVal val="1"/>
            <c:showCatName val="0"/>
            <c:showSerName val="0"/>
            <c:showPercent val="0"/>
            <c:showBubbleSize val="0"/>
            <c:showLeaderLines val="0"/>
          </c:dLbls>
          <c:cat>
            <c:numRef>
              <c:f>Blad1!$A$3:$A$7</c:f>
              <c:numCache>
                <c:formatCode>General</c:formatCode>
                <c:ptCount val="5"/>
                <c:pt idx="0">
                  <c:v>2012</c:v>
                </c:pt>
                <c:pt idx="1">
                  <c:v>2013</c:v>
                </c:pt>
                <c:pt idx="2">
                  <c:v>2014</c:v>
                </c:pt>
                <c:pt idx="3">
                  <c:v>2015</c:v>
                </c:pt>
                <c:pt idx="4">
                  <c:v>2016</c:v>
                </c:pt>
              </c:numCache>
            </c:numRef>
          </c:cat>
          <c:val>
            <c:numRef>
              <c:f>Blad1!$B$3:$B$7</c:f>
              <c:numCache>
                <c:formatCode>0%</c:formatCode>
                <c:ptCount val="5"/>
                <c:pt idx="0">
                  <c:v>0.68</c:v>
                </c:pt>
                <c:pt idx="1">
                  <c:v>0.7</c:v>
                </c:pt>
                <c:pt idx="2">
                  <c:v>0.75</c:v>
                </c:pt>
                <c:pt idx="3">
                  <c:v>0.75</c:v>
                </c:pt>
                <c:pt idx="4">
                  <c:v>0.72</c:v>
                </c:pt>
              </c:numCache>
            </c:numRef>
          </c:val>
          <c:smooth val="0"/>
        </c:ser>
        <c:dLbls>
          <c:showLegendKey val="0"/>
          <c:showVal val="0"/>
          <c:showCatName val="0"/>
          <c:showSerName val="0"/>
          <c:showPercent val="0"/>
          <c:showBubbleSize val="0"/>
        </c:dLbls>
        <c:marker val="1"/>
        <c:smooth val="0"/>
        <c:axId val="72238208"/>
        <c:axId val="72239744"/>
      </c:lineChart>
      <c:catAx>
        <c:axId val="72238208"/>
        <c:scaling>
          <c:orientation val="minMax"/>
        </c:scaling>
        <c:delete val="0"/>
        <c:axPos val="b"/>
        <c:numFmt formatCode="General" sourceLinked="1"/>
        <c:majorTickMark val="none"/>
        <c:minorTickMark val="none"/>
        <c:tickLblPos val="nextTo"/>
        <c:spPr>
          <a:noFill/>
          <a:ln w="12704" cap="flat" cmpd="sng" algn="ctr">
            <a:solidFill>
              <a:schemeClr val="tx1">
                <a:lumMod val="15000"/>
                <a:lumOff val="85000"/>
              </a:schemeClr>
            </a:solidFill>
            <a:round/>
          </a:ln>
          <a:effectLst/>
        </c:spPr>
        <c:txPr>
          <a:bodyPr rot="-60000000" spcFirstLastPara="1" vertOverflow="ellipsis" vert="horz" wrap="square" anchor="ctr" anchorCtr="1"/>
          <a:lstStyle/>
          <a:p>
            <a:pPr>
              <a:defRPr sz="901"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72239744"/>
        <c:crosses val="autoZero"/>
        <c:auto val="1"/>
        <c:lblAlgn val="ctr"/>
        <c:lblOffset val="100"/>
        <c:noMultiLvlLbl val="0"/>
      </c:catAx>
      <c:valAx>
        <c:axId val="72239744"/>
        <c:scaling>
          <c:orientation val="minMax"/>
          <c:max val="0.8"/>
          <c:min val="0.55000000000000004"/>
        </c:scaling>
        <c:delete val="1"/>
        <c:axPos val="l"/>
        <c:majorGridlines>
          <c:spPr>
            <a:ln w="9528" cap="flat" cmpd="sng" algn="ctr">
              <a:solidFill>
                <a:schemeClr val="tx1">
                  <a:lumMod val="15000"/>
                  <a:lumOff val="85000"/>
                </a:schemeClr>
              </a:solidFill>
              <a:round/>
            </a:ln>
            <a:effectLst/>
          </c:spPr>
        </c:majorGridlines>
        <c:numFmt formatCode="0%" sourceLinked="1"/>
        <c:majorTickMark val="out"/>
        <c:minorTickMark val="none"/>
        <c:tickLblPos val="nextTo"/>
        <c:crossAx val="72238208"/>
        <c:crosses val="autoZero"/>
        <c:crossBetween val="between"/>
        <c:majorUnit val="0.1"/>
      </c:valAx>
      <c:spPr>
        <a:noFill/>
        <a:ln w="25415">
          <a:noFill/>
        </a:ln>
      </c:spPr>
    </c:plotArea>
    <c:plotVisOnly val="1"/>
    <c:dispBlanksAs val="gap"/>
    <c:showDLblsOverMax val="0"/>
  </c:chart>
  <c:spPr>
    <a:solidFill>
      <a:schemeClr val="bg1"/>
    </a:solidFill>
    <a:ln w="9528"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50" b="1" i="0" u="none" strike="noStrike" kern="1200" baseline="0">
                <a:solidFill>
                  <a:sysClr val="windowText" lastClr="000000"/>
                </a:solidFill>
                <a:latin typeface="+mn-lt"/>
                <a:ea typeface="+mn-ea"/>
                <a:cs typeface="+mn-cs"/>
              </a:defRPr>
            </a:pPr>
            <a:r>
              <a:rPr lang="sk-SK" sz="1050" b="0" i="0" baseline="0">
                <a:solidFill>
                  <a:srgbClr val="002060"/>
                </a:solidFill>
                <a:effectLst/>
                <a:latin typeface="Arial" panose="020B0604020202020204" pitchFamily="34" charset="0"/>
              </a:rPr>
              <a:t>Prípady v rámci projektu EU Pilot: Miera úspešne vyriešených prípadov v pomere k počtu prípadov vybavovaných v roku 2016</a:t>
            </a:r>
          </a:p>
        </c:rich>
      </c:tx>
      <c:layout>
        <c:manualLayout>
          <c:xMode val="edge"/>
          <c:yMode val="edge"/>
          <c:x val="0.16893512630340443"/>
          <c:y val="2.3809596615956986E-2"/>
        </c:manualLayout>
      </c:layout>
      <c:overlay val="0"/>
    </c:title>
    <c:autoTitleDeleted val="0"/>
    <c:plotArea>
      <c:layout>
        <c:manualLayout>
          <c:layoutTarget val="inner"/>
          <c:xMode val="edge"/>
          <c:yMode val="edge"/>
          <c:x val="0.11451750592516877"/>
          <c:y val="0.13813602247087536"/>
          <c:w val="0.828215769903762"/>
          <c:h val="0.69841582302212224"/>
        </c:manualLayout>
      </c:layout>
      <c:scatterChart>
        <c:scatterStyle val="smoothMarker"/>
        <c:varyColors val="0"/>
        <c:ser>
          <c:idx val="1"/>
          <c:order val="1"/>
          <c:tx>
            <c:strRef>
              <c:f>Sheet1!$C$1</c:f>
              <c:strCache>
                <c:ptCount val="1"/>
                <c:pt idx="0">
                  <c:v>Column1</c:v>
                </c:pt>
              </c:strCache>
            </c:strRef>
          </c:tx>
          <c:spPr>
            <a:ln w="15882">
              <a:solidFill>
                <a:srgbClr val="C00000"/>
              </a:solidFill>
              <a:prstDash val="dash"/>
            </a:ln>
          </c:spPr>
          <c:marker>
            <c:symbol val="none"/>
          </c:marker>
          <c:xVal>
            <c:numRef>
              <c:f>Sheet1!$A$2:$A$29</c:f>
              <c:numCache>
                <c:formatCode>General</c:formatCode>
                <c:ptCount val="28"/>
                <c:pt idx="0">
                  <c:v>21</c:v>
                </c:pt>
                <c:pt idx="1">
                  <c:v>29</c:v>
                </c:pt>
                <c:pt idx="2">
                  <c:v>34</c:v>
                </c:pt>
                <c:pt idx="3">
                  <c:v>23</c:v>
                </c:pt>
                <c:pt idx="4">
                  <c:v>25</c:v>
                </c:pt>
                <c:pt idx="5">
                  <c:v>50</c:v>
                </c:pt>
                <c:pt idx="6">
                  <c:v>17</c:v>
                </c:pt>
                <c:pt idx="7">
                  <c:v>19</c:v>
                </c:pt>
                <c:pt idx="8">
                  <c:v>37</c:v>
                </c:pt>
                <c:pt idx="9">
                  <c:v>56</c:v>
                </c:pt>
                <c:pt idx="10">
                  <c:v>19</c:v>
                </c:pt>
                <c:pt idx="11">
                  <c:v>42</c:v>
                </c:pt>
                <c:pt idx="12">
                  <c:v>31</c:v>
                </c:pt>
                <c:pt idx="13">
                  <c:v>38</c:v>
                </c:pt>
                <c:pt idx="14">
                  <c:v>24</c:v>
                </c:pt>
                <c:pt idx="15">
                  <c:v>65</c:v>
                </c:pt>
                <c:pt idx="16">
                  <c:v>25</c:v>
                </c:pt>
                <c:pt idx="17">
                  <c:v>31</c:v>
                </c:pt>
                <c:pt idx="18">
                  <c:v>15</c:v>
                </c:pt>
                <c:pt idx="19">
                  <c:v>19</c:v>
                </c:pt>
                <c:pt idx="20">
                  <c:v>21</c:v>
                </c:pt>
                <c:pt idx="21">
                  <c:v>54</c:v>
                </c:pt>
                <c:pt idx="22">
                  <c:v>42</c:v>
                </c:pt>
                <c:pt idx="23">
                  <c:v>35</c:v>
                </c:pt>
                <c:pt idx="24">
                  <c:v>16</c:v>
                </c:pt>
                <c:pt idx="25">
                  <c:v>28</c:v>
                </c:pt>
                <c:pt idx="26">
                  <c:v>25</c:v>
                </c:pt>
                <c:pt idx="27">
                  <c:v>34</c:v>
                </c:pt>
              </c:numCache>
            </c:numRef>
          </c:xVal>
          <c:yVal>
            <c:numRef>
              <c:f>Sheet1!$C$2:$C$29</c:f>
              <c:numCache>
                <c:formatCode>0</c:formatCode>
                <c:ptCount val="28"/>
                <c:pt idx="0">
                  <c:v>72</c:v>
                </c:pt>
                <c:pt idx="1">
                  <c:v>72</c:v>
                </c:pt>
                <c:pt idx="2">
                  <c:v>72</c:v>
                </c:pt>
                <c:pt idx="3">
                  <c:v>72</c:v>
                </c:pt>
                <c:pt idx="4">
                  <c:v>72</c:v>
                </c:pt>
                <c:pt idx="5">
                  <c:v>72</c:v>
                </c:pt>
                <c:pt idx="6">
                  <c:v>72</c:v>
                </c:pt>
                <c:pt idx="7">
                  <c:v>72</c:v>
                </c:pt>
                <c:pt idx="8">
                  <c:v>72</c:v>
                </c:pt>
                <c:pt idx="9">
                  <c:v>72</c:v>
                </c:pt>
                <c:pt idx="10">
                  <c:v>72</c:v>
                </c:pt>
                <c:pt idx="11">
                  <c:v>72</c:v>
                </c:pt>
                <c:pt idx="12">
                  <c:v>72</c:v>
                </c:pt>
                <c:pt idx="13">
                  <c:v>72</c:v>
                </c:pt>
                <c:pt idx="14">
                  <c:v>72</c:v>
                </c:pt>
                <c:pt idx="15">
                  <c:v>72</c:v>
                </c:pt>
                <c:pt idx="16">
                  <c:v>72</c:v>
                </c:pt>
                <c:pt idx="17">
                  <c:v>72</c:v>
                </c:pt>
                <c:pt idx="18">
                  <c:v>72</c:v>
                </c:pt>
                <c:pt idx="19">
                  <c:v>72</c:v>
                </c:pt>
                <c:pt idx="20">
                  <c:v>72</c:v>
                </c:pt>
                <c:pt idx="21">
                  <c:v>72</c:v>
                </c:pt>
                <c:pt idx="22">
                  <c:v>72</c:v>
                </c:pt>
                <c:pt idx="23">
                  <c:v>72</c:v>
                </c:pt>
                <c:pt idx="24">
                  <c:v>72</c:v>
                </c:pt>
                <c:pt idx="25">
                  <c:v>72</c:v>
                </c:pt>
                <c:pt idx="26">
                  <c:v>72</c:v>
                </c:pt>
                <c:pt idx="27">
                  <c:v>72</c:v>
                </c:pt>
              </c:numCache>
            </c:numRef>
          </c:yVal>
          <c:smooth val="1"/>
        </c:ser>
        <c:dLbls>
          <c:showLegendKey val="0"/>
          <c:showVal val="0"/>
          <c:showCatName val="0"/>
          <c:showSerName val="0"/>
          <c:showPercent val="0"/>
          <c:showBubbleSize val="0"/>
        </c:dLbls>
        <c:axId val="72463104"/>
        <c:axId val="72465024"/>
      </c:scatterChart>
      <c:scatterChart>
        <c:scatterStyle val="lineMarker"/>
        <c:varyColors val="0"/>
        <c:ser>
          <c:idx val="0"/>
          <c:order val="0"/>
          <c:tx>
            <c:strRef>
              <c:f>Sheet1!$B$1</c:f>
              <c:strCache>
                <c:ptCount val="1"/>
                <c:pt idx="0">
                  <c:v>Y-Values</c:v>
                </c:pt>
              </c:strCache>
            </c:strRef>
          </c:tx>
          <c:spPr>
            <a:ln w="28587">
              <a:noFill/>
            </a:ln>
          </c:spPr>
          <c:marker>
            <c:symbol val="circle"/>
            <c:size val="5"/>
            <c:spPr>
              <a:solidFill>
                <a:schemeClr val="tx2">
                  <a:lumMod val="40000"/>
                  <a:lumOff val="60000"/>
                </a:schemeClr>
              </a:solidFill>
            </c:spPr>
          </c:marker>
          <c:dLbls>
            <c:dLbl>
              <c:idx val="0"/>
              <c:layout>
                <c:manualLayout>
                  <c:x val="-4.0421442103723074E-2"/>
                  <c:y val="2.8569062140824313E-2"/>
                </c:manualLayout>
              </c:layout>
              <c:tx>
                <c:rich>
                  <a:bodyPr/>
                  <a:lstStyle/>
                  <a:p>
                    <a:r>
                      <a:rPr lang="sk-SK"/>
                      <a:t>R</a:t>
                    </a:r>
                    <a:r>
                      <a:rPr lang="en-US"/>
                      <a:t>a</a:t>
                    </a:r>
                    <a:r>
                      <a:rPr lang="sk-SK"/>
                      <a:t>kúsko</a:t>
                    </a:r>
                    <a:endParaRPr lang="en-US"/>
                  </a:p>
                </c:rich>
              </c:tx>
              <c:dLblPos val="r"/>
              <c:showLegendKey val="0"/>
              <c:showVal val="0"/>
              <c:showCatName val="0"/>
              <c:showSerName val="0"/>
              <c:showPercent val="0"/>
              <c:showBubbleSize val="0"/>
            </c:dLbl>
            <c:dLbl>
              <c:idx val="1"/>
              <c:layout>
                <c:manualLayout>
                  <c:x val="-2.4016365193250684E-2"/>
                  <c:y val="2.9452655318804203E-2"/>
                </c:manualLayout>
              </c:layout>
              <c:tx>
                <c:rich>
                  <a:bodyPr/>
                  <a:lstStyle/>
                  <a:p>
                    <a:r>
                      <a:rPr lang="en-US"/>
                      <a:t>Belgi</a:t>
                    </a:r>
                    <a:r>
                      <a:rPr lang="sk-SK"/>
                      <a:t>cko</a:t>
                    </a:r>
                    <a:endParaRPr lang="en-US"/>
                  </a:p>
                </c:rich>
              </c:tx>
              <c:dLblPos val="r"/>
              <c:showLegendKey val="0"/>
              <c:showVal val="0"/>
              <c:showCatName val="0"/>
              <c:showSerName val="0"/>
              <c:showPercent val="0"/>
              <c:showBubbleSize val="0"/>
            </c:dLbl>
            <c:dLbl>
              <c:idx val="2"/>
              <c:layout>
                <c:manualLayout>
                  <c:x val="-2.1436190582938698E-2"/>
                  <c:y val="-2.415865896180857E-2"/>
                </c:manualLayout>
              </c:layout>
              <c:tx>
                <c:rich>
                  <a:bodyPr/>
                  <a:lstStyle/>
                  <a:p>
                    <a:r>
                      <a:rPr lang="en-US"/>
                      <a:t>Bul</a:t>
                    </a:r>
                    <a:r>
                      <a:rPr lang="sk-SK"/>
                      <a:t>harsko</a:t>
                    </a:r>
                    <a:endParaRPr lang="en-US"/>
                  </a:p>
                </c:rich>
              </c:tx>
              <c:dLblPos val="r"/>
              <c:showLegendKey val="0"/>
              <c:showVal val="0"/>
              <c:showCatName val="0"/>
              <c:showSerName val="0"/>
              <c:showPercent val="0"/>
              <c:showBubbleSize val="0"/>
            </c:dLbl>
            <c:dLbl>
              <c:idx val="3"/>
              <c:layout>
                <c:manualLayout>
                  <c:x val="-3.5652385088874569E-2"/>
                  <c:y val="-3.2374482295742121E-2"/>
                </c:manualLayout>
              </c:layout>
              <c:tx>
                <c:rich>
                  <a:bodyPr/>
                  <a:lstStyle/>
                  <a:p>
                    <a:r>
                      <a:rPr lang="en-US"/>
                      <a:t>Cyprus</a:t>
                    </a:r>
                  </a:p>
                </c:rich>
              </c:tx>
              <c:dLblPos val="r"/>
              <c:showLegendKey val="0"/>
              <c:showVal val="0"/>
              <c:showCatName val="0"/>
              <c:showSerName val="0"/>
              <c:showPercent val="0"/>
              <c:showBubbleSize val="0"/>
            </c:dLbl>
            <c:dLbl>
              <c:idx val="4"/>
              <c:delete val="1"/>
            </c:dLbl>
            <c:dLbl>
              <c:idx val="5"/>
              <c:layout>
                <c:manualLayout>
                  <c:x val="-5.6216727541055132E-2"/>
                  <c:y val="2.0029205697707553E-2"/>
                </c:manualLayout>
              </c:layout>
              <c:tx>
                <c:rich>
                  <a:bodyPr/>
                  <a:lstStyle/>
                  <a:p>
                    <a:r>
                      <a:rPr lang="sk-SK">
                        <a:solidFill>
                          <a:srgbClr val="002060"/>
                        </a:solidFill>
                      </a:rPr>
                      <a:t>Nemecko</a:t>
                    </a:r>
                    <a:endParaRPr lang="en-US"/>
                  </a:p>
                </c:rich>
              </c:tx>
              <c:dLblPos val="r"/>
              <c:showLegendKey val="0"/>
              <c:showVal val="0"/>
              <c:showCatName val="0"/>
              <c:showSerName val="0"/>
              <c:showPercent val="0"/>
              <c:showBubbleSize val="0"/>
            </c:dLbl>
            <c:dLbl>
              <c:idx val="6"/>
              <c:layout>
                <c:manualLayout>
                  <c:x val="-5.4673488567138807E-2"/>
                  <c:y val="3.7150948236733566E-2"/>
                </c:manualLayout>
              </c:layout>
              <c:tx>
                <c:rich>
                  <a:bodyPr/>
                  <a:lstStyle/>
                  <a:p>
                    <a:r>
                      <a:rPr lang="sk-SK"/>
                      <a:t>Dánsko</a:t>
                    </a:r>
                    <a:endParaRPr lang="en-US"/>
                  </a:p>
                </c:rich>
              </c:tx>
              <c:dLblPos val="r"/>
              <c:showLegendKey val="0"/>
              <c:showVal val="0"/>
              <c:showCatName val="0"/>
              <c:showSerName val="0"/>
              <c:showPercent val="0"/>
              <c:showBubbleSize val="0"/>
            </c:dLbl>
            <c:dLbl>
              <c:idx val="7"/>
              <c:delete val="1"/>
            </c:dLbl>
            <c:dLbl>
              <c:idx val="8"/>
              <c:layout>
                <c:manualLayout>
                  <c:x val="-6.1762818521269726E-2"/>
                  <c:y val="2.2256579987534511E-2"/>
                </c:manualLayout>
              </c:layout>
              <c:tx>
                <c:rich>
                  <a:bodyPr/>
                  <a:lstStyle/>
                  <a:p>
                    <a:r>
                      <a:rPr lang="en-US"/>
                      <a:t>Gr</a:t>
                    </a:r>
                    <a:r>
                      <a:rPr lang="sk-SK"/>
                      <a:t>é</a:t>
                    </a:r>
                    <a:r>
                      <a:rPr lang="en-US"/>
                      <a:t>c</a:t>
                    </a:r>
                    <a:r>
                      <a:rPr lang="sk-SK"/>
                      <a:t>ko</a:t>
                    </a:r>
                    <a:endParaRPr lang="en-US"/>
                  </a:p>
                </c:rich>
              </c:tx>
              <c:dLblPos val="r"/>
              <c:showLegendKey val="0"/>
              <c:showVal val="0"/>
              <c:showCatName val="0"/>
              <c:showSerName val="0"/>
              <c:showPercent val="0"/>
              <c:showBubbleSize val="0"/>
            </c:dLbl>
            <c:dLbl>
              <c:idx val="9"/>
              <c:layout>
                <c:manualLayout>
                  <c:x val="-2.3790770937115555E-2"/>
                  <c:y val="-2.9304676648639186E-2"/>
                </c:manualLayout>
              </c:layout>
              <c:tx>
                <c:rich>
                  <a:bodyPr/>
                  <a:lstStyle/>
                  <a:p>
                    <a:r>
                      <a:rPr lang="sk-SK">
                        <a:solidFill>
                          <a:srgbClr val="002060"/>
                        </a:solidFill>
                      </a:rPr>
                      <a:t>Španielsko</a:t>
                    </a:r>
                    <a:endParaRPr lang="en-US"/>
                  </a:p>
                </c:rich>
              </c:tx>
              <c:dLblPos val="r"/>
              <c:showLegendKey val="0"/>
              <c:showVal val="0"/>
              <c:showCatName val="0"/>
              <c:showSerName val="0"/>
              <c:showPercent val="0"/>
              <c:showBubbleSize val="0"/>
            </c:dLbl>
            <c:dLbl>
              <c:idx val="10"/>
              <c:layout>
                <c:manualLayout>
                  <c:x val="-5.4692466780395313E-2"/>
                  <c:y val="-3.2561756443675503E-2"/>
                </c:manualLayout>
              </c:layout>
              <c:tx>
                <c:rich>
                  <a:bodyPr/>
                  <a:lstStyle/>
                  <a:p>
                    <a:r>
                      <a:rPr lang="en-US"/>
                      <a:t>F</a:t>
                    </a:r>
                    <a:r>
                      <a:rPr lang="sk-SK"/>
                      <a:t>í</a:t>
                    </a:r>
                    <a:r>
                      <a:rPr lang="en-US"/>
                      <a:t>n</a:t>
                    </a:r>
                    <a:r>
                      <a:rPr lang="sk-SK"/>
                      <a:t>sko</a:t>
                    </a:r>
                    <a:endParaRPr lang="en-US"/>
                  </a:p>
                </c:rich>
              </c:tx>
              <c:dLblPos val="r"/>
              <c:showLegendKey val="0"/>
              <c:showVal val="0"/>
              <c:showCatName val="0"/>
              <c:showSerName val="0"/>
              <c:showPercent val="0"/>
              <c:showBubbleSize val="0"/>
            </c:dLbl>
            <c:dLbl>
              <c:idx val="11"/>
              <c:layout>
                <c:manualLayout>
                  <c:x val="-3.5087650552444692E-2"/>
                  <c:y val="-1.7758093747264152E-2"/>
                </c:manualLayout>
              </c:layout>
              <c:tx>
                <c:rich>
                  <a:bodyPr/>
                  <a:lstStyle/>
                  <a:p>
                    <a:r>
                      <a:rPr lang="en-US">
                        <a:solidFill>
                          <a:srgbClr val="002060"/>
                        </a:solidFill>
                      </a:rPr>
                      <a:t>Franc</a:t>
                    </a:r>
                    <a:r>
                      <a:rPr lang="sk-SK">
                        <a:solidFill>
                          <a:srgbClr val="002060"/>
                        </a:solidFill>
                      </a:rPr>
                      <a:t>úzsko</a:t>
                    </a:r>
                    <a:endParaRPr lang="en-US"/>
                  </a:p>
                </c:rich>
              </c:tx>
              <c:dLblPos val="r"/>
              <c:showLegendKey val="0"/>
              <c:showVal val="0"/>
              <c:showCatName val="0"/>
              <c:showSerName val="0"/>
              <c:showPercent val="0"/>
              <c:showBubbleSize val="0"/>
            </c:dLbl>
            <c:dLbl>
              <c:idx val="12"/>
              <c:layout>
                <c:manualLayout>
                  <c:x val="-5.0248405672263172E-2"/>
                  <c:y val="2.4790661276025396E-2"/>
                </c:manualLayout>
              </c:layout>
              <c:tx>
                <c:rich>
                  <a:bodyPr/>
                  <a:lstStyle/>
                  <a:p>
                    <a:r>
                      <a:rPr lang="sk-SK"/>
                      <a:t>Chorvátsko</a:t>
                    </a:r>
                    <a:endParaRPr lang="en-US"/>
                  </a:p>
                </c:rich>
              </c:tx>
              <c:dLblPos val="r"/>
              <c:showLegendKey val="0"/>
              <c:showVal val="0"/>
              <c:showCatName val="0"/>
              <c:showSerName val="0"/>
              <c:showPercent val="0"/>
              <c:showBubbleSize val="0"/>
            </c:dLbl>
            <c:dLbl>
              <c:idx val="13"/>
              <c:delete val="1"/>
            </c:dLbl>
            <c:dLbl>
              <c:idx val="14"/>
              <c:layout>
                <c:manualLayout>
                  <c:x val="-4.2780145357637189E-2"/>
                  <c:y val="-3.3266098219359573E-2"/>
                </c:manualLayout>
              </c:layout>
              <c:tx>
                <c:rich>
                  <a:bodyPr/>
                  <a:lstStyle/>
                  <a:p>
                    <a:r>
                      <a:rPr lang="sk-SK"/>
                      <a:t>Í</a:t>
                    </a:r>
                    <a:r>
                      <a:rPr lang="en-US"/>
                      <a:t>r</a:t>
                    </a:r>
                    <a:r>
                      <a:rPr lang="sk-SK"/>
                      <a:t>sko</a:t>
                    </a:r>
                    <a:endParaRPr lang="en-US"/>
                  </a:p>
                </c:rich>
              </c:tx>
              <c:dLblPos val="r"/>
              <c:showLegendKey val="0"/>
              <c:showVal val="0"/>
              <c:showCatName val="0"/>
              <c:showSerName val="0"/>
              <c:showPercent val="0"/>
              <c:showBubbleSize val="0"/>
            </c:dLbl>
            <c:dLbl>
              <c:idx val="15"/>
              <c:layout>
                <c:manualLayout>
                  <c:x val="-3.5657449008266964E-2"/>
                  <c:y val="2.5017444208933471E-2"/>
                </c:manualLayout>
              </c:layout>
              <c:tx>
                <c:rich>
                  <a:bodyPr/>
                  <a:lstStyle/>
                  <a:p>
                    <a:r>
                      <a:rPr lang="sk-SK">
                        <a:solidFill>
                          <a:srgbClr val="002060"/>
                        </a:solidFill>
                      </a:rPr>
                      <a:t>Taliansko</a:t>
                    </a:r>
                    <a:endParaRPr lang="en-US"/>
                  </a:p>
                </c:rich>
              </c:tx>
              <c:dLblPos val="r"/>
              <c:showLegendKey val="0"/>
              <c:showVal val="0"/>
              <c:showCatName val="0"/>
              <c:showSerName val="0"/>
              <c:showPercent val="0"/>
              <c:showBubbleSize val="0"/>
            </c:dLbl>
            <c:dLbl>
              <c:idx val="16"/>
              <c:delete val="1"/>
            </c:dLbl>
            <c:dLbl>
              <c:idx val="17"/>
              <c:layout>
                <c:manualLayout>
                  <c:x val="-0.17350856054025277"/>
                  <c:y val="-1.2058212058212059E-2"/>
                </c:manualLayout>
              </c:layout>
              <c:tx>
                <c:rich>
                  <a:bodyPr/>
                  <a:lstStyle/>
                  <a:p>
                    <a:r>
                      <a:rPr lang="en-US"/>
                      <a:t>Malta</a:t>
                    </a:r>
                    <a:br>
                      <a:rPr lang="en-US"/>
                    </a:br>
                    <a:r>
                      <a:rPr lang="sk-SK"/>
                      <a:t>a</a:t>
                    </a:r>
                    <a:r>
                      <a:rPr lang="sk-SK" baseline="0"/>
                      <a:t> </a:t>
                    </a:r>
                    <a:r>
                      <a:rPr lang="en-US"/>
                      <a:t>Est</a:t>
                    </a:r>
                    <a:r>
                      <a:rPr lang="sk-SK"/>
                      <a:t>ó</a:t>
                    </a:r>
                    <a:r>
                      <a:rPr lang="en-US"/>
                      <a:t>n</a:t>
                    </a:r>
                    <a:r>
                      <a:rPr lang="sk-SK"/>
                      <a:t>sko</a:t>
                    </a:r>
                    <a:endParaRPr lang="en-US"/>
                  </a:p>
                </c:rich>
              </c:tx>
              <c:dLblPos val="r"/>
              <c:showLegendKey val="0"/>
              <c:showVal val="0"/>
              <c:showCatName val="0"/>
              <c:showSerName val="0"/>
              <c:showPercent val="0"/>
              <c:showBubbleSize val="0"/>
            </c:dLbl>
            <c:dLbl>
              <c:idx val="18"/>
              <c:layout>
                <c:manualLayout>
                  <c:x val="-6.1803496393757325E-2"/>
                  <c:y val="-1.6006849485112627E-2"/>
                </c:manualLayout>
              </c:layout>
              <c:tx>
                <c:rich>
                  <a:bodyPr/>
                  <a:lstStyle/>
                  <a:p>
                    <a:r>
                      <a:rPr lang="en-US"/>
                      <a:t>L</a:t>
                    </a:r>
                    <a:r>
                      <a:rPr lang="sk-SK"/>
                      <a:t>otyšsko</a:t>
                    </a:r>
                    <a:endParaRPr lang="en-US"/>
                  </a:p>
                </c:rich>
              </c:tx>
              <c:dLblPos val="r"/>
              <c:showLegendKey val="0"/>
              <c:showVal val="0"/>
              <c:showCatName val="0"/>
              <c:showSerName val="0"/>
              <c:showPercent val="0"/>
              <c:showBubbleSize val="0"/>
            </c:dLbl>
            <c:dLbl>
              <c:idx val="19"/>
              <c:delete val="1"/>
            </c:dLbl>
            <c:dLbl>
              <c:idx val="20"/>
              <c:layout>
                <c:manualLayout>
                  <c:x val="-6.1795425038062415E-2"/>
                  <c:y val="-3.2455023163684579E-2"/>
                </c:manualLayout>
              </c:layout>
              <c:tx>
                <c:rich>
                  <a:bodyPr/>
                  <a:lstStyle/>
                  <a:p>
                    <a:r>
                      <a:rPr lang="sk-SK"/>
                      <a:t>Holan</a:t>
                    </a:r>
                    <a:r>
                      <a:rPr lang="en-US"/>
                      <a:t>ds</a:t>
                    </a:r>
                    <a:r>
                      <a:rPr lang="sk-SK"/>
                      <a:t>ko</a:t>
                    </a:r>
                    <a:endParaRPr lang="en-US"/>
                  </a:p>
                </c:rich>
              </c:tx>
              <c:dLblPos val="r"/>
              <c:showLegendKey val="0"/>
              <c:showVal val="0"/>
              <c:showCatName val="0"/>
              <c:showSerName val="0"/>
              <c:showPercent val="0"/>
              <c:showBubbleSize val="0"/>
            </c:dLbl>
            <c:dLbl>
              <c:idx val="21"/>
              <c:layout>
                <c:manualLayout>
                  <c:x val="-6.9283373442088791E-2"/>
                  <c:y val="-4.1526473482091639E-2"/>
                </c:manualLayout>
              </c:layout>
              <c:tx>
                <c:rich>
                  <a:bodyPr/>
                  <a:lstStyle/>
                  <a:p>
                    <a:r>
                      <a:rPr lang="en-US"/>
                      <a:t>Po</a:t>
                    </a:r>
                    <a:r>
                      <a:rPr lang="sk-SK"/>
                      <a:t>ľsko</a:t>
                    </a:r>
                    <a:endParaRPr lang="en-US"/>
                  </a:p>
                </c:rich>
              </c:tx>
              <c:dLblPos val="r"/>
              <c:showLegendKey val="0"/>
              <c:showVal val="0"/>
              <c:showCatName val="0"/>
              <c:showSerName val="0"/>
              <c:showPercent val="0"/>
              <c:showBubbleSize val="0"/>
            </c:dLbl>
            <c:dLbl>
              <c:idx val="22"/>
              <c:layout>
                <c:manualLayout>
                  <c:x val="-4.0369135352742828E-2"/>
                  <c:y val="2.5599227331510797E-2"/>
                </c:manualLayout>
              </c:layout>
              <c:tx>
                <c:rich>
                  <a:bodyPr/>
                  <a:lstStyle/>
                  <a:p>
                    <a:r>
                      <a:rPr lang="en-US"/>
                      <a:t>Portugal</a:t>
                    </a:r>
                    <a:r>
                      <a:rPr lang="sk-SK"/>
                      <a:t>sko</a:t>
                    </a:r>
                    <a:endParaRPr lang="en-US"/>
                  </a:p>
                </c:rich>
              </c:tx>
              <c:dLblPos val="r"/>
              <c:showLegendKey val="0"/>
              <c:showVal val="0"/>
              <c:showCatName val="0"/>
              <c:showSerName val="0"/>
              <c:showPercent val="0"/>
              <c:showBubbleSize val="0"/>
            </c:dLbl>
            <c:dLbl>
              <c:idx val="23"/>
              <c:layout>
                <c:manualLayout>
                  <c:x val="-4.2806151525027848E-2"/>
                  <c:y val="1.5864945176047647E-2"/>
                </c:manualLayout>
              </c:layout>
              <c:tx>
                <c:rich>
                  <a:bodyPr/>
                  <a:lstStyle/>
                  <a:p>
                    <a:r>
                      <a:rPr lang="en-US"/>
                      <a:t>R</a:t>
                    </a:r>
                    <a:r>
                      <a:rPr lang="sk-SK"/>
                      <a:t>u</a:t>
                    </a:r>
                    <a:r>
                      <a:rPr lang="en-US"/>
                      <a:t>m</a:t>
                    </a:r>
                    <a:r>
                      <a:rPr lang="sk-SK"/>
                      <a:t>u</a:t>
                    </a:r>
                    <a:r>
                      <a:rPr lang="en-US"/>
                      <a:t>n</a:t>
                    </a:r>
                    <a:r>
                      <a:rPr lang="sk-SK"/>
                      <a:t>sko</a:t>
                    </a:r>
                    <a:endParaRPr lang="en-US"/>
                  </a:p>
                </c:rich>
              </c:tx>
              <c:dLblPos val="r"/>
              <c:showLegendKey val="0"/>
              <c:showVal val="0"/>
              <c:showCatName val="0"/>
              <c:showSerName val="0"/>
              <c:showPercent val="0"/>
              <c:showBubbleSize val="0"/>
            </c:dLbl>
            <c:dLbl>
              <c:idx val="24"/>
              <c:layout>
                <c:manualLayout>
                  <c:x val="-5.7068815951099972E-2"/>
                  <c:y val="2.2369932302208378E-2"/>
                </c:manualLayout>
              </c:layout>
              <c:tx>
                <c:rich>
                  <a:bodyPr/>
                  <a:lstStyle/>
                  <a:p>
                    <a:r>
                      <a:rPr lang="sk-SK"/>
                      <a:t>Švé</a:t>
                    </a:r>
                    <a:r>
                      <a:rPr lang="en-US"/>
                      <a:t>d</a:t>
                    </a:r>
                    <a:r>
                      <a:rPr lang="sk-SK"/>
                      <a:t>sko</a:t>
                    </a:r>
                    <a:endParaRPr lang="en-US"/>
                  </a:p>
                </c:rich>
              </c:tx>
              <c:dLblPos val="r"/>
              <c:showLegendKey val="0"/>
              <c:showVal val="0"/>
              <c:showCatName val="0"/>
              <c:showSerName val="0"/>
              <c:showPercent val="0"/>
              <c:showBubbleSize val="0"/>
            </c:dLbl>
            <c:dLbl>
              <c:idx val="25"/>
              <c:layout>
                <c:manualLayout>
                  <c:x val="-4.2827268878311398E-2"/>
                  <c:y val="2.6153678298944355E-2"/>
                </c:manualLayout>
              </c:layout>
              <c:tx>
                <c:rich>
                  <a:bodyPr/>
                  <a:lstStyle/>
                  <a:p>
                    <a:r>
                      <a:rPr lang="en-US"/>
                      <a:t>Slov</a:t>
                    </a:r>
                    <a:r>
                      <a:rPr lang="sk-SK"/>
                      <a:t>i</a:t>
                    </a:r>
                    <a:r>
                      <a:rPr lang="en-US"/>
                      <a:t>n</a:t>
                    </a:r>
                    <a:r>
                      <a:rPr lang="sk-SK"/>
                      <a:t>sko</a:t>
                    </a:r>
                    <a:endParaRPr lang="en-US"/>
                  </a:p>
                </c:rich>
              </c:tx>
              <c:dLblPos val="r"/>
              <c:showLegendKey val="0"/>
              <c:showVal val="0"/>
              <c:showCatName val="0"/>
              <c:showSerName val="0"/>
              <c:showPercent val="0"/>
              <c:showBubbleSize val="0"/>
            </c:dLbl>
            <c:dLbl>
              <c:idx val="26"/>
              <c:layout>
                <c:manualLayout>
                  <c:x val="-4.0456188528035418E-2"/>
                  <c:y val="-0.23651251493771178"/>
                </c:manualLayout>
              </c:layout>
              <c:tx>
                <c:rich>
                  <a:bodyPr/>
                  <a:lstStyle/>
                  <a:p>
                    <a:pPr>
                      <a:defRPr sz="800" b="0">
                        <a:solidFill>
                          <a:srgbClr val="002060"/>
                        </a:solidFill>
                        <a:latin typeface="Arial" panose="020B0604020202020204" pitchFamily="34" charset="0"/>
                        <a:cs typeface="Arial" panose="020B0604020202020204" pitchFamily="34" charset="0"/>
                      </a:defRPr>
                    </a:pPr>
                    <a:r>
                      <a:rPr lang="en-US" baseline="0"/>
                      <a:t>Lit</a:t>
                    </a:r>
                    <a:r>
                      <a:rPr lang="sk-SK" baseline="0"/>
                      <a:t>v</a:t>
                    </a:r>
                    <a:r>
                      <a:rPr lang="en-US" baseline="0"/>
                      <a:t>a</a:t>
                    </a:r>
                  </a:p>
                  <a:p>
                    <a:pPr>
                      <a:defRPr sz="800" b="0">
                        <a:solidFill>
                          <a:srgbClr val="002060"/>
                        </a:solidFill>
                        <a:latin typeface="Arial" panose="020B0604020202020204" pitchFamily="34" charset="0"/>
                        <a:cs typeface="Arial" panose="020B0604020202020204" pitchFamily="34" charset="0"/>
                      </a:defRPr>
                    </a:pPr>
                    <a:endParaRPr lang="en-US"/>
                  </a:p>
                </c:rich>
              </c:tx>
              <c:spPr/>
              <c:dLblPos val="r"/>
              <c:showLegendKey val="0"/>
              <c:showVal val="0"/>
              <c:showCatName val="0"/>
              <c:showSerName val="0"/>
              <c:showPercent val="0"/>
              <c:showBubbleSize val="0"/>
            </c:dLbl>
            <c:dLbl>
              <c:idx val="27"/>
              <c:layout>
                <c:manualLayout>
                  <c:x val="-6.4174442607485449E-2"/>
                  <c:y val="-3.3376986920294005E-2"/>
                </c:manualLayout>
              </c:layout>
              <c:tx>
                <c:rich>
                  <a:bodyPr/>
                  <a:lstStyle/>
                  <a:p>
                    <a:r>
                      <a:rPr lang="sk-SK" baseline="0"/>
                      <a:t>Spojené kráľovstvo</a:t>
                    </a:r>
                    <a:endParaRPr lang="en-US" baseline="0"/>
                  </a:p>
                </c:rich>
              </c:tx>
              <c:dLblPos val="r"/>
              <c:showLegendKey val="0"/>
              <c:showVal val="0"/>
              <c:showCatName val="0"/>
              <c:showSerName val="0"/>
              <c:showPercent val="0"/>
              <c:showBubbleSize val="0"/>
            </c:dLbl>
            <c:txPr>
              <a:bodyPr/>
              <a:lstStyle/>
              <a:p>
                <a:pPr>
                  <a:defRPr sz="800">
                    <a:solidFill>
                      <a:srgbClr val="002060"/>
                    </a:solidFill>
                    <a:latin typeface="Arial" panose="020B0604020202020204" pitchFamily="34" charset="0"/>
                    <a:cs typeface="Arial" panose="020B0604020202020204" pitchFamily="34" charset="0"/>
                  </a:defRPr>
                </a:pPr>
                <a:endParaRPr lang="en-US"/>
              </a:p>
            </c:txPr>
            <c:dLblPos val="r"/>
            <c:showLegendKey val="0"/>
            <c:showVal val="1"/>
            <c:showCatName val="1"/>
            <c:showSerName val="0"/>
            <c:showPercent val="0"/>
            <c:showBubbleSize val="0"/>
            <c:showLeaderLines val="0"/>
          </c:dLbls>
          <c:xVal>
            <c:numRef>
              <c:f>Sheet1!$A$2:$A$29</c:f>
              <c:numCache>
                <c:formatCode>General</c:formatCode>
                <c:ptCount val="28"/>
                <c:pt idx="0">
                  <c:v>21</c:v>
                </c:pt>
                <c:pt idx="1">
                  <c:v>29</c:v>
                </c:pt>
                <c:pt idx="2">
                  <c:v>34</c:v>
                </c:pt>
                <c:pt idx="3">
                  <c:v>23</c:v>
                </c:pt>
                <c:pt idx="4">
                  <c:v>25</c:v>
                </c:pt>
                <c:pt idx="5">
                  <c:v>50</c:v>
                </c:pt>
                <c:pt idx="6">
                  <c:v>17</c:v>
                </c:pt>
                <c:pt idx="7">
                  <c:v>19</c:v>
                </c:pt>
                <c:pt idx="8">
                  <c:v>37</c:v>
                </c:pt>
                <c:pt idx="9">
                  <c:v>56</c:v>
                </c:pt>
                <c:pt idx="10">
                  <c:v>19</c:v>
                </c:pt>
                <c:pt idx="11">
                  <c:v>42</c:v>
                </c:pt>
                <c:pt idx="12">
                  <c:v>31</c:v>
                </c:pt>
                <c:pt idx="13">
                  <c:v>38</c:v>
                </c:pt>
                <c:pt idx="14">
                  <c:v>24</c:v>
                </c:pt>
                <c:pt idx="15">
                  <c:v>65</c:v>
                </c:pt>
                <c:pt idx="16">
                  <c:v>25</c:v>
                </c:pt>
                <c:pt idx="17">
                  <c:v>31</c:v>
                </c:pt>
                <c:pt idx="18">
                  <c:v>15</c:v>
                </c:pt>
                <c:pt idx="19">
                  <c:v>19</c:v>
                </c:pt>
                <c:pt idx="20">
                  <c:v>21</c:v>
                </c:pt>
                <c:pt idx="21">
                  <c:v>54</c:v>
                </c:pt>
                <c:pt idx="22">
                  <c:v>42</c:v>
                </c:pt>
                <c:pt idx="23">
                  <c:v>35</c:v>
                </c:pt>
                <c:pt idx="24">
                  <c:v>16</c:v>
                </c:pt>
                <c:pt idx="25">
                  <c:v>28</c:v>
                </c:pt>
                <c:pt idx="26">
                  <c:v>25</c:v>
                </c:pt>
                <c:pt idx="27">
                  <c:v>34</c:v>
                </c:pt>
              </c:numCache>
            </c:numRef>
          </c:xVal>
          <c:yVal>
            <c:numRef>
              <c:f>Sheet1!$B$2:$B$29</c:f>
              <c:numCache>
                <c:formatCode>General</c:formatCode>
                <c:ptCount val="28"/>
                <c:pt idx="0">
                  <c:v>67</c:v>
                </c:pt>
                <c:pt idx="1">
                  <c:v>59</c:v>
                </c:pt>
                <c:pt idx="2">
                  <c:v>76</c:v>
                </c:pt>
                <c:pt idx="3">
                  <c:v>87</c:v>
                </c:pt>
                <c:pt idx="4">
                  <c:v>44</c:v>
                </c:pt>
                <c:pt idx="5">
                  <c:v>72</c:v>
                </c:pt>
                <c:pt idx="6">
                  <c:v>65</c:v>
                </c:pt>
                <c:pt idx="7">
                  <c:v>74</c:v>
                </c:pt>
                <c:pt idx="8">
                  <c:v>68</c:v>
                </c:pt>
                <c:pt idx="9">
                  <c:v>75</c:v>
                </c:pt>
                <c:pt idx="10">
                  <c:v>68</c:v>
                </c:pt>
                <c:pt idx="11">
                  <c:v>74</c:v>
                </c:pt>
                <c:pt idx="12">
                  <c:v>65</c:v>
                </c:pt>
                <c:pt idx="13">
                  <c:v>50</c:v>
                </c:pt>
                <c:pt idx="14">
                  <c:v>71</c:v>
                </c:pt>
                <c:pt idx="15">
                  <c:v>89</c:v>
                </c:pt>
                <c:pt idx="16">
                  <c:v>76</c:v>
                </c:pt>
                <c:pt idx="17">
                  <c:v>77</c:v>
                </c:pt>
                <c:pt idx="18">
                  <c:v>73</c:v>
                </c:pt>
                <c:pt idx="19">
                  <c:v>74</c:v>
                </c:pt>
                <c:pt idx="20">
                  <c:v>81</c:v>
                </c:pt>
                <c:pt idx="21">
                  <c:v>74</c:v>
                </c:pt>
                <c:pt idx="22">
                  <c:v>69</c:v>
                </c:pt>
                <c:pt idx="23">
                  <c:v>74</c:v>
                </c:pt>
                <c:pt idx="24">
                  <c:v>88</c:v>
                </c:pt>
                <c:pt idx="25">
                  <c:v>71</c:v>
                </c:pt>
                <c:pt idx="26">
                  <c:v>60</c:v>
                </c:pt>
                <c:pt idx="27">
                  <c:v>79</c:v>
                </c:pt>
              </c:numCache>
            </c:numRef>
          </c:yVal>
          <c:smooth val="0"/>
        </c:ser>
        <c:dLbls>
          <c:showLegendKey val="0"/>
          <c:showVal val="0"/>
          <c:showCatName val="0"/>
          <c:showSerName val="0"/>
          <c:showPercent val="0"/>
          <c:showBubbleSize val="0"/>
        </c:dLbls>
        <c:axId val="72463104"/>
        <c:axId val="72465024"/>
      </c:scatterChart>
      <c:valAx>
        <c:axId val="72463104"/>
        <c:scaling>
          <c:orientation val="minMax"/>
          <c:max val="100"/>
          <c:min val="10"/>
        </c:scaling>
        <c:delete val="0"/>
        <c:axPos val="b"/>
        <c:title>
          <c:tx>
            <c:rich>
              <a:bodyPr/>
              <a:lstStyle/>
              <a:p>
                <a:pPr>
                  <a:defRPr sz="900" b="0" i="0" u="none" strike="noStrike" baseline="0">
                    <a:solidFill>
                      <a:srgbClr val="003366"/>
                    </a:solidFill>
                    <a:latin typeface="Arial"/>
                    <a:ea typeface="Arial"/>
                    <a:cs typeface="Arial"/>
                  </a:defRPr>
                </a:pPr>
                <a:r>
                  <a:rPr lang="sk-SK"/>
                  <a:t>Prípady v rámci projektu EU Pilot vybavené v roku 2016 (v absolútnych číslach)</a:t>
                </a:r>
              </a:p>
            </c:rich>
          </c:tx>
          <c:layout>
            <c:manualLayout>
              <c:xMode val="edge"/>
              <c:yMode val="edge"/>
              <c:x val="0.30935269207501515"/>
              <c:y val="0.89601168785940599"/>
            </c:manualLayout>
          </c:layout>
          <c:overlay val="0"/>
        </c:title>
        <c:numFmt formatCode="General" sourceLinked="1"/>
        <c:majorTickMark val="out"/>
        <c:minorTickMark val="none"/>
        <c:tickLblPos val="nextTo"/>
        <c:txPr>
          <a:bodyPr rot="0" vert="horz"/>
          <a:lstStyle/>
          <a:p>
            <a:pPr>
              <a:defRPr sz="800" b="0" i="0" u="none" strike="noStrike" baseline="0">
                <a:solidFill>
                  <a:srgbClr val="003366"/>
                </a:solidFill>
                <a:latin typeface="Arial"/>
                <a:ea typeface="Arial"/>
                <a:cs typeface="Arial"/>
              </a:defRPr>
            </a:pPr>
            <a:endParaRPr lang="en-US"/>
          </a:p>
        </c:txPr>
        <c:crossAx val="72465024"/>
        <c:crosses val="autoZero"/>
        <c:crossBetween val="midCat"/>
      </c:valAx>
      <c:valAx>
        <c:axId val="72465024"/>
        <c:scaling>
          <c:orientation val="minMax"/>
          <c:max val="90"/>
          <c:min val="40"/>
        </c:scaling>
        <c:delete val="0"/>
        <c:axPos val="l"/>
        <c:maj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jorGridlines>
        <c:title>
          <c:tx>
            <c:rich>
              <a:bodyPr/>
              <a:lstStyle/>
              <a:p>
                <a:pPr>
                  <a:defRPr sz="900" b="0" i="0" u="none" strike="noStrike" baseline="0">
                    <a:solidFill>
                      <a:srgbClr val="003366"/>
                    </a:solidFill>
                    <a:latin typeface="Arial"/>
                    <a:ea typeface="Arial"/>
                    <a:cs typeface="Arial"/>
                  </a:defRPr>
                </a:pPr>
                <a:r>
                  <a:rPr lang="sk-SK"/>
                  <a:t>Miera úspešne vyriešených prípadov projektu EU Pilot pre všetky členské štáty v roku 2016 (%)</a:t>
                </a:r>
              </a:p>
            </c:rich>
          </c:tx>
          <c:overlay val="0"/>
        </c:title>
        <c:numFmt formatCode="0" sourceLinked="1"/>
        <c:majorTickMark val="out"/>
        <c:minorTickMark val="none"/>
        <c:tickLblPos val="nextTo"/>
        <c:txPr>
          <a:bodyPr/>
          <a:lstStyle/>
          <a:p>
            <a:pPr>
              <a:defRPr sz="800">
                <a:solidFill>
                  <a:srgbClr val="002060"/>
                </a:solidFill>
                <a:latin typeface="Arial" panose="020B0604020202020204" pitchFamily="34" charset="0"/>
                <a:cs typeface="Arial" panose="020B0604020202020204" pitchFamily="34" charset="0"/>
              </a:defRPr>
            </a:pPr>
            <a:endParaRPr lang="en-US"/>
          </a:p>
        </c:txPr>
        <c:crossAx val="72463104"/>
        <c:crosses val="autoZero"/>
        <c:crossBetween val="midCat"/>
      </c:valAx>
    </c:plotArea>
    <c:plotVisOnly val="1"/>
    <c:dispBlanksAs val="gap"/>
    <c:showDLblsOverMax val="0"/>
  </c:chart>
  <c:spPr>
    <a:ln>
      <a:solidFill>
        <a:schemeClr val="bg1">
          <a:lumMod val="85000"/>
        </a:schemeClr>
      </a:solidFill>
    </a:ln>
  </c:sp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99"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sk-SK" sz="1099" b="0">
                <a:solidFill>
                  <a:srgbClr val="002060"/>
                </a:solidFill>
                <a:latin typeface="Arial" panose="020B0604020202020204" pitchFamily="34" charset="0"/>
                <a:ea typeface="Verdana" panose="020B0604030504040204" pitchFamily="34" charset="0"/>
              </a:rPr>
              <a:t>Prípady v rámci projektu </a:t>
            </a:r>
            <a:r>
              <a:rPr lang="sk-SK" sz="1099" b="0" baseline="0">
                <a:solidFill>
                  <a:srgbClr val="002060"/>
                </a:solidFill>
                <a:latin typeface="Arial" panose="020B0604020202020204" pitchFamily="34" charset="0"/>
                <a:ea typeface="Verdana" panose="020B0604030504040204" pitchFamily="34" charset="0"/>
              </a:rPr>
              <a:t>EU Pilot: Čas reakcie </a:t>
            </a:r>
            <a:r>
              <a:rPr lang="sk-SK" sz="1099" b="0" i="0" u="none" strike="noStrike" baseline="0">
                <a:effectLst/>
              </a:rPr>
              <a:t>členských štátov</a:t>
            </a:r>
            <a:r>
              <a:rPr lang="sk-SK"/>
              <a:t> v roku 2016 (v dňoch)</a:t>
            </a:r>
          </a:p>
        </c:rich>
      </c:tx>
      <c:overlay val="0"/>
    </c:title>
    <c:autoTitleDeleted val="0"/>
    <c:plotArea>
      <c:layout/>
      <c:barChart>
        <c:barDir val="col"/>
        <c:grouping val="clustered"/>
        <c:varyColors val="0"/>
        <c:ser>
          <c:idx val="0"/>
          <c:order val="0"/>
          <c:tx>
            <c:strRef>
              <c:f>Blad1!$B$2</c:f>
              <c:strCache>
                <c:ptCount val="1"/>
                <c:pt idx="0">
                  <c:v>Number of days</c:v>
                </c:pt>
              </c:strCache>
            </c:strRef>
          </c:tx>
          <c:spPr>
            <a:solidFill>
              <a:schemeClr val="accent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4"/>
              <c:layout>
                <c:manualLayout>
                  <c:x val="0"/>
                  <c:y val="1.2295081967213115E-2"/>
                </c:manualLayout>
              </c:layout>
              <c:dLblPos val="outEnd"/>
              <c:showLegendKey val="0"/>
              <c:showVal val="1"/>
              <c:showCatName val="0"/>
              <c:showSerName val="0"/>
              <c:showPercent val="0"/>
              <c:showBubbleSize val="0"/>
            </c:dLbl>
            <c:dLbl>
              <c:idx val="5"/>
              <c:layout>
                <c:manualLayout>
                  <c:x val="-2.3894862604539806E-3"/>
                  <c:y val="1.2295081967213115E-2"/>
                </c:manualLayout>
              </c:layout>
              <c:dLblPos val="outEnd"/>
              <c:showLegendKey val="0"/>
              <c:showVal val="1"/>
              <c:showCatName val="0"/>
              <c:showSerName val="0"/>
              <c:showPercent val="0"/>
              <c:showBubbleSize val="0"/>
            </c:dLbl>
            <c:dLbl>
              <c:idx val="6"/>
              <c:layout>
                <c:manualLayout>
                  <c:x val="0"/>
                  <c:y val="8.1967213114754103E-3"/>
                </c:manualLayout>
              </c:layout>
              <c:dLblPos val="outEnd"/>
              <c:showLegendKey val="0"/>
              <c:showVal val="1"/>
              <c:showCatName val="0"/>
              <c:showSerName val="0"/>
              <c:showPercent val="0"/>
              <c:showBubbleSize val="0"/>
            </c:dLbl>
            <c:dLbl>
              <c:idx val="7"/>
              <c:layout>
                <c:manualLayout>
                  <c:x val="0"/>
                  <c:y val="1.2282497441146366E-2"/>
                </c:manualLayout>
              </c:layout>
              <c:dLblPos val="outEnd"/>
              <c:showLegendKey val="0"/>
              <c:showVal val="1"/>
              <c:showCatName val="0"/>
              <c:showSerName val="0"/>
              <c:showPercent val="0"/>
              <c:showBubbleSize val="0"/>
            </c:dLbl>
            <c:dLbl>
              <c:idx val="8"/>
              <c:layout>
                <c:manualLayout>
                  <c:x val="0"/>
                  <c:y val="1.6393442622950821E-2"/>
                </c:manualLayout>
              </c:layout>
              <c:dLblPos val="outEnd"/>
              <c:showLegendKey val="0"/>
              <c:showVal val="1"/>
              <c:showCatName val="0"/>
              <c:showSerName val="0"/>
              <c:showPercent val="0"/>
              <c:showBubbleSize val="0"/>
            </c:dLbl>
            <c:dLbl>
              <c:idx val="9"/>
              <c:layout>
                <c:manualLayout>
                  <c:x val="4.3806742049101052E-17"/>
                  <c:y val="1.6393442622950821E-2"/>
                </c:manualLayout>
              </c:layout>
              <c:dLblPos val="outEnd"/>
              <c:showLegendKey val="0"/>
              <c:showVal val="1"/>
              <c:showCatName val="0"/>
              <c:showSerName val="0"/>
              <c:showPercent val="0"/>
              <c:showBubbleSize val="0"/>
            </c:dLbl>
            <c:txPr>
              <a:bodyPr/>
              <a:lstStyle/>
              <a:p>
                <a:pPr>
                  <a:defRPr sz="800">
                    <a:solidFill>
                      <a:srgbClr val="002060"/>
                    </a:solidFill>
                    <a:latin typeface="Arial" panose="020B0604020202020204" pitchFamily="34" charset="0"/>
                    <a:cs typeface="Arial" panose="020B0604020202020204" pitchFamily="34" charset="0"/>
                  </a:defRPr>
                </a:pPr>
                <a:endParaRPr lang="en-US"/>
              </a:p>
            </c:txPr>
            <c:dLblPos val="outEnd"/>
            <c:showLegendKey val="0"/>
            <c:showVal val="1"/>
            <c:showCatName val="0"/>
            <c:showSerName val="0"/>
            <c:showPercent val="0"/>
            <c:showBubbleSize val="0"/>
            <c:showLeaderLines val="0"/>
          </c:dLbls>
          <c:cat>
            <c:strRef>
              <c:f>Blad1!$A$3:$A$30</c:f>
              <c:strCache>
                <c:ptCount val="28"/>
                <c:pt idx="0">
                  <c:v>MT</c:v>
                </c:pt>
                <c:pt idx="1">
                  <c:v>LT</c:v>
                </c:pt>
                <c:pt idx="2">
                  <c:v>EE</c:v>
                </c:pt>
                <c:pt idx="3">
                  <c:v>SK</c:v>
                </c:pt>
                <c:pt idx="4">
                  <c:v>AT</c:v>
                </c:pt>
                <c:pt idx="5">
                  <c:v>BG</c:v>
                </c:pt>
                <c:pt idx="6">
                  <c:v>IE</c:v>
                </c:pt>
                <c:pt idx="7">
                  <c:v>SI</c:v>
                </c:pt>
                <c:pt idx="8">
                  <c:v>HR</c:v>
                </c:pt>
                <c:pt idx="9">
                  <c:v>NL</c:v>
                </c:pt>
                <c:pt idx="10">
                  <c:v>DE</c:v>
                </c:pt>
                <c:pt idx="11">
                  <c:v>PT</c:v>
                </c:pt>
                <c:pt idx="12">
                  <c:v>SE</c:v>
                </c:pt>
                <c:pt idx="13">
                  <c:v>LV</c:v>
                </c:pt>
                <c:pt idx="14">
                  <c:v>PL</c:v>
                </c:pt>
                <c:pt idx="15">
                  <c:v>HU</c:v>
                </c:pt>
                <c:pt idx="16">
                  <c:v>FI</c:v>
                </c:pt>
                <c:pt idx="17">
                  <c:v>RO</c:v>
                </c:pt>
                <c:pt idx="18">
                  <c:v>DK</c:v>
                </c:pt>
                <c:pt idx="19">
                  <c:v>LU</c:v>
                </c:pt>
                <c:pt idx="20">
                  <c:v>CY</c:v>
                </c:pt>
                <c:pt idx="21">
                  <c:v>IT</c:v>
                </c:pt>
                <c:pt idx="22">
                  <c:v>ES</c:v>
                </c:pt>
                <c:pt idx="23">
                  <c:v>BE</c:v>
                </c:pt>
                <c:pt idx="24">
                  <c:v>CZ</c:v>
                </c:pt>
                <c:pt idx="25">
                  <c:v>EL</c:v>
                </c:pt>
                <c:pt idx="26">
                  <c:v>UK</c:v>
                </c:pt>
                <c:pt idx="27">
                  <c:v>FR</c:v>
                </c:pt>
              </c:strCache>
            </c:strRef>
          </c:cat>
          <c:val>
            <c:numRef>
              <c:f>Blad1!$B$3:$B$30</c:f>
              <c:numCache>
                <c:formatCode>0</c:formatCode>
                <c:ptCount val="28"/>
                <c:pt idx="0">
                  <c:v>56.684210526315788</c:v>
                </c:pt>
                <c:pt idx="1">
                  <c:v>59.48</c:v>
                </c:pt>
                <c:pt idx="2">
                  <c:v>61</c:v>
                </c:pt>
                <c:pt idx="3">
                  <c:v>61.44</c:v>
                </c:pt>
                <c:pt idx="4">
                  <c:v>64.19047619047619</c:v>
                </c:pt>
                <c:pt idx="5">
                  <c:v>64.352941176470594</c:v>
                </c:pt>
                <c:pt idx="6">
                  <c:v>64.916666666666671</c:v>
                </c:pt>
                <c:pt idx="7">
                  <c:v>65.035714285714292</c:v>
                </c:pt>
                <c:pt idx="8">
                  <c:v>65.193548387096769</c:v>
                </c:pt>
                <c:pt idx="9">
                  <c:v>65.476190476190482</c:v>
                </c:pt>
                <c:pt idx="10">
                  <c:v>66.12</c:v>
                </c:pt>
                <c:pt idx="11">
                  <c:v>66.761904761904759</c:v>
                </c:pt>
                <c:pt idx="12">
                  <c:v>67.4375</c:v>
                </c:pt>
                <c:pt idx="13">
                  <c:v>68.2</c:v>
                </c:pt>
                <c:pt idx="14">
                  <c:v>68.79245283018868</c:v>
                </c:pt>
                <c:pt idx="15">
                  <c:v>72.5</c:v>
                </c:pt>
                <c:pt idx="16">
                  <c:v>74.368421052631575</c:v>
                </c:pt>
                <c:pt idx="17">
                  <c:v>78.545454545454547</c:v>
                </c:pt>
                <c:pt idx="18">
                  <c:v>79</c:v>
                </c:pt>
                <c:pt idx="19">
                  <c:v>80.666666666666671</c:v>
                </c:pt>
                <c:pt idx="20">
                  <c:v>80.739130434782609</c:v>
                </c:pt>
                <c:pt idx="21">
                  <c:v>81.031746031746039</c:v>
                </c:pt>
                <c:pt idx="22">
                  <c:v>81.163636363636357</c:v>
                </c:pt>
                <c:pt idx="23">
                  <c:v>82.482758620689651</c:v>
                </c:pt>
                <c:pt idx="24">
                  <c:v>82.6</c:v>
                </c:pt>
                <c:pt idx="25">
                  <c:v>83.25</c:v>
                </c:pt>
                <c:pt idx="26">
                  <c:v>83.617647058823536</c:v>
                </c:pt>
                <c:pt idx="27">
                  <c:v>107.78571428571429</c:v>
                </c:pt>
              </c:numCache>
            </c:numRef>
          </c:val>
        </c:ser>
        <c:dLbls>
          <c:showLegendKey val="0"/>
          <c:showVal val="0"/>
          <c:showCatName val="0"/>
          <c:showSerName val="0"/>
          <c:showPercent val="0"/>
          <c:showBubbleSize val="0"/>
        </c:dLbls>
        <c:gapWidth val="75"/>
        <c:overlap val="-25"/>
        <c:axId val="72268032"/>
        <c:axId val="73310208"/>
      </c:barChart>
      <c:lineChart>
        <c:grouping val="standard"/>
        <c:varyColors val="0"/>
        <c:ser>
          <c:idx val="1"/>
          <c:order val="1"/>
          <c:tx>
            <c:strRef>
              <c:f>Blad1!$C$2</c:f>
              <c:strCache>
                <c:ptCount val="1"/>
                <c:pt idx="0">
                  <c:v>Within 70 days of being notified by the Commission of problems, the Member State should provide a solution to these</c:v>
                </c:pt>
              </c:strCache>
            </c:strRef>
          </c:tx>
          <c:spPr>
            <a:ln w="15867">
              <a:solidFill>
                <a:srgbClr val="C00000"/>
              </a:solidFill>
              <a:prstDash val="dash"/>
            </a:ln>
          </c:spPr>
          <c:marker>
            <c:symbol val="none"/>
          </c:marker>
          <c:cat>
            <c:strRef>
              <c:f>Blad1!$A$3:$A$30</c:f>
              <c:strCache>
                <c:ptCount val="28"/>
                <c:pt idx="0">
                  <c:v>MT</c:v>
                </c:pt>
                <c:pt idx="1">
                  <c:v>LT</c:v>
                </c:pt>
                <c:pt idx="2">
                  <c:v>EE</c:v>
                </c:pt>
                <c:pt idx="3">
                  <c:v>SK</c:v>
                </c:pt>
                <c:pt idx="4">
                  <c:v>AT</c:v>
                </c:pt>
                <c:pt idx="5">
                  <c:v>BG</c:v>
                </c:pt>
                <c:pt idx="6">
                  <c:v>IE</c:v>
                </c:pt>
                <c:pt idx="7">
                  <c:v>SI</c:v>
                </c:pt>
                <c:pt idx="8">
                  <c:v>HR</c:v>
                </c:pt>
                <c:pt idx="9">
                  <c:v>NL</c:v>
                </c:pt>
                <c:pt idx="10">
                  <c:v>DE</c:v>
                </c:pt>
                <c:pt idx="11">
                  <c:v>PT</c:v>
                </c:pt>
                <c:pt idx="12">
                  <c:v>SE</c:v>
                </c:pt>
                <c:pt idx="13">
                  <c:v>LV</c:v>
                </c:pt>
                <c:pt idx="14">
                  <c:v>PL</c:v>
                </c:pt>
                <c:pt idx="15">
                  <c:v>HU</c:v>
                </c:pt>
                <c:pt idx="16">
                  <c:v>FI</c:v>
                </c:pt>
                <c:pt idx="17">
                  <c:v>RO</c:v>
                </c:pt>
                <c:pt idx="18">
                  <c:v>DK</c:v>
                </c:pt>
                <c:pt idx="19">
                  <c:v>LU</c:v>
                </c:pt>
                <c:pt idx="20">
                  <c:v>CY</c:v>
                </c:pt>
                <c:pt idx="21">
                  <c:v>IT</c:v>
                </c:pt>
                <c:pt idx="22">
                  <c:v>ES</c:v>
                </c:pt>
                <c:pt idx="23">
                  <c:v>BE</c:v>
                </c:pt>
                <c:pt idx="24">
                  <c:v>CZ</c:v>
                </c:pt>
                <c:pt idx="25">
                  <c:v>EL</c:v>
                </c:pt>
                <c:pt idx="26">
                  <c:v>UK</c:v>
                </c:pt>
                <c:pt idx="27">
                  <c:v>FR</c:v>
                </c:pt>
              </c:strCache>
            </c:strRef>
          </c:cat>
          <c:val>
            <c:numRef>
              <c:f>Blad1!$C$3:$C$30</c:f>
              <c:numCache>
                <c:formatCode>General</c:formatCode>
                <c:ptCount val="28"/>
                <c:pt idx="0">
                  <c:v>70</c:v>
                </c:pt>
                <c:pt idx="1">
                  <c:v>70</c:v>
                </c:pt>
                <c:pt idx="2">
                  <c:v>70</c:v>
                </c:pt>
                <c:pt idx="3">
                  <c:v>70</c:v>
                </c:pt>
                <c:pt idx="4">
                  <c:v>70</c:v>
                </c:pt>
                <c:pt idx="5">
                  <c:v>70</c:v>
                </c:pt>
                <c:pt idx="6">
                  <c:v>70</c:v>
                </c:pt>
                <c:pt idx="7">
                  <c:v>70</c:v>
                </c:pt>
                <c:pt idx="8">
                  <c:v>70</c:v>
                </c:pt>
                <c:pt idx="9">
                  <c:v>70</c:v>
                </c:pt>
                <c:pt idx="10">
                  <c:v>70</c:v>
                </c:pt>
                <c:pt idx="11">
                  <c:v>70</c:v>
                </c:pt>
                <c:pt idx="12">
                  <c:v>70</c:v>
                </c:pt>
                <c:pt idx="13">
                  <c:v>70</c:v>
                </c:pt>
                <c:pt idx="14">
                  <c:v>70</c:v>
                </c:pt>
                <c:pt idx="15">
                  <c:v>70</c:v>
                </c:pt>
                <c:pt idx="16">
                  <c:v>70</c:v>
                </c:pt>
                <c:pt idx="17">
                  <c:v>70</c:v>
                </c:pt>
                <c:pt idx="18">
                  <c:v>70</c:v>
                </c:pt>
                <c:pt idx="19">
                  <c:v>70</c:v>
                </c:pt>
                <c:pt idx="20">
                  <c:v>70</c:v>
                </c:pt>
                <c:pt idx="21">
                  <c:v>70</c:v>
                </c:pt>
                <c:pt idx="22">
                  <c:v>70</c:v>
                </c:pt>
                <c:pt idx="23">
                  <c:v>70</c:v>
                </c:pt>
                <c:pt idx="24">
                  <c:v>70</c:v>
                </c:pt>
                <c:pt idx="25">
                  <c:v>70</c:v>
                </c:pt>
                <c:pt idx="26">
                  <c:v>70</c:v>
                </c:pt>
                <c:pt idx="27">
                  <c:v>70</c:v>
                </c:pt>
              </c:numCache>
            </c:numRef>
          </c:val>
          <c:smooth val="0"/>
        </c:ser>
        <c:dLbls>
          <c:showLegendKey val="0"/>
          <c:showVal val="0"/>
          <c:showCatName val="0"/>
          <c:showSerName val="0"/>
          <c:showPercent val="0"/>
          <c:showBubbleSize val="0"/>
        </c:dLbls>
        <c:marker val="1"/>
        <c:smooth val="0"/>
        <c:axId val="72268032"/>
        <c:axId val="73310208"/>
      </c:lineChart>
      <c:catAx>
        <c:axId val="72268032"/>
        <c:scaling>
          <c:orientation val="minMax"/>
        </c:scaling>
        <c:delete val="0"/>
        <c:axPos val="b"/>
        <c:numFmt formatCode="General" sourceLinked="1"/>
        <c:majorTickMark val="none"/>
        <c:minorTickMark val="none"/>
        <c:tickLblPos val="nextTo"/>
        <c:spPr>
          <a:noFill/>
          <a:ln w="12694"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73310208"/>
        <c:crosses val="autoZero"/>
        <c:auto val="1"/>
        <c:lblAlgn val="ctr"/>
        <c:lblOffset val="100"/>
        <c:noMultiLvlLbl val="0"/>
      </c:catAx>
      <c:valAx>
        <c:axId val="73310208"/>
        <c:scaling>
          <c:orientation val="minMax"/>
          <c:min val="50"/>
        </c:scaling>
        <c:delete val="1"/>
        <c:axPos val="l"/>
        <c:majorGridlines>
          <c:spPr>
            <a:ln w="9520" cap="flat" cmpd="sng" algn="ctr">
              <a:solidFill>
                <a:schemeClr val="tx1">
                  <a:lumMod val="15000"/>
                  <a:lumOff val="85000"/>
                </a:schemeClr>
              </a:solidFill>
              <a:round/>
            </a:ln>
            <a:effectLst/>
          </c:spPr>
        </c:majorGridlines>
        <c:numFmt formatCode="0" sourceLinked="1"/>
        <c:majorTickMark val="out"/>
        <c:minorTickMark val="none"/>
        <c:tickLblPos val="nextTo"/>
        <c:crossAx val="72268032"/>
        <c:crosses val="autoZero"/>
        <c:crossBetween val="between"/>
      </c:valAx>
      <c:spPr>
        <a:noFill/>
        <a:ln w="25388">
          <a:noFill/>
        </a:ln>
      </c:spPr>
    </c:plotArea>
    <c:plotVisOnly val="1"/>
    <c:dispBlanksAs val="gap"/>
    <c:showDLblsOverMax val="0"/>
  </c:chart>
  <c:spPr>
    <a:solidFill>
      <a:schemeClr val="bg1"/>
    </a:solidFill>
    <a:ln w="9520"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98"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sk-SK" sz="1099" b="0" baseline="0">
                <a:solidFill>
                  <a:srgbClr val="002060"/>
                </a:solidFill>
                <a:latin typeface="Arial" panose="020B0604020202020204" pitchFamily="34" charset="0"/>
                <a:ea typeface="Verdana" panose="020B0604030504040204" pitchFamily="34" charset="0"/>
              </a:rPr>
              <a:t>Nové prípady nesplnenia povinnosti k 31. decembru 2016</a:t>
            </a:r>
          </a:p>
        </c:rich>
      </c:tx>
      <c:overlay val="0"/>
    </c:title>
    <c:autoTitleDeleted val="0"/>
    <c:plotArea>
      <c:layout/>
      <c:barChart>
        <c:barDir val="col"/>
        <c:grouping val="clustered"/>
        <c:varyColors val="0"/>
        <c:ser>
          <c:idx val="0"/>
          <c:order val="0"/>
          <c:tx>
            <c:strRef>
              <c:f>Blad1!$B$2</c:f>
              <c:strCache>
                <c:ptCount val="1"/>
                <c:pt idx="0">
                  <c:v>Number of late infringement cases</c:v>
                </c:pt>
              </c:strCache>
            </c:strRef>
          </c:tx>
          <c:spPr>
            <a:solidFill>
              <a:schemeClr val="accent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1"/>
              <c:layout>
                <c:manualLayout>
                  <c:x val="0"/>
                  <c:y val="1.0441764756906261E-2"/>
                </c:manualLayout>
              </c:layout>
              <c:dLblPos val="outEnd"/>
              <c:showLegendKey val="0"/>
              <c:showVal val="1"/>
              <c:showCatName val="0"/>
              <c:showSerName val="0"/>
              <c:showPercent val="0"/>
              <c:showBubbleSize val="0"/>
            </c:dLbl>
            <c:dLbl>
              <c:idx val="2"/>
              <c:layout>
                <c:manualLayout>
                  <c:x val="1.1009357273100418E-17"/>
                  <c:y val="1.0441764756906261E-2"/>
                </c:manualLayout>
              </c:layout>
              <c:dLblPos val="outEnd"/>
              <c:showLegendKey val="0"/>
              <c:showVal val="1"/>
              <c:showCatName val="0"/>
              <c:showSerName val="0"/>
              <c:showPercent val="0"/>
              <c:showBubbleSize val="0"/>
            </c:dLbl>
            <c:dLbl>
              <c:idx val="3"/>
              <c:layout>
                <c:manualLayout>
                  <c:x val="0"/>
                  <c:y val="0"/>
                </c:manualLayout>
              </c:layout>
              <c:dLblPos val="outEnd"/>
              <c:showLegendKey val="0"/>
              <c:showVal val="1"/>
              <c:showCatName val="0"/>
              <c:showSerName val="0"/>
              <c:showPercent val="0"/>
              <c:showBubbleSize val="0"/>
            </c:dLbl>
            <c:dLbl>
              <c:idx val="6"/>
              <c:layout>
                <c:manualLayout>
                  <c:x val="0"/>
                  <c:y val="5.2208823784531304E-3"/>
                </c:manualLayout>
              </c:layout>
              <c:dLblPos val="outEnd"/>
              <c:showLegendKey val="0"/>
              <c:showVal val="1"/>
              <c:showCatName val="0"/>
              <c:showSerName val="0"/>
              <c:showPercent val="0"/>
              <c:showBubbleSize val="0"/>
            </c:dLbl>
            <c:dLbl>
              <c:idx val="7"/>
              <c:layout>
                <c:manualLayout>
                  <c:x val="-2.4020693354476585E-3"/>
                  <c:y val="0"/>
                </c:manualLayout>
              </c:layout>
              <c:dLblPos val="outEnd"/>
              <c:showLegendKey val="0"/>
              <c:showVal val="1"/>
              <c:showCatName val="0"/>
              <c:showSerName val="0"/>
              <c:showPercent val="0"/>
              <c:showBubbleSize val="0"/>
            </c:dLbl>
            <c:dLbl>
              <c:idx val="10"/>
              <c:layout>
                <c:manualLayout>
                  <c:x val="4.4037429092401671E-17"/>
                  <c:y val="0"/>
                </c:manualLayout>
              </c:layout>
              <c:dLblPos val="outEnd"/>
              <c:showLegendKey val="0"/>
              <c:showVal val="1"/>
              <c:showCatName val="0"/>
              <c:showSerName val="0"/>
              <c:showPercent val="0"/>
              <c:showBubbleSize val="0"/>
            </c:dLbl>
            <c:dLbl>
              <c:idx val="13"/>
              <c:layout>
                <c:manualLayout>
                  <c:x val="0"/>
                  <c:y val="1.0441764756906261E-2"/>
                </c:manualLayout>
              </c:layout>
              <c:dLblPos val="outEnd"/>
              <c:showLegendKey val="0"/>
              <c:showVal val="1"/>
              <c:showCatName val="0"/>
              <c:showSerName val="0"/>
              <c:showPercent val="0"/>
              <c:showBubbleSize val="0"/>
            </c:dLbl>
            <c:dLbl>
              <c:idx val="17"/>
              <c:layout>
                <c:manualLayout>
                  <c:x val="0"/>
                  <c:y val="1.0441764756906261E-2"/>
                </c:manualLayout>
              </c:layout>
              <c:dLblPos val="outEnd"/>
              <c:showLegendKey val="0"/>
              <c:showVal val="1"/>
              <c:showCatName val="0"/>
              <c:showSerName val="0"/>
              <c:showPercent val="0"/>
              <c:showBubbleSize val="0"/>
            </c:dLbl>
            <c:dLbl>
              <c:idx val="19"/>
              <c:layout>
                <c:manualLayout>
                  <c:x val="-8.8074858184803343E-17"/>
                  <c:y val="1.0441764756906261E-2"/>
                </c:manualLayout>
              </c:layout>
              <c:dLblPos val="outEnd"/>
              <c:showLegendKey val="0"/>
              <c:showVal val="1"/>
              <c:showCatName val="0"/>
              <c:showSerName val="0"/>
              <c:showPercent val="0"/>
              <c:showBubbleSize val="0"/>
            </c:dLbl>
            <c:dLbl>
              <c:idx val="20"/>
              <c:layout>
                <c:manualLayout>
                  <c:x val="0"/>
                  <c:y val="5.2208823784531304E-3"/>
                </c:manualLayout>
              </c:layout>
              <c:dLblPos val="outEnd"/>
              <c:showLegendKey val="0"/>
              <c:showVal val="1"/>
              <c:showCatName val="0"/>
              <c:showSerName val="0"/>
              <c:showPercent val="0"/>
              <c:showBubbleSize val="0"/>
            </c:dLbl>
            <c:dLbl>
              <c:idx val="22"/>
              <c:layout>
                <c:manualLayout>
                  <c:x val="-2.4020693354476585E-3"/>
                  <c:y val="1.0441764756906261E-2"/>
                </c:manualLayout>
              </c:layout>
              <c:dLblPos val="outEnd"/>
              <c:showLegendKey val="0"/>
              <c:showVal val="1"/>
              <c:showCatName val="0"/>
              <c:showSerName val="0"/>
              <c:showPercent val="0"/>
              <c:showBubbleSize val="0"/>
            </c:dLbl>
            <c:dLbl>
              <c:idx val="23"/>
              <c:layout>
                <c:manualLayout>
                  <c:x val="0"/>
                  <c:y val="5.2208823784531304E-3"/>
                </c:manualLayout>
              </c:layout>
              <c:dLblPos val="outEnd"/>
              <c:showLegendKey val="0"/>
              <c:showVal val="1"/>
              <c:showCatName val="0"/>
              <c:showSerName val="0"/>
              <c:showPercent val="0"/>
              <c:showBubbleSize val="0"/>
            </c:dLbl>
            <c:dLbl>
              <c:idx val="24"/>
              <c:layout>
                <c:manualLayout>
                  <c:x val="0"/>
                  <c:y val="5.2208823784531304E-3"/>
                </c:manualLayout>
              </c:layout>
              <c:dLblPos val="outEnd"/>
              <c:showLegendKey val="0"/>
              <c:showVal val="1"/>
              <c:showCatName val="0"/>
              <c:showSerName val="0"/>
              <c:showPercent val="0"/>
              <c:showBubbleSize val="0"/>
            </c:dLbl>
            <c:txPr>
              <a:bodyPr/>
              <a:lstStyle/>
              <a:p>
                <a:pPr>
                  <a:defRPr sz="800">
                    <a:latin typeface="Verdana" panose="020B0604030504040204" pitchFamily="34" charset="0"/>
                    <a:ea typeface="Verdana" panose="020B0604030504040204" pitchFamily="34" charset="0"/>
                    <a:cs typeface="Verdana" panose="020B0604030504040204" pitchFamily="34" charset="0"/>
                  </a:defRPr>
                </a:pPr>
                <a:endParaRPr lang="en-US"/>
              </a:p>
            </c:txPr>
            <c:dLblPos val="outEnd"/>
            <c:showLegendKey val="0"/>
            <c:showVal val="1"/>
            <c:showCatName val="0"/>
            <c:showSerName val="0"/>
            <c:showPercent val="0"/>
            <c:showBubbleSize val="0"/>
            <c:showLeaderLines val="0"/>
          </c:dLbls>
          <c:cat>
            <c:strRef>
              <c:f>Blad1!$A$3:$A$30</c:f>
              <c:strCache>
                <c:ptCount val="28"/>
                <c:pt idx="0">
                  <c:v>IT</c:v>
                </c:pt>
                <c:pt idx="1">
                  <c:v>SK</c:v>
                </c:pt>
                <c:pt idx="2">
                  <c:v>EE</c:v>
                </c:pt>
                <c:pt idx="3">
                  <c:v>MT</c:v>
                </c:pt>
                <c:pt idx="4">
                  <c:v>LV</c:v>
                </c:pt>
                <c:pt idx="5">
                  <c:v>NL</c:v>
                </c:pt>
                <c:pt idx="6">
                  <c:v>SE</c:v>
                </c:pt>
                <c:pt idx="7">
                  <c:v>UK</c:v>
                </c:pt>
                <c:pt idx="8">
                  <c:v>DE</c:v>
                </c:pt>
                <c:pt idx="9">
                  <c:v>DK</c:v>
                </c:pt>
                <c:pt idx="10">
                  <c:v>LT</c:v>
                </c:pt>
                <c:pt idx="11">
                  <c:v>BG</c:v>
                </c:pt>
                <c:pt idx="12">
                  <c:v>HR</c:v>
                </c:pt>
                <c:pt idx="13">
                  <c:v>RO</c:v>
                </c:pt>
                <c:pt idx="14">
                  <c:v>SI</c:v>
                </c:pt>
                <c:pt idx="15">
                  <c:v>FR</c:v>
                </c:pt>
                <c:pt idx="16">
                  <c:v>FI</c:v>
                </c:pt>
                <c:pt idx="17">
                  <c:v>IE</c:v>
                </c:pt>
                <c:pt idx="18">
                  <c:v>CZ</c:v>
                </c:pt>
                <c:pt idx="19">
                  <c:v>EL</c:v>
                </c:pt>
                <c:pt idx="20">
                  <c:v>LU</c:v>
                </c:pt>
                <c:pt idx="21">
                  <c:v>PL</c:v>
                </c:pt>
                <c:pt idx="22">
                  <c:v>CY</c:v>
                </c:pt>
                <c:pt idx="23">
                  <c:v>HU</c:v>
                </c:pt>
                <c:pt idx="24">
                  <c:v>ES</c:v>
                </c:pt>
                <c:pt idx="25">
                  <c:v>AT</c:v>
                </c:pt>
                <c:pt idx="26">
                  <c:v>BE</c:v>
                </c:pt>
                <c:pt idx="27">
                  <c:v>PT</c:v>
                </c:pt>
              </c:strCache>
            </c:strRef>
          </c:cat>
          <c:val>
            <c:numRef>
              <c:f>Blad1!$B$3:$B$30</c:f>
              <c:numCache>
                <c:formatCode>General</c:formatCode>
                <c:ptCount val="28"/>
                <c:pt idx="0">
                  <c:v>19</c:v>
                </c:pt>
                <c:pt idx="1">
                  <c:v>19</c:v>
                </c:pt>
                <c:pt idx="2">
                  <c:v>20</c:v>
                </c:pt>
                <c:pt idx="3">
                  <c:v>20</c:v>
                </c:pt>
                <c:pt idx="4">
                  <c:v>23</c:v>
                </c:pt>
                <c:pt idx="5">
                  <c:v>24</c:v>
                </c:pt>
                <c:pt idx="6">
                  <c:v>24</c:v>
                </c:pt>
                <c:pt idx="7">
                  <c:v>28</c:v>
                </c:pt>
                <c:pt idx="8">
                  <c:v>29</c:v>
                </c:pt>
                <c:pt idx="9">
                  <c:v>31</c:v>
                </c:pt>
                <c:pt idx="10">
                  <c:v>31</c:v>
                </c:pt>
                <c:pt idx="11">
                  <c:v>32</c:v>
                </c:pt>
                <c:pt idx="12">
                  <c:v>32</c:v>
                </c:pt>
                <c:pt idx="13">
                  <c:v>36</c:v>
                </c:pt>
                <c:pt idx="14">
                  <c:v>37</c:v>
                </c:pt>
                <c:pt idx="15">
                  <c:v>39</c:v>
                </c:pt>
                <c:pt idx="16">
                  <c:v>40</c:v>
                </c:pt>
                <c:pt idx="17">
                  <c:v>40</c:v>
                </c:pt>
                <c:pt idx="18">
                  <c:v>42</c:v>
                </c:pt>
                <c:pt idx="19">
                  <c:v>42</c:v>
                </c:pt>
                <c:pt idx="20">
                  <c:v>43</c:v>
                </c:pt>
                <c:pt idx="21">
                  <c:v>43</c:v>
                </c:pt>
                <c:pt idx="22">
                  <c:v>45</c:v>
                </c:pt>
                <c:pt idx="23">
                  <c:v>45</c:v>
                </c:pt>
                <c:pt idx="24">
                  <c:v>46</c:v>
                </c:pt>
                <c:pt idx="25">
                  <c:v>47</c:v>
                </c:pt>
                <c:pt idx="26">
                  <c:v>49</c:v>
                </c:pt>
                <c:pt idx="27">
                  <c:v>60</c:v>
                </c:pt>
              </c:numCache>
            </c:numRef>
          </c:val>
        </c:ser>
        <c:dLbls>
          <c:showLegendKey val="0"/>
          <c:showVal val="0"/>
          <c:showCatName val="0"/>
          <c:showSerName val="0"/>
          <c:showPercent val="0"/>
          <c:showBubbleSize val="0"/>
        </c:dLbls>
        <c:gapWidth val="75"/>
        <c:overlap val="-25"/>
        <c:axId val="73372800"/>
        <c:axId val="73374336"/>
      </c:barChart>
      <c:catAx>
        <c:axId val="73372800"/>
        <c:scaling>
          <c:orientation val="minMax"/>
        </c:scaling>
        <c:delete val="0"/>
        <c:axPos val="b"/>
        <c:numFmt formatCode="General" sourceLinked="1"/>
        <c:majorTickMark val="none"/>
        <c:minorTickMark val="none"/>
        <c:tickLblPos val="nextTo"/>
        <c:spPr>
          <a:noFill/>
          <a:ln w="12696"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73374336"/>
        <c:crosses val="autoZero"/>
        <c:auto val="1"/>
        <c:lblAlgn val="ctr"/>
        <c:lblOffset val="100"/>
        <c:noMultiLvlLbl val="0"/>
      </c:catAx>
      <c:valAx>
        <c:axId val="73374336"/>
        <c:scaling>
          <c:orientation val="minMax"/>
          <c:min val="10"/>
        </c:scaling>
        <c:delete val="1"/>
        <c:axPos val="l"/>
        <c:majorGridlines>
          <c:spPr>
            <a:ln w="9521" cap="flat" cmpd="sng" algn="ctr">
              <a:solidFill>
                <a:schemeClr val="tx1">
                  <a:lumMod val="15000"/>
                  <a:lumOff val="85000"/>
                </a:schemeClr>
              </a:solidFill>
              <a:round/>
            </a:ln>
            <a:effectLst/>
          </c:spPr>
        </c:majorGridlines>
        <c:numFmt formatCode="General" sourceLinked="1"/>
        <c:majorTickMark val="out"/>
        <c:minorTickMark val="none"/>
        <c:tickLblPos val="nextTo"/>
        <c:crossAx val="73372800"/>
        <c:crosses val="autoZero"/>
        <c:crossBetween val="between"/>
      </c:valAx>
      <c:spPr>
        <a:noFill/>
        <a:ln w="25387">
          <a:noFill/>
        </a:ln>
      </c:spPr>
    </c:plotArea>
    <c:plotVisOnly val="1"/>
    <c:dispBlanksAs val="gap"/>
    <c:showDLblsOverMax val="0"/>
  </c:chart>
  <c:spPr>
    <a:solidFill>
      <a:schemeClr val="bg1"/>
    </a:solidFill>
    <a:ln w="9521"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baseline="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sk-SK" sz="1100" b="0" baseline="0">
                <a:solidFill>
                  <a:srgbClr val="002060"/>
                </a:solidFill>
                <a:latin typeface="Arial" panose="020B0604020202020204" pitchFamily="34" charset="0"/>
                <a:ea typeface="Verdana" panose="020B0604030504040204" pitchFamily="34" charset="0"/>
              </a:rPr>
              <a:t>Nové prípady nesplnenia povinnosti otvorené v roku 2016: hlavné oblasti politiky</a:t>
            </a:r>
          </a:p>
        </c:rich>
      </c:tx>
      <c:layout>
        <c:manualLayout>
          <c:xMode val="edge"/>
          <c:yMode val="edge"/>
          <c:x val="0.12670027595586955"/>
          <c:y val="2.4242202282854178E-2"/>
        </c:manualLayout>
      </c:layout>
      <c:overlay val="0"/>
      <c:spPr>
        <a:noFill/>
        <a:ln w="25398">
          <a:noFill/>
        </a:ln>
      </c:spPr>
    </c:title>
    <c:autoTitleDeleted val="0"/>
    <c:plotArea>
      <c:layout/>
      <c:pieChart>
        <c:varyColors val="1"/>
        <c:ser>
          <c:idx val="0"/>
          <c:order val="0"/>
          <c:tx>
            <c:strRef>
              <c:f>Blad1!$B$1</c:f>
              <c:strCache>
                <c:ptCount val="1"/>
                <c:pt idx="0">
                  <c:v>xxx newly opened infringement cases in 2016</c:v>
                </c:pt>
              </c:strCache>
            </c:strRef>
          </c:tx>
          <c:spPr>
            <a:scene3d>
              <a:camera prst="orthographicFront"/>
              <a:lightRig rig="threePt" dir="t"/>
            </a:scene3d>
            <a:sp3d>
              <a:bevelT w="63500" h="25400"/>
            </a:sp3d>
          </c:spPr>
          <c:dPt>
            <c:idx val="0"/>
            <c:bubble3D val="0"/>
            <c:spPr>
              <a:solidFill>
                <a:srgbClr val="000099"/>
              </a:solidFill>
              <a:ln>
                <a:noFill/>
              </a:ln>
              <a:effectLst>
                <a:outerShdw blurRad="40000" dist="23000" dir="5400000" rotWithShape="0">
                  <a:srgbClr val="000000">
                    <a:alpha val="35000"/>
                  </a:srgbClr>
                </a:outerShdw>
              </a:effectLst>
              <a:scene3d>
                <a:camera prst="orthographicFront"/>
                <a:lightRig rig="threePt" dir="t"/>
              </a:scene3d>
              <a:sp3d>
                <a:bevelT w="63500" h="25400"/>
              </a:sp3d>
            </c:spPr>
          </c:dPt>
          <c:dPt>
            <c:idx val="1"/>
            <c:bubble3D val="0"/>
            <c:spPr>
              <a:solidFill>
                <a:srgbClr val="FF7DFF"/>
              </a:solidFill>
              <a:ln>
                <a:noFill/>
              </a:ln>
              <a:effectLst>
                <a:outerShdw blurRad="40000" dist="23000" dir="5400000" rotWithShape="0">
                  <a:srgbClr val="000000">
                    <a:alpha val="35000"/>
                  </a:srgbClr>
                </a:outerShdw>
              </a:effectLst>
              <a:scene3d>
                <a:camera prst="orthographicFront"/>
                <a:lightRig rig="threePt" dir="t"/>
              </a:scene3d>
              <a:sp3d>
                <a:bevelT w="63500" h="25400"/>
              </a:sp3d>
            </c:spPr>
          </c:dPt>
          <c:dPt>
            <c:idx val="2"/>
            <c:bubble3D val="0"/>
            <c:spPr>
              <a:solidFill>
                <a:srgbClr val="7030A0"/>
              </a:solidFill>
              <a:ln>
                <a:noFill/>
              </a:ln>
              <a:effectLst>
                <a:outerShdw blurRad="40000" dist="23000" dir="5400000" rotWithShape="0">
                  <a:srgbClr val="000000">
                    <a:alpha val="35000"/>
                  </a:srgbClr>
                </a:outerShdw>
              </a:effectLst>
              <a:scene3d>
                <a:camera prst="orthographicFront"/>
                <a:lightRig rig="threePt" dir="t"/>
              </a:scene3d>
              <a:sp3d>
                <a:bevelT w="63500" h="25400"/>
              </a:sp3d>
            </c:spPr>
          </c:dPt>
          <c:dPt>
            <c:idx val="3"/>
            <c:bubble3D val="0"/>
            <c:spPr>
              <a:solidFill>
                <a:srgbClr val="00A676"/>
              </a:solidFill>
              <a:scene3d>
                <a:camera prst="orthographicFront"/>
                <a:lightRig rig="threePt" dir="t"/>
              </a:scene3d>
              <a:sp3d>
                <a:bevelT w="63500" h="25400"/>
              </a:sp3d>
            </c:spPr>
          </c:dPt>
          <c:dPt>
            <c:idx val="4"/>
            <c:bubble3D val="0"/>
            <c:spPr>
              <a:solidFill>
                <a:srgbClr val="808AA4"/>
              </a:solidFill>
              <a:scene3d>
                <a:camera prst="orthographicFront"/>
                <a:lightRig rig="threePt" dir="t"/>
              </a:scene3d>
              <a:sp3d>
                <a:bevelT w="63500" h="25400"/>
              </a:sp3d>
            </c:spPr>
          </c:dPt>
          <c:dLbls>
            <c:dLbl>
              <c:idx val="0"/>
              <c:layout>
                <c:manualLayout>
                  <c:x val="-4.7835035577032672E-4"/>
                  <c:y val="0.11913816743056371"/>
                </c:manualLayout>
              </c:layout>
              <c:tx>
                <c:rich>
                  <a:bodyPr/>
                  <a:lstStyle/>
                  <a:p>
                    <a:r>
                      <a:rPr lang="en-GB" sz="850" b="0" i="0" u="none" strike="noStrike" baseline="0">
                        <a:effectLst/>
                      </a:rPr>
                      <a:t>Vnútorný trh, priemysel, podnikanie a MSP </a:t>
                    </a:r>
                    <a:r>
                      <a:rPr lang="en-US"/>
                      <a:t>
292</a:t>
                    </a:r>
                  </a:p>
                </c:rich>
              </c:tx>
              <c:dLblPos val="bestFit"/>
              <c:showLegendKey val="1"/>
              <c:showVal val="1"/>
              <c:showCatName val="1"/>
              <c:showSerName val="0"/>
              <c:showPercent val="0"/>
              <c:showBubbleSize val="0"/>
              <c:separator>
</c:separator>
            </c:dLbl>
            <c:dLbl>
              <c:idx val="1"/>
              <c:layout>
                <c:manualLayout>
                  <c:x val="-2.5850542267122269E-2"/>
                  <c:y val="3.5742155364907699E-2"/>
                </c:manualLayout>
              </c:layout>
              <c:tx>
                <c:rich>
                  <a:bodyPr/>
                  <a:lstStyle/>
                  <a:p>
                    <a:r>
                      <a:rPr lang="en-GB" sz="850" b="0" i="0" u="none" strike="noStrike" baseline="0">
                        <a:effectLst/>
                      </a:rPr>
                      <a:t>Zdravie a</a:t>
                    </a:r>
                    <a:r>
                      <a:rPr lang="sk-SK" sz="850" b="0" i="0" u="none" strike="noStrike" baseline="0">
                        <a:effectLst/>
                      </a:rPr>
                      <a:t> </a:t>
                    </a:r>
                    <a:r>
                      <a:rPr lang="en-GB" sz="850" b="0" i="0" u="none" strike="noStrike" baseline="0">
                        <a:effectLst/>
                      </a:rPr>
                      <a:t>bezpečnosť potravín </a:t>
                    </a:r>
                    <a:r>
                      <a:rPr lang="en-US"/>
                      <a:t>
148</a:t>
                    </a:r>
                  </a:p>
                </c:rich>
              </c:tx>
              <c:dLblPos val="bestFit"/>
              <c:showLegendKey val="1"/>
              <c:showVal val="1"/>
              <c:showCatName val="1"/>
              <c:showSerName val="0"/>
              <c:showPercent val="0"/>
              <c:showBubbleSize val="0"/>
              <c:separator>
</c:separator>
            </c:dLbl>
            <c:dLbl>
              <c:idx val="2"/>
              <c:layout>
                <c:manualLayout>
                  <c:x val="-5.5925625541004571E-3"/>
                  <c:y val="3.4807458769146392E-2"/>
                </c:manualLayout>
              </c:layout>
              <c:tx>
                <c:rich>
                  <a:bodyPr/>
                  <a:lstStyle/>
                  <a:p>
                    <a:r>
                      <a:rPr lang="en-GB" sz="850" b="0" i="0" u="none" strike="noStrike" baseline="0">
                        <a:effectLst/>
                      </a:rPr>
                      <a:t>Finančná stabilita, finančné služby a únia kapitálových trhov </a:t>
                    </a:r>
                    <a:r>
                      <a:rPr lang="en-US"/>
                      <a:t>
120</a:t>
                    </a:r>
                  </a:p>
                </c:rich>
              </c:tx>
              <c:dLblPos val="bestFit"/>
              <c:showLegendKey val="1"/>
              <c:showVal val="1"/>
              <c:showCatName val="1"/>
              <c:showSerName val="0"/>
              <c:showPercent val="0"/>
              <c:showBubbleSize val="0"/>
              <c:separator>
</c:separator>
            </c:dLbl>
            <c:dLbl>
              <c:idx val="3"/>
              <c:layout>
                <c:manualLayout>
                  <c:x val="-7.5583316794234096E-3"/>
                  <c:y val="2.0751361303717634E-2"/>
                </c:manualLayout>
              </c:layout>
              <c:tx>
                <c:rich>
                  <a:bodyPr/>
                  <a:lstStyle/>
                  <a:p>
                    <a:r>
                      <a:rPr lang="sk-SK"/>
                      <a:t>Životné prostredie</a:t>
                    </a:r>
                    <a:r>
                      <a:rPr lang="en-US"/>
                      <a:t>
89</a:t>
                    </a:r>
                  </a:p>
                </c:rich>
              </c:tx>
              <c:dLblPos val="bestFit"/>
              <c:showLegendKey val="1"/>
              <c:showVal val="1"/>
              <c:showCatName val="1"/>
              <c:showSerName val="0"/>
              <c:showPercent val="0"/>
              <c:showBubbleSize val="0"/>
              <c:separator>
</c:separator>
            </c:dLbl>
            <c:dLbl>
              <c:idx val="4"/>
              <c:layout>
                <c:manualLayout>
                  <c:x val="-0.10153771659045764"/>
                  <c:y val="-0.11614134054138764"/>
                </c:manualLayout>
              </c:layout>
              <c:tx>
                <c:rich>
                  <a:bodyPr/>
                  <a:lstStyle/>
                  <a:p>
                    <a:r>
                      <a:rPr lang="sk-SK"/>
                      <a:t>Iné</a:t>
                    </a:r>
                    <a:r>
                      <a:rPr lang="en-US"/>
                      <a:t>
337</a:t>
                    </a:r>
                  </a:p>
                </c:rich>
              </c:tx>
              <c:dLblPos val="bestFit"/>
              <c:showLegendKey val="1"/>
              <c:showVal val="1"/>
              <c:showCatName val="1"/>
              <c:showSerName val="0"/>
              <c:showPercent val="0"/>
              <c:showBubbleSize val="0"/>
              <c:separator>
</c:separator>
            </c:dLbl>
            <c:spPr>
              <a:noFill/>
              <a:ln w="25398">
                <a:noFill/>
              </a:ln>
            </c:spPr>
            <c:txPr>
              <a:bodyPr rot="0" spcFirstLastPara="1" vertOverflow="ellipsis" vert="horz" wrap="square" lIns="38100" tIns="19050" rIns="38100" bIns="19050" anchor="ctr" anchorCtr="1">
                <a:spAutoFit/>
              </a:bodyPr>
              <a:lstStyle/>
              <a:p>
                <a:pPr>
                  <a:defRPr sz="850" b="0" i="0" u="none" strike="noStrike" kern="1200" baseline="0">
                    <a:solidFill>
                      <a:sysClr val="windowText" lastClr="000000"/>
                    </a:solidFill>
                    <a:latin typeface="Arial" panose="020B0604020202020204" pitchFamily="34" charset="0"/>
                    <a:ea typeface="Verdana" panose="020B0604030504040204" pitchFamily="34" charset="0"/>
                    <a:cs typeface="Arial" panose="020B0604020202020204" pitchFamily="34" charset="0"/>
                  </a:defRPr>
                </a:pPr>
                <a:endParaRPr lang="en-US"/>
              </a:p>
            </c:txPr>
            <c:dLblPos val="outEnd"/>
            <c:showLegendKey val="1"/>
            <c:showVal val="1"/>
            <c:showCatName val="1"/>
            <c:showSerName val="0"/>
            <c:showPercent val="0"/>
            <c:showBubbleSize val="0"/>
            <c:separator>
</c:separator>
            <c:showLeaderLines val="0"/>
          </c:dLbls>
          <c:cat>
            <c:strRef>
              <c:f>Blad1!$A$2:$A$6</c:f>
              <c:strCache>
                <c:ptCount val="5"/>
                <c:pt idx="0">
                  <c:v>Internal market, industry, entrepreneurship and SMEs</c:v>
                </c:pt>
                <c:pt idx="1">
                  <c:v>Health and food safety</c:v>
                </c:pt>
                <c:pt idx="2">
                  <c:v>Financial stability, financial services and capital markets union</c:v>
                </c:pt>
                <c:pt idx="3">
                  <c:v>Environment</c:v>
                </c:pt>
                <c:pt idx="4">
                  <c:v>Other</c:v>
                </c:pt>
              </c:strCache>
            </c:strRef>
          </c:cat>
          <c:val>
            <c:numRef>
              <c:f>Blad1!$B$2:$B$6</c:f>
              <c:numCache>
                <c:formatCode>General</c:formatCode>
                <c:ptCount val="5"/>
                <c:pt idx="0">
                  <c:v>292</c:v>
                </c:pt>
                <c:pt idx="1">
                  <c:v>148</c:v>
                </c:pt>
                <c:pt idx="2">
                  <c:v>120</c:v>
                </c:pt>
                <c:pt idx="3">
                  <c:v>89</c:v>
                </c:pt>
                <c:pt idx="4" formatCode="0">
                  <c:v>337</c:v>
                </c:pt>
              </c:numCache>
            </c:numRef>
          </c:val>
        </c:ser>
        <c:dLbls>
          <c:showLegendKey val="0"/>
          <c:showVal val="0"/>
          <c:showCatName val="0"/>
          <c:showSerName val="0"/>
          <c:showPercent val="0"/>
          <c:showBubbleSize val="0"/>
          <c:showLeaderLines val="0"/>
        </c:dLbls>
        <c:firstSliceAng val="267"/>
      </c:pieChart>
      <c:spPr>
        <a:noFill/>
        <a:ln w="25398">
          <a:noFill/>
        </a:ln>
      </c:spPr>
    </c:plotArea>
    <c:plotVisOnly val="1"/>
    <c:dispBlanksAs val="gap"/>
    <c:showDLblsOverMax val="0"/>
  </c:chart>
  <c:spPr>
    <a:solidFill>
      <a:schemeClr val="bg1"/>
    </a:solidFill>
    <a:ln w="9524"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0.53128</cdr:x>
      <cdr:y>0.39184</cdr:y>
    </cdr:from>
    <cdr:to>
      <cdr:x>0.82768</cdr:x>
      <cdr:y>0.47279</cdr:y>
    </cdr:to>
    <cdr:sp macro="" textlink="">
      <cdr:nvSpPr>
        <cdr:cNvPr id="3" name="Text Box 2"/>
        <cdr:cNvSpPr txBox="1"/>
      </cdr:nvSpPr>
      <cdr:spPr>
        <a:xfrm xmlns:a="http://schemas.openxmlformats.org/drawingml/2006/main">
          <a:off x="2837882" y="1191334"/>
          <a:ext cx="1583257" cy="2461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sk-SK" sz="800">
              <a:solidFill>
                <a:schemeClr val="accent2"/>
              </a:solidFill>
              <a:latin typeface="Arial" panose="020B0604020202020204" pitchFamily="34" charset="0"/>
              <a:cs typeface="Arial" panose="020B0604020202020204" pitchFamily="34" charset="0"/>
            </a:rPr>
            <a:t>Priemerná miera úspešne vyriešených prípadov v EÚ</a:t>
          </a:r>
        </a:p>
      </cdr:txBody>
    </cdr:sp>
  </cdr:relSizeAnchor>
  <cdr:relSizeAnchor xmlns:cdr="http://schemas.openxmlformats.org/drawingml/2006/chartDrawing">
    <cdr:from>
      <cdr:x>0.32114</cdr:x>
      <cdr:y>0.70476</cdr:y>
    </cdr:from>
    <cdr:to>
      <cdr:x>0.45288</cdr:x>
      <cdr:y>0.78797</cdr:y>
    </cdr:to>
    <cdr:sp macro="" textlink="">
      <cdr:nvSpPr>
        <cdr:cNvPr id="2" name="Text Box 1"/>
        <cdr:cNvSpPr txBox="1"/>
      </cdr:nvSpPr>
      <cdr:spPr>
        <a:xfrm xmlns:a="http://schemas.openxmlformats.org/drawingml/2006/main">
          <a:off x="1719690" y="2154821"/>
          <a:ext cx="705458" cy="2544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sk-SK" sz="800">
              <a:solidFill>
                <a:schemeClr val="tx2"/>
              </a:solidFill>
              <a:latin typeface="Arial" panose="020B0604020202020204" pitchFamily="34" charset="0"/>
              <a:cs typeface="Arial" panose="020B0604020202020204" pitchFamily="34" charset="0"/>
            </a:rPr>
            <a:t>Maďarsko</a:t>
          </a:r>
          <a:endParaRPr lang="en-GB" sz="800">
            <a:solidFill>
              <a:schemeClr val="tx2"/>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0.17076</cdr:x>
      <cdr:y>0.56082</cdr:y>
    </cdr:from>
    <cdr:to>
      <cdr:x>0.29364</cdr:x>
      <cdr:y>0.62674</cdr:y>
    </cdr:to>
    <cdr:sp macro="" textlink="">
      <cdr:nvSpPr>
        <cdr:cNvPr id="4" name="Text Box 3"/>
        <cdr:cNvSpPr txBox="1"/>
      </cdr:nvSpPr>
      <cdr:spPr>
        <a:xfrm xmlns:a="http://schemas.openxmlformats.org/drawingml/2006/main">
          <a:off x="914400" y="1714720"/>
          <a:ext cx="658029" cy="20154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sk-SK" sz="800">
              <a:solidFill>
                <a:schemeClr val="tx2"/>
              </a:solidFill>
              <a:latin typeface="Arial" panose="020B0604020202020204" pitchFamily="34" charset="0"/>
              <a:cs typeface="Arial" panose="020B0604020202020204" pitchFamily="34" charset="0"/>
            </a:rPr>
            <a:t>Slovensko</a:t>
          </a:r>
          <a:endParaRPr lang="en-GB" sz="800">
            <a:solidFill>
              <a:schemeClr val="tx2"/>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0.24757</cdr:x>
      <cdr:y>0.31357</cdr:y>
    </cdr:from>
    <cdr:to>
      <cdr:x>0.39634</cdr:x>
      <cdr:y>0.36549</cdr:y>
    </cdr:to>
    <cdr:sp macro="" textlink="">
      <cdr:nvSpPr>
        <cdr:cNvPr id="5" name="Text Box 4"/>
        <cdr:cNvSpPr txBox="1"/>
      </cdr:nvSpPr>
      <cdr:spPr>
        <a:xfrm xmlns:a="http://schemas.openxmlformats.org/drawingml/2006/main">
          <a:off x="1325725" y="958738"/>
          <a:ext cx="796657" cy="15874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sk-SK" sz="800">
              <a:solidFill>
                <a:schemeClr val="tx2"/>
              </a:solidFill>
              <a:latin typeface="Arial" panose="020B0604020202020204" pitchFamily="34" charset="0"/>
              <a:cs typeface="Arial" panose="020B0604020202020204" pitchFamily="34" charset="0"/>
            </a:rPr>
            <a:t>Luxembursko</a:t>
          </a:r>
        </a:p>
        <a:p xmlns:a="http://schemas.openxmlformats.org/drawingml/2006/main">
          <a:endParaRPr lang="en-GB" sz="1100"/>
        </a:p>
      </cdr:txBody>
    </cdr:sp>
  </cdr:relSizeAnchor>
  <cdr:relSizeAnchor xmlns:cdr="http://schemas.openxmlformats.org/drawingml/2006/chartDrawing">
    <cdr:from>
      <cdr:x>0.16839</cdr:x>
      <cdr:y>0.77882</cdr:y>
    </cdr:from>
    <cdr:to>
      <cdr:x>0.34982</cdr:x>
      <cdr:y>0.85566</cdr:y>
    </cdr:to>
    <cdr:sp macro="" textlink="">
      <cdr:nvSpPr>
        <cdr:cNvPr id="6" name="Text Box 5"/>
        <cdr:cNvSpPr txBox="1"/>
      </cdr:nvSpPr>
      <cdr:spPr>
        <a:xfrm xmlns:a="http://schemas.openxmlformats.org/drawingml/2006/main">
          <a:off x="901700" y="2381250"/>
          <a:ext cx="971550" cy="2349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sk-SK" sz="800">
              <a:solidFill>
                <a:schemeClr val="tx2"/>
              </a:solidFill>
              <a:latin typeface="Arial" panose="020B0604020202020204" pitchFamily="34" charset="0"/>
              <a:cs typeface="Arial" panose="020B0604020202020204" pitchFamily="34" charset="0"/>
            </a:rPr>
            <a:t>Česká republika</a:t>
          </a:r>
        </a:p>
      </cdr:txBody>
    </cdr:sp>
  </cdr:relSizeAnchor>
</c:userShapes>
</file>

<file path=word/drawings/drawing2.xml><?xml version="1.0" encoding="utf-8"?>
<c:userShapes xmlns:c="http://schemas.openxmlformats.org/drawingml/2006/chart">
  <cdr:relSizeAnchor xmlns:cdr="http://schemas.openxmlformats.org/drawingml/2006/chartDrawing">
    <cdr:from>
      <cdr:x>0.06653</cdr:x>
      <cdr:y>0.45842</cdr:y>
    </cdr:from>
    <cdr:to>
      <cdr:x>0.35416</cdr:x>
      <cdr:y>0.5565</cdr:y>
    </cdr:to>
    <cdr:sp macro="" textlink="">
      <cdr:nvSpPr>
        <cdr:cNvPr id="2" name="Text Box 1"/>
        <cdr:cNvSpPr txBox="1"/>
      </cdr:nvSpPr>
      <cdr:spPr>
        <a:xfrm xmlns:a="http://schemas.openxmlformats.org/drawingml/2006/main">
          <a:off x="353785" y="1170214"/>
          <a:ext cx="1529443" cy="2503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a:p>
      </cdr:txBody>
    </cdr:sp>
  </cdr:relSizeAnchor>
  <cdr:relSizeAnchor xmlns:cdr="http://schemas.openxmlformats.org/drawingml/2006/chartDrawing">
    <cdr:from>
      <cdr:x>0.05118</cdr:x>
      <cdr:y>0.46695</cdr:y>
    </cdr:from>
    <cdr:to>
      <cdr:x>0.3255</cdr:x>
      <cdr:y>0.55011</cdr:y>
    </cdr:to>
    <cdr:sp macro="" textlink="">
      <cdr:nvSpPr>
        <cdr:cNvPr id="3" name="Text Box 2"/>
        <cdr:cNvSpPr txBox="1"/>
      </cdr:nvSpPr>
      <cdr:spPr>
        <a:xfrm xmlns:a="http://schemas.openxmlformats.org/drawingml/2006/main">
          <a:off x="272142" y="1191985"/>
          <a:ext cx="1458686" cy="21227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a:p>
      </cdr:txBody>
    </cdr:sp>
  </cdr:relSizeAnchor>
  <cdr:relSizeAnchor xmlns:cdr="http://schemas.openxmlformats.org/drawingml/2006/chartDrawing">
    <cdr:from>
      <cdr:x>0.04299</cdr:x>
      <cdr:y>0.61037</cdr:y>
    </cdr:from>
    <cdr:to>
      <cdr:x>0.34339</cdr:x>
      <cdr:y>0.69779</cdr:y>
    </cdr:to>
    <cdr:sp macro="" textlink="">
      <cdr:nvSpPr>
        <cdr:cNvPr id="4" name="Text Box 3"/>
        <cdr:cNvSpPr txBox="1"/>
      </cdr:nvSpPr>
      <cdr:spPr>
        <a:xfrm xmlns:a="http://schemas.openxmlformats.org/drawingml/2006/main">
          <a:off x="228954" y="1902267"/>
          <a:ext cx="1599846" cy="27245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sk-SK" sz="900">
              <a:solidFill>
                <a:srgbClr val="C00000"/>
              </a:solidFill>
              <a:latin typeface="Verdana" panose="020B0604030504040204" pitchFamily="34" charset="0"/>
              <a:ea typeface="Verdana" panose="020B0604030504040204" pitchFamily="34" charset="0"/>
              <a:cs typeface="Verdana" panose="020B0604030504040204" pitchFamily="34" charset="0"/>
            </a:rPr>
            <a:t>Referenčný údaj 70 dní</a:t>
          </a:r>
          <a:endParaRPr lang="en-GB" sz="900">
            <a:solidFill>
              <a:srgbClr val="C00000"/>
            </a:solidFill>
            <a:latin typeface="Verdana" panose="020B0604030504040204" pitchFamily="34" charset="0"/>
            <a:ea typeface="Verdana" panose="020B0604030504040204" pitchFamily="34" charset="0"/>
            <a:cs typeface="Verdana" panose="020B060403050404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9F0726229EA944A351C92A661F0C83" ma:contentTypeVersion="0" ma:contentTypeDescription="Create a new document." ma:contentTypeScope="" ma:versionID="52fd43feccd3b2c7b93776ef59e17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5CDC4-13F9-4318-8328-1A8BB0A81085}">
  <ds:schemaRefs>
    <ds:schemaRef ds:uri="http://schemas.microsoft.com/sharepoint/v3/contenttype/forms"/>
  </ds:schemaRefs>
</ds:datastoreItem>
</file>

<file path=customXml/itemProps2.xml><?xml version="1.0" encoding="utf-8"?>
<ds:datastoreItem xmlns:ds="http://schemas.openxmlformats.org/officeDocument/2006/customXml" ds:itemID="{EDD2C900-15F6-4645-A8D4-C4AF3628C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2523B20-7D97-4BD4-88D4-2A70342568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7C0762-5FB9-4EC9-81E4-36B134581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154</TotalTime>
  <Pages>40</Pages>
  <Words>10564</Words>
  <Characters>65182</Characters>
  <Application>Microsoft Office Word</Application>
  <DocSecurity>0</DocSecurity>
  <PresentationFormat>Microsoft Word 11.0</PresentationFormat>
  <Lines>1051</Lines>
  <Paragraphs>430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75316</CharactersWithSpaces>
  <SharedDoc>false</SharedDoc>
  <HyperlinkBase/>
  <HLinks>
    <vt:vector size="444" baseType="variant">
      <vt:variant>
        <vt:i4>1310783</vt:i4>
      </vt:variant>
      <vt:variant>
        <vt:i4>146</vt:i4>
      </vt:variant>
      <vt:variant>
        <vt:i4>0</vt:i4>
      </vt:variant>
      <vt:variant>
        <vt:i4>5</vt:i4>
      </vt:variant>
      <vt:variant>
        <vt:lpwstr/>
      </vt:variant>
      <vt:variant>
        <vt:lpwstr>_Toc444796668</vt:lpwstr>
      </vt:variant>
      <vt:variant>
        <vt:i4>1310783</vt:i4>
      </vt:variant>
      <vt:variant>
        <vt:i4>140</vt:i4>
      </vt:variant>
      <vt:variant>
        <vt:i4>0</vt:i4>
      </vt:variant>
      <vt:variant>
        <vt:i4>5</vt:i4>
      </vt:variant>
      <vt:variant>
        <vt:lpwstr/>
      </vt:variant>
      <vt:variant>
        <vt:lpwstr>_Toc444796667</vt:lpwstr>
      </vt:variant>
      <vt:variant>
        <vt:i4>1310783</vt:i4>
      </vt:variant>
      <vt:variant>
        <vt:i4>134</vt:i4>
      </vt:variant>
      <vt:variant>
        <vt:i4>0</vt:i4>
      </vt:variant>
      <vt:variant>
        <vt:i4>5</vt:i4>
      </vt:variant>
      <vt:variant>
        <vt:lpwstr/>
      </vt:variant>
      <vt:variant>
        <vt:lpwstr>_Toc444796666</vt:lpwstr>
      </vt:variant>
      <vt:variant>
        <vt:i4>1310783</vt:i4>
      </vt:variant>
      <vt:variant>
        <vt:i4>128</vt:i4>
      </vt:variant>
      <vt:variant>
        <vt:i4>0</vt:i4>
      </vt:variant>
      <vt:variant>
        <vt:i4>5</vt:i4>
      </vt:variant>
      <vt:variant>
        <vt:lpwstr/>
      </vt:variant>
      <vt:variant>
        <vt:lpwstr>_Toc444796665</vt:lpwstr>
      </vt:variant>
      <vt:variant>
        <vt:i4>1310783</vt:i4>
      </vt:variant>
      <vt:variant>
        <vt:i4>122</vt:i4>
      </vt:variant>
      <vt:variant>
        <vt:i4>0</vt:i4>
      </vt:variant>
      <vt:variant>
        <vt:i4>5</vt:i4>
      </vt:variant>
      <vt:variant>
        <vt:lpwstr/>
      </vt:variant>
      <vt:variant>
        <vt:lpwstr>_Toc444796664</vt:lpwstr>
      </vt:variant>
      <vt:variant>
        <vt:i4>1310783</vt:i4>
      </vt:variant>
      <vt:variant>
        <vt:i4>116</vt:i4>
      </vt:variant>
      <vt:variant>
        <vt:i4>0</vt:i4>
      </vt:variant>
      <vt:variant>
        <vt:i4>5</vt:i4>
      </vt:variant>
      <vt:variant>
        <vt:lpwstr/>
      </vt:variant>
      <vt:variant>
        <vt:lpwstr>_Toc444796663</vt:lpwstr>
      </vt:variant>
      <vt:variant>
        <vt:i4>1310783</vt:i4>
      </vt:variant>
      <vt:variant>
        <vt:i4>110</vt:i4>
      </vt:variant>
      <vt:variant>
        <vt:i4>0</vt:i4>
      </vt:variant>
      <vt:variant>
        <vt:i4>5</vt:i4>
      </vt:variant>
      <vt:variant>
        <vt:lpwstr/>
      </vt:variant>
      <vt:variant>
        <vt:lpwstr>_Toc444796662</vt:lpwstr>
      </vt:variant>
      <vt:variant>
        <vt:i4>1310783</vt:i4>
      </vt:variant>
      <vt:variant>
        <vt:i4>104</vt:i4>
      </vt:variant>
      <vt:variant>
        <vt:i4>0</vt:i4>
      </vt:variant>
      <vt:variant>
        <vt:i4>5</vt:i4>
      </vt:variant>
      <vt:variant>
        <vt:lpwstr/>
      </vt:variant>
      <vt:variant>
        <vt:lpwstr>_Toc444796661</vt:lpwstr>
      </vt:variant>
      <vt:variant>
        <vt:i4>1310783</vt:i4>
      </vt:variant>
      <vt:variant>
        <vt:i4>98</vt:i4>
      </vt:variant>
      <vt:variant>
        <vt:i4>0</vt:i4>
      </vt:variant>
      <vt:variant>
        <vt:i4>5</vt:i4>
      </vt:variant>
      <vt:variant>
        <vt:lpwstr/>
      </vt:variant>
      <vt:variant>
        <vt:lpwstr>_Toc444796660</vt:lpwstr>
      </vt:variant>
      <vt:variant>
        <vt:i4>1507391</vt:i4>
      </vt:variant>
      <vt:variant>
        <vt:i4>92</vt:i4>
      </vt:variant>
      <vt:variant>
        <vt:i4>0</vt:i4>
      </vt:variant>
      <vt:variant>
        <vt:i4>5</vt:i4>
      </vt:variant>
      <vt:variant>
        <vt:lpwstr/>
      </vt:variant>
      <vt:variant>
        <vt:lpwstr>_Toc444796659</vt:lpwstr>
      </vt:variant>
      <vt:variant>
        <vt:i4>1507391</vt:i4>
      </vt:variant>
      <vt:variant>
        <vt:i4>86</vt:i4>
      </vt:variant>
      <vt:variant>
        <vt:i4>0</vt:i4>
      </vt:variant>
      <vt:variant>
        <vt:i4>5</vt:i4>
      </vt:variant>
      <vt:variant>
        <vt:lpwstr/>
      </vt:variant>
      <vt:variant>
        <vt:lpwstr>_Toc444796658</vt:lpwstr>
      </vt:variant>
      <vt:variant>
        <vt:i4>1507391</vt:i4>
      </vt:variant>
      <vt:variant>
        <vt:i4>80</vt:i4>
      </vt:variant>
      <vt:variant>
        <vt:i4>0</vt:i4>
      </vt:variant>
      <vt:variant>
        <vt:i4>5</vt:i4>
      </vt:variant>
      <vt:variant>
        <vt:lpwstr/>
      </vt:variant>
      <vt:variant>
        <vt:lpwstr>_Toc444796657</vt:lpwstr>
      </vt:variant>
      <vt:variant>
        <vt:i4>1507391</vt:i4>
      </vt:variant>
      <vt:variant>
        <vt:i4>74</vt:i4>
      </vt:variant>
      <vt:variant>
        <vt:i4>0</vt:i4>
      </vt:variant>
      <vt:variant>
        <vt:i4>5</vt:i4>
      </vt:variant>
      <vt:variant>
        <vt:lpwstr/>
      </vt:variant>
      <vt:variant>
        <vt:lpwstr>_Toc444796656</vt:lpwstr>
      </vt:variant>
      <vt:variant>
        <vt:i4>1507391</vt:i4>
      </vt:variant>
      <vt:variant>
        <vt:i4>68</vt:i4>
      </vt:variant>
      <vt:variant>
        <vt:i4>0</vt:i4>
      </vt:variant>
      <vt:variant>
        <vt:i4>5</vt:i4>
      </vt:variant>
      <vt:variant>
        <vt:lpwstr/>
      </vt:variant>
      <vt:variant>
        <vt:lpwstr>_Toc444796655</vt:lpwstr>
      </vt:variant>
      <vt:variant>
        <vt:i4>1507391</vt:i4>
      </vt:variant>
      <vt:variant>
        <vt:i4>62</vt:i4>
      </vt:variant>
      <vt:variant>
        <vt:i4>0</vt:i4>
      </vt:variant>
      <vt:variant>
        <vt:i4>5</vt:i4>
      </vt:variant>
      <vt:variant>
        <vt:lpwstr/>
      </vt:variant>
      <vt:variant>
        <vt:lpwstr>_Toc444796654</vt:lpwstr>
      </vt:variant>
      <vt:variant>
        <vt:i4>1507391</vt:i4>
      </vt:variant>
      <vt:variant>
        <vt:i4>56</vt:i4>
      </vt:variant>
      <vt:variant>
        <vt:i4>0</vt:i4>
      </vt:variant>
      <vt:variant>
        <vt:i4>5</vt:i4>
      </vt:variant>
      <vt:variant>
        <vt:lpwstr/>
      </vt:variant>
      <vt:variant>
        <vt:lpwstr>_Toc444796653</vt:lpwstr>
      </vt:variant>
      <vt:variant>
        <vt:i4>1507391</vt:i4>
      </vt:variant>
      <vt:variant>
        <vt:i4>50</vt:i4>
      </vt:variant>
      <vt:variant>
        <vt:i4>0</vt:i4>
      </vt:variant>
      <vt:variant>
        <vt:i4>5</vt:i4>
      </vt:variant>
      <vt:variant>
        <vt:lpwstr/>
      </vt:variant>
      <vt:variant>
        <vt:lpwstr>_Toc444796652</vt:lpwstr>
      </vt:variant>
      <vt:variant>
        <vt:i4>1507391</vt:i4>
      </vt:variant>
      <vt:variant>
        <vt:i4>44</vt:i4>
      </vt:variant>
      <vt:variant>
        <vt:i4>0</vt:i4>
      </vt:variant>
      <vt:variant>
        <vt:i4>5</vt:i4>
      </vt:variant>
      <vt:variant>
        <vt:lpwstr/>
      </vt:variant>
      <vt:variant>
        <vt:lpwstr>_Toc444796651</vt:lpwstr>
      </vt:variant>
      <vt:variant>
        <vt:i4>1507391</vt:i4>
      </vt:variant>
      <vt:variant>
        <vt:i4>38</vt:i4>
      </vt:variant>
      <vt:variant>
        <vt:i4>0</vt:i4>
      </vt:variant>
      <vt:variant>
        <vt:i4>5</vt:i4>
      </vt:variant>
      <vt:variant>
        <vt:lpwstr/>
      </vt:variant>
      <vt:variant>
        <vt:lpwstr>_Toc444796650</vt:lpwstr>
      </vt:variant>
      <vt:variant>
        <vt:i4>1441855</vt:i4>
      </vt:variant>
      <vt:variant>
        <vt:i4>32</vt:i4>
      </vt:variant>
      <vt:variant>
        <vt:i4>0</vt:i4>
      </vt:variant>
      <vt:variant>
        <vt:i4>5</vt:i4>
      </vt:variant>
      <vt:variant>
        <vt:lpwstr/>
      </vt:variant>
      <vt:variant>
        <vt:lpwstr>_Toc444796649</vt:lpwstr>
      </vt:variant>
      <vt:variant>
        <vt:i4>1441855</vt:i4>
      </vt:variant>
      <vt:variant>
        <vt:i4>26</vt:i4>
      </vt:variant>
      <vt:variant>
        <vt:i4>0</vt:i4>
      </vt:variant>
      <vt:variant>
        <vt:i4>5</vt:i4>
      </vt:variant>
      <vt:variant>
        <vt:lpwstr/>
      </vt:variant>
      <vt:variant>
        <vt:lpwstr>_Toc444796648</vt:lpwstr>
      </vt:variant>
      <vt:variant>
        <vt:i4>1441855</vt:i4>
      </vt:variant>
      <vt:variant>
        <vt:i4>20</vt:i4>
      </vt:variant>
      <vt:variant>
        <vt:i4>0</vt:i4>
      </vt:variant>
      <vt:variant>
        <vt:i4>5</vt:i4>
      </vt:variant>
      <vt:variant>
        <vt:lpwstr/>
      </vt:variant>
      <vt:variant>
        <vt:lpwstr>_Toc444796647</vt:lpwstr>
      </vt:variant>
      <vt:variant>
        <vt:i4>1441855</vt:i4>
      </vt:variant>
      <vt:variant>
        <vt:i4>14</vt:i4>
      </vt:variant>
      <vt:variant>
        <vt:i4>0</vt:i4>
      </vt:variant>
      <vt:variant>
        <vt:i4>5</vt:i4>
      </vt:variant>
      <vt:variant>
        <vt:lpwstr/>
      </vt:variant>
      <vt:variant>
        <vt:lpwstr>_Toc444796646</vt:lpwstr>
      </vt:variant>
      <vt:variant>
        <vt:i4>1441855</vt:i4>
      </vt:variant>
      <vt:variant>
        <vt:i4>8</vt:i4>
      </vt:variant>
      <vt:variant>
        <vt:i4>0</vt:i4>
      </vt:variant>
      <vt:variant>
        <vt:i4>5</vt:i4>
      </vt:variant>
      <vt:variant>
        <vt:lpwstr/>
      </vt:variant>
      <vt:variant>
        <vt:lpwstr>_Toc444796644</vt:lpwstr>
      </vt:variant>
      <vt:variant>
        <vt:i4>1441855</vt:i4>
      </vt:variant>
      <vt:variant>
        <vt:i4>2</vt:i4>
      </vt:variant>
      <vt:variant>
        <vt:i4>0</vt:i4>
      </vt:variant>
      <vt:variant>
        <vt:i4>5</vt:i4>
      </vt:variant>
      <vt:variant>
        <vt:lpwstr/>
      </vt:variant>
      <vt:variant>
        <vt:lpwstr>_Toc444796643</vt:lpwstr>
      </vt:variant>
      <vt:variant>
        <vt:i4>524379</vt:i4>
      </vt:variant>
      <vt:variant>
        <vt:i4>153</vt:i4>
      </vt:variant>
      <vt:variant>
        <vt:i4>0</vt:i4>
      </vt:variant>
      <vt:variant>
        <vt:i4>5</vt:i4>
      </vt:variant>
      <vt:variant>
        <vt:lpwstr>http://eur-lex.europa.eu/legal-content/EN/TXT/?qid=1455020837566&amp;uri=CELEX:32012L0019</vt:lpwstr>
      </vt:variant>
      <vt:variant>
        <vt:lpwstr/>
      </vt:variant>
      <vt:variant>
        <vt:i4>524379</vt:i4>
      </vt:variant>
      <vt:variant>
        <vt:i4>150</vt:i4>
      </vt:variant>
      <vt:variant>
        <vt:i4>0</vt:i4>
      </vt:variant>
      <vt:variant>
        <vt:i4>5</vt:i4>
      </vt:variant>
      <vt:variant>
        <vt:lpwstr>http://eur-lex.europa.eu/legal-content/EN/TXT/?qid=1455020837566&amp;uri=CELEX:32012L0019</vt:lpwstr>
      </vt:variant>
      <vt:variant>
        <vt:lpwstr/>
      </vt:variant>
      <vt:variant>
        <vt:i4>524379</vt:i4>
      </vt:variant>
      <vt:variant>
        <vt:i4>147</vt:i4>
      </vt:variant>
      <vt:variant>
        <vt:i4>0</vt:i4>
      </vt:variant>
      <vt:variant>
        <vt:i4>5</vt:i4>
      </vt:variant>
      <vt:variant>
        <vt:lpwstr>http://eur-lex.europa.eu/legal-content/EN/TXT/?qid=1455020837566&amp;uri=CELEX:32012L0019</vt:lpwstr>
      </vt:variant>
      <vt:variant>
        <vt:lpwstr/>
      </vt:variant>
      <vt:variant>
        <vt:i4>524379</vt:i4>
      </vt:variant>
      <vt:variant>
        <vt:i4>135</vt:i4>
      </vt:variant>
      <vt:variant>
        <vt:i4>0</vt:i4>
      </vt:variant>
      <vt:variant>
        <vt:i4>5</vt:i4>
      </vt:variant>
      <vt:variant>
        <vt:lpwstr>http://eur-lex.europa.eu/legal-content/EN/TXT/?qid=1455020837566&amp;uri=CELEX:32012L0019</vt:lpwstr>
      </vt:variant>
      <vt:variant>
        <vt:lpwstr/>
      </vt:variant>
      <vt:variant>
        <vt:i4>3539004</vt:i4>
      </vt:variant>
      <vt:variant>
        <vt:i4>132</vt:i4>
      </vt:variant>
      <vt:variant>
        <vt:i4>0</vt:i4>
      </vt:variant>
      <vt:variant>
        <vt:i4>5</vt:i4>
      </vt:variant>
      <vt:variant>
        <vt:lpwstr>http://curia.europa.eu/juris/liste.jsf?pro=&amp;nat=or&amp;oqp=&amp;dates=&amp;lg=&amp;language=en&amp;jur=C%2CT%2CF&amp;cit=none%252CC%252CCJ%252CR%252C2008E%252C%252C%252C%252C%252C%252C%252C%252C%252C%252Ctrue%252Cfalse%252Cfalse&amp;num=C-546%252F15&amp;td=%3BALL&amp;pcs=Oor&amp;avg=&amp;page=1&amp;mat=or&amp;jge=&amp;for=&amp;cid=402301</vt:lpwstr>
      </vt:variant>
      <vt:variant>
        <vt:lpwstr/>
      </vt:variant>
      <vt:variant>
        <vt:i4>3145776</vt:i4>
      </vt:variant>
      <vt:variant>
        <vt:i4>129</vt:i4>
      </vt:variant>
      <vt:variant>
        <vt:i4>0</vt:i4>
      </vt:variant>
      <vt:variant>
        <vt:i4>5</vt:i4>
      </vt:variant>
      <vt:variant>
        <vt:lpwstr>http://curia.europa.eu/juris/liste.jsf?pro=&amp;nat=or&amp;oqp=&amp;dates=&amp;lg=&amp;language=en&amp;jur=C%2CT%2CF&amp;cit=none%252CC%252CCJ%252CR%252C2008E%252C%252C%252C%252C%252C%252C%252C%252C%252C%252Ctrue%252Cfalse%252Cfalse&amp;num=C-683%252F15&amp;td=%3BALL&amp;pcs=Oor&amp;avg=&amp;page=1&amp;mat=or&amp;jge=&amp;for=&amp;cid=413937</vt:lpwstr>
      </vt:variant>
      <vt:variant>
        <vt:lpwstr/>
      </vt:variant>
      <vt:variant>
        <vt:i4>983133</vt:i4>
      </vt:variant>
      <vt:variant>
        <vt:i4>126</vt:i4>
      </vt:variant>
      <vt:variant>
        <vt:i4>0</vt:i4>
      </vt:variant>
      <vt:variant>
        <vt:i4>5</vt:i4>
      </vt:variant>
      <vt:variant>
        <vt:lpwstr>http://eur-lex.europa.eu/legal-content/EN/TXT/?qid=1487785592206&amp;uri=CELEX:32014L0026</vt:lpwstr>
      </vt:variant>
      <vt:variant>
        <vt:lpwstr/>
      </vt:variant>
      <vt:variant>
        <vt:i4>196690</vt:i4>
      </vt:variant>
      <vt:variant>
        <vt:i4>123</vt:i4>
      </vt:variant>
      <vt:variant>
        <vt:i4>0</vt:i4>
      </vt:variant>
      <vt:variant>
        <vt:i4>5</vt:i4>
      </vt:variant>
      <vt:variant>
        <vt:lpwstr>http://eur-lex.europa.eu/legal-content/EN/TXT/?qid=1487785379675&amp;uri=CELEX:32015L0565</vt:lpwstr>
      </vt:variant>
      <vt:variant>
        <vt:lpwstr/>
      </vt:variant>
      <vt:variant>
        <vt:i4>89</vt:i4>
      </vt:variant>
      <vt:variant>
        <vt:i4>120</vt:i4>
      </vt:variant>
      <vt:variant>
        <vt:i4>0</vt:i4>
      </vt:variant>
      <vt:variant>
        <vt:i4>5</vt:i4>
      </vt:variant>
      <vt:variant>
        <vt:lpwstr>http://eur-lex.europa.eu/legal-content/EN/TXT/?qid=1487785252330&amp;uri=CELEX:32014L0061</vt:lpwstr>
      </vt:variant>
      <vt:variant>
        <vt:lpwstr/>
      </vt:variant>
      <vt:variant>
        <vt:i4>7209083</vt:i4>
      </vt:variant>
      <vt:variant>
        <vt:i4>117</vt:i4>
      </vt:variant>
      <vt:variant>
        <vt:i4>0</vt:i4>
      </vt:variant>
      <vt:variant>
        <vt:i4>5</vt:i4>
      </vt:variant>
      <vt:variant>
        <vt:lpwstr>http://curia.europa.eu/juris/liste.jsf?language=en&amp;num=C-167/14</vt:lpwstr>
      </vt:variant>
      <vt:variant>
        <vt:lpwstr/>
      </vt:variant>
      <vt:variant>
        <vt:i4>3342359</vt:i4>
      </vt:variant>
      <vt:variant>
        <vt:i4>114</vt:i4>
      </vt:variant>
      <vt:variant>
        <vt:i4>0</vt:i4>
      </vt:variant>
      <vt:variant>
        <vt:i4>5</vt:i4>
      </vt:variant>
      <vt:variant>
        <vt:lpwstr>http://eur-lex.europa.eu/legal-content/EN/TXT/?uri=uriserv%3AOJ.C_.2017.018.01.0010.01.ENG&amp;toc=OJ%3AC%3A2017%3A018%3ATOC</vt:lpwstr>
      </vt:variant>
      <vt:variant>
        <vt:lpwstr/>
      </vt:variant>
      <vt:variant>
        <vt:i4>6488160</vt:i4>
      </vt:variant>
      <vt:variant>
        <vt:i4>111</vt:i4>
      </vt:variant>
      <vt:variant>
        <vt:i4>0</vt:i4>
      </vt:variant>
      <vt:variant>
        <vt:i4>5</vt:i4>
      </vt:variant>
      <vt:variant>
        <vt:lpwstr>http://eur-lex.europa.eu/legal-content/EN/TXT/?qid=1458663251852&amp;uri=CELEX:52012DC0154</vt:lpwstr>
      </vt:variant>
      <vt:variant>
        <vt:lpwstr/>
      </vt:variant>
      <vt:variant>
        <vt:i4>983134</vt:i4>
      </vt:variant>
      <vt:variant>
        <vt:i4>108</vt:i4>
      </vt:variant>
      <vt:variant>
        <vt:i4>0</vt:i4>
      </vt:variant>
      <vt:variant>
        <vt:i4>5</vt:i4>
      </vt:variant>
      <vt:variant>
        <vt:lpwstr>http://eur-lex.europa.eu/legal-content/EN/TXT/?qid=1487781404259&amp;uri=CELEX:32014L0104</vt:lpwstr>
      </vt:variant>
      <vt:variant>
        <vt:lpwstr/>
      </vt:variant>
      <vt:variant>
        <vt:i4>983133</vt:i4>
      </vt:variant>
      <vt:variant>
        <vt:i4>105</vt:i4>
      </vt:variant>
      <vt:variant>
        <vt:i4>0</vt:i4>
      </vt:variant>
      <vt:variant>
        <vt:i4>5</vt:i4>
      </vt:variant>
      <vt:variant>
        <vt:lpwstr>http://eur-lex.europa.eu/legal-content/EN/TXT/?qid=1487785592206&amp;uri=CELEX:32014L0026</vt:lpwstr>
      </vt:variant>
      <vt:variant>
        <vt:lpwstr/>
      </vt:variant>
      <vt:variant>
        <vt:i4>196695</vt:i4>
      </vt:variant>
      <vt:variant>
        <vt:i4>102</vt:i4>
      </vt:variant>
      <vt:variant>
        <vt:i4>0</vt:i4>
      </vt:variant>
      <vt:variant>
        <vt:i4>5</vt:i4>
      </vt:variant>
      <vt:variant>
        <vt:lpwstr>http://eur-lex.europa.eu/legal-content/EN/TXT/?qid=1487784658133&amp;uri=CELEX:32014L0054</vt:lpwstr>
      </vt:variant>
      <vt:variant>
        <vt:lpwstr/>
      </vt:variant>
      <vt:variant>
        <vt:i4>327764</vt:i4>
      </vt:variant>
      <vt:variant>
        <vt:i4>99</vt:i4>
      </vt:variant>
      <vt:variant>
        <vt:i4>0</vt:i4>
      </vt:variant>
      <vt:variant>
        <vt:i4>5</vt:i4>
      </vt:variant>
      <vt:variant>
        <vt:lpwstr>http://eur-lex.europa.eu/legal-content/EN/TXT/?qid=1454943265567&amp;uri=CELEX:32013L0034</vt:lpwstr>
      </vt:variant>
      <vt:variant>
        <vt:lpwstr/>
      </vt:variant>
      <vt:variant>
        <vt:i4>1900565</vt:i4>
      </vt:variant>
      <vt:variant>
        <vt:i4>96</vt:i4>
      </vt:variant>
      <vt:variant>
        <vt:i4>0</vt:i4>
      </vt:variant>
      <vt:variant>
        <vt:i4>5</vt:i4>
      </vt:variant>
      <vt:variant>
        <vt:lpwstr>http://eur-lex.europa.eu/legal-content/EN/TXT/?uri=OJ:C:2011:369:TOC</vt:lpwstr>
      </vt:variant>
      <vt:variant>
        <vt:lpwstr/>
      </vt:variant>
      <vt:variant>
        <vt:i4>1900565</vt:i4>
      </vt:variant>
      <vt:variant>
        <vt:i4>93</vt:i4>
      </vt:variant>
      <vt:variant>
        <vt:i4>0</vt:i4>
      </vt:variant>
      <vt:variant>
        <vt:i4>5</vt:i4>
      </vt:variant>
      <vt:variant>
        <vt:lpwstr>http://eur-lex.europa.eu/legal-content/EN/TXT/?uri=OJ:C:2011:369:TOC</vt:lpwstr>
      </vt:variant>
      <vt:variant>
        <vt:lpwstr/>
      </vt:variant>
      <vt:variant>
        <vt:i4>327761</vt:i4>
      </vt:variant>
      <vt:variant>
        <vt:i4>90</vt:i4>
      </vt:variant>
      <vt:variant>
        <vt:i4>0</vt:i4>
      </vt:variant>
      <vt:variant>
        <vt:i4>5</vt:i4>
      </vt:variant>
      <vt:variant>
        <vt:lpwstr>http://eur-lex.europa.eu/legal-content/EN/TXT/?qid=1454941454344&amp;uri=CELEX:32006L0126</vt:lpwstr>
      </vt:variant>
      <vt:variant>
        <vt:lpwstr/>
      </vt:variant>
      <vt:variant>
        <vt:i4>6422635</vt:i4>
      </vt:variant>
      <vt:variant>
        <vt:i4>87</vt:i4>
      </vt:variant>
      <vt:variant>
        <vt:i4>0</vt:i4>
      </vt:variant>
      <vt:variant>
        <vt:i4>5</vt:i4>
      </vt:variant>
      <vt:variant>
        <vt:lpwstr>http://eur-lex.europa.eu/legal-content/EN/TXT/?qid=1454940452353&amp;uri=CELEX:52015DC0550</vt:lpwstr>
      </vt:variant>
      <vt:variant>
        <vt:lpwstr/>
      </vt:variant>
      <vt:variant>
        <vt:i4>983131</vt:i4>
      </vt:variant>
      <vt:variant>
        <vt:i4>84</vt:i4>
      </vt:variant>
      <vt:variant>
        <vt:i4>0</vt:i4>
      </vt:variant>
      <vt:variant>
        <vt:i4>5</vt:i4>
      </vt:variant>
      <vt:variant>
        <vt:lpwstr>http://eur-lex.europa.eu/legal-content/EN/TXT/?qid=1456480487321&amp;uri=CELEX:32009L0031</vt:lpwstr>
      </vt:variant>
      <vt:variant>
        <vt:lpwstr/>
      </vt:variant>
      <vt:variant>
        <vt:i4>786520</vt:i4>
      </vt:variant>
      <vt:variant>
        <vt:i4>81</vt:i4>
      </vt:variant>
      <vt:variant>
        <vt:i4>0</vt:i4>
      </vt:variant>
      <vt:variant>
        <vt:i4>5</vt:i4>
      </vt:variant>
      <vt:variant>
        <vt:lpwstr>http://eur-lex.europa.eu/legal-content/EN/TXT/?qid=1463669382881&amp;uri=CELEX:32009L0030</vt:lpwstr>
      </vt:variant>
      <vt:variant>
        <vt:lpwstr/>
      </vt:variant>
      <vt:variant>
        <vt:i4>327767</vt:i4>
      </vt:variant>
      <vt:variant>
        <vt:i4>78</vt:i4>
      </vt:variant>
      <vt:variant>
        <vt:i4>0</vt:i4>
      </vt:variant>
      <vt:variant>
        <vt:i4>5</vt:i4>
      </vt:variant>
      <vt:variant>
        <vt:lpwstr>http://eur-lex.europa.eu/legal-content/EN/TXT/?qid=1463667806483&amp;uri=CELEX:32009L0029</vt:lpwstr>
      </vt:variant>
      <vt:variant>
        <vt:lpwstr/>
      </vt:variant>
      <vt:variant>
        <vt:i4>83</vt:i4>
      </vt:variant>
      <vt:variant>
        <vt:i4>75</vt:i4>
      </vt:variant>
      <vt:variant>
        <vt:i4>0</vt:i4>
      </vt:variant>
      <vt:variant>
        <vt:i4>5</vt:i4>
      </vt:variant>
      <vt:variant>
        <vt:lpwstr>http://eur-lex.europa.eu/legal-content/EN/TXT/?qid=1456480409255&amp;uri=CELEX:32008L0101</vt:lpwstr>
      </vt:variant>
      <vt:variant>
        <vt:lpwstr/>
      </vt:variant>
      <vt:variant>
        <vt:i4>196685</vt:i4>
      </vt:variant>
      <vt:variant>
        <vt:i4>72</vt:i4>
      </vt:variant>
      <vt:variant>
        <vt:i4>0</vt:i4>
      </vt:variant>
      <vt:variant>
        <vt:i4>5</vt:i4>
      </vt:variant>
      <vt:variant>
        <vt:lpwstr>http://eur-lex.europa.eu/legal-content/EN/TXT/?qid=1487785780771&amp;uri=CELEX:32010R0994</vt:lpwstr>
      </vt:variant>
      <vt:variant>
        <vt:lpwstr/>
      </vt:variant>
      <vt:variant>
        <vt:i4>917584</vt:i4>
      </vt:variant>
      <vt:variant>
        <vt:i4>69</vt:i4>
      </vt:variant>
      <vt:variant>
        <vt:i4>0</vt:i4>
      </vt:variant>
      <vt:variant>
        <vt:i4>5</vt:i4>
      </vt:variant>
      <vt:variant>
        <vt:lpwstr>http://eur-lex.europa.eu/legal-content/EN/TXT/?qid=1454940105317&amp;uri=CELEX:32009L0119</vt:lpwstr>
      </vt:variant>
      <vt:variant>
        <vt:lpwstr/>
      </vt:variant>
      <vt:variant>
        <vt:i4>3473455</vt:i4>
      </vt:variant>
      <vt:variant>
        <vt:i4>66</vt:i4>
      </vt:variant>
      <vt:variant>
        <vt:i4>0</vt:i4>
      </vt:variant>
      <vt:variant>
        <vt:i4>5</vt:i4>
      </vt:variant>
      <vt:variant>
        <vt:lpwstr>http://eur-lex.europa.eu/legal-content/EN/ALL/?uri=CELEX:32009L0028</vt:lpwstr>
      </vt:variant>
      <vt:variant>
        <vt:lpwstr/>
      </vt:variant>
      <vt:variant>
        <vt:i4>524375</vt:i4>
      </vt:variant>
      <vt:variant>
        <vt:i4>63</vt:i4>
      </vt:variant>
      <vt:variant>
        <vt:i4>0</vt:i4>
      </vt:variant>
      <vt:variant>
        <vt:i4>5</vt:i4>
      </vt:variant>
      <vt:variant>
        <vt:lpwstr>http://eur-lex.europa.eu/legal-content/EN/TXT/?qid=1454940030920&amp;uri=CELEX:32013L0030</vt:lpwstr>
      </vt:variant>
      <vt:variant>
        <vt:lpwstr/>
      </vt:variant>
      <vt:variant>
        <vt:i4>262235</vt:i4>
      </vt:variant>
      <vt:variant>
        <vt:i4>60</vt:i4>
      </vt:variant>
      <vt:variant>
        <vt:i4>0</vt:i4>
      </vt:variant>
      <vt:variant>
        <vt:i4>5</vt:i4>
      </vt:variant>
      <vt:variant>
        <vt:lpwstr>http://eur-lex.europa.eu/legal-content/EN/TXT/?qid=1454940056281&amp;uri=CELEX:32012L0027</vt:lpwstr>
      </vt:variant>
      <vt:variant>
        <vt:lpwstr/>
      </vt:variant>
      <vt:variant>
        <vt:i4>65616</vt:i4>
      </vt:variant>
      <vt:variant>
        <vt:i4>57</vt:i4>
      </vt:variant>
      <vt:variant>
        <vt:i4>0</vt:i4>
      </vt:variant>
      <vt:variant>
        <vt:i4>5</vt:i4>
      </vt:variant>
      <vt:variant>
        <vt:lpwstr>http://eur-lex.europa.eu/legal-content/EN/TXT/?qid=1454940211165&amp;uri=CELEX:32011L0070</vt:lpwstr>
      </vt:variant>
      <vt:variant>
        <vt:lpwstr/>
      </vt:variant>
      <vt:variant>
        <vt:i4>458844</vt:i4>
      </vt:variant>
      <vt:variant>
        <vt:i4>54</vt:i4>
      </vt:variant>
      <vt:variant>
        <vt:i4>0</vt:i4>
      </vt:variant>
      <vt:variant>
        <vt:i4>5</vt:i4>
      </vt:variant>
      <vt:variant>
        <vt:lpwstr>http://eur-lex.europa.eu/legal-content/EN/TXT/?qid=1487785667576&amp;uri=CELEX:32013L0051</vt:lpwstr>
      </vt:variant>
      <vt:variant>
        <vt:lpwstr/>
      </vt:variant>
      <vt:variant>
        <vt:i4>917595</vt:i4>
      </vt:variant>
      <vt:variant>
        <vt:i4>51</vt:i4>
      </vt:variant>
      <vt:variant>
        <vt:i4>0</vt:i4>
      </vt:variant>
      <vt:variant>
        <vt:i4>5</vt:i4>
      </vt:variant>
      <vt:variant>
        <vt:lpwstr>http://eur-lex.europa.eu/legal-content/EN/TXT/?qid=1454940078169&amp;uri=CELEX:32010L0031</vt:lpwstr>
      </vt:variant>
      <vt:variant>
        <vt:lpwstr/>
      </vt:variant>
      <vt:variant>
        <vt:i4>524375</vt:i4>
      </vt:variant>
      <vt:variant>
        <vt:i4>48</vt:i4>
      </vt:variant>
      <vt:variant>
        <vt:i4>0</vt:i4>
      </vt:variant>
      <vt:variant>
        <vt:i4>5</vt:i4>
      </vt:variant>
      <vt:variant>
        <vt:lpwstr>http://eur-lex.europa.eu/legal-content/EN/TXT/?qid=1454940005165&amp;uri=CELEX:32009L0073</vt:lpwstr>
      </vt:variant>
      <vt:variant>
        <vt:lpwstr/>
      </vt:variant>
      <vt:variant>
        <vt:i4>131166</vt:i4>
      </vt:variant>
      <vt:variant>
        <vt:i4>45</vt:i4>
      </vt:variant>
      <vt:variant>
        <vt:i4>0</vt:i4>
      </vt:variant>
      <vt:variant>
        <vt:i4>5</vt:i4>
      </vt:variant>
      <vt:variant>
        <vt:lpwstr>http://eur-lex.europa.eu/legal-content/EN/TXT/?qid=1454939975010&amp;uri=CELEX:32009L0072</vt:lpwstr>
      </vt:variant>
      <vt:variant>
        <vt:lpwstr/>
      </vt:variant>
      <vt:variant>
        <vt:i4>7274602</vt:i4>
      </vt:variant>
      <vt:variant>
        <vt:i4>42</vt:i4>
      </vt:variant>
      <vt:variant>
        <vt:i4>0</vt:i4>
      </vt:variant>
      <vt:variant>
        <vt:i4>5</vt:i4>
      </vt:variant>
      <vt:variant>
        <vt:lpwstr>http://eur-lex.europa.eu/legal-content/EN/TXT/?qid=1454939907662&amp;uri=CELEX:52015DC0080</vt:lpwstr>
      </vt:variant>
      <vt:variant>
        <vt:lpwstr/>
      </vt:variant>
      <vt:variant>
        <vt:i4>983133</vt:i4>
      </vt:variant>
      <vt:variant>
        <vt:i4>39</vt:i4>
      </vt:variant>
      <vt:variant>
        <vt:i4>0</vt:i4>
      </vt:variant>
      <vt:variant>
        <vt:i4>5</vt:i4>
      </vt:variant>
      <vt:variant>
        <vt:lpwstr>http://eur-lex.europa.eu/legal-content/EN/TXT/?qid=1487785592206&amp;uri=CELEX:32014L0026</vt:lpwstr>
      </vt:variant>
      <vt:variant>
        <vt:lpwstr/>
      </vt:variant>
      <vt:variant>
        <vt:i4>89</vt:i4>
      </vt:variant>
      <vt:variant>
        <vt:i4>36</vt:i4>
      </vt:variant>
      <vt:variant>
        <vt:i4>0</vt:i4>
      </vt:variant>
      <vt:variant>
        <vt:i4>5</vt:i4>
      </vt:variant>
      <vt:variant>
        <vt:lpwstr>http://eur-lex.europa.eu/legal-content/EN/TXT/?qid=1487785252330&amp;uri=CELEX:32014L0061</vt:lpwstr>
      </vt:variant>
      <vt:variant>
        <vt:lpwstr/>
      </vt:variant>
      <vt:variant>
        <vt:i4>327769</vt:i4>
      </vt:variant>
      <vt:variant>
        <vt:i4>33</vt:i4>
      </vt:variant>
      <vt:variant>
        <vt:i4>0</vt:i4>
      </vt:variant>
      <vt:variant>
        <vt:i4>5</vt:i4>
      </vt:variant>
      <vt:variant>
        <vt:lpwstr>http://eur-lex.europa.eu/legal-content/EN/TXT/?qid=1487785212438&amp;uri=CELEX:32014L0089</vt:lpwstr>
      </vt:variant>
      <vt:variant>
        <vt:lpwstr/>
      </vt:variant>
      <vt:variant>
        <vt:i4>393301</vt:i4>
      </vt:variant>
      <vt:variant>
        <vt:i4>30</vt:i4>
      </vt:variant>
      <vt:variant>
        <vt:i4>0</vt:i4>
      </vt:variant>
      <vt:variant>
        <vt:i4>5</vt:i4>
      </vt:variant>
      <vt:variant>
        <vt:lpwstr>http://eur-lex.europa.eu/legal-content/EN/TXT/?qid=1487785139254&amp;uri=CELEX:32015L2203</vt:lpwstr>
      </vt:variant>
      <vt:variant>
        <vt:lpwstr/>
      </vt:variant>
      <vt:variant>
        <vt:i4>6488162</vt:i4>
      </vt:variant>
      <vt:variant>
        <vt:i4>27</vt:i4>
      </vt:variant>
      <vt:variant>
        <vt:i4>0</vt:i4>
      </vt:variant>
      <vt:variant>
        <vt:i4>5</vt:i4>
      </vt:variant>
      <vt:variant>
        <vt:lpwstr>http://eur-lex.europa.eu/legal-content/EN/TXT/?qid=1487785054753&amp;uri=CELEX:52016DC0316</vt:lpwstr>
      </vt:variant>
      <vt:variant>
        <vt:lpwstr/>
      </vt:variant>
      <vt:variant>
        <vt:i4>65618</vt:i4>
      </vt:variant>
      <vt:variant>
        <vt:i4>24</vt:i4>
      </vt:variant>
      <vt:variant>
        <vt:i4>0</vt:i4>
      </vt:variant>
      <vt:variant>
        <vt:i4>5</vt:i4>
      </vt:variant>
      <vt:variant>
        <vt:lpwstr>http://eur-lex.europa.eu/legal-content/EN/TXT/?qid=1487784968594&amp;uri=CELEX:32010L0032</vt:lpwstr>
      </vt:variant>
      <vt:variant>
        <vt:lpwstr/>
      </vt:variant>
      <vt:variant>
        <vt:i4>589907</vt:i4>
      </vt:variant>
      <vt:variant>
        <vt:i4>21</vt:i4>
      </vt:variant>
      <vt:variant>
        <vt:i4>0</vt:i4>
      </vt:variant>
      <vt:variant>
        <vt:i4>5</vt:i4>
      </vt:variant>
      <vt:variant>
        <vt:lpwstr>http://eur-lex.europa.eu/legal-content/EN/TXT/?qid=1487784879883&amp;uri=CELEX:32013L0035</vt:lpwstr>
      </vt:variant>
      <vt:variant>
        <vt:lpwstr/>
      </vt:variant>
      <vt:variant>
        <vt:i4>852060</vt:i4>
      </vt:variant>
      <vt:variant>
        <vt:i4>18</vt:i4>
      </vt:variant>
      <vt:variant>
        <vt:i4>0</vt:i4>
      </vt:variant>
      <vt:variant>
        <vt:i4>5</vt:i4>
      </vt:variant>
      <vt:variant>
        <vt:lpwstr>http://eur-lex.europa.eu/legal-content/EN/TXT/?qid=1487784783426&amp;uri=CELEX:32014L0067</vt:lpwstr>
      </vt:variant>
      <vt:variant>
        <vt:lpwstr/>
      </vt:variant>
      <vt:variant>
        <vt:i4>196695</vt:i4>
      </vt:variant>
      <vt:variant>
        <vt:i4>15</vt:i4>
      </vt:variant>
      <vt:variant>
        <vt:i4>0</vt:i4>
      </vt:variant>
      <vt:variant>
        <vt:i4>5</vt:i4>
      </vt:variant>
      <vt:variant>
        <vt:lpwstr>http://eur-lex.europa.eu/legal-content/EN/TXT/?qid=1487784658133&amp;uri=CELEX:32014L0054</vt:lpwstr>
      </vt:variant>
      <vt:variant>
        <vt:lpwstr/>
      </vt:variant>
      <vt:variant>
        <vt:i4>983134</vt:i4>
      </vt:variant>
      <vt:variant>
        <vt:i4>12</vt:i4>
      </vt:variant>
      <vt:variant>
        <vt:i4>0</vt:i4>
      </vt:variant>
      <vt:variant>
        <vt:i4>5</vt:i4>
      </vt:variant>
      <vt:variant>
        <vt:lpwstr>http://eur-lex.europa.eu/legal-content/EN/TXT/?qid=1487781404259&amp;uri=CELEX:32014L0104</vt:lpwstr>
      </vt:variant>
      <vt:variant>
        <vt:lpwstr/>
      </vt:variant>
      <vt:variant>
        <vt:i4>3342359</vt:i4>
      </vt:variant>
      <vt:variant>
        <vt:i4>9</vt:i4>
      </vt:variant>
      <vt:variant>
        <vt:i4>0</vt:i4>
      </vt:variant>
      <vt:variant>
        <vt:i4>5</vt:i4>
      </vt:variant>
      <vt:variant>
        <vt:lpwstr>http://eur-lex.europa.eu/legal-content/EN/TXT/?uri=uriserv%3AOJ.C_.2017.018.01.0010.01.ENG&amp;toc=OJ%3AC%3A2017%3A018%3ATOC</vt:lpwstr>
      </vt:variant>
      <vt:variant>
        <vt:lpwstr/>
      </vt:variant>
      <vt:variant>
        <vt:i4>3342359</vt:i4>
      </vt:variant>
      <vt:variant>
        <vt:i4>6</vt:i4>
      </vt:variant>
      <vt:variant>
        <vt:i4>0</vt:i4>
      </vt:variant>
      <vt:variant>
        <vt:i4>5</vt:i4>
      </vt:variant>
      <vt:variant>
        <vt:lpwstr>http://eur-lex.europa.eu/legal-content/EN/TXT/?uri=uriserv%3AOJ.C_.2017.018.01.0010.01.ENG&amp;toc=OJ%3AC%3A2017%3A018%3ATOC</vt:lpwstr>
      </vt:variant>
      <vt:variant>
        <vt:lpwstr/>
      </vt:variant>
      <vt:variant>
        <vt:i4>3342359</vt:i4>
      </vt:variant>
      <vt:variant>
        <vt:i4>3</vt:i4>
      </vt:variant>
      <vt:variant>
        <vt:i4>0</vt:i4>
      </vt:variant>
      <vt:variant>
        <vt:i4>5</vt:i4>
      </vt:variant>
      <vt:variant>
        <vt:lpwstr>http://eur-lex.europa.eu/legal-content/EN/TXT/?uri=uriserv%3AOJ.C_.2017.018.01.0010.01.ENG&amp;toc=OJ%3AC%3A2017%3A018%3ATOC</vt:lpwstr>
      </vt:variant>
      <vt:variant>
        <vt:lpwstr/>
      </vt:variant>
      <vt:variant>
        <vt:i4>2949155</vt:i4>
      </vt:variant>
      <vt:variant>
        <vt:i4>0</vt:i4>
      </vt:variant>
      <vt:variant>
        <vt:i4>0</vt:i4>
      </vt:variant>
      <vt:variant>
        <vt:i4>5</vt:i4>
      </vt:variant>
      <vt:variant>
        <vt:lpwstr>http://eur-lex.europa.eu/legal-content/EN/TXT/?uri=CELEX:12012M017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26</cp:revision>
  <cp:lastPrinted>2017-06-07T16:26:00Z</cp:lastPrinted>
  <dcterms:created xsi:type="dcterms:W3CDTF">2017-06-27T15:40:00Z</dcterms:created>
  <dcterms:modified xsi:type="dcterms:W3CDTF">2017-07-06T06:52:00Z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ContentTypeId">
    <vt:lpwstr>0x010100429F0726229EA944A351C92A661F0C83</vt:lpwstr>
  </property>
  <property fmtid="{D5CDD505-2E9C-101B-9397-08002B2CF9AE}" pid="14" name="Part">
    <vt:lpwstr>1</vt:lpwstr>
  </property>
  <property fmtid="{D5CDD505-2E9C-101B-9397-08002B2CF9AE}" pid="15" name="Total parts">
    <vt:lpwstr>1</vt:lpwstr>
  </property>
  <property fmtid="{D5CDD505-2E9C-101B-9397-08002B2CF9AE}" pid="16" name="Classification">
    <vt:lpwstr> </vt:lpwstr>
  </property>
  <property fmtid="{D5CDD505-2E9C-101B-9397-08002B2CF9AE}" pid="17" name="DocStatus">
    <vt:lpwstr>Green</vt:lpwstr>
  </property>
</Properties>
</file>