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54" w:rsidRDefault="00854701" w:rsidP="00854701">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E4872935853423D8E0491EAE1CC07E9" style="width:450.25pt;height:307.35pt">
            <v:imagedata r:id="rId9" o:title=""/>
          </v:shape>
        </w:pict>
      </w:r>
      <w:bookmarkEnd w:id="1"/>
    </w:p>
    <w:bookmarkEnd w:id="0"/>
    <w:p w:rsidR="007F5454" w:rsidRDefault="007F5454">
      <w:pPr>
        <w:pStyle w:val="Pagedecouverture"/>
        <w:rPr>
          <w:noProof/>
        </w:rPr>
        <w:sectPr w:rsidR="007F5454" w:rsidSect="0085470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7F5454" w:rsidRDefault="00854701">
      <w:pPr>
        <w:pStyle w:val="Heading1"/>
        <w:numPr>
          <w:ilvl w:val="0"/>
          <w:numId w:val="2"/>
        </w:numPr>
        <w:spacing w:line="276" w:lineRule="auto"/>
        <w:ind w:left="426" w:hanging="426"/>
        <w:rPr>
          <w:noProof/>
          <w:szCs w:val="24"/>
        </w:rPr>
      </w:pPr>
      <w:r>
        <w:rPr>
          <w:noProof/>
        </w:rPr>
        <w:lastRenderedPageBreak/>
        <w:t>ВЪВЕДЕНИЕ</w:t>
      </w:r>
    </w:p>
    <w:p w:rsidR="007F5454" w:rsidRDefault="00854701">
      <w:pPr>
        <w:jc w:val="both"/>
        <w:rPr>
          <w:rFonts w:ascii="Times New Roman" w:hAnsi="Times New Roman" w:cs="Times New Roman"/>
          <w:noProof/>
          <w:sz w:val="24"/>
          <w:szCs w:val="24"/>
        </w:rPr>
      </w:pPr>
      <w:r>
        <w:rPr>
          <w:rFonts w:ascii="Times New Roman" w:hAnsi="Times New Roman"/>
          <w:noProof/>
          <w:sz w:val="24"/>
        </w:rPr>
        <w:t>ЕС е изправен пред едно от най-големите предизвикателства за сигурността в своята история. Заплахите във все по-голяма степен приемат неконвенционални форми: някои заплахи са физически, като например новите форми на тероризъм, докато други се изразяват в и</w:t>
      </w:r>
      <w:r>
        <w:rPr>
          <w:rFonts w:ascii="Times New Roman" w:hAnsi="Times New Roman"/>
          <w:noProof/>
          <w:sz w:val="24"/>
        </w:rPr>
        <w:t>зползването на цифровото пространство за сложни кибератаки. Съществуват и не толкова ясно забележими заплахи, които са насочени към оказване на натиск, включително дезинформационни кампании и манипулиране на медиите. Те целят подкопаването на основни европ</w:t>
      </w:r>
      <w:r>
        <w:rPr>
          <w:rFonts w:ascii="Times New Roman" w:hAnsi="Times New Roman"/>
          <w:noProof/>
          <w:sz w:val="24"/>
        </w:rPr>
        <w:t xml:space="preserve">ейски ценности, като зачитането на човешкото достойнство, свободата и демокрацията. Неотдавнашните координирани кибератаки в целия свят, разкриването на извършителите на които се оказа много трудно, показаха уязвимостта на нашите общества и институции. </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П</w:t>
      </w:r>
      <w:r>
        <w:rPr>
          <w:rFonts w:ascii="Times New Roman" w:hAnsi="Times New Roman"/>
          <w:noProof/>
          <w:sz w:val="24"/>
        </w:rPr>
        <w:t>рез април 2016 г. Европейската комисия и върховният представител приеха Съвместно съобщение относно борбата с хибридните заплахи</w:t>
      </w:r>
      <w:r>
        <w:rPr>
          <w:rStyle w:val="FootnoteReference"/>
          <w:rFonts w:ascii="Times New Roman" w:hAnsi="Times New Roman"/>
          <w:noProof/>
          <w:sz w:val="24"/>
        </w:rPr>
        <w:footnoteReference w:id="2"/>
      </w:r>
      <w:r>
        <w:rPr>
          <w:rFonts w:ascii="Times New Roman" w:hAnsi="Times New Roman"/>
          <w:noProof/>
          <w:sz w:val="24"/>
        </w:rPr>
        <w:t xml:space="preserve"> (съвместната рамка). Като се отчита трансграничният и сложен характер на хибридните заплахи, с тази рамка се предлага подход, </w:t>
      </w:r>
      <w:r>
        <w:rPr>
          <w:rFonts w:ascii="Times New Roman" w:hAnsi="Times New Roman"/>
          <w:noProof/>
          <w:sz w:val="24"/>
        </w:rPr>
        <w:t>който обхваща всички нива на управление, за укрепване на цялостната устойчивост на нашите общества. Съветът</w:t>
      </w:r>
      <w:r>
        <w:rPr>
          <w:rStyle w:val="FootnoteReference"/>
          <w:rFonts w:ascii="Times New Roman" w:hAnsi="Times New Roman"/>
          <w:noProof/>
          <w:sz w:val="24"/>
        </w:rPr>
        <w:footnoteReference w:id="3"/>
      </w:r>
      <w:r>
        <w:rPr>
          <w:rFonts w:ascii="Times New Roman" w:hAnsi="Times New Roman"/>
          <w:noProof/>
          <w:sz w:val="24"/>
        </w:rPr>
        <w:t xml:space="preserve"> приветства инициативата и предложените действия и прикани Комисията и върховния представител да докладват за напредъка през юли 2017 г. ЕС може да </w:t>
      </w:r>
      <w:r>
        <w:rPr>
          <w:rFonts w:ascii="Times New Roman" w:hAnsi="Times New Roman"/>
          <w:noProof/>
          <w:sz w:val="24"/>
        </w:rPr>
        <w:t>оказва съдействие на държавите членки за изграждане на устойчивост срещу хибридните заплахи, но основната отговорност се носи от държавите членки, доколкото борбата с хибридните заплахи е свързана с националната сигурност и отбрана.</w:t>
      </w:r>
    </w:p>
    <w:p w:rsidR="007F5454" w:rsidRDefault="007F5454">
      <w:pPr>
        <w:jc w:val="both"/>
        <w:rPr>
          <w:rFonts w:ascii="Times New Roman" w:hAnsi="Times New Roman"/>
          <w:b/>
          <w:noProof/>
          <w:sz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Тази съвместна рамка з</w:t>
      </w:r>
      <w:r>
        <w:rPr>
          <w:rFonts w:ascii="Times New Roman" w:hAnsi="Times New Roman"/>
          <w:noProof/>
          <w:sz w:val="24"/>
        </w:rPr>
        <w:t>а борба с хибридните заплахи представлява важна част от цялостния по-интегриран подход на ЕС към сигурността и отбраната. Тя допринася за създаването на една Европа, която гарантира закрила, както призова председателят Юнкер в речта за състоянието на Съюза</w:t>
      </w:r>
      <w:r>
        <w:rPr>
          <w:rFonts w:ascii="Times New Roman" w:hAnsi="Times New Roman"/>
          <w:noProof/>
          <w:sz w:val="24"/>
        </w:rPr>
        <w:t xml:space="preserve"> през септември 2016 г. През 2016 г. Европейският съюз също така положи основите за изграждането на по-силна европейска отбранителна политика в отговор на очакванията на гражданите за по-добра защита. В Глобалната стратегия за външната политика и политикат</w:t>
      </w:r>
      <w:r>
        <w:rPr>
          <w:rFonts w:ascii="Times New Roman" w:hAnsi="Times New Roman"/>
          <w:noProof/>
          <w:sz w:val="24"/>
        </w:rPr>
        <w:t>а на сигурност на Европейския съюз</w:t>
      </w:r>
      <w:r>
        <w:rPr>
          <w:rStyle w:val="FootnoteReference"/>
          <w:rFonts w:ascii="Times New Roman" w:hAnsi="Times New Roman"/>
          <w:noProof/>
          <w:sz w:val="24"/>
        </w:rPr>
        <w:footnoteReference w:id="4"/>
      </w:r>
      <w:r>
        <w:rPr>
          <w:rFonts w:ascii="Times New Roman" w:hAnsi="Times New Roman"/>
          <w:noProof/>
          <w:sz w:val="24"/>
        </w:rPr>
        <w:t xml:space="preserve"> подробно бе изложена необходимостта от интегриран подход за обвързване на вътрешната устойчивост с външната дейност на ЕС и бе отправен призив за единодействие между отбранителната политика и политиките за вътрешния паза</w:t>
      </w:r>
      <w:r>
        <w:rPr>
          <w:rFonts w:ascii="Times New Roman" w:hAnsi="Times New Roman"/>
          <w:noProof/>
          <w:sz w:val="24"/>
        </w:rPr>
        <w:t xml:space="preserve">р, промишлеността, правоприлагането и разузнавателните служби. След приемането през ноември 2016 г. на Европейския план за действие в областта на отбраната Комисията представи конкретни инициативи, които ще допринесат за укрепването на капацитета на ЕС за </w:t>
      </w:r>
      <w:r>
        <w:rPr>
          <w:rFonts w:ascii="Times New Roman" w:hAnsi="Times New Roman"/>
          <w:noProof/>
          <w:sz w:val="24"/>
        </w:rPr>
        <w:t>реагиране на хибридните заплахи чрез подпомагане на устойчивостта на веригите за доставки в областта на отбраната и укрепване на единния пазар в областта на отбраната. По-специално на 7 юни 2017 г. Комисията стартира Европейския фонд за отбрана с предложен</w:t>
      </w:r>
      <w:r>
        <w:rPr>
          <w:rFonts w:ascii="Times New Roman" w:hAnsi="Times New Roman"/>
          <w:noProof/>
          <w:sz w:val="24"/>
        </w:rPr>
        <w:t>о финансиране в размер на 600 млн. евро до 2020 г. и 1,5 млрд. евро годишно в периода след 2020 г. В Съобщението относно Съюза на сигурност</w:t>
      </w:r>
      <w:r>
        <w:rPr>
          <w:rStyle w:val="FootnoteReference"/>
          <w:rFonts w:ascii="Times New Roman" w:hAnsi="Times New Roman"/>
          <w:noProof/>
          <w:sz w:val="24"/>
        </w:rPr>
        <w:footnoteReference w:id="5"/>
      </w:r>
      <w:r>
        <w:rPr>
          <w:rFonts w:ascii="Times New Roman" w:hAnsi="Times New Roman"/>
          <w:noProof/>
          <w:sz w:val="24"/>
        </w:rPr>
        <w:t xml:space="preserve"> бе </w:t>
      </w:r>
      <w:r>
        <w:rPr>
          <w:rFonts w:ascii="Times New Roman" w:hAnsi="Times New Roman"/>
          <w:noProof/>
          <w:sz w:val="24"/>
        </w:rPr>
        <w:lastRenderedPageBreak/>
        <w:t>отчетена необходимостта от противодействие на хибридните заплахи, както и значението на гарантирането на по-голя</w:t>
      </w:r>
      <w:r>
        <w:rPr>
          <w:rFonts w:ascii="Times New Roman" w:hAnsi="Times New Roman"/>
          <w:noProof/>
          <w:sz w:val="24"/>
        </w:rPr>
        <w:t>ма съгласуваност между вътрешните и външните действия в областта на сигурността.</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Ръководителите на ЕС поставиха сигурността и отбраната на централно място в дебата за бъдещето на Европа</w:t>
      </w:r>
      <w:r>
        <w:rPr>
          <w:rStyle w:val="FootnoteReference"/>
          <w:rFonts w:ascii="Times New Roman" w:hAnsi="Times New Roman"/>
          <w:noProof/>
          <w:sz w:val="24"/>
        </w:rPr>
        <w:footnoteReference w:id="6"/>
      </w:r>
      <w:r>
        <w:rPr>
          <w:rFonts w:ascii="Times New Roman" w:hAnsi="Times New Roman"/>
          <w:noProof/>
          <w:sz w:val="24"/>
        </w:rPr>
        <w:t>. Това беше отразено в Декларацията от Рим от 25 март 2017 г., в коят</w:t>
      </w:r>
      <w:r>
        <w:rPr>
          <w:rFonts w:ascii="Times New Roman" w:hAnsi="Times New Roman"/>
          <w:noProof/>
          <w:sz w:val="24"/>
        </w:rPr>
        <w:t xml:space="preserve">о се представя виждането за безопасен и сигурен Съюз, решен да засили своите общи сигурност и отбрана. Председателите на Европейския съвет и на Европейската комисия и генералният секретар на НАТО подписаха съвместна декларация във Варшава на 8 юли 2016 г. </w:t>
      </w:r>
      <w:r>
        <w:rPr>
          <w:rFonts w:ascii="Times New Roman" w:hAnsi="Times New Roman"/>
          <w:noProof/>
          <w:sz w:val="24"/>
        </w:rPr>
        <w:t>с оглед на това да се даде нов тласък и ново съдържание на стратегическото партньорство между ЕС и НАТО. В съвместната декларация бяха посочени седем конкретни области, включително борбата с хибридните заплахи, в които сътрудничеството между двете организа</w:t>
      </w:r>
      <w:r>
        <w:rPr>
          <w:rFonts w:ascii="Times New Roman" w:hAnsi="Times New Roman"/>
          <w:noProof/>
          <w:sz w:val="24"/>
        </w:rPr>
        <w:t>ции следва да бъде засилено. Впоследствие Съветът на ЕС и Съветът на НАТО одобриха общ набор от 42 предложения за прилагане, а през юни 2017 г. бе изготвен първоначален доклад, показващ наличието на значителен напредък</w:t>
      </w:r>
      <w:r>
        <w:rPr>
          <w:rStyle w:val="FootnoteReference"/>
          <w:rFonts w:ascii="Times New Roman" w:hAnsi="Times New Roman"/>
          <w:noProof/>
          <w:sz w:val="24"/>
        </w:rPr>
        <w:footnoteReference w:id="7"/>
      </w:r>
      <w:r>
        <w:rPr>
          <w:rFonts w:ascii="Times New Roman" w:hAnsi="Times New Roman"/>
          <w:noProof/>
          <w:sz w:val="24"/>
        </w:rPr>
        <w:t xml:space="preserve">. </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 xml:space="preserve">В документа за размисъл на </w:t>
      </w:r>
      <w:r>
        <w:rPr>
          <w:rFonts w:ascii="Times New Roman" w:hAnsi="Times New Roman"/>
          <w:noProof/>
          <w:sz w:val="24"/>
        </w:rPr>
        <w:t>Комисията относно бъдещето на европейската отбрана</w:t>
      </w:r>
      <w:r>
        <w:rPr>
          <w:rStyle w:val="FootnoteReference"/>
          <w:rFonts w:ascii="Times New Roman" w:hAnsi="Times New Roman"/>
          <w:noProof/>
          <w:sz w:val="24"/>
        </w:rPr>
        <w:footnoteReference w:id="8"/>
      </w:r>
      <w:r>
        <w:rPr>
          <w:rFonts w:ascii="Times New Roman" w:hAnsi="Times New Roman"/>
          <w:noProof/>
          <w:sz w:val="24"/>
        </w:rPr>
        <w:t xml:space="preserve">, представен през юни 2017 г., се очертават три различни сценария за това как да се противодейства на нарастващите заплахи в областта на сигурността и отбраната, пред които е изправена Европа, и как да се </w:t>
      </w:r>
      <w:r>
        <w:rPr>
          <w:rFonts w:ascii="Times New Roman" w:hAnsi="Times New Roman"/>
          <w:noProof/>
          <w:sz w:val="24"/>
        </w:rPr>
        <w:t>укрепят собствените способности на Европа в областта на отбраната до 2025 г. И в трите сценария сигурността и отбраната се считат за неразделна част от европейския проект, за да се защитават и утвърждават интересите ни у дома и в чужбина.</w:t>
      </w:r>
      <w:r>
        <w:rPr>
          <w:noProof/>
        </w:rPr>
        <w:t xml:space="preserve"> </w:t>
      </w:r>
      <w:r>
        <w:rPr>
          <w:rFonts w:ascii="Times New Roman" w:hAnsi="Times New Roman"/>
          <w:noProof/>
          <w:sz w:val="24"/>
        </w:rPr>
        <w:t xml:space="preserve">Европа трябва да </w:t>
      </w:r>
      <w:r>
        <w:rPr>
          <w:rFonts w:ascii="Times New Roman" w:hAnsi="Times New Roman"/>
          <w:noProof/>
          <w:sz w:val="24"/>
        </w:rPr>
        <w:t>се превърне в гарант за сигурността и постепенно да осигури собствената си сигурност. Нито една държава членка не може сама да се справи с предстоящите предизвикателства, и по-специално тези по борбата с хибридните заплахи. Поради това сътрудничеството в о</w:t>
      </w:r>
      <w:r>
        <w:rPr>
          <w:rFonts w:ascii="Times New Roman" w:hAnsi="Times New Roman"/>
          <w:noProof/>
          <w:sz w:val="24"/>
        </w:rPr>
        <w:t>бластта на отбраната и сигурността въобще не е въпрос на избор, а представлява необходимост за постигане на една Европа, която гарантира закрила.</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Целта на настоящия доклад е да се представи отчет за напредъка и да се очертаят следващите стъпки за изпълнен</w:t>
      </w:r>
      <w:r>
        <w:rPr>
          <w:rFonts w:ascii="Times New Roman" w:hAnsi="Times New Roman"/>
          <w:noProof/>
          <w:sz w:val="24"/>
        </w:rPr>
        <w:t>ие по действията в четирите области, предложени в съвместната рамка: подобряване на ситуационната осведоменост; изграждане на устойчивост; укрепване на способността на държавите членки и на Съюза за предотвратяване и реагиране на кризи и за координирано въ</w:t>
      </w:r>
      <w:r>
        <w:rPr>
          <w:rFonts w:ascii="Times New Roman" w:hAnsi="Times New Roman"/>
          <w:noProof/>
          <w:sz w:val="24"/>
        </w:rPr>
        <w:t>зстановяване; както и засилване на сътрудничеството с НАТО, за да се гарантира взаимното допълване на мерките. Той следва да се чете във връзка с месечните доклади за напредъка по създаването на ефективен и истински Съюз на сигурност.</w:t>
      </w:r>
    </w:p>
    <w:p w:rsidR="007F5454" w:rsidRDefault="007F5454">
      <w:pPr>
        <w:jc w:val="both"/>
        <w:rPr>
          <w:rFonts w:ascii="Times New Roman" w:hAnsi="Times New Roman" w:cs="Times New Roman"/>
          <w:noProof/>
          <w:sz w:val="24"/>
          <w:szCs w:val="24"/>
        </w:rPr>
      </w:pPr>
    </w:p>
    <w:p w:rsidR="007F5454" w:rsidRDefault="00854701">
      <w:pPr>
        <w:pStyle w:val="Heading1"/>
        <w:numPr>
          <w:ilvl w:val="0"/>
          <w:numId w:val="2"/>
        </w:numPr>
        <w:spacing w:line="276" w:lineRule="auto"/>
        <w:ind w:left="426" w:hanging="426"/>
        <w:rPr>
          <w:bCs/>
          <w:noProof/>
          <w:szCs w:val="24"/>
        </w:rPr>
      </w:pPr>
      <w:r>
        <w:rPr>
          <w:noProof/>
        </w:rPr>
        <w:t xml:space="preserve">РАЗПОЗНАВАНЕ НА </w:t>
      </w:r>
      <w:r>
        <w:rPr>
          <w:noProof/>
        </w:rPr>
        <w:t>ХИБРИДНОТО ЕСТЕСТВО НА ДАДЕНА ЗАПЛАХА</w:t>
      </w:r>
    </w:p>
    <w:p w:rsidR="007F5454" w:rsidRDefault="00854701">
      <w:pPr>
        <w:jc w:val="both"/>
        <w:rPr>
          <w:rFonts w:ascii="Times New Roman" w:hAnsi="Times New Roman" w:cs="Times New Roman"/>
          <w:noProof/>
          <w:sz w:val="24"/>
          <w:szCs w:val="24"/>
        </w:rPr>
      </w:pPr>
      <w:r>
        <w:rPr>
          <w:rFonts w:ascii="Times New Roman" w:hAnsi="Times New Roman"/>
          <w:noProof/>
          <w:sz w:val="24"/>
        </w:rPr>
        <w:t>Хибридните дейности стават често срещана характеристика на европейската обстановка в областта на сигурността. Интензивността на тези дейности се увеличава, като нарастват опасенията за намеси в избори, кампании за дези</w:t>
      </w:r>
      <w:r>
        <w:rPr>
          <w:rFonts w:ascii="Times New Roman" w:hAnsi="Times New Roman"/>
          <w:noProof/>
          <w:sz w:val="24"/>
        </w:rPr>
        <w:t>нформация, злонамерени кибернетични дейности и опити на извършителите на хибридни актове да радикализират уязвими членове на обществото, за да изпълняват техните поръчения. Уязвимостта към хибридни заплахи се простира отвъд националните граници. Поради тов</w:t>
      </w:r>
      <w:r>
        <w:rPr>
          <w:rFonts w:ascii="Times New Roman" w:hAnsi="Times New Roman"/>
          <w:noProof/>
          <w:sz w:val="24"/>
        </w:rPr>
        <w:t>а за хибридните заплахи е необходима координирана ответна реакция на равнището на ЕС и НАТО. Събитията от април 2016 г. насам показват, че макар заплахите все още често да се оценяват поотделно, е налице все по-широко признаване и разбиране в рамките на Съ</w:t>
      </w:r>
      <w:r>
        <w:rPr>
          <w:rFonts w:ascii="Times New Roman" w:hAnsi="Times New Roman"/>
          <w:noProof/>
          <w:sz w:val="24"/>
        </w:rPr>
        <w:t xml:space="preserve">юза на хибридното естество на някои от наблюдаваните дейности и необходимостта от координирани действия. ЕС ще продължи да полага усилия за подобряване на ситуационната осведоменост и сътрудничеството. </w:t>
      </w:r>
    </w:p>
    <w:p w:rsidR="007F5454" w:rsidRDefault="007F5454">
      <w:pPr>
        <w:jc w:val="both"/>
        <w:rPr>
          <w:rFonts w:ascii="Times New Roman" w:hAnsi="Times New Roman"/>
          <w:noProof/>
          <w:sz w:val="24"/>
        </w:rPr>
      </w:pPr>
    </w:p>
    <w:p w:rsidR="007F5454" w:rsidRDefault="00854701">
      <w:pPr>
        <w:jc w:val="both"/>
        <w:rPr>
          <w:rFonts w:ascii="Times New Roman" w:hAnsi="Times New Roman" w:cs="Times New Roman"/>
          <w:b/>
          <w:bCs/>
          <w:i/>
          <w:iCs/>
          <w:noProof/>
          <w:sz w:val="24"/>
          <w:szCs w:val="24"/>
        </w:rPr>
      </w:pPr>
      <w:r>
        <w:rPr>
          <w:rFonts w:ascii="Times New Roman" w:hAnsi="Times New Roman"/>
          <w:b/>
          <w:i/>
          <w:noProof/>
          <w:u w:val="single"/>
        </w:rPr>
        <w:t>Действие 1</w:t>
      </w:r>
      <w:r>
        <w:rPr>
          <w:rFonts w:ascii="Times New Roman" w:hAnsi="Times New Roman"/>
          <w:b/>
          <w:i/>
          <w:noProof/>
        </w:rPr>
        <w:t>: държавите членки, с подходяща подкрепа о</w:t>
      </w:r>
      <w:r>
        <w:rPr>
          <w:rFonts w:ascii="Times New Roman" w:hAnsi="Times New Roman"/>
          <w:b/>
          <w:i/>
          <w:noProof/>
        </w:rPr>
        <w:t>т Комисията и върховния представител, се приканват да започнат проучване на хибридните рискове, за да се установят основните потенциално уязвими места на националните и паневропейските структури и мрежи и специфични свързани с хибридните заплахи показатели</w:t>
      </w:r>
      <w:r>
        <w:rPr>
          <w:rFonts w:ascii="Times New Roman" w:hAnsi="Times New Roman"/>
          <w:b/>
          <w:i/>
          <w:noProof/>
        </w:rPr>
        <w:t>.</w:t>
      </w:r>
    </w:p>
    <w:p w:rsidR="007F5454" w:rsidRDefault="007F5454">
      <w:pPr>
        <w:jc w:val="both"/>
        <w:rPr>
          <w:rFonts w:ascii="Times New Roman" w:hAnsi="Times New Roman" w:cs="Times New Roman"/>
          <w:b/>
          <w:bCs/>
          <w:i/>
          <w:iCs/>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Съветът създаде група „Приятели на председателството“, обединяваща експерти от държавите членки с цел извършване на общо проучване, което би им позволило да определят по-добре ключовите показатели за хибридните заплахи, да ги включат в механизмите за ра</w:t>
      </w:r>
      <w:r>
        <w:rPr>
          <w:rFonts w:ascii="Times New Roman" w:hAnsi="Times New Roman"/>
          <w:noProof/>
          <w:sz w:val="24"/>
        </w:rPr>
        <w:t>нно предупреждение и съществуващите механизми за оценка на риска и да ги споделят по подходящ начин. Бяха договорени общи условия и работата вече започна. Общото проучване следва да бъде завършено до края на 2017 г., след което да започнат конкретните проу</w:t>
      </w:r>
      <w:r>
        <w:rPr>
          <w:rFonts w:ascii="Times New Roman" w:hAnsi="Times New Roman"/>
          <w:noProof/>
          <w:sz w:val="24"/>
        </w:rPr>
        <w:t xml:space="preserve">чвания. Мерките за защита срещу хибридните заплахи следва взаимно да подсилват </w:t>
      </w:r>
      <w:r>
        <w:rPr>
          <w:noProof/>
        </w:rPr>
        <w:t>действието си. Ето защо държавите членки се приканват да извършат тези проучвания възможно най-бързо, тъй като те ще предоставят ценна информация за степента на уязвимост и подг</w:t>
      </w:r>
      <w:r>
        <w:rPr>
          <w:noProof/>
        </w:rPr>
        <w:t>отвеност в цяла Европа.</w:t>
      </w:r>
    </w:p>
    <w:p w:rsidR="007F5454" w:rsidRDefault="00854701">
      <w:pPr>
        <w:pStyle w:val="Heading1"/>
        <w:spacing w:line="276" w:lineRule="auto"/>
        <w:ind w:left="1080"/>
        <w:rPr>
          <w:noProof/>
          <w:szCs w:val="24"/>
        </w:rPr>
      </w:pPr>
      <w:r>
        <w:rPr>
          <w:noProof/>
        </w:rPr>
        <w:t>а.</w:t>
      </w:r>
      <w:r>
        <w:rPr>
          <w:noProof/>
        </w:rPr>
        <w:tab/>
        <w:t xml:space="preserve">ПОВИШАВАНЕ НА ОСВЕДОМЕНОСТТА </w:t>
      </w:r>
    </w:p>
    <w:p w:rsidR="007F5454" w:rsidRDefault="00854701">
      <w:pPr>
        <w:jc w:val="both"/>
        <w:rPr>
          <w:rFonts w:ascii="Times New Roman" w:hAnsi="Times New Roman" w:cs="Times New Roman"/>
          <w:noProof/>
          <w:sz w:val="24"/>
          <w:szCs w:val="24"/>
        </w:rPr>
      </w:pPr>
      <w:r>
        <w:rPr>
          <w:rFonts w:ascii="Times New Roman" w:hAnsi="Times New Roman"/>
          <w:noProof/>
          <w:sz w:val="24"/>
        </w:rPr>
        <w:t>Споделянето на резултатите от работата по анализ и оценка на разузнавателни данни е ключов инструмент за намаляване на несигурността и повишаване на ситуационната осведоменост. През изминалата година</w:t>
      </w:r>
      <w:r>
        <w:rPr>
          <w:rFonts w:ascii="Times New Roman" w:hAnsi="Times New Roman"/>
          <w:noProof/>
          <w:sz w:val="24"/>
        </w:rPr>
        <w:t xml:space="preserve"> бе постигнат значителен напредък. Бяха създадени звеното на ЕС за синтез на информацията за хибридните заплахи, което вече е напълно оперативно, и оперативната група East StratCom, а Финландия учреди Европейския център за борба с хибридните заплахи. Голям</w:t>
      </w:r>
      <w:r>
        <w:rPr>
          <w:rFonts w:ascii="Times New Roman" w:hAnsi="Times New Roman"/>
          <w:noProof/>
          <w:sz w:val="24"/>
        </w:rPr>
        <w:t>а част от работата бе съсредоточена върху анализа на инструментите и механизмите за дезинформация или пропаганда, като е налице добро сътрудничество между оперативната група на ЕС East StratCom, звеното за синтез на информацията за хибридните заплахи и НАТ</w:t>
      </w:r>
      <w:r>
        <w:rPr>
          <w:rFonts w:ascii="Times New Roman" w:hAnsi="Times New Roman"/>
          <w:noProof/>
          <w:sz w:val="24"/>
        </w:rPr>
        <w:t xml:space="preserve">О. Това създава добра основа за доизграждането и по-дълбокото внедряване на културата на анализ и оценка на заплахите за нашата външна и вътрешна сигурност, при което се следи за техните хибридни аспекти. </w:t>
      </w:r>
    </w:p>
    <w:p w:rsidR="007F5454" w:rsidRDefault="007F5454">
      <w:pPr>
        <w:jc w:val="both"/>
        <w:rPr>
          <w:rFonts w:ascii="Times New Roman" w:hAnsi="Times New Roman"/>
          <w:b/>
          <w:i/>
          <w:noProof/>
          <w:sz w:val="24"/>
          <w:u w:val="single"/>
        </w:rPr>
      </w:pPr>
    </w:p>
    <w:p w:rsidR="007F5454" w:rsidRDefault="00854701">
      <w:pPr>
        <w:rPr>
          <w:rFonts w:ascii="Times New Roman" w:hAnsi="Times New Roman" w:cs="Times New Roman"/>
          <w:b/>
          <w:bCs/>
          <w:i/>
          <w:iCs/>
          <w:noProof/>
          <w:sz w:val="24"/>
          <w:szCs w:val="24"/>
          <w:u w:val="single"/>
        </w:rPr>
      </w:pPr>
      <w:r>
        <w:rPr>
          <w:rFonts w:ascii="Times New Roman" w:hAnsi="Times New Roman"/>
          <w:b/>
          <w:i/>
          <w:noProof/>
          <w:sz w:val="24"/>
          <w:u w:val="single"/>
        </w:rPr>
        <w:t>Звено за синтез на информацията за хибридните зап</w:t>
      </w:r>
      <w:r>
        <w:rPr>
          <w:rFonts w:ascii="Times New Roman" w:hAnsi="Times New Roman"/>
          <w:b/>
          <w:i/>
          <w:noProof/>
          <w:sz w:val="24"/>
          <w:u w:val="single"/>
        </w:rPr>
        <w:t>лахи</w:t>
      </w:r>
    </w:p>
    <w:p w:rsidR="007F5454" w:rsidRDefault="007F5454">
      <w:pPr>
        <w:rPr>
          <w:rFonts w:ascii="Times New Roman" w:hAnsi="Times New Roman" w:cs="Times New Roman"/>
          <w:b/>
          <w:i/>
          <w:noProof/>
          <w:sz w:val="24"/>
          <w:szCs w:val="24"/>
          <w:u w:val="single"/>
        </w:rPr>
      </w:pPr>
    </w:p>
    <w:p w:rsidR="007F5454" w:rsidRDefault="00854701">
      <w:pPr>
        <w:jc w:val="both"/>
        <w:rPr>
          <w:rFonts w:ascii="Times New Roman" w:hAnsi="Times New Roman" w:cs="Times New Roman"/>
          <w:b/>
          <w:bCs/>
          <w:i/>
          <w:iCs/>
          <w:noProof/>
          <w:sz w:val="24"/>
          <w:szCs w:val="24"/>
        </w:rPr>
      </w:pPr>
      <w:r>
        <w:rPr>
          <w:rFonts w:ascii="Times New Roman" w:hAnsi="Times New Roman"/>
          <w:b/>
          <w:i/>
          <w:noProof/>
          <w:u w:val="single"/>
        </w:rPr>
        <w:t>Действие 2</w:t>
      </w:r>
      <w:r>
        <w:rPr>
          <w:rFonts w:ascii="Times New Roman" w:hAnsi="Times New Roman"/>
          <w:b/>
          <w:i/>
          <w:noProof/>
        </w:rPr>
        <w:t>: създаване на звено на ЕС за синтез на информацията за хибридните заплахи в рамките на съществуващата структура на Центъра на ЕС за анализ на информация, което да може да получава и анализира класифицирана информация и информация от открит</w:t>
      </w:r>
      <w:r>
        <w:rPr>
          <w:rFonts w:ascii="Times New Roman" w:hAnsi="Times New Roman"/>
          <w:b/>
          <w:i/>
          <w:noProof/>
        </w:rPr>
        <w:t>и източници за хибридните заплахи. Държавите членки се приканват да създадат национални звена за контакт по въпросите на хибридните заплахи, за да се изгради сътрудничество и да се установят сигурни канали за комуникация със звеното на ЕС за синтез на инфо</w:t>
      </w:r>
      <w:r>
        <w:rPr>
          <w:rFonts w:ascii="Times New Roman" w:hAnsi="Times New Roman"/>
          <w:b/>
          <w:i/>
          <w:noProof/>
        </w:rPr>
        <w:t>рмацията за хибридните заплахи.</w:t>
      </w:r>
    </w:p>
    <w:p w:rsidR="007F5454" w:rsidRDefault="007F5454">
      <w:pPr>
        <w:rPr>
          <w:rFonts w:ascii="Times New Roman" w:hAnsi="Times New Roman"/>
          <w:noProof/>
          <w:sz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 xml:space="preserve">Звеното на ЕС за синтез на информацията за хибридните заплахи бе създадено в рамките на Центъра на ЕС за анализ на информация, за да получава и анализира класифицирана информация и информация от открити източници, </w:t>
      </w:r>
      <w:r>
        <w:rPr>
          <w:rFonts w:ascii="Times New Roman" w:hAnsi="Times New Roman"/>
          <w:noProof/>
          <w:sz w:val="24"/>
        </w:rPr>
        <w:t>предоставяна от различни заинтересовани страни, относно хибридните заплахи. След това резултатите от анализа се обменят в рамките на ЕС и между държавите членки и на свой ред залягат в основата на процесите за вземане на решения на ЕС, включително чрез пре</w:t>
      </w:r>
      <w:r>
        <w:rPr>
          <w:rFonts w:ascii="Times New Roman" w:hAnsi="Times New Roman"/>
          <w:noProof/>
          <w:sz w:val="24"/>
        </w:rPr>
        <w:t>доставянето на данни за оценките на риска за сигурността, извършвани на равнище ЕС. Дирекция „Разузнаване“ към Военния секретариат на ЕС допринася за работата на звеното за синтез на информация с военен анализ. До момента са изготвени над 50 оценки и брифи</w:t>
      </w:r>
      <w:r>
        <w:rPr>
          <w:rFonts w:ascii="Times New Roman" w:hAnsi="Times New Roman"/>
          <w:noProof/>
          <w:sz w:val="24"/>
        </w:rPr>
        <w:t>нги относно хибридните заплахи. От януари 2017 г. насам звеното издава периодичен „Бюлетин относно хибридните заплахи“, в който се анализират актуалните хибридни заплахи и свързани с тях проблеми, и който се споделя директно с институциите и органите на ЕС</w:t>
      </w:r>
      <w:r>
        <w:rPr>
          <w:rFonts w:ascii="Times New Roman" w:hAnsi="Times New Roman"/>
          <w:noProof/>
          <w:sz w:val="24"/>
        </w:rPr>
        <w:t xml:space="preserve"> и националните звена за контакт</w:t>
      </w:r>
      <w:r>
        <w:rPr>
          <w:rStyle w:val="FootnoteReference"/>
          <w:rFonts w:ascii="Times New Roman" w:hAnsi="Times New Roman"/>
          <w:noProof/>
          <w:sz w:val="24"/>
        </w:rPr>
        <w:footnoteReference w:id="9"/>
      </w:r>
      <w:r>
        <w:rPr>
          <w:rFonts w:ascii="Times New Roman" w:hAnsi="Times New Roman"/>
          <w:noProof/>
          <w:sz w:val="24"/>
        </w:rPr>
        <w:t>. Оперативният капацитет на звеното бе постигнат, както беше планирано, през май 2017 г. Накрая, продължава ангажиментът между служителите на звеното за синтез и служителите на новосъздадения в рамките на НАТО клон за анали</w:t>
      </w:r>
      <w:r>
        <w:rPr>
          <w:rFonts w:ascii="Times New Roman" w:hAnsi="Times New Roman"/>
          <w:noProof/>
          <w:sz w:val="24"/>
        </w:rPr>
        <w:t xml:space="preserve">з на хибридните заплахи както за споделяне на придобития опит във връзка със създаването на звеното за синтез, така и за обмен на информация (осъществяван при пълно спазване на правилата на ЕС за обмен на класифицирана информация). Звеното на ЕС за синтез </w:t>
      </w:r>
      <w:r>
        <w:rPr>
          <w:rFonts w:ascii="Times New Roman" w:hAnsi="Times New Roman"/>
          <w:noProof/>
          <w:sz w:val="24"/>
        </w:rPr>
        <w:t>на информацията за хибридните заплахи понастоящем набелязва по-нататъшни инициативи за подобряване на бъдещото сътрудничество и ще играе ключова роля в паралелните учения на ЕС и НАТО, планирани за есента на 2017 г., при които ще бъде проверена способностт</w:t>
      </w:r>
      <w:r>
        <w:rPr>
          <w:rFonts w:ascii="Times New Roman" w:hAnsi="Times New Roman"/>
          <w:noProof/>
          <w:sz w:val="24"/>
        </w:rPr>
        <w:t xml:space="preserve">а за реагиране на това звено и направените изводи ще бъдат взети предвид при по-нататъшните действия. </w:t>
      </w:r>
    </w:p>
    <w:p w:rsidR="007F5454" w:rsidRDefault="007F5454">
      <w:pPr>
        <w:jc w:val="both"/>
        <w:rPr>
          <w:rFonts w:ascii="Times New Roman" w:hAnsi="Times New Roman" w:cs="Times New Roman"/>
          <w:noProof/>
          <w:sz w:val="24"/>
          <w:szCs w:val="24"/>
        </w:rPr>
      </w:pP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b/>
          <w:bCs/>
          <w:i/>
          <w:iCs/>
          <w:noProof/>
          <w:sz w:val="24"/>
          <w:szCs w:val="24"/>
          <w:u w:val="single"/>
        </w:rPr>
      </w:pPr>
      <w:r>
        <w:rPr>
          <w:rFonts w:ascii="Times New Roman" w:hAnsi="Times New Roman"/>
          <w:b/>
          <w:i/>
          <w:noProof/>
          <w:sz w:val="24"/>
          <w:u w:val="single"/>
        </w:rPr>
        <w:t xml:space="preserve">Стратегическа комуникация </w:t>
      </w:r>
    </w:p>
    <w:p w:rsidR="007F5454" w:rsidRDefault="007F5454">
      <w:pPr>
        <w:jc w:val="both"/>
        <w:rPr>
          <w:rFonts w:ascii="Times New Roman" w:hAnsi="Times New Roman" w:cs="Times New Roman"/>
          <w:b/>
          <w:bCs/>
          <w:i/>
          <w:iCs/>
          <w:noProof/>
          <w:sz w:val="24"/>
          <w:szCs w:val="24"/>
          <w:u w:val="single"/>
        </w:rPr>
      </w:pPr>
    </w:p>
    <w:p w:rsidR="007F5454" w:rsidRDefault="00854701">
      <w:pPr>
        <w:jc w:val="both"/>
        <w:rPr>
          <w:rFonts w:ascii="Times New Roman" w:hAnsi="Times New Roman" w:cs="Times New Roman"/>
          <w:b/>
          <w:bCs/>
          <w:i/>
          <w:iCs/>
          <w:noProof/>
          <w:sz w:val="24"/>
          <w:szCs w:val="24"/>
        </w:rPr>
      </w:pPr>
      <w:r>
        <w:rPr>
          <w:rFonts w:ascii="Times New Roman" w:hAnsi="Times New Roman"/>
          <w:b/>
          <w:i/>
          <w:noProof/>
          <w:u w:val="single"/>
        </w:rPr>
        <w:t>Действие 3</w:t>
      </w:r>
      <w:r>
        <w:rPr>
          <w:rFonts w:ascii="Times New Roman" w:hAnsi="Times New Roman"/>
          <w:b/>
          <w:i/>
          <w:noProof/>
        </w:rPr>
        <w:t>: върховният представител ще разгледа съвместно с държавите членки начини да се адаптира и координира капацитетът</w:t>
      </w:r>
      <w:r>
        <w:rPr>
          <w:rFonts w:ascii="Times New Roman" w:hAnsi="Times New Roman"/>
          <w:b/>
          <w:i/>
          <w:noProof/>
        </w:rPr>
        <w:t xml:space="preserve"> за осигуряване на активна стратегическа комуникация и да се оптимизират мониторингът на медиите и използването на езиковите специалисти.</w:t>
      </w:r>
      <w:r>
        <w:rPr>
          <w:rFonts w:ascii="Times New Roman" w:hAnsi="Times New Roman"/>
          <w:b/>
          <w:i/>
          <w:noProof/>
          <w:sz w:val="24"/>
        </w:rPr>
        <w:t xml:space="preserve"> </w:t>
      </w:r>
    </w:p>
    <w:p w:rsidR="007F5454" w:rsidRDefault="007F5454">
      <w:pPr>
        <w:jc w:val="both"/>
        <w:rPr>
          <w:rFonts w:ascii="Times New Roman" w:hAnsi="Times New Roman" w:cs="Times New Roman"/>
          <w:b/>
          <w:bCs/>
          <w:i/>
          <w:iCs/>
          <w:noProof/>
          <w:sz w:val="24"/>
          <w:szCs w:val="24"/>
        </w:rPr>
      </w:pPr>
    </w:p>
    <w:p w:rsidR="007F5454" w:rsidRDefault="00854701">
      <w:pPr>
        <w:jc w:val="both"/>
        <w:rPr>
          <w:rStyle w:val="bumpedfont15"/>
          <w:rFonts w:ascii="Times New Roman" w:hAnsi="Times New Roman" w:cs="Times New Roman"/>
          <w:noProof/>
          <w:sz w:val="24"/>
          <w:szCs w:val="24"/>
        </w:rPr>
      </w:pPr>
      <w:r>
        <w:rPr>
          <w:rStyle w:val="bumpedfont15"/>
          <w:rFonts w:ascii="Times New Roman" w:hAnsi="Times New Roman"/>
          <w:noProof/>
          <w:sz w:val="24"/>
        </w:rPr>
        <w:t>В последните месеци се засилиха кампаниите за дезинформация и систематичното разпространение на фалшиви новини в соц</w:t>
      </w:r>
      <w:r>
        <w:rPr>
          <w:rStyle w:val="bumpedfont15"/>
          <w:rFonts w:ascii="Times New Roman" w:hAnsi="Times New Roman"/>
          <w:noProof/>
          <w:sz w:val="24"/>
        </w:rPr>
        <w:t>иалните медии е сред широката гама от действия за подкопаване на позициите на противниците. Там където социалните мрежи са предпочитаната платформа, информацията, която изглежда достоверна и легитимна, може да промени общественото мнение в полза на определ</w:t>
      </w:r>
      <w:r>
        <w:rPr>
          <w:rStyle w:val="bumpedfont15"/>
          <w:rFonts w:ascii="Times New Roman" w:hAnsi="Times New Roman"/>
          <w:noProof/>
          <w:sz w:val="24"/>
        </w:rPr>
        <w:t>ени лица, организации или правителства. Тези хибридни тактики имат по-широкообхватната цел да се създаде объркване в нашите общества и дискредитиране на нашите демократични правителства и нашите структури, институции и избори. Често фалшивите новини се раз</w:t>
      </w:r>
      <w:r>
        <w:rPr>
          <w:rStyle w:val="bumpedfont15"/>
          <w:rFonts w:ascii="Times New Roman" w:hAnsi="Times New Roman"/>
          <w:noProof/>
          <w:sz w:val="24"/>
        </w:rPr>
        <w:t>пространяват чрез онлайн платформи (вж. също действие 17). Комисията и Върховният представител приветстват неотдавнашните стъпки, предприети от онлайн платформите и издателите на информационни медии, за противодействие на дезинформационните кампании. Комис</w:t>
      </w:r>
      <w:r>
        <w:rPr>
          <w:rStyle w:val="bumpedfont15"/>
          <w:rFonts w:ascii="Times New Roman" w:hAnsi="Times New Roman"/>
          <w:noProof/>
          <w:sz w:val="24"/>
        </w:rPr>
        <w:t>ията ще продължи да насърчава подобни доброволни мерки.</w:t>
      </w:r>
    </w:p>
    <w:p w:rsidR="007F5454" w:rsidRDefault="007F5454">
      <w:pPr>
        <w:jc w:val="both"/>
        <w:rPr>
          <w:rStyle w:val="bumpedfont15"/>
          <w:rFonts w:ascii="Times New Roman" w:hAnsi="Times New Roman" w:cs="Times New Roman"/>
          <w:noProof/>
          <w:sz w:val="24"/>
          <w:szCs w:val="24"/>
        </w:rPr>
      </w:pPr>
    </w:p>
    <w:p w:rsidR="007F5454" w:rsidRDefault="00854701">
      <w:pPr>
        <w:jc w:val="both"/>
        <w:rPr>
          <w:rStyle w:val="bumpedfont15"/>
          <w:rFonts w:ascii="Times New Roman" w:hAnsi="Times New Roman" w:cs="Times New Roman"/>
          <w:noProof/>
          <w:sz w:val="24"/>
          <w:szCs w:val="24"/>
        </w:rPr>
      </w:pPr>
      <w:r>
        <w:rPr>
          <w:rStyle w:val="bumpedfont15"/>
          <w:rFonts w:ascii="Times New Roman" w:hAnsi="Times New Roman"/>
          <w:noProof/>
          <w:sz w:val="24"/>
        </w:rPr>
        <w:t>Върховният представител създаде оперативната група East StratCom, която прогнозира случаи и кампании на дезинформация и предприема ответни действия. Това значително подобрява комуникацията относно политиките на Съюза в държавите от източното съседство, кат</w:t>
      </w:r>
      <w:r>
        <w:rPr>
          <w:rStyle w:val="bumpedfont15"/>
          <w:rFonts w:ascii="Times New Roman" w:hAnsi="Times New Roman"/>
          <w:noProof/>
          <w:sz w:val="24"/>
        </w:rPr>
        <w:t xml:space="preserve">о същевременно укрепва медийната среда в тези държави. През последните две години оперативната група разкри над 3000 случая на дезинформация на 18 езика. Предстоящото стартиране на нов уебсайт </w:t>
      </w:r>
      <w:r>
        <w:rPr>
          <w:rStyle w:val="bumpedfont15"/>
          <w:rFonts w:ascii="Times New Roman" w:hAnsi="Times New Roman"/>
          <w:i/>
          <w:noProof/>
          <w:sz w:val="24"/>
        </w:rPr>
        <w:t># EUvsdisinformation</w:t>
      </w:r>
      <w:r>
        <w:rPr>
          <w:rStyle w:val="bumpedfont15"/>
          <w:rFonts w:ascii="Times New Roman" w:hAnsi="Times New Roman"/>
          <w:noProof/>
          <w:sz w:val="24"/>
        </w:rPr>
        <w:t xml:space="preserve"> с възможност за онлайн търсене ще подобри </w:t>
      </w:r>
      <w:r>
        <w:rPr>
          <w:rStyle w:val="bumpedfont15"/>
          <w:rFonts w:ascii="Times New Roman" w:hAnsi="Times New Roman"/>
          <w:noProof/>
          <w:sz w:val="24"/>
        </w:rPr>
        <w:t>значително достъпа на потребителите. При все това тези изследвания и анализи сочат, че броят на каналите за дезинформация и дезинформационните съобщения, разпространявани всекидневно, е значително по-голям. По проекта EU-STRAT, финансиран по „Хоризонт 2020</w:t>
      </w:r>
      <w:r>
        <w:rPr>
          <w:rStyle w:val="bumpedfont15"/>
          <w:rFonts w:ascii="Times New Roman" w:hAnsi="Times New Roman"/>
          <w:noProof/>
          <w:sz w:val="24"/>
        </w:rPr>
        <w:t>“, се анализират политиката и медиите в държавите от Източното партньорство.</w:t>
      </w:r>
    </w:p>
    <w:p w:rsidR="007F5454" w:rsidRDefault="007F5454">
      <w:pPr>
        <w:jc w:val="both"/>
        <w:rPr>
          <w:rStyle w:val="bumpedfont15"/>
          <w:noProof/>
        </w:rPr>
      </w:pPr>
    </w:p>
    <w:p w:rsidR="007F5454" w:rsidRDefault="00854701">
      <w:pPr>
        <w:jc w:val="both"/>
        <w:rPr>
          <w:rFonts w:ascii="Times New Roman" w:hAnsi="Times New Roman" w:cs="Times New Roman"/>
          <w:noProof/>
          <w:sz w:val="24"/>
          <w:szCs w:val="24"/>
        </w:rPr>
      </w:pPr>
      <w:r>
        <w:rPr>
          <w:rFonts w:ascii="Times New Roman" w:hAnsi="Times New Roman"/>
          <w:noProof/>
          <w:sz w:val="24"/>
        </w:rPr>
        <w:t xml:space="preserve">Върховният представител приканва държавите членки да подкрепят работата на оперативните групи StratCom, за да се противодейства по-ефективно на увеличението на хибридните </w:t>
      </w:r>
      <w:r>
        <w:rPr>
          <w:rFonts w:ascii="Times New Roman" w:hAnsi="Times New Roman"/>
          <w:noProof/>
          <w:sz w:val="24"/>
        </w:rPr>
        <w:t>заплахи. Това ще подпомогне оперативната група за стратегическа комуникация за южното съседство да подобри комуникацията и повишаването на информираността на арабския свят, включително на арабски език, като се разбият някои митове и се установят фактите за</w:t>
      </w:r>
      <w:r>
        <w:rPr>
          <w:rFonts w:ascii="Times New Roman" w:hAnsi="Times New Roman"/>
          <w:noProof/>
          <w:sz w:val="24"/>
        </w:rPr>
        <w:t xml:space="preserve"> Европейския съюз и неговите политики. Взаимодействието с местните журналисти ще спомогне за културното адаптиране на разпространяваните новини. Двете оперативни групи, с подкрепата на звеното на ЕС за синтез на информацията за хибридните заплахи, имат за </w:t>
      </w:r>
      <w:r>
        <w:rPr>
          <w:rFonts w:ascii="Times New Roman" w:hAnsi="Times New Roman"/>
          <w:noProof/>
          <w:sz w:val="24"/>
        </w:rPr>
        <w:t>цел да подпомагат и допълват усилията на държавите членки в тази сфера. Освен това Комисията съфинансира Европейската мрежа за стратегически комуникации — мрежа за сътрудничество на 26 държави членки, чрез която се споделят анализи, добри практики и идеи в</w:t>
      </w:r>
      <w:r>
        <w:rPr>
          <w:rFonts w:ascii="Times New Roman" w:hAnsi="Times New Roman"/>
          <w:noProof/>
          <w:sz w:val="24"/>
        </w:rPr>
        <w:t>ъв връзка с използването на стратегическите комуникации в борбата с насилническия екстремизъм, включително по въпроса за дезинформацията.</w:t>
      </w:r>
    </w:p>
    <w:p w:rsidR="007F5454" w:rsidRDefault="007F5454">
      <w:pPr>
        <w:jc w:val="both"/>
        <w:rPr>
          <w:rFonts w:ascii="Times New Roman" w:hAnsi="Times New Roman" w:cs="Times New Roman"/>
          <w:bCs/>
          <w:iCs/>
          <w:noProof/>
          <w:sz w:val="24"/>
          <w:szCs w:val="24"/>
        </w:rPr>
      </w:pPr>
    </w:p>
    <w:p w:rsidR="007F5454" w:rsidRDefault="00854701">
      <w:pPr>
        <w:pStyle w:val="Heading2"/>
        <w:spacing w:line="276" w:lineRule="auto"/>
        <w:rPr>
          <w:i/>
          <w:noProof/>
          <w:szCs w:val="24"/>
          <w:u w:val="single"/>
        </w:rPr>
      </w:pPr>
      <w:r>
        <w:rPr>
          <w:i/>
          <w:noProof/>
          <w:u w:val="single"/>
        </w:rPr>
        <w:t>Център за високи постижения в борбата с хибридните заплахи</w:t>
      </w:r>
    </w:p>
    <w:p w:rsidR="007F5454" w:rsidRDefault="00854701">
      <w:pPr>
        <w:rPr>
          <w:rFonts w:ascii="Times New Roman" w:hAnsi="Times New Roman" w:cs="Times New Roman"/>
          <w:b/>
          <w:bCs/>
          <w:i/>
          <w:iCs/>
          <w:noProof/>
          <w:sz w:val="24"/>
          <w:szCs w:val="24"/>
        </w:rPr>
      </w:pPr>
      <w:r>
        <w:rPr>
          <w:rFonts w:ascii="Times New Roman" w:hAnsi="Times New Roman"/>
          <w:b/>
          <w:i/>
          <w:noProof/>
          <w:u w:val="single"/>
        </w:rPr>
        <w:t>Действие 4:</w:t>
      </w:r>
      <w:r>
        <w:rPr>
          <w:rFonts w:ascii="Times New Roman" w:hAnsi="Times New Roman"/>
          <w:b/>
          <w:i/>
          <w:noProof/>
        </w:rPr>
        <w:t xml:space="preserve"> държавите членки се приканват да обмислят създ</w:t>
      </w:r>
      <w:r>
        <w:rPr>
          <w:rFonts w:ascii="Times New Roman" w:hAnsi="Times New Roman"/>
          <w:b/>
          <w:i/>
          <w:noProof/>
        </w:rPr>
        <w:t>аването на център за високи постижения в областта на борбата с хибридните заплахи.</w:t>
      </w:r>
    </w:p>
    <w:p w:rsidR="007F5454" w:rsidRDefault="007F5454">
      <w:pPr>
        <w:rPr>
          <w:rFonts w:ascii="Times New Roman" w:hAnsi="Times New Roman" w:cs="Times New Roman"/>
          <w:b/>
          <w:bCs/>
          <w:i/>
          <w:iCs/>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В отговор на призива за създаване на център за високи постижения през април 2017 г. Финландия учреди Европейския център за борба с хибридните заплахи. Десет държави — членк</w:t>
      </w:r>
      <w:r>
        <w:rPr>
          <w:rFonts w:ascii="Times New Roman" w:hAnsi="Times New Roman"/>
          <w:noProof/>
          <w:sz w:val="24"/>
        </w:rPr>
        <w:t>и на ЕС</w:t>
      </w:r>
      <w:r>
        <w:rPr>
          <w:rStyle w:val="FootnoteReference"/>
          <w:rFonts w:ascii="Times New Roman" w:hAnsi="Times New Roman"/>
          <w:noProof/>
          <w:sz w:val="24"/>
        </w:rPr>
        <w:footnoteReference w:id="10"/>
      </w:r>
      <w:r>
        <w:rPr>
          <w:rFonts w:ascii="Times New Roman" w:hAnsi="Times New Roman"/>
          <w:noProof/>
          <w:sz w:val="24"/>
        </w:rPr>
        <w:t>, Норвегия и САЩ са членове, а Европейският съюз и НАТО бяха приканени да оказват подкрепа на управителния съвет</w:t>
      </w:r>
      <w:r>
        <w:rPr>
          <w:rStyle w:val="FootnoteReference"/>
          <w:rFonts w:ascii="Times New Roman" w:hAnsi="Times New Roman"/>
          <w:noProof/>
          <w:sz w:val="24"/>
        </w:rPr>
        <w:footnoteReference w:id="11"/>
      </w:r>
      <w:r>
        <w:rPr>
          <w:rFonts w:ascii="Times New Roman" w:hAnsi="Times New Roman"/>
          <w:noProof/>
          <w:sz w:val="24"/>
        </w:rPr>
        <w:t>. Мисията на центъра е да насърчава стратегическия диалог, както и да провежда проучвания и анализи, като работи съвместно със заинтере</w:t>
      </w:r>
      <w:r>
        <w:rPr>
          <w:rFonts w:ascii="Times New Roman" w:hAnsi="Times New Roman"/>
          <w:noProof/>
          <w:sz w:val="24"/>
        </w:rPr>
        <w:t>сованите общности, за да се повишат устойчивостта и способността за реагиране с цел подпомагане на борбата с хибридните заплахи. Очаква се центърът също така да служи като място за бъдещи учения за борба с хибридните заплахи. Центърът вече е установил тясн</w:t>
      </w:r>
      <w:r>
        <w:rPr>
          <w:rFonts w:ascii="Times New Roman" w:hAnsi="Times New Roman"/>
          <w:noProof/>
          <w:sz w:val="24"/>
        </w:rPr>
        <w:t xml:space="preserve">о сътрудничество със звеното на ЕС за синтез на информацията за хибридните заплахи и дейностите на двете организации следва взаимно да се допълват. ЕС е в процес на оценка за начините, по които той може да предостави конкретна подкрепа за центъра. </w:t>
      </w:r>
    </w:p>
    <w:p w:rsidR="007F5454" w:rsidRDefault="00854701">
      <w:pPr>
        <w:pStyle w:val="Heading1"/>
        <w:spacing w:line="276" w:lineRule="auto"/>
        <w:ind w:left="1080"/>
        <w:rPr>
          <w:noProof/>
          <w:szCs w:val="24"/>
        </w:rPr>
      </w:pPr>
      <w:r>
        <w:rPr>
          <w:noProof/>
        </w:rPr>
        <w:t>б.</w:t>
      </w:r>
      <w:r>
        <w:rPr>
          <w:noProof/>
        </w:rPr>
        <w:tab/>
        <w:t>ИЗГР</w:t>
      </w:r>
      <w:r>
        <w:rPr>
          <w:noProof/>
        </w:rPr>
        <w:t>АЖДАНЕ НА УСТОЙЧИВОСТ</w:t>
      </w:r>
    </w:p>
    <w:p w:rsidR="007F5454" w:rsidRDefault="00854701">
      <w:pPr>
        <w:jc w:val="both"/>
        <w:rPr>
          <w:rFonts w:ascii="Times New Roman" w:hAnsi="Times New Roman" w:cs="Times New Roman"/>
          <w:noProof/>
          <w:sz w:val="24"/>
          <w:szCs w:val="24"/>
        </w:rPr>
      </w:pPr>
      <w:r>
        <w:rPr>
          <w:rFonts w:ascii="Times New Roman" w:hAnsi="Times New Roman"/>
          <w:noProof/>
          <w:sz w:val="24"/>
        </w:rPr>
        <w:t>Съвместната рамка поставя устойчивостта (напр. на транспорта, комуникациите, енергетиката, финансите или регионалните инфраструктури за сигурност) в центъра на действията на ЕС, за да се окаже отпор на пропагандата и информационните к</w:t>
      </w:r>
      <w:r>
        <w:rPr>
          <w:rFonts w:ascii="Times New Roman" w:hAnsi="Times New Roman"/>
          <w:noProof/>
          <w:sz w:val="24"/>
        </w:rPr>
        <w:t>ампании, опитите за подкопаване на стопанската дейност, обществата и икономическите потоци, както и на атаките срещу информационните технологии и инфраструктурата, свързана с киберпространството. В нея се предвижда засилване на устойчивостта като превантив</w:t>
      </w:r>
      <w:r>
        <w:rPr>
          <w:rFonts w:ascii="Times New Roman" w:hAnsi="Times New Roman"/>
          <w:noProof/>
          <w:sz w:val="24"/>
        </w:rPr>
        <w:t>но и възпиращо действие с цел заздравяване на обществата и избягване на ескалация на кризите в рамките на ЕС и извън него. Добавената стойност на ЕС се състои в оказването на помощ на държавите членки и партньорите за изграждане на тяхната устойчивост, раз</w:t>
      </w:r>
      <w:r>
        <w:rPr>
          <w:rFonts w:ascii="Times New Roman" w:hAnsi="Times New Roman"/>
          <w:noProof/>
          <w:sz w:val="24"/>
        </w:rPr>
        <w:t xml:space="preserve">читайки на широк набор от съществуващи инструменти и програми. Значителен напредък бе постигнат при действията за изграждането на устойчивост в области като киберсигурността, критичната инфраструктура, защитата на финансовата система от незаконна употреба </w:t>
      </w:r>
      <w:r>
        <w:rPr>
          <w:rFonts w:ascii="Times New Roman" w:hAnsi="Times New Roman"/>
          <w:noProof/>
          <w:sz w:val="24"/>
        </w:rPr>
        <w:t>и противодействието на насилническия екстремизъм и радикализацията.</w:t>
      </w:r>
    </w:p>
    <w:p w:rsidR="007F5454" w:rsidRDefault="007F5454">
      <w:pPr>
        <w:jc w:val="both"/>
        <w:rPr>
          <w:noProof/>
        </w:rPr>
      </w:pPr>
    </w:p>
    <w:p w:rsidR="007F5454" w:rsidRDefault="00854701">
      <w:pPr>
        <w:pStyle w:val="Heading2"/>
        <w:spacing w:line="276" w:lineRule="auto"/>
        <w:rPr>
          <w:i/>
          <w:noProof/>
          <w:szCs w:val="24"/>
          <w:u w:val="single"/>
        </w:rPr>
      </w:pPr>
      <w:r>
        <w:rPr>
          <w:i/>
          <w:noProof/>
          <w:u w:val="single"/>
        </w:rPr>
        <w:t xml:space="preserve">Защита на критичната инфраструктура </w:t>
      </w:r>
    </w:p>
    <w:p w:rsidR="007F5454" w:rsidRDefault="00854701">
      <w:pPr>
        <w:jc w:val="both"/>
        <w:rPr>
          <w:rFonts w:ascii="Times New Roman" w:hAnsi="Times New Roman" w:cs="Times New Roman"/>
          <w:b/>
          <w:bCs/>
          <w:i/>
          <w:iCs/>
          <w:noProof/>
          <w:szCs w:val="24"/>
          <w:u w:val="single"/>
        </w:rPr>
      </w:pPr>
      <w:r>
        <w:rPr>
          <w:rFonts w:ascii="Times New Roman" w:hAnsi="Times New Roman"/>
          <w:b/>
          <w:i/>
          <w:noProof/>
          <w:u w:val="single"/>
        </w:rPr>
        <w:t>Действие 5: в сътрудничество с държавите членки и заинтересованите страни Комисията ще набележи общи инструменти, включително показатели, за подобрява</w:t>
      </w:r>
      <w:r>
        <w:rPr>
          <w:rFonts w:ascii="Times New Roman" w:hAnsi="Times New Roman"/>
          <w:b/>
          <w:i/>
          <w:noProof/>
          <w:u w:val="single"/>
        </w:rPr>
        <w:t>не на защитата и устойчивостта на критичната инфраструктура спрямо хибридните заплахи в съответните сектори.</w:t>
      </w:r>
    </w:p>
    <w:p w:rsidR="007F5454" w:rsidRDefault="007F5454">
      <w:pPr>
        <w:jc w:val="both"/>
        <w:rPr>
          <w:rFonts w:ascii="Times New Roman" w:hAnsi="Times New Roman" w:cs="Times New Roman"/>
          <w:b/>
          <w:bCs/>
          <w:i/>
          <w:iCs/>
          <w:noProof/>
          <w:szCs w:val="24"/>
          <w:u w:val="single"/>
        </w:rPr>
      </w:pPr>
    </w:p>
    <w:p w:rsidR="007F5454" w:rsidRDefault="00854701">
      <w:pPr>
        <w:jc w:val="both"/>
        <w:rPr>
          <w:rFonts w:ascii="Times New Roman" w:hAnsi="Times New Roman" w:cs="Times New Roman"/>
          <w:noProof/>
          <w:sz w:val="24"/>
          <w:szCs w:val="24"/>
        </w:rPr>
      </w:pPr>
      <w:r>
        <w:rPr>
          <w:rFonts w:ascii="Times New Roman" w:hAnsi="Times New Roman"/>
          <w:noProof/>
          <w:sz w:val="24"/>
        </w:rPr>
        <w:t>В контекста на Европейската програма за защита на критичната инфраструктура (ЕПЗКИ) Комисията продължи започнатата работа за идентифициране на общ</w:t>
      </w:r>
      <w:r>
        <w:rPr>
          <w:rFonts w:ascii="Times New Roman" w:hAnsi="Times New Roman"/>
          <w:noProof/>
          <w:sz w:val="24"/>
        </w:rPr>
        <w:t>и инструменти, включително показатели за уязвимост, с оглед подобряване на устойчивостта на критичната инфраструктура срещу хибридните заплахи в съответните сектори. През май 2017 г. Комисията организира работна среща относно хибридните заплахи за критична</w:t>
      </w:r>
      <w:r>
        <w:rPr>
          <w:rFonts w:ascii="Times New Roman" w:hAnsi="Times New Roman"/>
          <w:noProof/>
          <w:sz w:val="24"/>
        </w:rPr>
        <w:t>та инфраструктура, в която взеха участие почти всички държави членки, оператори на критична инфраструктура, звеното на ЕС за синтез на информацията за хибридните заплахи, както и НАТО в качеството на наблюдател. Бе постигнато съгласие относно обща пътна ка</w:t>
      </w:r>
      <w:r>
        <w:rPr>
          <w:rFonts w:ascii="Times New Roman" w:hAnsi="Times New Roman"/>
          <w:noProof/>
          <w:sz w:val="24"/>
        </w:rPr>
        <w:t>рта и стъпки за бъдещата работа въз основа на въпросник, изпратен на националните органи в държавите членки. Комисията ще се консултира допълнително със заинтересованите страни през есента с цел да се постигне съгласие относно показателите до края на 2017 </w:t>
      </w:r>
      <w:r>
        <w:rPr>
          <w:rFonts w:ascii="Times New Roman" w:hAnsi="Times New Roman"/>
          <w:noProof/>
          <w:sz w:val="24"/>
        </w:rPr>
        <w:t>г.</w:t>
      </w:r>
    </w:p>
    <w:p w:rsidR="007F5454" w:rsidRDefault="007F5454">
      <w:pPr>
        <w:jc w:val="both"/>
        <w:rPr>
          <w:rFonts w:ascii="Times New Roman" w:hAnsi="Times New Roman"/>
          <w:noProof/>
          <w:sz w:val="24"/>
        </w:rPr>
      </w:pPr>
    </w:p>
    <w:p w:rsidR="007F5454" w:rsidRDefault="00854701">
      <w:pPr>
        <w:jc w:val="both"/>
        <w:rPr>
          <w:rFonts w:ascii="Times New Roman" w:hAnsi="Times New Roman"/>
          <w:noProof/>
          <w:sz w:val="24"/>
        </w:rPr>
      </w:pPr>
      <w:r>
        <w:rPr>
          <w:rFonts w:ascii="Times New Roman" w:hAnsi="Times New Roman"/>
          <w:noProof/>
          <w:sz w:val="24"/>
        </w:rPr>
        <w:t xml:space="preserve">Европейската агенция по отбрана работи по набелязването на общи слаби места на способностите и научните изследвания, произтичащи от връзката между енергийните инфраструктури и отбранителните способности. Европейската агенция по отбрана ще разработи </w:t>
      </w:r>
      <w:r>
        <w:rPr>
          <w:rFonts w:ascii="Times New Roman" w:hAnsi="Times New Roman"/>
          <w:noProof/>
          <w:sz w:val="24"/>
        </w:rPr>
        <w:t>концептуален документ през есента на 2017 г., както и пилотни действия за цялостни методологии.</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b/>
          <w:i/>
          <w:noProof/>
          <w:sz w:val="24"/>
          <w:szCs w:val="24"/>
          <w:u w:val="single"/>
        </w:rPr>
      </w:pPr>
      <w:r>
        <w:rPr>
          <w:rFonts w:ascii="Times New Roman" w:hAnsi="Times New Roman"/>
          <w:b/>
          <w:i/>
          <w:noProof/>
          <w:sz w:val="24"/>
          <w:u w:val="single"/>
        </w:rPr>
        <w:t xml:space="preserve">Подобряване на сигурността на енергийните доставки на ЕС </w:t>
      </w:r>
    </w:p>
    <w:p w:rsidR="007F5454" w:rsidRDefault="007F5454">
      <w:pPr>
        <w:jc w:val="both"/>
        <w:rPr>
          <w:rFonts w:ascii="Times New Roman" w:hAnsi="Times New Roman" w:cs="Times New Roman"/>
          <w:b/>
          <w:i/>
          <w:noProof/>
          <w:sz w:val="24"/>
          <w:szCs w:val="24"/>
          <w:u w:val="single"/>
        </w:rPr>
      </w:pPr>
    </w:p>
    <w:p w:rsidR="007F5454" w:rsidRDefault="00854701">
      <w:pPr>
        <w:jc w:val="both"/>
        <w:rPr>
          <w:rFonts w:ascii="Times New Roman" w:hAnsi="Times New Roman" w:cs="Times New Roman"/>
          <w:b/>
          <w:i/>
          <w:noProof/>
          <w:sz w:val="24"/>
        </w:rPr>
      </w:pPr>
      <w:r>
        <w:rPr>
          <w:rFonts w:ascii="Times New Roman" w:hAnsi="Times New Roman"/>
          <w:b/>
          <w:i/>
          <w:noProof/>
          <w:u w:val="single"/>
        </w:rPr>
        <w:t>Действие 6</w:t>
      </w:r>
      <w:r>
        <w:rPr>
          <w:rFonts w:ascii="Times New Roman" w:hAnsi="Times New Roman"/>
          <w:b/>
          <w:i/>
          <w:noProof/>
        </w:rPr>
        <w:t xml:space="preserve">: Комисията, в сътрудничество с държавите членки, ще подкрепя усилията за диверсифициране </w:t>
      </w:r>
      <w:r>
        <w:rPr>
          <w:rFonts w:ascii="Times New Roman" w:hAnsi="Times New Roman"/>
          <w:b/>
          <w:i/>
          <w:noProof/>
        </w:rPr>
        <w:t>на енергийните източници и ще поощрява възприемането на стандарти за безопасност и сигурност с цел да се повиши устойчивостта на ядрените инфраструктури.</w:t>
      </w:r>
    </w:p>
    <w:p w:rsidR="007F5454" w:rsidRDefault="007F5454">
      <w:pPr>
        <w:jc w:val="both"/>
        <w:rPr>
          <w:rFonts w:ascii="Times New Roman" w:hAnsi="Times New Roman" w:cs="Times New Roman"/>
          <w:b/>
          <w:i/>
          <w:noProof/>
          <w:sz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 xml:space="preserve">Комисията направи конкретни предложения в пакета за сигурност на доставките през декември 2016 г., а </w:t>
      </w:r>
      <w:r>
        <w:rPr>
          <w:rFonts w:ascii="Times New Roman" w:hAnsi="Times New Roman"/>
          <w:noProof/>
          <w:sz w:val="24"/>
        </w:rPr>
        <w:t>през април 2017 г. Съветът и Европейският парламент постигнаха съгласие относно новия регламент за сигурността на доставките на газ, който цели предотвратяването на кризи в доставките на газ. Новите правила ще осигурят координиран на регионално равнище общ</w:t>
      </w:r>
      <w:r>
        <w:rPr>
          <w:rFonts w:ascii="Times New Roman" w:hAnsi="Times New Roman"/>
          <w:noProof/>
          <w:sz w:val="24"/>
        </w:rPr>
        <w:t xml:space="preserve"> подход на държавите членки към мерките за сигурност на доставките. Това ще постави ЕС в по-добра позиция за подготовка и управление на недостига на газ в случай на криза или хибридно нападение. За първи път ще се прилага принципът на солидарност: държавит</w:t>
      </w:r>
      <w:r>
        <w:rPr>
          <w:rFonts w:ascii="Times New Roman" w:hAnsi="Times New Roman"/>
          <w:noProof/>
          <w:sz w:val="24"/>
        </w:rPr>
        <w:t>е членки ще бъдат в състояние да подпомогнат съседите си в случай на сериозна криза или нападение, така че европейските домакинства и предприятия да не бъдат засегнати от прекъсвания в електроснабдяването.</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ЕС постигна напредък и в разработването на ключов</w:t>
      </w:r>
      <w:r>
        <w:rPr>
          <w:rFonts w:ascii="Times New Roman" w:hAnsi="Times New Roman"/>
          <w:noProof/>
          <w:sz w:val="24"/>
        </w:rPr>
        <w:t xml:space="preserve">и проекти за диверсифициране на маршрутите и източниците на енергийни доставки в съответствие с Рамковата стратегия за енергийния съюз и Европейската стратегия за енергийна сигурност. Например за южния газов коридор са в ход конкретни строителни работи по </w:t>
      </w:r>
      <w:r>
        <w:rPr>
          <w:rFonts w:ascii="Times New Roman" w:hAnsi="Times New Roman"/>
          <w:noProof/>
          <w:sz w:val="24"/>
        </w:rPr>
        <w:t xml:space="preserve">всички големи проекти за газопроводи: разширяване на южнокавказкия, трансанадолския и трансадриатическия газопроводи, за добива от находището „Шах Дениз II“, както и разширяване на южния газов коридор към Централна Азия, в частност Туркменистан. Вносът на </w:t>
      </w:r>
      <w:r>
        <w:rPr>
          <w:rFonts w:ascii="Times New Roman" w:hAnsi="Times New Roman"/>
          <w:noProof/>
          <w:sz w:val="24"/>
        </w:rPr>
        <w:t>втечнен природен газ (LNG) в Европа се увеличава и произхожда от нови източници, като например САЩ. Примерът на терминала в Литва показва как проектите за разнообразяване могат да намалят зависимостта от един-единствен доставчик. Укрепването на енергийните</w:t>
      </w:r>
      <w:r>
        <w:rPr>
          <w:rFonts w:ascii="Times New Roman" w:hAnsi="Times New Roman"/>
          <w:noProof/>
          <w:sz w:val="24"/>
        </w:rPr>
        <w:t xml:space="preserve"> усилия и по-доброто използване на местни енергийни източници, по-специално възобновяеми енергийни източници, също допринася за диверсификацията на енергийните маршрути и източници. </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В областта на ядрената безопасност Комисията активно подкрепя — по-специ</w:t>
      </w:r>
      <w:r>
        <w:rPr>
          <w:rFonts w:ascii="Times New Roman" w:hAnsi="Times New Roman"/>
          <w:noProof/>
          <w:sz w:val="24"/>
        </w:rPr>
        <w:t xml:space="preserve">ално чрез работни срещи с националните органи и регулатори — последователното и ефективно прилагане на двете директиви относно ядрената безопасност и основните стандарти за безопасност, които държавите членки са задължени да транспонират до края съответно </w:t>
      </w:r>
      <w:r>
        <w:rPr>
          <w:rFonts w:ascii="Times New Roman" w:hAnsi="Times New Roman"/>
          <w:noProof/>
          <w:sz w:val="24"/>
        </w:rPr>
        <w:t>на 2017 г. и 2018 г. Освен това програмата на Евратом за научни изследвания и обучения допринася за повишаване на ядрената безопасност.</w:t>
      </w:r>
    </w:p>
    <w:p w:rsidR="007F5454" w:rsidRDefault="007F5454">
      <w:pPr>
        <w:jc w:val="both"/>
        <w:rPr>
          <w:rFonts w:ascii="Times New Roman" w:hAnsi="Times New Roman" w:cs="Times New Roman"/>
          <w:noProof/>
          <w:sz w:val="24"/>
          <w:szCs w:val="24"/>
        </w:rPr>
      </w:pPr>
    </w:p>
    <w:p w:rsidR="007F5454" w:rsidRDefault="00854701">
      <w:pPr>
        <w:keepNext/>
        <w:jc w:val="both"/>
        <w:rPr>
          <w:rFonts w:ascii="Times New Roman" w:hAnsi="Times New Roman" w:cs="Times New Roman"/>
          <w:b/>
          <w:i/>
          <w:noProof/>
          <w:sz w:val="24"/>
          <w:szCs w:val="24"/>
          <w:u w:val="single"/>
        </w:rPr>
      </w:pPr>
      <w:r>
        <w:rPr>
          <w:rFonts w:ascii="Times New Roman" w:hAnsi="Times New Roman"/>
          <w:b/>
          <w:i/>
          <w:noProof/>
          <w:sz w:val="24"/>
          <w:u w:val="single"/>
        </w:rPr>
        <w:t>Сигурност на транспорта и веригите за доставки</w:t>
      </w:r>
    </w:p>
    <w:p w:rsidR="007F5454" w:rsidRDefault="007F5454">
      <w:pPr>
        <w:keepNext/>
        <w:jc w:val="both"/>
        <w:rPr>
          <w:rFonts w:ascii="Times New Roman" w:hAnsi="Times New Roman" w:cs="Times New Roman"/>
          <w:b/>
          <w:i/>
          <w:noProof/>
          <w:sz w:val="24"/>
          <w:szCs w:val="24"/>
          <w:u w:val="single"/>
        </w:rPr>
      </w:pPr>
    </w:p>
    <w:p w:rsidR="007F5454" w:rsidRDefault="00854701">
      <w:pPr>
        <w:keepNext/>
        <w:jc w:val="both"/>
        <w:rPr>
          <w:rFonts w:ascii="Times New Roman" w:hAnsi="Times New Roman" w:cs="Times New Roman"/>
          <w:b/>
          <w:i/>
          <w:noProof/>
          <w:sz w:val="24"/>
          <w:szCs w:val="24"/>
        </w:rPr>
      </w:pPr>
      <w:r>
        <w:rPr>
          <w:rFonts w:ascii="Times New Roman" w:hAnsi="Times New Roman"/>
          <w:b/>
          <w:i/>
          <w:noProof/>
          <w:u w:val="single"/>
        </w:rPr>
        <w:t>Действие 7</w:t>
      </w:r>
      <w:r>
        <w:rPr>
          <w:rFonts w:ascii="Times New Roman" w:hAnsi="Times New Roman"/>
          <w:b/>
          <w:i/>
          <w:noProof/>
        </w:rPr>
        <w:t>: Комисията ще следи за нововъзникващи заплахи в транспортния</w:t>
      </w:r>
      <w:r>
        <w:rPr>
          <w:rFonts w:ascii="Times New Roman" w:hAnsi="Times New Roman"/>
          <w:b/>
          <w:i/>
          <w:noProof/>
        </w:rPr>
        <w:t xml:space="preserve"> сектор и ще актуализира законодателството, когато е целесъобразно. При прилагането на Стратегията на ЕС за морска сигурност и Стратегията на ЕС за управление на риска в областта на митниците и свързания с нея план за действие Комисията и върховният предст</w:t>
      </w:r>
      <w:r>
        <w:rPr>
          <w:rFonts w:ascii="Times New Roman" w:hAnsi="Times New Roman"/>
          <w:b/>
          <w:i/>
          <w:noProof/>
        </w:rPr>
        <w:t>авител, в рамките на съответните им компетенции и в сътрудничество с държавите членки, ще преценят каква да бъде реакцията спрямо хибридните заплахи, по-специално спрямо тези, които засягат критичната транспортна инфраструктура.</w:t>
      </w:r>
      <w:r>
        <w:rPr>
          <w:rFonts w:ascii="Times New Roman" w:hAnsi="Times New Roman"/>
          <w:b/>
          <w:i/>
          <w:noProof/>
          <w:sz w:val="24"/>
        </w:rPr>
        <w:t xml:space="preserve"> </w:t>
      </w:r>
    </w:p>
    <w:p w:rsidR="007F5454" w:rsidRDefault="007F5454">
      <w:pPr>
        <w:keepNext/>
        <w:jc w:val="both"/>
        <w:rPr>
          <w:rFonts w:ascii="Times New Roman" w:hAnsi="Times New Roman" w:cs="Times New Roman"/>
          <w:b/>
          <w:i/>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В съответствие със Съобще</w:t>
      </w:r>
      <w:r>
        <w:rPr>
          <w:rFonts w:ascii="Times New Roman" w:hAnsi="Times New Roman"/>
          <w:noProof/>
          <w:sz w:val="24"/>
        </w:rPr>
        <w:t xml:space="preserve">нието относно Съюза на сигурност Комисията спомага за оценките на риска за сигурността на равнището на ЕС заедно с държавите членки, Центъра на ЕС за анализ на информация и съответните агенции с цел идентифициране на заплахи за сигурността на транспорта и </w:t>
      </w:r>
      <w:r>
        <w:rPr>
          <w:rFonts w:ascii="Times New Roman" w:hAnsi="Times New Roman"/>
          <w:noProof/>
          <w:sz w:val="24"/>
        </w:rPr>
        <w:t>подкрепа за разработването на ефективни и пропорционални мерки за ограничаване на риска. Свалянето на самолета на „Малайзия Еърлайнс“ при полет MH17 над Източна Украйна през 2014 г. беше показателно за риска при прелитане над конфликтни зони. В съответстви</w:t>
      </w:r>
      <w:r>
        <w:rPr>
          <w:rFonts w:ascii="Times New Roman" w:hAnsi="Times New Roman"/>
          <w:noProof/>
          <w:sz w:val="24"/>
        </w:rPr>
        <w:t>е с препоръките на европейската оперативна група на високо равнище относно конфликтните зони</w:t>
      </w:r>
      <w:r>
        <w:rPr>
          <w:rStyle w:val="FootnoteReference"/>
          <w:rFonts w:ascii="Times New Roman" w:hAnsi="Times New Roman"/>
          <w:noProof/>
          <w:sz w:val="24"/>
        </w:rPr>
        <w:footnoteReference w:id="12"/>
      </w:r>
      <w:r>
        <w:rPr>
          <w:rFonts w:ascii="Times New Roman" w:hAnsi="Times New Roman"/>
          <w:noProof/>
          <w:sz w:val="24"/>
        </w:rPr>
        <w:t xml:space="preserve"> Комисията разработи методология за „обща за ЕС оценка на риска“ с подкрепата на националните експерти по въздухоплаването и сигурността и ЕСВД, която дава възможн</w:t>
      </w:r>
      <w:r>
        <w:rPr>
          <w:rFonts w:ascii="Times New Roman" w:hAnsi="Times New Roman"/>
          <w:noProof/>
          <w:sz w:val="24"/>
        </w:rPr>
        <w:t>ост за обмен на класифицирана информация и определянето на обща картина на риска. През март 2017 г. Европейската агенция за авиационна безопасност (ЕААБ) издаде първия „Информационен бюлетин за конфликтните зони“</w:t>
      </w:r>
      <w:r>
        <w:rPr>
          <w:rStyle w:val="FootnoteReference"/>
          <w:rFonts w:ascii="Times New Roman" w:hAnsi="Times New Roman"/>
          <w:noProof/>
          <w:sz w:val="24"/>
        </w:rPr>
        <w:footnoteReference w:id="13"/>
      </w:r>
      <w:r>
        <w:rPr>
          <w:rFonts w:ascii="Times New Roman" w:hAnsi="Times New Roman"/>
          <w:noProof/>
          <w:sz w:val="24"/>
        </w:rPr>
        <w:t xml:space="preserve"> въз основа на резултатите от посочената об</w:t>
      </w:r>
      <w:r>
        <w:rPr>
          <w:rFonts w:ascii="Times New Roman" w:hAnsi="Times New Roman"/>
          <w:noProof/>
          <w:sz w:val="24"/>
        </w:rPr>
        <w:t>ща за ЕС оценка на риска. Комисията обмисля разширяването на дейностите по оценката на риска в областта на авиационната сигурност, за да се обхванат и други видове транспорт (напр. железопътен и морски), и през 2018 г. ще направи предложения. През юни 2017</w:t>
      </w:r>
      <w:r>
        <w:rPr>
          <w:rFonts w:ascii="Times New Roman" w:hAnsi="Times New Roman"/>
          <w:noProof/>
          <w:sz w:val="24"/>
        </w:rPr>
        <w:t> г. Комисията, ЕСВД и държавите членки предприеха оценка на риска относно сигурността на железопътния транспорт, за да установят евентуални недостатъци и възможни мерки за смекчаване на рисковете.</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Значителни усилия в областта на сигурността на въздухоплав</w:t>
      </w:r>
      <w:r>
        <w:rPr>
          <w:rFonts w:ascii="Times New Roman" w:hAnsi="Times New Roman"/>
          <w:noProof/>
          <w:sz w:val="24"/>
        </w:rPr>
        <w:t>ането и управлението на въздушното движение (УВД) също бяха направени в рамките на изследователски проекти в областта на сигурността по Седмата рамкова програма и „Хоризонт 2020“. В областта на гражданското въздухоплаване Комисията заедно с Европейската аг</w:t>
      </w:r>
      <w:r>
        <w:rPr>
          <w:rFonts w:ascii="Times New Roman" w:hAnsi="Times New Roman"/>
          <w:noProof/>
          <w:sz w:val="24"/>
        </w:rPr>
        <w:t>енция за авиационна безопасност и със заинтересованите страни разработва две нови инициативи за укрепване на киберсигурността, целящи и борба с хибридните заплахи: създаването на екип за незабавно реагиране при компютърни инциденти във въздухоплаването, ка</w:t>
      </w:r>
      <w:r>
        <w:rPr>
          <w:rFonts w:ascii="Times New Roman" w:hAnsi="Times New Roman"/>
          <w:noProof/>
          <w:sz w:val="24"/>
        </w:rPr>
        <w:t>кто и създаването на оперативна група за кибернетична сигурност към Съвместното предприятие за изследване на управлението на въздушното движение в единното европейско небе (SESAR), отговорно за управлението на въздушното движение в единното европейско небе</w:t>
      </w:r>
      <w:r>
        <w:rPr>
          <w:rFonts w:ascii="Times New Roman" w:hAnsi="Times New Roman"/>
          <w:noProof/>
          <w:sz w:val="24"/>
        </w:rPr>
        <w:t>. Европейската агенция по отбрана предоставя военна информация относно кибернетичната сигурност във въздухоплаването на Съвместното предприятие SESAR, както и на Европейската агенция за авиационна безопасност посредством „Европейската платформа за стратеги</w:t>
      </w:r>
      <w:r>
        <w:rPr>
          <w:rFonts w:ascii="Times New Roman" w:hAnsi="Times New Roman"/>
          <w:noProof/>
          <w:sz w:val="24"/>
        </w:rPr>
        <w:t>ческа координация на кибернетичната сигурност“, която по искане на държавите членки и промишлеността ще подпомага координацията на равнището на ЕС на всички дейности в областта на въздухоплаването. В съответствие с Пътната карта за киберсигурността във въз</w:t>
      </w:r>
      <w:r>
        <w:rPr>
          <w:rFonts w:ascii="Times New Roman" w:hAnsi="Times New Roman"/>
          <w:noProof/>
          <w:sz w:val="24"/>
        </w:rPr>
        <w:t>духоплаването през 2016 г. Европейската агенция за авиационна безопасност направи анализ на недостатъците на съществуващите правила, и по-специално планирането и създаването на Европейския център за кибернетична сигурност във въздухоплаването; последният в</w:t>
      </w:r>
      <w:r>
        <w:rPr>
          <w:rFonts w:ascii="Times New Roman" w:hAnsi="Times New Roman"/>
          <w:noProof/>
          <w:sz w:val="24"/>
        </w:rPr>
        <w:t>ече функционира и си сътрудничи с Екипа на ЕС за незабавно реагиране при компютърни инциденти (CERT-EU) (меморандум за разбирателство, подписан през февруари 2017 г.) по изготвянето на анализи на заплахите в областта на въздухоплаването и с Евроконтрол (бе</w:t>
      </w:r>
      <w:r>
        <w:rPr>
          <w:rFonts w:ascii="Times New Roman" w:hAnsi="Times New Roman"/>
          <w:noProof/>
          <w:sz w:val="24"/>
        </w:rPr>
        <w:t xml:space="preserve"> приета пътна карта за сътрудничество), а също така бе разработен и уебсайт за разпространение на анализите от открити източници. До есента на 2017 г. ще бъдат приети програма за стандартизация и сигурен обмен на информация. </w:t>
      </w:r>
    </w:p>
    <w:p w:rsidR="007F5454" w:rsidRDefault="007F5454">
      <w:pPr>
        <w:jc w:val="both"/>
        <w:rPr>
          <w:rFonts w:ascii="Times New Roman" w:hAnsi="Times New Roman"/>
          <w:noProof/>
          <w:sz w:val="24"/>
        </w:rPr>
      </w:pPr>
    </w:p>
    <w:p w:rsidR="007F5454" w:rsidRDefault="00854701">
      <w:pPr>
        <w:jc w:val="both"/>
        <w:rPr>
          <w:rFonts w:ascii="Times New Roman" w:hAnsi="Times New Roman" w:cs="Times New Roman"/>
          <w:b/>
          <w:i/>
          <w:noProof/>
          <w:sz w:val="24"/>
          <w:szCs w:val="24"/>
          <w:u w:val="single"/>
        </w:rPr>
      </w:pPr>
      <w:r>
        <w:rPr>
          <w:rFonts w:ascii="Times New Roman" w:hAnsi="Times New Roman"/>
          <w:b/>
          <w:i/>
          <w:noProof/>
          <w:sz w:val="24"/>
          <w:u w:val="single"/>
        </w:rPr>
        <w:t>Управление на риска в областт</w:t>
      </w:r>
      <w:r>
        <w:rPr>
          <w:rFonts w:ascii="Times New Roman" w:hAnsi="Times New Roman"/>
          <w:b/>
          <w:i/>
          <w:noProof/>
          <w:sz w:val="24"/>
          <w:u w:val="single"/>
        </w:rPr>
        <w:t>а на митниците</w:t>
      </w:r>
    </w:p>
    <w:p w:rsidR="007F5454" w:rsidRDefault="007F5454">
      <w:pPr>
        <w:jc w:val="both"/>
        <w:rPr>
          <w:rFonts w:ascii="Times New Roman" w:hAnsi="Times New Roman" w:cs="Times New Roman"/>
          <w:b/>
          <w:i/>
          <w:noProof/>
          <w:sz w:val="24"/>
          <w:szCs w:val="24"/>
          <w:u w:val="single"/>
        </w:rPr>
      </w:pPr>
    </w:p>
    <w:p w:rsidR="007F5454" w:rsidRDefault="00854701">
      <w:pPr>
        <w:jc w:val="both"/>
        <w:rPr>
          <w:rFonts w:ascii="Times New Roman" w:hAnsi="Times New Roman" w:cs="Times New Roman"/>
          <w:noProof/>
          <w:sz w:val="24"/>
          <w:szCs w:val="24"/>
        </w:rPr>
      </w:pPr>
      <w:r>
        <w:rPr>
          <w:rFonts w:ascii="Times New Roman" w:hAnsi="Times New Roman"/>
          <w:noProof/>
          <w:sz w:val="24"/>
        </w:rPr>
        <w:t xml:space="preserve">По отношение на митниците Комисията се съсредоточава върху значителното модернизиране на системата за предварителна информация за товарите и управлението на риска в областта на митниците. Това обхваща пълния спектър от митнически рискове, </w:t>
      </w:r>
      <w:r>
        <w:rPr>
          <w:rFonts w:ascii="Times New Roman" w:hAnsi="Times New Roman"/>
          <w:noProof/>
          <w:sz w:val="24"/>
        </w:rPr>
        <w:t>включително по отношение на заплахите за сигурността и целостта на международните вериги за доставки и на съответните критични инфраструктури (напр. преки заплахи при вноса за пристанищните съоръжения, летищата или сухопътните граници). Модернизирането има</w:t>
      </w:r>
      <w:r>
        <w:rPr>
          <w:rFonts w:ascii="Times New Roman" w:hAnsi="Times New Roman"/>
          <w:noProof/>
          <w:sz w:val="24"/>
        </w:rPr>
        <w:t xml:space="preserve"> за цел да гарантира, че митниците в ЕС получават цялата необходима информация от търговците по отношение на движението на стоки; че са в състояние да споделят тази информация по-ефективно между държавите членки; че прилагат общите и специфичните за държав</w:t>
      </w:r>
      <w:r>
        <w:rPr>
          <w:rFonts w:ascii="Times New Roman" w:hAnsi="Times New Roman"/>
          <w:noProof/>
          <w:sz w:val="24"/>
        </w:rPr>
        <w:t>ите членки правила за риска; и че са в състояние по-ефективно да насочат действията си към рисковите пратки чрез по-интензивно сътрудничество с други органи, по-специално с други агенции в областта на правоприлагането и сигурността. Необходимите разработки</w:t>
      </w:r>
      <w:r>
        <w:rPr>
          <w:rFonts w:ascii="Times New Roman" w:hAnsi="Times New Roman"/>
          <w:noProof/>
          <w:sz w:val="24"/>
        </w:rPr>
        <w:t xml:space="preserve"> в областта на ИТ за извършване на посоченото модернизиране от Комисията са в своята начална фаза и се очаква инвестирането на централно равнище да започне през идните месеци.</w:t>
      </w:r>
    </w:p>
    <w:p w:rsidR="007F5454" w:rsidRDefault="007F5454">
      <w:pPr>
        <w:jc w:val="both"/>
        <w:rPr>
          <w:rFonts w:ascii="Times New Roman" w:hAnsi="Times New Roman"/>
          <w:noProof/>
          <w:sz w:val="24"/>
        </w:rPr>
      </w:pPr>
    </w:p>
    <w:p w:rsidR="007F5454" w:rsidRDefault="00854701">
      <w:pPr>
        <w:jc w:val="both"/>
        <w:rPr>
          <w:rFonts w:ascii="Times New Roman" w:hAnsi="Times New Roman" w:cs="Times New Roman"/>
          <w:b/>
          <w:i/>
          <w:noProof/>
          <w:sz w:val="24"/>
          <w:szCs w:val="24"/>
          <w:u w:val="single"/>
        </w:rPr>
      </w:pPr>
      <w:r>
        <w:rPr>
          <w:rFonts w:ascii="Times New Roman" w:hAnsi="Times New Roman"/>
          <w:b/>
          <w:i/>
          <w:noProof/>
          <w:sz w:val="24"/>
          <w:u w:val="single"/>
        </w:rPr>
        <w:t>Космическо пространство</w:t>
      </w:r>
    </w:p>
    <w:p w:rsidR="007F5454" w:rsidRDefault="007F5454">
      <w:pPr>
        <w:jc w:val="both"/>
        <w:rPr>
          <w:rFonts w:ascii="Times New Roman" w:hAnsi="Times New Roman" w:cs="Times New Roman"/>
          <w:b/>
          <w:i/>
          <w:noProof/>
          <w:sz w:val="24"/>
          <w:szCs w:val="24"/>
          <w:u w:val="single"/>
        </w:rPr>
      </w:pPr>
    </w:p>
    <w:p w:rsidR="007F5454" w:rsidRDefault="00854701">
      <w:pPr>
        <w:jc w:val="both"/>
        <w:rPr>
          <w:rFonts w:ascii="Times New Roman" w:hAnsi="Times New Roman" w:cs="Times New Roman"/>
          <w:b/>
          <w:bCs/>
          <w:i/>
          <w:iCs/>
          <w:noProof/>
          <w:sz w:val="24"/>
          <w:szCs w:val="24"/>
        </w:rPr>
      </w:pPr>
      <w:r>
        <w:rPr>
          <w:rFonts w:ascii="Times New Roman" w:hAnsi="Times New Roman"/>
          <w:b/>
          <w:i/>
          <w:noProof/>
          <w:u w:val="single"/>
        </w:rPr>
        <w:t>Действие 8</w:t>
      </w:r>
      <w:r>
        <w:rPr>
          <w:rFonts w:ascii="Times New Roman" w:hAnsi="Times New Roman"/>
          <w:b/>
          <w:i/>
          <w:noProof/>
        </w:rPr>
        <w:t xml:space="preserve">: </w:t>
      </w:r>
      <w:r>
        <w:rPr>
          <w:rFonts w:ascii="Times New Roman" w:hAnsi="Times New Roman"/>
          <w:b/>
          <w:noProof/>
        </w:rPr>
        <w:t>в контекста на космическата стратегия и ев</w:t>
      </w:r>
      <w:r>
        <w:rPr>
          <w:rFonts w:ascii="Times New Roman" w:hAnsi="Times New Roman"/>
          <w:b/>
          <w:noProof/>
        </w:rPr>
        <w:t>ропейския план за действие в областта на отбраната Комисията ще предложи да се увеличи устойчивостта на космическата инфраструктура спрямо хибридните заплахи, по-специално чрез възможно разширяване на обхвата на космическото наблюдение и проследяване, така</w:t>
      </w:r>
      <w:r>
        <w:rPr>
          <w:rFonts w:ascii="Times New Roman" w:hAnsi="Times New Roman"/>
          <w:b/>
          <w:noProof/>
        </w:rPr>
        <w:t xml:space="preserve"> че да включва хибридните заплахи, чрез подготовка за следващото поколение правителствени спътникови комуникации на европейско равнище и чрез въвеждане на „Галилео“ за критичните инфраструктури, които са зависими от времевата синхронизация.</w:t>
      </w:r>
    </w:p>
    <w:p w:rsidR="007F5454" w:rsidRDefault="00854701">
      <w:pPr>
        <w:jc w:val="both"/>
        <w:rPr>
          <w:rFonts w:ascii="Times New Roman" w:hAnsi="Times New Roman" w:cs="Times New Roman"/>
          <w:b/>
          <w:noProof/>
          <w:sz w:val="24"/>
          <w:szCs w:val="24"/>
        </w:rPr>
      </w:pPr>
      <w:r>
        <w:rPr>
          <w:rFonts w:ascii="Times New Roman" w:hAnsi="Times New Roman"/>
          <w:b/>
          <w:i/>
          <w:noProof/>
          <w:sz w:val="24"/>
        </w:rPr>
        <w:t xml:space="preserve"> </w:t>
      </w:r>
      <w:r>
        <w:rPr>
          <w:rFonts w:ascii="Times New Roman" w:hAnsi="Times New Roman"/>
          <w:b/>
          <w:noProof/>
          <w:sz w:val="24"/>
        </w:rPr>
        <w:t xml:space="preserve"> </w:t>
      </w:r>
    </w:p>
    <w:p w:rsidR="007F5454" w:rsidRDefault="00854701">
      <w:pPr>
        <w:jc w:val="both"/>
        <w:rPr>
          <w:rFonts w:ascii="Times New Roman" w:hAnsi="Times New Roman" w:cs="Times New Roman"/>
          <w:noProof/>
          <w:sz w:val="24"/>
          <w:szCs w:val="24"/>
        </w:rPr>
      </w:pPr>
      <w:r>
        <w:rPr>
          <w:rFonts w:ascii="Times New Roman" w:hAnsi="Times New Roman"/>
          <w:noProof/>
          <w:sz w:val="24"/>
        </w:rPr>
        <w:t>При подготов</w:t>
      </w:r>
      <w:r>
        <w:rPr>
          <w:rFonts w:ascii="Times New Roman" w:hAnsi="Times New Roman"/>
          <w:noProof/>
          <w:sz w:val="24"/>
        </w:rPr>
        <w:t>ката на нормативната уредба за правителствените сателитни комуникации (GovSatCom) и за космическото наблюдение и проследяване през 2018 г. Комисията ще включи в своята оценка аспектите на устойчивостта срещу хибридните заплахи. В съответствие с космическат</w:t>
      </w:r>
      <w:r>
        <w:rPr>
          <w:rFonts w:ascii="Times New Roman" w:hAnsi="Times New Roman"/>
          <w:noProof/>
          <w:sz w:val="24"/>
        </w:rPr>
        <w:t>а стратегия при подготовката на развитието на „Галилео“ и „Коперник“ Комисията ще направи оценка на потенциала на тези услуги за компенсиране на уязвимостта на критичните инфраструктури. Докладът за оценка следва да бъде готов през есента на 2017 г., а пре</w:t>
      </w:r>
      <w:r>
        <w:rPr>
          <w:rFonts w:ascii="Times New Roman" w:hAnsi="Times New Roman"/>
          <w:noProof/>
          <w:sz w:val="24"/>
        </w:rPr>
        <w:t xml:space="preserve">дложението за следващото поколение на „Коперник“ и „Галилео“ — през 2018 г. Европейската агенция по отбрана работи по съвместни проекти за развиване на способности в областта на спътниковите комуникации, военното позициониране, навигация и синхронизация и </w:t>
      </w:r>
      <w:r>
        <w:rPr>
          <w:rFonts w:ascii="Times New Roman" w:hAnsi="Times New Roman"/>
          <w:noProof/>
          <w:sz w:val="24"/>
        </w:rPr>
        <w:t xml:space="preserve">наблюдението на Земята. Всички проекти ще се съсредоточат върху изискванията за устойчивост в светлината на настоящите и нововъзникващите хибридни заплахи. </w:t>
      </w:r>
    </w:p>
    <w:p w:rsidR="007F5454" w:rsidRDefault="007F5454">
      <w:pPr>
        <w:jc w:val="both"/>
        <w:rPr>
          <w:rFonts w:ascii="Times New Roman" w:hAnsi="Times New Roman" w:cs="Times New Roman"/>
          <w:noProof/>
          <w:sz w:val="24"/>
          <w:szCs w:val="24"/>
        </w:rPr>
      </w:pPr>
    </w:p>
    <w:p w:rsidR="007F5454" w:rsidRDefault="00854701">
      <w:pPr>
        <w:rPr>
          <w:rFonts w:ascii="Times New Roman" w:hAnsi="Times New Roman" w:cs="Times New Roman"/>
          <w:b/>
          <w:i/>
          <w:noProof/>
          <w:sz w:val="24"/>
          <w:szCs w:val="24"/>
          <w:u w:val="single"/>
        </w:rPr>
      </w:pPr>
      <w:r>
        <w:rPr>
          <w:rFonts w:ascii="Times New Roman" w:hAnsi="Times New Roman"/>
          <w:b/>
          <w:i/>
          <w:noProof/>
          <w:sz w:val="24"/>
          <w:u w:val="single"/>
        </w:rPr>
        <w:t xml:space="preserve">Отбранителни способности </w:t>
      </w:r>
    </w:p>
    <w:p w:rsidR="007F5454" w:rsidRDefault="007F5454">
      <w:pPr>
        <w:rPr>
          <w:rFonts w:ascii="Times New Roman" w:hAnsi="Times New Roman" w:cs="Times New Roman"/>
          <w:b/>
          <w:i/>
          <w:noProof/>
          <w:sz w:val="24"/>
          <w:szCs w:val="24"/>
          <w:u w:val="single"/>
        </w:rPr>
      </w:pPr>
    </w:p>
    <w:p w:rsidR="007F5454" w:rsidRDefault="00854701">
      <w:pPr>
        <w:jc w:val="both"/>
        <w:rPr>
          <w:rFonts w:ascii="Times New Roman" w:hAnsi="Times New Roman" w:cs="Times New Roman"/>
          <w:b/>
          <w:i/>
          <w:noProof/>
          <w:sz w:val="24"/>
          <w:szCs w:val="24"/>
        </w:rPr>
      </w:pPr>
      <w:r>
        <w:rPr>
          <w:rFonts w:ascii="Times New Roman" w:hAnsi="Times New Roman"/>
          <w:b/>
          <w:i/>
          <w:noProof/>
          <w:u w:val="single"/>
        </w:rPr>
        <w:t>Действие 9</w:t>
      </w:r>
      <w:r>
        <w:rPr>
          <w:rFonts w:ascii="Times New Roman" w:hAnsi="Times New Roman"/>
          <w:b/>
          <w:i/>
          <w:noProof/>
        </w:rPr>
        <w:t>: върховният представител, със съответната подкрепа от държав</w:t>
      </w:r>
      <w:r>
        <w:rPr>
          <w:rFonts w:ascii="Times New Roman" w:hAnsi="Times New Roman"/>
          <w:b/>
          <w:i/>
          <w:noProof/>
        </w:rPr>
        <w:t>ите членки и поддържайки връзка с Комисията, ще предложи проекти за адаптиране на отбранителните способности и за развойна дейност от значение за ЕС, които са конкретно предназначени за борба с хибридните заплахи, насочени срещу дадена държава членка или н</w:t>
      </w:r>
      <w:r>
        <w:rPr>
          <w:rFonts w:ascii="Times New Roman" w:hAnsi="Times New Roman"/>
          <w:b/>
          <w:i/>
          <w:noProof/>
        </w:rPr>
        <w:t>яколко държави членки.</w:t>
      </w:r>
    </w:p>
    <w:p w:rsidR="007F5454" w:rsidRDefault="007F5454">
      <w:pPr>
        <w:jc w:val="both"/>
        <w:rPr>
          <w:rFonts w:ascii="Times New Roman" w:hAnsi="Times New Roman" w:cs="Times New Roman"/>
          <w:b/>
          <w:i/>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През 2016 и 2017 г. Европейската агенция по отбрана проведе заедно с Комисията, ЕСВД и експерти от държавите членки три симулационни учения във връзка със сценарии за хибридни заплахи. Констатациите от тях ще бъдат взети предвид при прегледа на плана за ра</w:t>
      </w:r>
      <w:r>
        <w:rPr>
          <w:rFonts w:ascii="Times New Roman" w:hAnsi="Times New Roman"/>
          <w:noProof/>
          <w:sz w:val="24"/>
        </w:rPr>
        <w:t>звитие на способностите, така че развитието на ключови способности, необходими за борба с хибридните заплахи, ще бъде включено в новите приоритети на ЕС за развитие на способностите. В работата по прегледа на Каталога на изискванията за 2005 г. ще се вземе</w:t>
      </w:r>
      <w:r>
        <w:rPr>
          <w:rFonts w:ascii="Times New Roman" w:hAnsi="Times New Roman"/>
          <w:noProof/>
          <w:sz w:val="24"/>
        </w:rPr>
        <w:t xml:space="preserve"> предвид измерението, свързано с хибридните заплахи. През април 2017 г. Европейската агенция за отбрана финализира доклад за извършен анализ на военните последици от хибридните атаки, насочени срещу критични пристанищни инфраструктури, който ще бъде обсъде</w:t>
      </w:r>
      <w:r>
        <w:rPr>
          <w:rFonts w:ascii="Times New Roman" w:hAnsi="Times New Roman"/>
          <w:noProof/>
          <w:sz w:val="24"/>
        </w:rPr>
        <w:t>н на работна среща с експерти по морско дело през октомври 2017 г. Друг специфичен анализ на военната роля в контекста на борбата с малките безпилотни летателни апарати е насрочен за 2018 г. Освен това приоритетите по отношение на способностите за засилван</w:t>
      </w:r>
      <w:r>
        <w:rPr>
          <w:rFonts w:ascii="Times New Roman" w:hAnsi="Times New Roman"/>
          <w:noProof/>
          <w:sz w:val="24"/>
        </w:rPr>
        <w:t>е на устойчивостта срещу хибридните заплахи, установени от държавите членки, също биха могли да бъдат допустими за подпомагане по линия на Европейския фонд за отбрана, считано от 2019 г. нататък. Комисията призовава съзаконодателите да гарантират бързото п</w:t>
      </w:r>
      <w:r>
        <w:rPr>
          <w:rFonts w:ascii="Times New Roman" w:hAnsi="Times New Roman"/>
          <w:noProof/>
          <w:sz w:val="24"/>
        </w:rPr>
        <w:t xml:space="preserve">риемане, а държавите членки — да представят предложения за проекти по отношение на способностите за засилване на устойчивостта на ЕС срещу хибридните заплахи. </w:t>
      </w:r>
    </w:p>
    <w:p w:rsidR="007F5454" w:rsidRDefault="007F5454">
      <w:pPr>
        <w:jc w:val="both"/>
        <w:rPr>
          <w:rFonts w:ascii="Times New Roman" w:hAnsi="Times New Roman" w:cs="Times New Roman"/>
          <w:b/>
          <w:i/>
          <w:noProof/>
          <w:szCs w:val="24"/>
          <w:u w:val="single"/>
        </w:rPr>
      </w:pPr>
    </w:p>
    <w:p w:rsidR="007F5454" w:rsidRDefault="00854701">
      <w:pPr>
        <w:jc w:val="both"/>
        <w:rPr>
          <w:rFonts w:ascii="Times New Roman" w:hAnsi="Times New Roman" w:cs="Times New Roman"/>
          <w:b/>
          <w:i/>
          <w:noProof/>
          <w:sz w:val="24"/>
          <w:szCs w:val="24"/>
        </w:rPr>
      </w:pPr>
      <w:r>
        <w:rPr>
          <w:rFonts w:ascii="Times New Roman" w:hAnsi="Times New Roman"/>
          <w:b/>
          <w:i/>
          <w:noProof/>
          <w:u w:val="single"/>
        </w:rPr>
        <w:t>Действие 10</w:t>
      </w:r>
      <w:r>
        <w:rPr>
          <w:rFonts w:ascii="Times New Roman" w:hAnsi="Times New Roman"/>
          <w:b/>
          <w:i/>
          <w:noProof/>
        </w:rPr>
        <w:t>: Комисията, в сътрудничество с държавите членки, ще повиши осведомеността относно х</w:t>
      </w:r>
      <w:r>
        <w:rPr>
          <w:rFonts w:ascii="Times New Roman" w:hAnsi="Times New Roman"/>
          <w:b/>
          <w:i/>
          <w:noProof/>
        </w:rPr>
        <w:t>ибридните заплахи и устойчивостта спрямо тях в рамките на съществуващите механизми за готовност и координация, най-вече чрез Комитета за здравна сигурност.</w:t>
      </w:r>
      <w:r>
        <w:rPr>
          <w:rFonts w:ascii="Times New Roman" w:hAnsi="Times New Roman"/>
          <w:b/>
          <w:i/>
          <w:noProof/>
          <w:sz w:val="24"/>
        </w:rPr>
        <w:t xml:space="preserve"> </w:t>
      </w:r>
    </w:p>
    <w:p w:rsidR="007F5454" w:rsidRDefault="007F5454">
      <w:pPr>
        <w:jc w:val="both"/>
        <w:rPr>
          <w:rFonts w:ascii="Times New Roman" w:hAnsi="Times New Roman" w:cs="Times New Roman"/>
          <w:b/>
          <w:i/>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С оглед укрепване на подготвеността и устойчивостта срещу хибридните заплахи, включително и изграж</w:t>
      </w:r>
      <w:r>
        <w:rPr>
          <w:rFonts w:ascii="Times New Roman" w:hAnsi="Times New Roman"/>
          <w:noProof/>
          <w:sz w:val="24"/>
        </w:rPr>
        <w:t>дане на капацитет в системите на здравеопазването и храните, Комисията подкрепя държавите членки чрез обучения и симулационни учения, а също и като предоставя насоки за улесняване на обмена на опит и финансира съвместни действия. Това се осъществява по-кон</w:t>
      </w:r>
      <w:r>
        <w:rPr>
          <w:rFonts w:ascii="Times New Roman" w:hAnsi="Times New Roman"/>
          <w:noProof/>
          <w:sz w:val="24"/>
        </w:rPr>
        <w:t>кретно съгласно Рамката на ЕС за здравна сигурност във връзка със сериозни трансгранични заплахи за здравето и съгласно Програмата за обществено здравеопазване за прилагане на Международните здравни правила — законодателен стълб, обвързващ 196 държави, вкл</w:t>
      </w:r>
      <w:r>
        <w:rPr>
          <w:rFonts w:ascii="Times New Roman" w:hAnsi="Times New Roman"/>
          <w:noProof/>
          <w:sz w:val="24"/>
        </w:rPr>
        <w:t>ючително държавите членки, с цел предотвратяване и реагиране на остри обществени трансгранични рискове за здравето в световен мащаб. С цел проверка на междусекторната готовност и реагиране в сектора на здравеопазването през есента на 2017 г. службите на Ко</w:t>
      </w:r>
      <w:r>
        <w:rPr>
          <w:rFonts w:ascii="Times New Roman" w:hAnsi="Times New Roman"/>
          <w:noProof/>
          <w:sz w:val="24"/>
        </w:rPr>
        <w:t>мисията ще проведат учение във връзка със сложните и многоизмерните хибридни заплахи. Комисията и държавите членки подготвят съвместно действие относно ваксините, включващо прогнозиране на търсенето и предлагането на ваксини и изследвания в областта на ино</w:t>
      </w:r>
      <w:r>
        <w:rPr>
          <w:rFonts w:ascii="Times New Roman" w:hAnsi="Times New Roman"/>
          <w:noProof/>
          <w:sz w:val="24"/>
        </w:rPr>
        <w:t>вативните процеси за производство на ваксини с оглед укрепване на предлагането на ваксини и подобряване на здравната сигурност на равнището на ЕС (2018—2020 г.).</w:t>
      </w:r>
      <w:r>
        <w:rPr>
          <w:noProof/>
        </w:rPr>
        <w:t xml:space="preserve"> </w:t>
      </w:r>
      <w:r>
        <w:rPr>
          <w:rFonts w:ascii="Times New Roman" w:hAnsi="Times New Roman"/>
          <w:noProof/>
          <w:sz w:val="24"/>
        </w:rPr>
        <w:t xml:space="preserve">Комисията също така си сътрудничи с Европейския орган за безопасност на храните и Европейския </w:t>
      </w:r>
      <w:r>
        <w:rPr>
          <w:rFonts w:ascii="Times New Roman" w:hAnsi="Times New Roman"/>
          <w:noProof/>
          <w:sz w:val="24"/>
        </w:rPr>
        <w:t>център за профилактика и контрол върху заболяванията, за да се адаптира към авангардните техники за научни изследвания с цел по-прецизно идентифициране и откриване на източниците на заплахи за здравето и като резултат от това — бързо справяне със заплашващ</w:t>
      </w:r>
      <w:r>
        <w:rPr>
          <w:rFonts w:ascii="Times New Roman" w:hAnsi="Times New Roman"/>
          <w:noProof/>
          <w:sz w:val="24"/>
        </w:rPr>
        <w:t>и безопасността на храните огнища на зараза. Комисията създаде мрежа от организации, финансиращи научни изследвания — „Световно сътрудничество в областта на научните изследвания за готовност при заразни болести“ — за координирана реакция от страна на научн</w:t>
      </w:r>
      <w:r>
        <w:rPr>
          <w:rFonts w:ascii="Times New Roman" w:hAnsi="Times New Roman"/>
          <w:noProof/>
          <w:sz w:val="24"/>
        </w:rPr>
        <w:t>оизследователската общност в рамките на 48 часа от появата на значително огнище на зараза.</w:t>
      </w:r>
    </w:p>
    <w:p w:rsidR="007F5454" w:rsidRDefault="007F5454">
      <w:pPr>
        <w:jc w:val="both"/>
        <w:rPr>
          <w:rFonts w:ascii="Times New Roman" w:hAnsi="Times New Roman" w:cs="Times New Roman"/>
          <w:b/>
          <w:noProof/>
          <w:sz w:val="24"/>
          <w:szCs w:val="24"/>
          <w:u w:val="single"/>
        </w:rPr>
      </w:pPr>
    </w:p>
    <w:p w:rsidR="007F5454" w:rsidRDefault="00854701">
      <w:pPr>
        <w:jc w:val="both"/>
        <w:rPr>
          <w:rFonts w:ascii="Times New Roman" w:hAnsi="Times New Roman" w:cs="Times New Roman"/>
          <w:b/>
          <w:i/>
          <w:noProof/>
          <w:szCs w:val="24"/>
        </w:rPr>
      </w:pPr>
      <w:r>
        <w:rPr>
          <w:rFonts w:ascii="Times New Roman" w:hAnsi="Times New Roman"/>
          <w:b/>
          <w:i/>
          <w:noProof/>
          <w:u w:val="single"/>
        </w:rPr>
        <w:t>Действие 11</w:t>
      </w:r>
      <w:r>
        <w:rPr>
          <w:rFonts w:ascii="Times New Roman" w:hAnsi="Times New Roman"/>
          <w:b/>
          <w:i/>
          <w:noProof/>
        </w:rPr>
        <w:t xml:space="preserve">: Комисията насърчава държавите членки приоритетно да създадат мрежа от 28-те ЕРИКС и CERT-EU (екипа на ЕС за незабавно реагиране при компютърни </w:t>
      </w:r>
      <w:r>
        <w:rPr>
          <w:rFonts w:ascii="Times New Roman" w:hAnsi="Times New Roman"/>
          <w:b/>
          <w:i/>
          <w:noProof/>
        </w:rPr>
        <w:t>инциденти) и да я използват пълноценно, както и да установят рамка за стратегическо сътрудничество. Комисията, в сътрудничество с държавите членки, следва да гарантира, че секторните инициативи в областта на кибернетичните заплахи (например във въздухоплав</w:t>
      </w:r>
      <w:r>
        <w:rPr>
          <w:rFonts w:ascii="Times New Roman" w:hAnsi="Times New Roman"/>
          <w:b/>
          <w:i/>
          <w:noProof/>
        </w:rPr>
        <w:t>ането, енергетиката, мореплаването) съответстват на междусекторните способности, уредени в Директивата за МИС, за събиране на информация, експертен опит и бързи ответни действия.</w:t>
      </w:r>
    </w:p>
    <w:p w:rsidR="007F5454" w:rsidRDefault="007F5454">
      <w:pPr>
        <w:jc w:val="both"/>
        <w:rPr>
          <w:rFonts w:ascii="Times New Roman" w:hAnsi="Times New Roman" w:cs="Times New Roman"/>
          <w:b/>
          <w:i/>
          <w:noProof/>
          <w:szCs w:val="24"/>
        </w:rPr>
      </w:pPr>
    </w:p>
    <w:p w:rsidR="007F5454" w:rsidRDefault="00854701">
      <w:pPr>
        <w:jc w:val="both"/>
        <w:rPr>
          <w:rFonts w:ascii="Times New Roman" w:eastAsia="Times New Roman" w:hAnsi="Times New Roman" w:cs="Times New Roman"/>
          <w:noProof/>
          <w:sz w:val="24"/>
          <w:szCs w:val="24"/>
        </w:rPr>
      </w:pPr>
      <w:r>
        <w:rPr>
          <w:rFonts w:ascii="Times New Roman" w:hAnsi="Times New Roman"/>
          <w:noProof/>
          <w:sz w:val="24"/>
        </w:rPr>
        <w:t>Неотдавнашните глобални кибератаки, използващи софтуер за изнудване и зловре</w:t>
      </w:r>
      <w:r>
        <w:rPr>
          <w:rFonts w:ascii="Times New Roman" w:hAnsi="Times New Roman"/>
          <w:noProof/>
          <w:sz w:val="24"/>
        </w:rPr>
        <w:t>ден софтуер, за да се блокират хиляди компютърни системи, отново показаха спешната необходимост от засилване на киберустойчивостта и от действия в областта на сигурността в рамките на ЕС. Както бе съобщено в междинния преглед на цифровия единен пазар, Коми</w:t>
      </w:r>
      <w:r>
        <w:rPr>
          <w:rFonts w:ascii="Times New Roman" w:hAnsi="Times New Roman"/>
          <w:noProof/>
          <w:sz w:val="24"/>
        </w:rPr>
        <w:t xml:space="preserve">сията и върховният представител в момента правят преглед на Стратегията на ЕС за киберсигурност от 2013 г., по-специално чрез приемането на пакет, планиран за септември 2017 г. Целта ще бъде да се осигури по-ефикасен междусекторен отговор на тези заплахи, </w:t>
      </w:r>
      <w:r>
        <w:rPr>
          <w:rFonts w:ascii="Times New Roman" w:hAnsi="Times New Roman"/>
          <w:noProof/>
          <w:sz w:val="24"/>
        </w:rPr>
        <w:t>като се повиши доверието в цифровото общество и икономика. Също така ще бъде преразгледан мандатът на ENISA — Агенцията на Европейския съюз за мрежова и информационна сигурност, за да се определи нейната роля в променената среда на киберсигурността. Европе</w:t>
      </w:r>
      <w:r>
        <w:rPr>
          <w:rFonts w:ascii="Times New Roman" w:hAnsi="Times New Roman"/>
          <w:noProof/>
          <w:sz w:val="24"/>
        </w:rPr>
        <w:t>йският съвет</w:t>
      </w:r>
      <w:r>
        <w:rPr>
          <w:rStyle w:val="FootnoteReference"/>
          <w:rFonts w:ascii="Times New Roman" w:hAnsi="Times New Roman"/>
          <w:noProof/>
          <w:sz w:val="24"/>
        </w:rPr>
        <w:footnoteReference w:id="14"/>
      </w:r>
      <w:r>
        <w:rPr>
          <w:rFonts w:ascii="Times New Roman" w:hAnsi="Times New Roman"/>
          <w:noProof/>
          <w:sz w:val="24"/>
        </w:rPr>
        <w:t xml:space="preserve"> приветства намерението на Комисията да направи преглед на стратегията за киберсигурност.</w:t>
      </w:r>
    </w:p>
    <w:p w:rsidR="007F5454" w:rsidRDefault="007F5454">
      <w:pPr>
        <w:jc w:val="both"/>
        <w:rPr>
          <w:rFonts w:ascii="Times New Roman" w:eastAsia="Times New Roman" w:hAnsi="Times New Roman" w:cs="Times New Roman"/>
          <w:noProof/>
          <w:sz w:val="24"/>
          <w:szCs w:val="24"/>
        </w:rPr>
      </w:pPr>
    </w:p>
    <w:p w:rsidR="007F5454" w:rsidRDefault="00854701">
      <w:pPr>
        <w:jc w:val="both"/>
        <w:rPr>
          <w:rFonts w:ascii="Times New Roman" w:eastAsia="Times New Roman" w:hAnsi="Times New Roman" w:cs="Times New Roman"/>
          <w:noProof/>
          <w:sz w:val="24"/>
          <w:szCs w:val="24"/>
        </w:rPr>
      </w:pPr>
      <w:r>
        <w:rPr>
          <w:rFonts w:ascii="Times New Roman" w:hAnsi="Times New Roman"/>
          <w:noProof/>
          <w:sz w:val="24"/>
        </w:rPr>
        <w:t>Приемането на Директивата относно мрежовите информационни услуги (МИУ)</w:t>
      </w:r>
      <w:r>
        <w:rPr>
          <w:rStyle w:val="FootnoteReference"/>
          <w:rFonts w:ascii="Times New Roman" w:hAnsi="Times New Roman"/>
          <w:noProof/>
          <w:sz w:val="24"/>
        </w:rPr>
        <w:footnoteReference w:id="15"/>
      </w:r>
      <w:r>
        <w:rPr>
          <w:rFonts w:ascii="Times New Roman" w:hAnsi="Times New Roman"/>
          <w:noProof/>
          <w:sz w:val="24"/>
        </w:rPr>
        <w:t xml:space="preserve"> през юли 2016 г. бе ключова стъпка към изграждането на устойчивост на европейско</w:t>
      </w:r>
      <w:r>
        <w:rPr>
          <w:rFonts w:ascii="Times New Roman" w:hAnsi="Times New Roman"/>
          <w:noProof/>
          <w:sz w:val="24"/>
        </w:rPr>
        <w:t xml:space="preserve"> равнище срещу киберзаплахите. Директивата определя първите общоевропейски правила в областта на киберсигурността, подобрява възможностите за гарантиране на киберсигурността и засилва сътрудничеството между държавите членки. Тя също така задължава дружеств</w:t>
      </w:r>
      <w:r>
        <w:rPr>
          <w:rFonts w:ascii="Times New Roman" w:hAnsi="Times New Roman"/>
          <w:noProof/>
          <w:sz w:val="24"/>
        </w:rPr>
        <w:t>ата в особено важни сектори да предприемат подходящи мерки за сигурност и да уведомяват за всички сериозни инциденти в кибернетичното пространство съответния национален орган. Сред тези сектори са инфраструктурите на енергетиката, транспорта, водоснабдяван</w:t>
      </w:r>
      <w:r>
        <w:rPr>
          <w:rFonts w:ascii="Times New Roman" w:hAnsi="Times New Roman"/>
          <w:noProof/>
          <w:sz w:val="24"/>
        </w:rPr>
        <w:t>ето, здравеопазването, банковото дело и на финансовите пазари. Трябва да се предприемат подобни стъпки и по отношение на онлайн пазарите, компютърните услуги в облак и интернет търсачките. Последователното прилагане в различните сектори, както и отвъд гран</w:t>
      </w:r>
      <w:r>
        <w:rPr>
          <w:rFonts w:ascii="Times New Roman" w:hAnsi="Times New Roman"/>
          <w:noProof/>
          <w:sz w:val="24"/>
        </w:rPr>
        <w:t>иците, ще бъде осигурено чрез групата за сътрудничество в областта на мрежовите информационни услуги (създадена от Комисията през 2016 г.), която има за задача да се избегне разпокъсаността на пазара. Във връзка с това Директивата за мрежовите информационн</w:t>
      </w:r>
      <w:r>
        <w:rPr>
          <w:rFonts w:ascii="Times New Roman" w:hAnsi="Times New Roman"/>
          <w:noProof/>
          <w:sz w:val="24"/>
        </w:rPr>
        <w:t>и услуги се счита за референтната рамка за всички секторни инициативи в областта на киберсигурността. Освен това с Директивата се създава мрежа от екипи за реагиране при инциденти с компютърната сигурност (ЕРИКС), която обединява всички съответни заинтерес</w:t>
      </w:r>
      <w:r>
        <w:rPr>
          <w:rFonts w:ascii="Times New Roman" w:hAnsi="Times New Roman"/>
          <w:noProof/>
          <w:sz w:val="24"/>
        </w:rPr>
        <w:t>овани страни. Успоредно с това Комисията и CERT-EU активно наблюдават кибернетичните заплахи и обменят информация с националните органи с цел да се гарантира, че системите на информационните технологии на институциите на ЕС са добре защитени и устойчиви ср</w:t>
      </w:r>
      <w:r>
        <w:rPr>
          <w:rFonts w:ascii="Times New Roman" w:hAnsi="Times New Roman"/>
          <w:noProof/>
          <w:sz w:val="24"/>
        </w:rPr>
        <w:t>ещу кибератаки. Инцидентът със софтуера за изнудване WannaCry от май 2017 г. предостави за първи път възможност на мрежата да започне оперативен обмен на информация и сътрудничество чрез разпространението на съвети. Екипът за незабавно реагиране при компют</w:t>
      </w:r>
      <w:r>
        <w:rPr>
          <w:rFonts w:ascii="Times New Roman" w:hAnsi="Times New Roman"/>
          <w:noProof/>
          <w:sz w:val="24"/>
        </w:rPr>
        <w:t>ърни инциденти на ЕС също поддържаше тясна връзка с Европейския център за борба с киберпрестъпността (EC3) към Европол, с екипите за реагиране при инциденти с компютърната сигурност (ЕРИКС) на засегнатите държави, звената за борба с киберпрестъпността и кл</w:t>
      </w:r>
      <w:r>
        <w:rPr>
          <w:rFonts w:ascii="Times New Roman" w:hAnsi="Times New Roman"/>
          <w:noProof/>
          <w:sz w:val="24"/>
        </w:rPr>
        <w:t>ючови партньори от сектора с цел да бъде намалена заплахата и да се окаже съдействие на пострадалите. Обменът на национални доклади за ситуацията гарантира обща ситуационна осведоменост в целия ЕС. Този опит позволи на мрежата да бъде по-добре подготвена з</w:t>
      </w:r>
      <w:r>
        <w:rPr>
          <w:rFonts w:ascii="Times New Roman" w:hAnsi="Times New Roman"/>
          <w:noProof/>
          <w:sz w:val="24"/>
        </w:rPr>
        <w:t>а следващите инциденти (напр. „NonPetya“).</w:t>
      </w:r>
      <w:r>
        <w:rPr>
          <w:noProof/>
        </w:rPr>
        <w:t xml:space="preserve"> </w:t>
      </w:r>
      <w:r>
        <w:rPr>
          <w:rFonts w:ascii="Times New Roman" w:hAnsi="Times New Roman"/>
          <w:noProof/>
          <w:sz w:val="24"/>
        </w:rPr>
        <w:t xml:space="preserve">Бяха идентифицирани също така редица предизвикателства и по отношение на тях се предприемат мерки. </w:t>
      </w:r>
    </w:p>
    <w:p w:rsidR="007F5454" w:rsidRDefault="007F5454">
      <w:pPr>
        <w:jc w:val="both"/>
        <w:rPr>
          <w:rFonts w:ascii="Times New Roman" w:eastAsia="Times New Roman" w:hAnsi="Times New Roman" w:cs="Times New Roman"/>
          <w:noProof/>
          <w:sz w:val="24"/>
          <w:szCs w:val="24"/>
        </w:rPr>
      </w:pPr>
    </w:p>
    <w:p w:rsidR="007F5454" w:rsidRDefault="00854701">
      <w:pPr>
        <w:jc w:val="both"/>
        <w:rPr>
          <w:rFonts w:ascii="Times New Roman" w:hAnsi="Times New Roman" w:cs="Times New Roman"/>
          <w:b/>
          <w:i/>
          <w:noProof/>
          <w:szCs w:val="24"/>
        </w:rPr>
      </w:pPr>
      <w:r>
        <w:rPr>
          <w:rFonts w:ascii="Times New Roman" w:hAnsi="Times New Roman"/>
          <w:b/>
          <w:i/>
          <w:noProof/>
          <w:u w:val="single"/>
        </w:rPr>
        <w:t>Действие 12</w:t>
      </w:r>
      <w:r>
        <w:rPr>
          <w:rFonts w:ascii="Times New Roman" w:hAnsi="Times New Roman"/>
          <w:b/>
          <w:i/>
          <w:noProof/>
        </w:rPr>
        <w:t xml:space="preserve">: Комисията, в сътрудничество с държавите членки, ще работи съвместно с промишления сектор в рамките </w:t>
      </w:r>
      <w:r>
        <w:rPr>
          <w:rFonts w:ascii="Times New Roman" w:hAnsi="Times New Roman"/>
          <w:b/>
          <w:i/>
          <w:noProof/>
        </w:rPr>
        <w:t>на договорно публично-частно партньорство по киберсигурността с цел разработване и изпитване на технологии за по-добра защита на потребителите и инфраструктурите от кибернетичните аспекти на хибридните заплахи.</w:t>
      </w:r>
    </w:p>
    <w:p w:rsidR="007F5454" w:rsidRDefault="007F5454">
      <w:pPr>
        <w:jc w:val="both"/>
        <w:rPr>
          <w:rFonts w:ascii="Times New Roman" w:hAnsi="Times New Roman" w:cs="Times New Roman"/>
          <w:noProof/>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 xml:space="preserve">През юли 2016 г. Комисията, в координация с </w:t>
      </w:r>
      <w:r>
        <w:rPr>
          <w:rFonts w:ascii="Times New Roman" w:hAnsi="Times New Roman"/>
          <w:noProof/>
          <w:sz w:val="24"/>
        </w:rPr>
        <w:t>държавите членки, подписа с представители на промишлеността договорно публично-частно партньорство (дПЧП) в областта на киберсигурността, в което ще се инвестират до 450 млн. евро по линия на програмата на ЕС за научни изследвания и иновации „Хоризонт 2020</w:t>
      </w:r>
      <w:r>
        <w:rPr>
          <w:rFonts w:ascii="Times New Roman" w:hAnsi="Times New Roman"/>
          <w:noProof/>
          <w:sz w:val="24"/>
        </w:rPr>
        <w:t>“ с цел разработване и изпитване на технологии за по-добра защита на потребителите и инфраструктурите срещу кибернетични и хибридни заплахи. Резултат от партньорството е първата общоевропейска програма за стратегически изследвания, която е съсредоточена въ</w:t>
      </w:r>
      <w:r>
        <w:rPr>
          <w:rFonts w:ascii="Times New Roman" w:hAnsi="Times New Roman"/>
          <w:noProof/>
          <w:sz w:val="24"/>
        </w:rPr>
        <w:t>рху подобряването на устойчивостта на критичната инфраструктура, както и на гражданите срещу кибератаки. Партньорството засили сътрудничеството между заинтересованите страни, което доведе до повишаване на ефективността и ефикасността на финансирането по ли</w:t>
      </w:r>
      <w:r>
        <w:rPr>
          <w:rFonts w:ascii="Times New Roman" w:hAnsi="Times New Roman"/>
          <w:noProof/>
          <w:sz w:val="24"/>
        </w:rPr>
        <w:t>ния на „Хоризонт 2020“ за сектора на киберсигурността. В рамките на партньорството се работи успоредно по въпроси, свързани със сертифицирането по отношение на киберсигурността на информационните и комуникационните технологии, както и по начините за преодо</w:t>
      </w:r>
      <w:r>
        <w:rPr>
          <w:rFonts w:ascii="Times New Roman" w:hAnsi="Times New Roman"/>
          <w:noProof/>
          <w:sz w:val="24"/>
        </w:rPr>
        <w:t>ляване на острия недостиг на пазара на квалифицирани специалисти в сферата на киберсигурността. С оглед на значителните потребности от изследвания за граждански цели и изискваната голяма устойчивост в сферата на отбраната, групата за кибернетични технологи</w:t>
      </w:r>
      <w:r>
        <w:rPr>
          <w:rFonts w:ascii="Times New Roman" w:hAnsi="Times New Roman"/>
          <w:noProof/>
          <w:sz w:val="24"/>
        </w:rPr>
        <w:t xml:space="preserve">и и изследвания към Европейската агенция по отбрана допринася към научноизследователските области, определени от Европейската организация за киберсигурност в нейната стратегическа програма за научни изследвания и иновации. </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b/>
          <w:i/>
          <w:noProof/>
          <w:sz w:val="24"/>
          <w:szCs w:val="24"/>
        </w:rPr>
      </w:pPr>
      <w:r>
        <w:rPr>
          <w:rFonts w:ascii="Times New Roman" w:hAnsi="Times New Roman"/>
          <w:b/>
          <w:i/>
          <w:noProof/>
          <w:u w:val="single"/>
        </w:rPr>
        <w:t>Действие 13</w:t>
      </w:r>
      <w:r>
        <w:rPr>
          <w:rFonts w:ascii="Times New Roman" w:hAnsi="Times New Roman"/>
          <w:b/>
          <w:i/>
          <w:noProof/>
        </w:rPr>
        <w:t>: Комисията ще публи</w:t>
      </w:r>
      <w:r>
        <w:rPr>
          <w:rFonts w:ascii="Times New Roman" w:hAnsi="Times New Roman"/>
          <w:b/>
          <w:i/>
          <w:noProof/>
        </w:rPr>
        <w:t>кува насоки за собствениците на активи в интелигентни мрежи с цел подобряване на киберсигурността на техните инсталации. В контекста на инициативата за структурата на пазара на електроенергия Комисията ще разгледа възможността да предложи „планове за готов</w:t>
      </w:r>
      <w:r>
        <w:rPr>
          <w:rFonts w:ascii="Times New Roman" w:hAnsi="Times New Roman"/>
          <w:b/>
          <w:i/>
          <w:noProof/>
        </w:rPr>
        <w:t>ност за справяне с рискове“ и процедурни правила за обмен на информация и осигуряване на солидарност сред държавите членки при криза, включително правила за предотвратяване на кибератаки и ограничаване на последиците от тях.</w:t>
      </w:r>
    </w:p>
    <w:p w:rsidR="007F5454" w:rsidRDefault="007F5454">
      <w:pPr>
        <w:jc w:val="both"/>
        <w:rPr>
          <w:rFonts w:ascii="Times New Roman" w:hAnsi="Times New Roman" w:cs="Times New Roman"/>
          <w:b/>
          <w:i/>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 xml:space="preserve">В енергийния сектор Комисията </w:t>
      </w:r>
      <w:r>
        <w:rPr>
          <w:rFonts w:ascii="Times New Roman" w:hAnsi="Times New Roman"/>
          <w:noProof/>
          <w:sz w:val="24"/>
        </w:rPr>
        <w:t xml:space="preserve">понастоящем подготвя секторна стратегия за киберсигурността със създаването на платформата на експертите в енергийния сектор по въпросите на киберсигурността за засиленото прилагане на Директивата относно мрежовата и информационната сигурност. В проучване </w:t>
      </w:r>
      <w:r>
        <w:rPr>
          <w:rFonts w:ascii="Times New Roman" w:hAnsi="Times New Roman"/>
          <w:noProof/>
          <w:sz w:val="24"/>
        </w:rPr>
        <w:t>от февруари 2017 г. бяха определени най-добрите налични техники, за да се повиши равнището на киберсигурността на интелигентните измервателни системи, в подкрепа на тази платформа. Освен това Комисията създаде интернет платформа „Център на ЕС за обмен на и</w:t>
      </w:r>
      <w:r>
        <w:rPr>
          <w:rFonts w:ascii="Times New Roman" w:hAnsi="Times New Roman"/>
          <w:noProof/>
          <w:sz w:val="24"/>
        </w:rPr>
        <w:t>нформация относно инцидентите и заплахите“, която анализира и обменя информация за компютърни заплахи и инциденти в енергийния сектор.</w:t>
      </w:r>
    </w:p>
    <w:p w:rsidR="007F5454" w:rsidRDefault="007F5454">
      <w:pPr>
        <w:jc w:val="both"/>
        <w:rPr>
          <w:rFonts w:ascii="Times New Roman" w:hAnsi="Times New Roman" w:cs="Times New Roman"/>
          <w:noProof/>
          <w:sz w:val="24"/>
          <w:szCs w:val="24"/>
        </w:rPr>
      </w:pPr>
    </w:p>
    <w:p w:rsidR="007F5454" w:rsidRDefault="00854701">
      <w:pPr>
        <w:pStyle w:val="Heading3"/>
        <w:spacing w:line="276" w:lineRule="auto"/>
        <w:ind w:left="720" w:hanging="720"/>
        <w:rPr>
          <w:noProof/>
          <w:szCs w:val="24"/>
          <w:u w:val="single"/>
        </w:rPr>
      </w:pPr>
      <w:r>
        <w:rPr>
          <w:noProof/>
          <w:u w:val="single"/>
        </w:rPr>
        <w:t>Повишаване на устойчивостта на финансовия сектор срещу хибридни заплахи</w:t>
      </w:r>
    </w:p>
    <w:p w:rsidR="007F5454" w:rsidRDefault="00854701">
      <w:pPr>
        <w:pStyle w:val="ListParagraph"/>
        <w:ind w:left="0"/>
        <w:jc w:val="both"/>
        <w:rPr>
          <w:rFonts w:ascii="Times New Roman" w:hAnsi="Times New Roman" w:cs="Times New Roman"/>
          <w:b/>
          <w:i/>
          <w:noProof/>
          <w:szCs w:val="24"/>
        </w:rPr>
      </w:pPr>
      <w:r>
        <w:rPr>
          <w:rFonts w:ascii="Times New Roman" w:hAnsi="Times New Roman"/>
          <w:b/>
          <w:i/>
          <w:noProof/>
          <w:u w:val="single"/>
        </w:rPr>
        <w:t>Действие 14</w:t>
      </w:r>
      <w:r>
        <w:rPr>
          <w:rFonts w:ascii="Times New Roman" w:hAnsi="Times New Roman"/>
          <w:b/>
          <w:i/>
          <w:noProof/>
        </w:rPr>
        <w:t>: Комисията, в сътрудничество с ENISA</w:t>
      </w:r>
      <w:r>
        <w:rPr>
          <w:rStyle w:val="FootnoteReference"/>
          <w:rFonts w:ascii="Times New Roman" w:hAnsi="Times New Roman"/>
          <w:b/>
          <w:i/>
          <w:noProof/>
        </w:rPr>
        <w:footnoteReference w:id="16"/>
      </w:r>
      <w:r>
        <w:rPr>
          <w:rFonts w:ascii="Times New Roman" w:hAnsi="Times New Roman"/>
          <w:b/>
          <w:i/>
          <w:noProof/>
        </w:rPr>
        <w:t>, държавите членки, съответните международни, европейски и национални органи и финансови институции, ще поощрява и подпомага създаването на платформи и мрежи за обмен на информация и ще обърне внимание на факторите, които възпрепятстват обмена на такава и</w:t>
      </w:r>
      <w:r>
        <w:rPr>
          <w:rFonts w:ascii="Times New Roman" w:hAnsi="Times New Roman"/>
          <w:b/>
          <w:i/>
          <w:noProof/>
        </w:rPr>
        <w:t>нформация.</w:t>
      </w:r>
    </w:p>
    <w:p w:rsidR="007F5454" w:rsidRDefault="00854701">
      <w:pPr>
        <w:jc w:val="both"/>
        <w:rPr>
          <w:rFonts w:ascii="Times New Roman" w:hAnsi="Times New Roman" w:cs="Times New Roman"/>
          <w:noProof/>
          <w:sz w:val="24"/>
          <w:szCs w:val="24"/>
        </w:rPr>
      </w:pPr>
      <w:r>
        <w:rPr>
          <w:rFonts w:ascii="Times New Roman" w:hAnsi="Times New Roman"/>
          <w:noProof/>
          <w:sz w:val="24"/>
        </w:rPr>
        <w:t>Като отчете, че киберзаплахите спадат към най-големите рискове за финансовата стабилност, Комисията направи преглед на регулаторната рамка относно платежните услуги в Европейския съюз, която се прилага сега. В преработената Директива за платежни</w:t>
      </w:r>
      <w:r>
        <w:rPr>
          <w:rFonts w:ascii="Times New Roman" w:hAnsi="Times New Roman"/>
          <w:noProof/>
          <w:sz w:val="24"/>
        </w:rPr>
        <w:t>те услуги</w:t>
      </w:r>
      <w:r>
        <w:rPr>
          <w:noProof/>
          <w:vertAlign w:val="superscript"/>
        </w:rPr>
        <w:footnoteReference w:id="17"/>
      </w:r>
      <w:r>
        <w:rPr>
          <w:rFonts w:ascii="Times New Roman" w:hAnsi="Times New Roman"/>
          <w:noProof/>
          <w:sz w:val="24"/>
        </w:rPr>
        <w:t xml:space="preserve"> бяха въведени нови разпоредби за повишаване на сигурността на платежните инструменти и задълбочено установяване на идентичността на клиента с цел намаляване на измамите, по-специално при онлайн плащанията. Новата законодателна рамка ще се прилаг</w:t>
      </w:r>
      <w:r>
        <w:rPr>
          <w:rFonts w:ascii="Times New Roman" w:hAnsi="Times New Roman"/>
          <w:noProof/>
          <w:sz w:val="24"/>
        </w:rPr>
        <w:t>а от януари 2018 г. Понастоящем Комисията, подпомагана от Европейския банков орган и в консултация със заинтересовани страни, разработва регулаторни технически стандарти, които се очаква да бъдат публикувани до края на 2017 г., относно задълбоченото устано</w:t>
      </w:r>
      <w:r>
        <w:rPr>
          <w:rFonts w:ascii="Times New Roman" w:hAnsi="Times New Roman"/>
          <w:noProof/>
          <w:sz w:val="24"/>
        </w:rPr>
        <w:t>вяване на идентичността на клиента и общите и сигурни комуникации за действителна сигурност в платежните операции. Освен това в международен план Комисията работеше в тясно сътрудничество със съответните партньори от Г-7 по „Основни принципи на Г-7 за кибе</w:t>
      </w:r>
      <w:r>
        <w:rPr>
          <w:rFonts w:ascii="Times New Roman" w:hAnsi="Times New Roman"/>
          <w:noProof/>
          <w:sz w:val="24"/>
        </w:rPr>
        <w:t>рсигурност във финансовия сектор“, одобрени през октомври 2016 г. от министрите на финансите и управителите на централните банки на държавите от Г-7. Принципите са предназначени за предприятия (частни и публични) от финансовия сектор и допринасят за коорди</w:t>
      </w:r>
      <w:r>
        <w:rPr>
          <w:rFonts w:ascii="Times New Roman" w:hAnsi="Times New Roman"/>
          <w:noProof/>
          <w:sz w:val="24"/>
        </w:rPr>
        <w:t>ниран подход към киберсигурността във финансовия сектор за съвместно справяне с киберзаплахите, включително при нарастването на техния брой и усложняването им.</w:t>
      </w:r>
    </w:p>
    <w:p w:rsidR="007F5454" w:rsidRDefault="007F5454">
      <w:pPr>
        <w:jc w:val="both"/>
        <w:rPr>
          <w:rFonts w:ascii="Times New Roman" w:hAnsi="Times New Roman" w:cs="Times New Roman"/>
          <w:noProof/>
          <w:sz w:val="24"/>
          <w:szCs w:val="24"/>
        </w:rPr>
      </w:pPr>
    </w:p>
    <w:p w:rsidR="007F5454" w:rsidRDefault="00854701">
      <w:pPr>
        <w:ind w:left="720" w:hanging="720"/>
        <w:rPr>
          <w:rFonts w:ascii="Times New Roman" w:hAnsi="Times New Roman" w:cs="Times New Roman"/>
          <w:b/>
          <w:i/>
          <w:noProof/>
          <w:sz w:val="24"/>
          <w:szCs w:val="24"/>
          <w:u w:val="single"/>
        </w:rPr>
      </w:pPr>
      <w:r>
        <w:rPr>
          <w:rFonts w:ascii="Times New Roman" w:hAnsi="Times New Roman"/>
          <w:b/>
          <w:i/>
          <w:noProof/>
          <w:sz w:val="24"/>
          <w:u w:val="single"/>
        </w:rPr>
        <w:t xml:space="preserve">Транспорт </w:t>
      </w:r>
    </w:p>
    <w:p w:rsidR="007F5454" w:rsidRDefault="007F5454">
      <w:pPr>
        <w:ind w:left="720" w:hanging="720"/>
        <w:rPr>
          <w:rFonts w:ascii="Times New Roman" w:hAnsi="Times New Roman" w:cs="Times New Roman"/>
          <w:b/>
          <w:i/>
          <w:noProof/>
          <w:sz w:val="24"/>
          <w:szCs w:val="24"/>
          <w:u w:val="single"/>
        </w:rPr>
      </w:pPr>
    </w:p>
    <w:p w:rsidR="007F5454" w:rsidRDefault="00854701">
      <w:pPr>
        <w:jc w:val="both"/>
        <w:rPr>
          <w:rFonts w:ascii="Times New Roman" w:hAnsi="Times New Roman" w:cs="Times New Roman"/>
          <w:b/>
          <w:i/>
          <w:noProof/>
          <w:szCs w:val="24"/>
        </w:rPr>
      </w:pPr>
      <w:r>
        <w:rPr>
          <w:rFonts w:ascii="Times New Roman" w:hAnsi="Times New Roman"/>
          <w:b/>
          <w:i/>
          <w:noProof/>
          <w:u w:val="single"/>
        </w:rPr>
        <w:t>Действие 15</w:t>
      </w:r>
      <w:r>
        <w:rPr>
          <w:rFonts w:ascii="Times New Roman" w:hAnsi="Times New Roman"/>
          <w:b/>
          <w:i/>
          <w:noProof/>
        </w:rPr>
        <w:t xml:space="preserve">: Комисията и върховният представител (в рамките на съответните им </w:t>
      </w:r>
      <w:r>
        <w:rPr>
          <w:rFonts w:ascii="Times New Roman" w:hAnsi="Times New Roman"/>
          <w:b/>
          <w:i/>
          <w:noProof/>
        </w:rPr>
        <w:t>компетенции), в сътрудничество с държавите членки, ще преценяват каква да бъде реакцията спрямо хибридните заплахи, по-специално тези, свързани с кибератаки в транспортния сектор.</w:t>
      </w:r>
    </w:p>
    <w:p w:rsidR="007F5454" w:rsidRDefault="007F5454">
      <w:pPr>
        <w:jc w:val="both"/>
        <w:rPr>
          <w:rFonts w:ascii="Times New Roman" w:hAnsi="Times New Roman" w:cs="Times New Roman"/>
          <w:b/>
          <w:i/>
          <w:noProof/>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Изпълнението на плана за действие във връзка с Европейската стратегия за мо</w:t>
      </w:r>
      <w:r>
        <w:rPr>
          <w:rFonts w:ascii="Times New Roman" w:hAnsi="Times New Roman"/>
          <w:noProof/>
          <w:sz w:val="24"/>
        </w:rPr>
        <w:t>рска сигурност</w:t>
      </w:r>
      <w:r>
        <w:rPr>
          <w:rStyle w:val="FootnoteReference"/>
          <w:rFonts w:ascii="Times New Roman" w:hAnsi="Times New Roman"/>
          <w:noProof/>
          <w:sz w:val="24"/>
        </w:rPr>
        <w:footnoteReference w:id="18"/>
      </w:r>
      <w:r>
        <w:rPr>
          <w:rFonts w:ascii="Times New Roman" w:hAnsi="Times New Roman"/>
          <w:noProof/>
          <w:sz w:val="24"/>
        </w:rPr>
        <w:t xml:space="preserve"> ще спомогне за скъсване с тясноведомственото мислене в обмена на информация и за съвместното използване на активи от гражданските и военните органи. Прилагането на подход, който обхваща всички нива на управление, доведе до увеличаване на съ</w:t>
      </w:r>
      <w:r>
        <w:rPr>
          <w:rFonts w:ascii="Times New Roman" w:hAnsi="Times New Roman"/>
          <w:noProof/>
          <w:sz w:val="24"/>
        </w:rPr>
        <w:t>трудничеството между различните участници. Планирано е до края на 2017 г. със заключителен семинар относно защитата на критичната морска инфраструктура да бъде завършена съвместна гражданско-военна програма на Комисията и ЕСВД за стратегически изследвания.</w:t>
      </w:r>
      <w:r>
        <w:rPr>
          <w:rFonts w:ascii="Times New Roman" w:hAnsi="Times New Roman"/>
          <w:noProof/>
          <w:sz w:val="24"/>
        </w:rPr>
        <w:t xml:space="preserve"> В бъдеще работата в тази насока може да бъде разширена, така че да обхване нововъзникващата заплаха за подводните тръбопроводи, преноса на енергия и съобщителните кабели — от оптични влакна и традиционни, от смущения извън националните води.</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В рамките на</w:t>
      </w:r>
      <w:r>
        <w:rPr>
          <w:rFonts w:ascii="Times New Roman" w:hAnsi="Times New Roman"/>
          <w:noProof/>
          <w:sz w:val="24"/>
        </w:rPr>
        <w:t xml:space="preserve"> неотдавнашно проучване</w:t>
      </w:r>
      <w:r>
        <w:rPr>
          <w:rStyle w:val="FootnoteReference"/>
          <w:rFonts w:ascii="Times New Roman" w:hAnsi="Times New Roman"/>
          <w:noProof/>
          <w:sz w:val="24"/>
        </w:rPr>
        <w:footnoteReference w:id="19"/>
      </w:r>
      <w:r>
        <w:rPr>
          <w:rFonts w:ascii="Times New Roman" w:hAnsi="Times New Roman"/>
          <w:noProof/>
          <w:sz w:val="24"/>
        </w:rPr>
        <w:t xml:space="preserve"> беше преценен капацитетът за оценка на риска на националните органи, изпълняващи функции по брегова охрана. Бяха установени най-важните пречки за сътрудничеството и бяха препоръчани практически начини за подобряване на сътрудничест</w:t>
      </w:r>
      <w:r>
        <w:rPr>
          <w:rFonts w:ascii="Times New Roman" w:hAnsi="Times New Roman"/>
          <w:noProof/>
          <w:sz w:val="24"/>
        </w:rPr>
        <w:t>вото между морските органи на равнището на ЕС и на национално равнище в тази специфична област. Оценката на риска е от съществено значение за противодействие на морски заплахи и е дори още по-важна за оценката и предотвратяването на хибридни заплахи, тъй к</w:t>
      </w:r>
      <w:r>
        <w:rPr>
          <w:rFonts w:ascii="Times New Roman" w:hAnsi="Times New Roman"/>
          <w:noProof/>
          <w:sz w:val="24"/>
        </w:rPr>
        <w:t>ато при тях са налице допълнителни и по-сложни съображения. Резултатите от това проучване ще бъдат представени на различни форуми във връзка с бреговата охрана, така че предложените препоръки да могат да бъдат оценени и изпълнени за повишаване на сътруднич</w:t>
      </w:r>
      <w:r>
        <w:rPr>
          <w:rFonts w:ascii="Times New Roman" w:hAnsi="Times New Roman"/>
          <w:noProof/>
          <w:sz w:val="24"/>
        </w:rPr>
        <w:t>еството в тази област с основни цели подготвеност за хибридни заплахи и ответни действия срещу тях.</w:t>
      </w:r>
    </w:p>
    <w:p w:rsidR="007F5454" w:rsidRDefault="007F5454">
      <w:pPr>
        <w:jc w:val="both"/>
        <w:rPr>
          <w:rFonts w:ascii="Times New Roman" w:hAnsi="Times New Roman" w:cs="Times New Roman"/>
          <w:noProof/>
          <w:sz w:val="24"/>
          <w:szCs w:val="24"/>
        </w:rPr>
      </w:pPr>
    </w:p>
    <w:p w:rsidR="007F5454" w:rsidRDefault="00854701">
      <w:pPr>
        <w:keepNext/>
        <w:jc w:val="both"/>
        <w:rPr>
          <w:rFonts w:ascii="Times New Roman" w:hAnsi="Times New Roman" w:cs="Times New Roman"/>
          <w:b/>
          <w:i/>
          <w:noProof/>
          <w:sz w:val="24"/>
          <w:szCs w:val="24"/>
          <w:u w:val="single"/>
        </w:rPr>
      </w:pPr>
      <w:r>
        <w:rPr>
          <w:rFonts w:ascii="Times New Roman" w:hAnsi="Times New Roman"/>
          <w:b/>
          <w:i/>
          <w:noProof/>
          <w:sz w:val="24"/>
          <w:u w:val="single"/>
        </w:rPr>
        <w:t xml:space="preserve">Борба с финансирането на тероризма </w:t>
      </w:r>
    </w:p>
    <w:p w:rsidR="007F5454" w:rsidRDefault="007F5454">
      <w:pPr>
        <w:keepNext/>
        <w:jc w:val="both"/>
        <w:rPr>
          <w:rFonts w:ascii="Times New Roman" w:hAnsi="Times New Roman" w:cs="Times New Roman"/>
          <w:b/>
          <w:i/>
          <w:noProof/>
          <w:sz w:val="24"/>
          <w:szCs w:val="24"/>
          <w:u w:val="single"/>
        </w:rPr>
      </w:pPr>
    </w:p>
    <w:p w:rsidR="007F5454" w:rsidRDefault="00854701">
      <w:pPr>
        <w:jc w:val="both"/>
        <w:rPr>
          <w:rFonts w:ascii="Times New Roman" w:hAnsi="Times New Roman" w:cs="Times New Roman"/>
          <w:b/>
          <w:i/>
          <w:noProof/>
          <w:szCs w:val="24"/>
        </w:rPr>
      </w:pPr>
      <w:r>
        <w:rPr>
          <w:rFonts w:ascii="Times New Roman" w:hAnsi="Times New Roman"/>
          <w:b/>
          <w:i/>
          <w:noProof/>
          <w:u w:val="single"/>
        </w:rPr>
        <w:t>Действие 16</w:t>
      </w:r>
      <w:r>
        <w:rPr>
          <w:rFonts w:ascii="Times New Roman" w:hAnsi="Times New Roman"/>
          <w:b/>
          <w:i/>
          <w:noProof/>
        </w:rPr>
        <w:t>: Комисията ще използва изпълнението на Плана за действие относно финансирането на тероризма, за да доприне</w:t>
      </w:r>
      <w:r>
        <w:rPr>
          <w:rFonts w:ascii="Times New Roman" w:hAnsi="Times New Roman"/>
          <w:b/>
          <w:i/>
          <w:noProof/>
        </w:rPr>
        <w:t>се и за ответни действия срещу хибридните заплахи.</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Извършителите на хибридни атаки и техните поддръжници се нуждаят от средства, за да изпълнят своите планове. Усилията на ЕС за борба с престъпността и финансирането на тероризма съгласно Европейската прог</w:t>
      </w:r>
      <w:r>
        <w:rPr>
          <w:rFonts w:ascii="Times New Roman" w:hAnsi="Times New Roman"/>
          <w:noProof/>
          <w:sz w:val="24"/>
        </w:rPr>
        <w:t>рама за сигурност и Плана за действие относно финансирането на тероризма могат да допринесат и за борбата с хибридните заплахи. През декември 2016 г. Комисията представи три законодателни предложения, включително относно наказателните санкции за изпиране н</w:t>
      </w:r>
      <w:r>
        <w:rPr>
          <w:rFonts w:ascii="Times New Roman" w:hAnsi="Times New Roman"/>
          <w:noProof/>
          <w:sz w:val="24"/>
        </w:rPr>
        <w:t>а пари и незаконни парични плащания, както и относно замразяването и конфискацията на активи</w:t>
      </w:r>
      <w:r>
        <w:rPr>
          <w:rStyle w:val="FootnoteReference"/>
          <w:rFonts w:ascii="Times New Roman" w:hAnsi="Times New Roman"/>
          <w:noProof/>
          <w:sz w:val="24"/>
        </w:rPr>
        <w:footnoteReference w:id="20"/>
      </w:r>
      <w:r>
        <w:rPr>
          <w:noProof/>
        </w:rPr>
        <w:t>.</w:t>
      </w:r>
    </w:p>
    <w:p w:rsidR="007F5454" w:rsidRDefault="00854701">
      <w:pPr>
        <w:jc w:val="both"/>
        <w:rPr>
          <w:rFonts w:ascii="Times New Roman" w:hAnsi="Times New Roman" w:cs="Times New Roman"/>
          <w:noProof/>
          <w:sz w:val="24"/>
          <w:szCs w:val="24"/>
        </w:rPr>
      </w:pPr>
      <w:r>
        <w:rPr>
          <w:rFonts w:ascii="Times New Roman" w:hAnsi="Times New Roman"/>
          <w:noProof/>
          <w:sz w:val="24"/>
        </w:rPr>
        <w:t>Всички държави членки трябваше да транспонират до 26 юни 2017 г. 4-тата директива относно борбата с изпирането на пари</w:t>
      </w:r>
      <w:r>
        <w:rPr>
          <w:rStyle w:val="FootnoteReference"/>
          <w:rFonts w:ascii="Times New Roman" w:hAnsi="Times New Roman"/>
          <w:noProof/>
          <w:sz w:val="24"/>
        </w:rPr>
        <w:footnoteReference w:id="21"/>
      </w:r>
      <w:r>
        <w:rPr>
          <w:rFonts w:ascii="Times New Roman" w:hAnsi="Times New Roman"/>
          <w:noProof/>
          <w:sz w:val="24"/>
        </w:rPr>
        <w:t>, а през юли 2016 г. Комисията представи ц</w:t>
      </w:r>
      <w:r>
        <w:rPr>
          <w:rFonts w:ascii="Times New Roman" w:hAnsi="Times New Roman"/>
          <w:noProof/>
          <w:sz w:val="24"/>
        </w:rPr>
        <w:t>елево законодателно предложение за допълване и засилване на същата директива с още мерки</w:t>
      </w:r>
      <w:r>
        <w:rPr>
          <w:rStyle w:val="FootnoteReference"/>
          <w:rFonts w:ascii="Times New Roman" w:hAnsi="Times New Roman"/>
          <w:noProof/>
          <w:sz w:val="24"/>
        </w:rPr>
        <w:footnoteReference w:id="22"/>
      </w:r>
      <w:r>
        <w:rPr>
          <w:rFonts w:ascii="Times New Roman" w:hAnsi="Times New Roman"/>
          <w:noProof/>
          <w:sz w:val="24"/>
        </w:rPr>
        <w:t>.</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 xml:space="preserve">На 26 юни 2017 г. Комисията издаде наднационалната оценка на риска, предвидена в 4-та директива относно борбата с изпирането на пари. Тя представи и предложение за </w:t>
      </w:r>
      <w:r>
        <w:rPr>
          <w:rFonts w:ascii="Times New Roman" w:hAnsi="Times New Roman"/>
          <w:noProof/>
          <w:sz w:val="24"/>
        </w:rPr>
        <w:t>регламент за предотвратяване на вноса и съхранението в ЕС на паметници на културата, които са изнесени незаконно от трети държави</w:t>
      </w:r>
      <w:r>
        <w:rPr>
          <w:rFonts w:ascii="Times New Roman" w:hAnsi="Times New Roman"/>
          <w:noProof/>
          <w:sz w:val="24"/>
          <w:vertAlign w:val="superscript"/>
        </w:rPr>
        <w:footnoteReference w:id="23"/>
      </w:r>
      <w:r>
        <w:rPr>
          <w:rFonts w:ascii="Times New Roman" w:hAnsi="Times New Roman"/>
          <w:noProof/>
          <w:sz w:val="24"/>
        </w:rPr>
        <w:t xml:space="preserve">. По-късно тази година Комисията ще представи доклад за текущата си оценка на необходимостта от евентуални допълнителни мерки </w:t>
      </w:r>
      <w:r>
        <w:rPr>
          <w:rFonts w:ascii="Times New Roman" w:hAnsi="Times New Roman"/>
          <w:noProof/>
          <w:sz w:val="24"/>
        </w:rPr>
        <w:t>за проследяване на финансирането на тероризма в ЕС. Комисията също така прави преглед на законодателството относно борбата срещу измамите и фалшифицирането на непарични платежни средства</w:t>
      </w:r>
      <w:r>
        <w:rPr>
          <w:rStyle w:val="FootnoteReference"/>
          <w:rFonts w:ascii="Times New Roman" w:hAnsi="Times New Roman"/>
          <w:noProof/>
          <w:sz w:val="24"/>
        </w:rPr>
        <w:footnoteReference w:id="24"/>
      </w:r>
      <w:r>
        <w:rPr>
          <w:noProof/>
        </w:rPr>
        <w:t>.</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noProof/>
          <w:sz w:val="24"/>
        </w:rPr>
      </w:pPr>
      <w:r>
        <w:rPr>
          <w:rFonts w:ascii="Times New Roman" w:hAnsi="Times New Roman"/>
          <w:noProof/>
          <w:sz w:val="24"/>
        </w:rPr>
        <w:t xml:space="preserve">Осмият доклад за напредъка по създаването на ефективен и истински </w:t>
      </w:r>
      <w:r>
        <w:rPr>
          <w:rFonts w:ascii="Times New Roman" w:hAnsi="Times New Roman"/>
          <w:noProof/>
          <w:sz w:val="24"/>
        </w:rPr>
        <w:t xml:space="preserve">Съюз на сигурност предоставя повече подробности относно актуалното състояние във връзка с изпълнението на Плана за действие за борба с финансирането на тероризма </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b/>
          <w:noProof/>
          <w:sz w:val="24"/>
          <w:szCs w:val="24"/>
        </w:rPr>
      </w:pPr>
      <w:r>
        <w:rPr>
          <w:rFonts w:ascii="Times New Roman" w:hAnsi="Times New Roman"/>
          <w:b/>
          <w:i/>
          <w:noProof/>
          <w:sz w:val="24"/>
          <w:u w:val="single"/>
        </w:rPr>
        <w:t xml:space="preserve">Популяризиране на общите ценности на ЕС и насърчаване на изграждането на приобщаващо, </w:t>
      </w:r>
      <w:r>
        <w:rPr>
          <w:rFonts w:ascii="Times New Roman" w:hAnsi="Times New Roman"/>
          <w:b/>
          <w:i/>
          <w:noProof/>
          <w:sz w:val="24"/>
          <w:u w:val="single"/>
        </w:rPr>
        <w:t>отворено и устойчиво общество</w:t>
      </w:r>
      <w:r>
        <w:rPr>
          <w:rFonts w:ascii="Times New Roman" w:hAnsi="Times New Roman"/>
          <w:b/>
          <w:noProof/>
          <w:sz w:val="24"/>
        </w:rPr>
        <w:t xml:space="preserve"> </w:t>
      </w:r>
    </w:p>
    <w:p w:rsidR="007F5454" w:rsidRDefault="007F5454">
      <w:pPr>
        <w:jc w:val="both"/>
        <w:rPr>
          <w:rFonts w:ascii="Times New Roman" w:hAnsi="Times New Roman" w:cs="Times New Roman"/>
          <w:b/>
          <w:noProof/>
          <w:sz w:val="24"/>
          <w:szCs w:val="24"/>
        </w:rPr>
      </w:pPr>
    </w:p>
    <w:p w:rsidR="007F5454" w:rsidRDefault="00854701">
      <w:pPr>
        <w:jc w:val="both"/>
        <w:rPr>
          <w:rFonts w:ascii="Times New Roman" w:hAnsi="Times New Roman" w:cs="Times New Roman"/>
          <w:b/>
          <w:noProof/>
          <w:sz w:val="24"/>
          <w:szCs w:val="24"/>
        </w:rPr>
      </w:pPr>
      <w:r>
        <w:rPr>
          <w:rFonts w:ascii="Times New Roman" w:hAnsi="Times New Roman"/>
          <w:b/>
          <w:noProof/>
          <w:sz w:val="24"/>
        </w:rPr>
        <w:t>Изграждане на устойчивост срещу радикализацията и насилническия екстремизъм</w:t>
      </w:r>
    </w:p>
    <w:p w:rsidR="007F5454" w:rsidRDefault="007F5454">
      <w:pPr>
        <w:jc w:val="both"/>
        <w:rPr>
          <w:rFonts w:ascii="Times New Roman" w:hAnsi="Times New Roman" w:cs="Times New Roman"/>
          <w:b/>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Религиозна и идеологическа радикализация, етнически конфликт и малцинствени конфликти могат да бъдат предизвикани от външни участници чрез оказване</w:t>
      </w:r>
      <w:r>
        <w:rPr>
          <w:rFonts w:ascii="Times New Roman" w:hAnsi="Times New Roman"/>
          <w:noProof/>
          <w:sz w:val="24"/>
        </w:rPr>
        <w:t xml:space="preserve"> на подкрепа на определени групи или чрез усилия за подклаждане на конфликти между групи. Възникнаха допълнителни предизвикателства, като например заплахи от самостоятелно действащи лица и нови модели на радикализация, включително евентуално в контекста на</w:t>
      </w:r>
      <w:r>
        <w:rPr>
          <w:rFonts w:ascii="Times New Roman" w:hAnsi="Times New Roman"/>
          <w:noProof/>
          <w:sz w:val="24"/>
        </w:rPr>
        <w:t xml:space="preserve"> миграционната криза, както и надигане на десния екстремизъм (включително насилие срещу мигранти) и риск от поляризация. Докато работата по въпросите на радикализацията напредва в контекста на Съюза на сигурност, тя може да бъде и от косвено значение по от</w:t>
      </w:r>
      <w:r>
        <w:rPr>
          <w:rFonts w:ascii="Times New Roman" w:hAnsi="Times New Roman"/>
          <w:noProof/>
          <w:sz w:val="24"/>
        </w:rPr>
        <w:t>ношение на хибридните заплахи, доколкото податливи на радикализация лица могат да бъдат манипулирани от извършители на хибридни атаки.</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b/>
          <w:i/>
          <w:noProof/>
          <w:szCs w:val="24"/>
        </w:rPr>
      </w:pPr>
      <w:r>
        <w:rPr>
          <w:rFonts w:ascii="Times New Roman" w:hAnsi="Times New Roman"/>
          <w:b/>
          <w:i/>
          <w:noProof/>
          <w:u w:val="single"/>
        </w:rPr>
        <w:t>Действие 17:</w:t>
      </w:r>
      <w:r>
        <w:rPr>
          <w:rFonts w:ascii="Times New Roman" w:hAnsi="Times New Roman"/>
          <w:b/>
          <w:i/>
          <w:noProof/>
        </w:rPr>
        <w:t xml:space="preserve"> Комисията изпълнява действията срещу радикализацията, посочени в Европейската програма за сигурност, и анал</w:t>
      </w:r>
      <w:r>
        <w:rPr>
          <w:rFonts w:ascii="Times New Roman" w:hAnsi="Times New Roman"/>
          <w:b/>
          <w:i/>
          <w:noProof/>
        </w:rPr>
        <w:t>изира необходимостта да се подобрят процедурите за премахване на незаконно съдържание, като призовава посредниците да извършват надлежни проверки при управлението на мрежите и системите.</w:t>
      </w:r>
    </w:p>
    <w:p w:rsidR="007F5454" w:rsidRDefault="007F5454">
      <w:pPr>
        <w:jc w:val="both"/>
        <w:rPr>
          <w:rFonts w:ascii="Times New Roman" w:hAnsi="Times New Roman" w:cs="Times New Roman"/>
          <w:b/>
          <w:i/>
          <w:noProof/>
          <w:szCs w:val="24"/>
        </w:rPr>
      </w:pPr>
    </w:p>
    <w:p w:rsidR="007F5454" w:rsidRDefault="00854701">
      <w:pPr>
        <w:rPr>
          <w:rFonts w:ascii="Times New Roman" w:hAnsi="Times New Roman" w:cs="Times New Roman"/>
          <w:b/>
          <w:noProof/>
          <w:sz w:val="24"/>
          <w:szCs w:val="24"/>
        </w:rPr>
      </w:pPr>
      <w:r>
        <w:rPr>
          <w:rFonts w:ascii="Times New Roman" w:hAnsi="Times New Roman"/>
          <w:b/>
          <w:noProof/>
          <w:sz w:val="24"/>
        </w:rPr>
        <w:t xml:space="preserve">Предотвратяване на радикализацията </w:t>
      </w:r>
    </w:p>
    <w:p w:rsidR="007F5454" w:rsidRDefault="007F5454">
      <w:pPr>
        <w:rPr>
          <w:rFonts w:ascii="Times New Roman" w:hAnsi="Times New Roman" w:cs="Times New Roman"/>
          <w:b/>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Комисията продължава с изпълнен</w:t>
      </w:r>
      <w:r>
        <w:rPr>
          <w:rFonts w:ascii="Times New Roman" w:hAnsi="Times New Roman"/>
          <w:noProof/>
          <w:sz w:val="24"/>
        </w:rPr>
        <w:t>ието на своите многостранни ответни мерки спрямо радикализацията съгласно съобщението от юни 2016 г. за подпомагане на предотвратяването на радикализацията, водеща до насилнически екстремизъм</w:t>
      </w:r>
      <w:r>
        <w:rPr>
          <w:rStyle w:val="FootnoteReference"/>
          <w:rFonts w:ascii="Times New Roman" w:hAnsi="Times New Roman"/>
          <w:noProof/>
          <w:color w:val="000000"/>
          <w:sz w:val="24"/>
        </w:rPr>
        <w:footnoteReference w:id="25"/>
      </w:r>
      <w:r>
        <w:rPr>
          <w:rFonts w:ascii="Times New Roman" w:hAnsi="Times New Roman"/>
          <w:noProof/>
          <w:sz w:val="24"/>
        </w:rPr>
        <w:t>, с ключови действия, като например насърчаването за приобщаващо</w:t>
      </w:r>
      <w:r>
        <w:rPr>
          <w:rFonts w:ascii="Times New Roman" w:hAnsi="Times New Roman"/>
          <w:noProof/>
          <w:sz w:val="24"/>
        </w:rPr>
        <w:t xml:space="preserve"> образование и общи ценности, справяне с екстремистката пропаганда в интернет и радикализацията в затворите, засилването на сътрудничеството с трети държави и увеличаване на изследванията за по-добро разбиране на променящото се естество на радикализацията </w:t>
      </w:r>
      <w:r>
        <w:rPr>
          <w:rFonts w:ascii="Times New Roman" w:hAnsi="Times New Roman"/>
          <w:noProof/>
          <w:sz w:val="24"/>
        </w:rPr>
        <w:t>и по-информирани ответни мерки на политиката. Мрежата за осведоменост по въпросите на радикализацията (RAN) беше на преден план в работата на Комисията да оказва подкрепа на държавите членки в тази област, действайки на общностно равнище с местни специалис</w:t>
      </w:r>
      <w:r>
        <w:rPr>
          <w:rFonts w:ascii="Times New Roman" w:hAnsi="Times New Roman"/>
          <w:noProof/>
          <w:sz w:val="24"/>
        </w:rPr>
        <w:t>ти. Повече подробности се дават в осмия доклад за напредъка по създаването на ефективен и истински Съюз на сигурност</w:t>
      </w:r>
      <w:r>
        <w:rPr>
          <w:rStyle w:val="FootnoteReference"/>
          <w:rFonts w:ascii="Times New Roman" w:hAnsi="Times New Roman"/>
          <w:noProof/>
          <w:sz w:val="24"/>
        </w:rPr>
        <w:footnoteReference w:id="26"/>
      </w:r>
      <w:r>
        <w:rPr>
          <w:rFonts w:ascii="Times New Roman" w:hAnsi="Times New Roman"/>
          <w:noProof/>
          <w:sz w:val="24"/>
        </w:rPr>
        <w:t xml:space="preserve">. </w:t>
      </w:r>
    </w:p>
    <w:p w:rsidR="007F5454" w:rsidRDefault="007F5454">
      <w:pPr>
        <w:rPr>
          <w:rFonts w:ascii="Times New Roman" w:hAnsi="Times New Roman" w:cs="Times New Roman"/>
          <w:noProof/>
          <w:sz w:val="24"/>
          <w:szCs w:val="24"/>
        </w:rPr>
      </w:pPr>
    </w:p>
    <w:p w:rsidR="007F5454" w:rsidRDefault="00854701">
      <w:pPr>
        <w:jc w:val="both"/>
        <w:rPr>
          <w:rFonts w:ascii="Times New Roman" w:hAnsi="Times New Roman" w:cs="Times New Roman"/>
          <w:b/>
          <w:noProof/>
          <w:sz w:val="24"/>
          <w:szCs w:val="24"/>
        </w:rPr>
      </w:pPr>
      <w:r>
        <w:rPr>
          <w:rFonts w:ascii="Times New Roman" w:hAnsi="Times New Roman"/>
          <w:b/>
          <w:noProof/>
          <w:sz w:val="24"/>
        </w:rPr>
        <w:t>Онлайн радикализация и език на омразата</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В съответствие с Европейската програма за сигурност</w:t>
      </w:r>
      <w:r>
        <w:rPr>
          <w:rStyle w:val="FootnoteReference"/>
          <w:rFonts w:ascii="Times New Roman" w:hAnsi="Times New Roman"/>
          <w:noProof/>
          <w:sz w:val="24"/>
        </w:rPr>
        <w:footnoteReference w:id="27"/>
      </w:r>
      <w:r>
        <w:rPr>
          <w:rFonts w:ascii="Times New Roman" w:hAnsi="Times New Roman"/>
          <w:noProof/>
          <w:sz w:val="24"/>
        </w:rPr>
        <w:t xml:space="preserve"> Комисията предприе мерки за намаляване на</w:t>
      </w:r>
      <w:r>
        <w:rPr>
          <w:rFonts w:ascii="Times New Roman" w:hAnsi="Times New Roman"/>
          <w:noProof/>
          <w:sz w:val="24"/>
        </w:rPr>
        <w:t xml:space="preserve"> наличието онлайн на незаконно съдържание, а именно чрез влизащото в състава на Европол звено на ЕС за сигнализиранe за незаконно съдържание в интернет и Интернет форума на ЕС</w:t>
      </w:r>
      <w:r>
        <w:rPr>
          <w:rStyle w:val="FootnoteReference"/>
          <w:rFonts w:ascii="Times New Roman" w:hAnsi="Times New Roman"/>
          <w:noProof/>
          <w:sz w:val="24"/>
        </w:rPr>
        <w:footnoteReference w:id="28"/>
      </w:r>
      <w:r>
        <w:rPr>
          <w:rFonts w:ascii="Times New Roman" w:hAnsi="Times New Roman"/>
          <w:noProof/>
          <w:sz w:val="24"/>
        </w:rPr>
        <w:t>. Значителен напредък е постигнат също така по кодекса за поведение за борба с н</w:t>
      </w:r>
      <w:r>
        <w:rPr>
          <w:rFonts w:ascii="Times New Roman" w:hAnsi="Times New Roman"/>
          <w:noProof/>
          <w:sz w:val="24"/>
        </w:rPr>
        <w:t>езаконния език на омразата в интернет</w:t>
      </w:r>
      <w:r>
        <w:rPr>
          <w:rStyle w:val="FootnoteReference"/>
          <w:rFonts w:ascii="Times New Roman" w:hAnsi="Times New Roman"/>
          <w:noProof/>
          <w:sz w:val="24"/>
        </w:rPr>
        <w:footnoteReference w:id="29"/>
      </w:r>
      <w:r>
        <w:rPr>
          <w:rFonts w:ascii="Times New Roman" w:hAnsi="Times New Roman"/>
          <w:noProof/>
          <w:sz w:val="24"/>
        </w:rPr>
        <w:t>. Повече подробности се дават в осмия доклад за напредъка по създаването на ефективен и истински Съюз на сигурност</w:t>
      </w:r>
      <w:r>
        <w:rPr>
          <w:rStyle w:val="FootnoteReference"/>
          <w:rFonts w:ascii="Times New Roman" w:hAnsi="Times New Roman"/>
          <w:noProof/>
          <w:sz w:val="24"/>
        </w:rPr>
        <w:footnoteReference w:id="30"/>
      </w:r>
      <w:r>
        <w:rPr>
          <w:rFonts w:ascii="Times New Roman" w:hAnsi="Times New Roman"/>
          <w:noProof/>
          <w:sz w:val="24"/>
        </w:rPr>
        <w:t>. Тези действия ще бъде засилени също и с оглед на заключенията на Европейския съвет</w:t>
      </w:r>
      <w:r>
        <w:rPr>
          <w:rStyle w:val="FootnoteReference"/>
          <w:rFonts w:ascii="Times New Roman" w:hAnsi="Times New Roman"/>
          <w:noProof/>
          <w:sz w:val="24"/>
        </w:rPr>
        <w:footnoteReference w:id="31"/>
      </w:r>
      <w:r>
        <w:rPr>
          <w:rFonts w:ascii="Times New Roman" w:hAnsi="Times New Roman"/>
          <w:noProof/>
          <w:sz w:val="24"/>
        </w:rPr>
        <w:t>, срещата на върха</w:t>
      </w:r>
      <w:r>
        <w:rPr>
          <w:rFonts w:ascii="Times New Roman" w:hAnsi="Times New Roman"/>
          <w:noProof/>
          <w:sz w:val="24"/>
        </w:rPr>
        <w:t xml:space="preserve"> на Г-7</w:t>
      </w:r>
      <w:r>
        <w:rPr>
          <w:rStyle w:val="FootnoteReference"/>
          <w:rFonts w:ascii="Times New Roman" w:hAnsi="Times New Roman"/>
          <w:noProof/>
          <w:sz w:val="24"/>
        </w:rPr>
        <w:footnoteReference w:id="32"/>
      </w:r>
      <w:r>
        <w:rPr>
          <w:rFonts w:ascii="Times New Roman" w:hAnsi="Times New Roman"/>
          <w:noProof/>
          <w:sz w:val="24"/>
        </w:rPr>
        <w:t xml:space="preserve"> и срещата на върха на Г-20 в Хамбург</w:t>
      </w:r>
      <w:r>
        <w:rPr>
          <w:rStyle w:val="FootnoteReference"/>
          <w:rFonts w:ascii="Times New Roman" w:hAnsi="Times New Roman"/>
          <w:noProof/>
          <w:sz w:val="24"/>
        </w:rPr>
        <w:footnoteReference w:id="33"/>
      </w:r>
      <w:r>
        <w:rPr>
          <w:rFonts w:ascii="Times New Roman" w:hAnsi="Times New Roman"/>
          <w:noProof/>
          <w:sz w:val="24"/>
        </w:rPr>
        <w:t xml:space="preserve">. </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Онлайн платформите играят ключова роля в борбата срещу незаконно или потенциално вредно съдържание. Съгласно стратегията за цифров единен пазар, както е посочено в междинния преглед</w:t>
      </w:r>
      <w:r>
        <w:rPr>
          <w:rStyle w:val="FootnoteReference"/>
          <w:rFonts w:ascii="Times New Roman" w:hAnsi="Times New Roman"/>
          <w:noProof/>
          <w:sz w:val="24"/>
        </w:rPr>
        <w:footnoteReference w:id="34"/>
      </w:r>
      <w:r>
        <w:rPr>
          <w:rFonts w:ascii="Times New Roman" w:hAnsi="Times New Roman"/>
          <w:noProof/>
          <w:sz w:val="24"/>
        </w:rPr>
        <w:t>, Комисията ще гарантира по-добра координация на диалозите с платформите със съсредоточаване върху механизмите и техническите решения за премахване на незаконно съдържание. Когато е приложимо, целта следва да бъде тези механизми да се основават на насоки о</w:t>
      </w:r>
      <w:r>
        <w:rPr>
          <w:rFonts w:ascii="Times New Roman" w:hAnsi="Times New Roman"/>
          <w:noProof/>
          <w:sz w:val="24"/>
        </w:rPr>
        <w:t xml:space="preserve">тносно аспектите, като например уведомяване за незаконно съдържание и премахването му. Комисията ще предостави и насоки относно правилата за отговорността. </w:t>
      </w:r>
    </w:p>
    <w:p w:rsidR="007F5454" w:rsidRDefault="007F5454">
      <w:pPr>
        <w:pStyle w:val="Heading2"/>
        <w:spacing w:line="276" w:lineRule="auto"/>
        <w:rPr>
          <w:b w:val="0"/>
          <w:i/>
          <w:noProof/>
          <w:u w:val="single"/>
        </w:rPr>
      </w:pPr>
    </w:p>
    <w:p w:rsidR="007F5454" w:rsidRDefault="00854701">
      <w:pPr>
        <w:pStyle w:val="Heading2"/>
        <w:spacing w:line="276" w:lineRule="auto"/>
        <w:rPr>
          <w:i/>
          <w:noProof/>
          <w:szCs w:val="24"/>
          <w:u w:val="single"/>
        </w:rPr>
      </w:pPr>
      <w:r>
        <w:rPr>
          <w:i/>
          <w:noProof/>
          <w:u w:val="single"/>
        </w:rPr>
        <w:t>Засилване на сътрудничеството с трети държави</w:t>
      </w:r>
    </w:p>
    <w:p w:rsidR="007F5454" w:rsidRDefault="00854701">
      <w:pPr>
        <w:pStyle w:val="Default"/>
        <w:jc w:val="both"/>
        <w:rPr>
          <w:b/>
          <w:i/>
          <w:noProof/>
        </w:rPr>
      </w:pPr>
      <w:r>
        <w:rPr>
          <w:b/>
          <w:i/>
          <w:noProof/>
          <w:sz w:val="22"/>
          <w:u w:val="single"/>
        </w:rPr>
        <w:t>Действие 18:</w:t>
      </w:r>
      <w:r>
        <w:rPr>
          <w:b/>
          <w:i/>
          <w:noProof/>
          <w:sz w:val="22"/>
        </w:rPr>
        <w:t xml:space="preserve"> върховният представител, в сътрудничество с Комисията, ще започне проучване на хибридните рискове в съседните на ЕС региони. Върховният представител, Комисията и държавите членки ще използват инструментите, с които разполагат, за изграждането на капацитет</w:t>
      </w:r>
      <w:r>
        <w:rPr>
          <w:b/>
          <w:i/>
          <w:noProof/>
          <w:sz w:val="22"/>
        </w:rPr>
        <w:t xml:space="preserve"> на партньорите и за укрепването на тяхната устойчивост срещу хибридни заплахи. Самостоятелно или като допълнение към инструменти на ЕС могат да се използват мисии по линия на ОПСО, така че да се помогне на партньорите да повишат своя капацитет</w:t>
      </w:r>
      <w:r>
        <w:rPr>
          <w:b/>
          <w:i/>
          <w:noProof/>
        </w:rPr>
        <w:t xml:space="preserve">. </w:t>
      </w:r>
    </w:p>
    <w:p w:rsidR="007F5454" w:rsidRDefault="007F5454">
      <w:pPr>
        <w:pStyle w:val="Default"/>
        <w:rPr>
          <w:b/>
          <w:i/>
          <w:noProof/>
        </w:rPr>
      </w:pPr>
    </w:p>
    <w:p w:rsidR="007F5454" w:rsidRDefault="00854701">
      <w:pPr>
        <w:jc w:val="both"/>
        <w:rPr>
          <w:rFonts w:ascii="Times New Roman" w:hAnsi="Times New Roman" w:cs="Times New Roman"/>
          <w:noProof/>
          <w:sz w:val="24"/>
          <w:szCs w:val="24"/>
        </w:rPr>
      </w:pPr>
      <w:r>
        <w:rPr>
          <w:rFonts w:ascii="Times New Roman" w:hAnsi="Times New Roman"/>
          <w:noProof/>
          <w:sz w:val="24"/>
        </w:rPr>
        <w:t>Европейс</w:t>
      </w:r>
      <w:r>
        <w:rPr>
          <w:rFonts w:ascii="Times New Roman" w:hAnsi="Times New Roman"/>
          <w:noProof/>
          <w:sz w:val="24"/>
        </w:rPr>
        <w:t>кият съюз засили вниманието си върху изграждането на капацитет и устойчивост в партньорски държави в сектора на сигурността, наред с другото, въз основа на връзката между сигурността и развитието, както и чрез оформянето на свързаното със сигурността измер</w:t>
      </w:r>
      <w:r>
        <w:rPr>
          <w:rFonts w:ascii="Times New Roman" w:hAnsi="Times New Roman"/>
          <w:noProof/>
          <w:sz w:val="24"/>
        </w:rPr>
        <w:t>ение на преразгледаната европейска политика за съседство и започването на диалози по контратероризма и сигурността с държави, разположени около Средиземно море. За тази цел в сътрудничество с Република Молдова беше започнато като пилотен проект проучване н</w:t>
      </w:r>
      <w:r>
        <w:rPr>
          <w:rFonts w:ascii="Times New Roman" w:hAnsi="Times New Roman"/>
          <w:noProof/>
          <w:sz w:val="24"/>
        </w:rPr>
        <w:t>а рисковете. Неговата цел е да спомогне за идентифициране на основните уязвимости на тази държава и да гарантира, че съдействието от страна на ЕС е насочено именно към тях. Резултатите от пилотния проект показаха, че проучването само по себе си се счита за</w:t>
      </w:r>
      <w:r>
        <w:rPr>
          <w:rFonts w:ascii="Times New Roman" w:hAnsi="Times New Roman"/>
          <w:noProof/>
          <w:sz w:val="24"/>
        </w:rPr>
        <w:t xml:space="preserve"> полезно. Въз основа на натрупания опит Комисията и ЕСВД ще направят препоръки за определянето на приоритети за действията в раздела за изграждането на ефективност, стратегическите комуникации, защитата на критична инфраструктура и киберсигурността.</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В пер</w:t>
      </w:r>
      <w:r>
        <w:rPr>
          <w:rFonts w:ascii="Times New Roman" w:hAnsi="Times New Roman"/>
          <w:noProof/>
          <w:sz w:val="24"/>
        </w:rPr>
        <w:t>спектива още съседни държави биха могли да се възползват от проучването въз основа на натрупания от него първоначален опит, макар и със специално приспособяване съобразно различните национални местни условия и специфичните заплахи и като се избягва дублира</w:t>
      </w:r>
      <w:r>
        <w:rPr>
          <w:rFonts w:ascii="Times New Roman" w:hAnsi="Times New Roman"/>
          <w:noProof/>
          <w:sz w:val="24"/>
        </w:rPr>
        <w:t>нето с текущите диалози по контратероризма и сигурността. В по-общ план на 7 юни 2017 г. Комисията и върховният представител приеха съвместно съобщение относно „Стратегически подход към устойчивостта във външната дейност на ЕС“</w:t>
      </w:r>
      <w:r>
        <w:rPr>
          <w:rStyle w:val="FootnoteReference"/>
          <w:rFonts w:ascii="Times New Roman" w:hAnsi="Times New Roman"/>
          <w:noProof/>
          <w:sz w:val="24"/>
        </w:rPr>
        <w:footnoteReference w:id="35"/>
      </w:r>
      <w:r>
        <w:rPr>
          <w:noProof/>
        </w:rPr>
        <w:t>.</w:t>
      </w:r>
      <w:r>
        <w:rPr>
          <w:rFonts w:ascii="Times New Roman" w:hAnsi="Times New Roman"/>
          <w:noProof/>
          <w:sz w:val="24"/>
        </w:rPr>
        <w:t xml:space="preserve"> Целта е подкрепа за партнь</w:t>
      </w:r>
      <w:r>
        <w:rPr>
          <w:rFonts w:ascii="Times New Roman" w:hAnsi="Times New Roman"/>
          <w:noProof/>
          <w:sz w:val="24"/>
        </w:rPr>
        <w:t>орските държави, за да станат по-устойчиви спрямо днешните глобални предизвикателства. Отчита се и необходимостта да се премине от ограничаване на кризите към по-структуриран дългосрочен подход към уязвимостите с наблягане върху предвиждането, предотвратяв</w:t>
      </w:r>
      <w:r>
        <w:rPr>
          <w:rFonts w:ascii="Times New Roman" w:hAnsi="Times New Roman"/>
          <w:noProof/>
          <w:sz w:val="24"/>
        </w:rPr>
        <w:t xml:space="preserve">ането и подготвеността. </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b/>
          <w:i/>
          <w:noProof/>
          <w:sz w:val="24"/>
          <w:szCs w:val="24"/>
          <w:u w:val="single"/>
        </w:rPr>
      </w:pPr>
      <w:r>
        <w:rPr>
          <w:rFonts w:ascii="Times New Roman" w:hAnsi="Times New Roman"/>
          <w:b/>
          <w:i/>
          <w:noProof/>
          <w:sz w:val="24"/>
          <w:u w:val="single"/>
        </w:rPr>
        <w:t>Устойчивост на кибернетичното пространство за развитие</w:t>
      </w:r>
    </w:p>
    <w:p w:rsidR="007F5454" w:rsidRDefault="007F5454">
      <w:pPr>
        <w:jc w:val="both"/>
        <w:rPr>
          <w:rFonts w:ascii="Times New Roman" w:hAnsi="Times New Roman" w:cs="Times New Roman"/>
          <w:b/>
          <w:i/>
          <w:noProof/>
          <w:sz w:val="24"/>
          <w:szCs w:val="24"/>
          <w:u w:val="single"/>
        </w:rPr>
      </w:pPr>
    </w:p>
    <w:p w:rsidR="007F5454" w:rsidRDefault="00854701">
      <w:pPr>
        <w:jc w:val="both"/>
        <w:rPr>
          <w:rFonts w:ascii="Times New Roman" w:hAnsi="Times New Roman" w:cs="Times New Roman"/>
          <w:noProof/>
          <w:sz w:val="24"/>
          <w:szCs w:val="24"/>
        </w:rPr>
      </w:pPr>
      <w:r>
        <w:rPr>
          <w:rFonts w:ascii="Times New Roman" w:hAnsi="Times New Roman"/>
          <w:noProof/>
          <w:sz w:val="24"/>
        </w:rPr>
        <w:t>ЕС подпомага държави извън Европа с цел да се засили устойчивостта на информационните им мрежи. На непрекъснато растящата цифровизация е присъщо измерение по отношение на сиг</w:t>
      </w:r>
      <w:r>
        <w:rPr>
          <w:rFonts w:ascii="Times New Roman" w:hAnsi="Times New Roman"/>
          <w:noProof/>
          <w:sz w:val="24"/>
        </w:rPr>
        <w:t>урността, което поражда специфични предизвикателства за устойчивостта на мрежите от информационни системи в световен мащаб, тъй като за кибератаките няма граници. ЕС подкрепя трети държави за изграждане на способността им адекватно да предотвратяват и реаг</w:t>
      </w:r>
      <w:r>
        <w:rPr>
          <w:rFonts w:ascii="Times New Roman" w:hAnsi="Times New Roman"/>
          <w:noProof/>
          <w:sz w:val="24"/>
        </w:rPr>
        <w:t>ират на случайни неизправности и кибератаки. След като през 2016 г. беше завършен пилотен проект в областта на киберсигурността в бившата югославска република Македония, Косово</w:t>
      </w:r>
      <w:r>
        <w:rPr>
          <w:rStyle w:val="FootnoteReference"/>
          <w:rFonts w:ascii="Times New Roman" w:hAnsi="Times New Roman"/>
          <w:noProof/>
          <w:sz w:val="24"/>
        </w:rPr>
        <w:footnoteReference w:id="36"/>
      </w:r>
      <w:r>
        <w:rPr>
          <w:rFonts w:ascii="Times New Roman" w:hAnsi="Times New Roman"/>
          <w:noProof/>
          <w:sz w:val="24"/>
        </w:rPr>
        <w:t xml:space="preserve"> и Молдова, Комисията ще стартира нова програма за повишаване на устойчивостта </w:t>
      </w:r>
      <w:r>
        <w:rPr>
          <w:rFonts w:ascii="Times New Roman" w:hAnsi="Times New Roman"/>
          <w:noProof/>
          <w:sz w:val="24"/>
        </w:rPr>
        <w:t>на киберпространството на трети държави — главно в Африка и Азия за периода 2017—2020 г., но също и в Украйна. С нея се цели повишаване на сигурността и подготвеността на критичната информационна инфраструктура и мрежите в трети държави въз основа на подхо</w:t>
      </w:r>
      <w:r>
        <w:rPr>
          <w:rFonts w:ascii="Times New Roman" w:hAnsi="Times New Roman"/>
          <w:noProof/>
          <w:sz w:val="24"/>
        </w:rPr>
        <w:t>д, обхващащ всички нива на управление, като същевременно се гарантира спазване на правата на човека и върховенство на закона.</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b/>
          <w:i/>
          <w:noProof/>
          <w:sz w:val="24"/>
          <w:szCs w:val="24"/>
          <w:u w:val="single"/>
        </w:rPr>
      </w:pPr>
      <w:r>
        <w:rPr>
          <w:rFonts w:ascii="Times New Roman" w:hAnsi="Times New Roman"/>
          <w:b/>
          <w:i/>
          <w:noProof/>
          <w:sz w:val="24"/>
          <w:u w:val="single"/>
        </w:rPr>
        <w:t>Сигурност на въздухоплаването</w:t>
      </w:r>
    </w:p>
    <w:p w:rsidR="007F5454" w:rsidRDefault="007F5454">
      <w:pPr>
        <w:jc w:val="both"/>
        <w:rPr>
          <w:rFonts w:ascii="Times New Roman" w:hAnsi="Times New Roman" w:cs="Times New Roman"/>
          <w:b/>
          <w:i/>
          <w:noProof/>
          <w:sz w:val="24"/>
          <w:szCs w:val="24"/>
          <w:u w:val="single"/>
        </w:rPr>
      </w:pPr>
    </w:p>
    <w:p w:rsidR="007F5454" w:rsidRDefault="00854701">
      <w:pPr>
        <w:jc w:val="both"/>
        <w:rPr>
          <w:rFonts w:ascii="Times New Roman" w:hAnsi="Times New Roman" w:cs="Times New Roman"/>
          <w:noProof/>
          <w:sz w:val="24"/>
          <w:szCs w:val="24"/>
        </w:rPr>
      </w:pPr>
      <w:r>
        <w:rPr>
          <w:rFonts w:ascii="Times New Roman" w:hAnsi="Times New Roman"/>
          <w:noProof/>
          <w:sz w:val="24"/>
        </w:rPr>
        <w:t>Гражданското въздухоплаване остава главна и символична цел за терористите, но може да стане мишена</w:t>
      </w:r>
      <w:r>
        <w:rPr>
          <w:rFonts w:ascii="Times New Roman" w:hAnsi="Times New Roman"/>
          <w:noProof/>
          <w:sz w:val="24"/>
        </w:rPr>
        <w:t xml:space="preserve"> и като част от хибридна кампания. Въпреки че ЕС е разработил надеждна рамка за сигурност на въздухоплаването, произхождащите от трети държави полети могат да се окажат по-уязвими. В съответствие с Резолюция 2309 (2016) на Съвета за сигурност на ООН Комиси</w:t>
      </w:r>
      <w:r>
        <w:rPr>
          <w:rFonts w:ascii="Times New Roman" w:hAnsi="Times New Roman"/>
          <w:noProof/>
          <w:sz w:val="24"/>
        </w:rPr>
        <w:t>ята увеличава усилията си за изграждане на капацитет в трети държави. През януари 2017 г. Комисията стартира нова интегрирана оценка на риска, за да се гарантира определянето на приоритети и координацията на усилията за изграждане на капацитет, осъществява</w:t>
      </w:r>
      <w:r>
        <w:rPr>
          <w:rFonts w:ascii="Times New Roman" w:hAnsi="Times New Roman"/>
          <w:noProof/>
          <w:sz w:val="24"/>
        </w:rPr>
        <w:t>ни на равнището на ЕС и на държавите членки, както и с международни партньори. През 2016 г. Комисията стартира 4-годишен проект за сигурността на гражданското въздухоплаване в Африка и на Арабския полуостров, за да се противодейства на заплахата за него от</w:t>
      </w:r>
      <w:r>
        <w:rPr>
          <w:rFonts w:ascii="Times New Roman" w:hAnsi="Times New Roman"/>
          <w:noProof/>
          <w:sz w:val="24"/>
        </w:rPr>
        <w:t xml:space="preserve"> тероризъм. В проекта се набляга върху обмена на експертен опит между държавите партньори и експерти от държавите — членки на Европейската конференция за гражданска авиация, и дейности по наставничество, обучение и тренинг. Дейностите ще бъдат разширени ощ</w:t>
      </w:r>
      <w:r>
        <w:rPr>
          <w:rFonts w:ascii="Times New Roman" w:hAnsi="Times New Roman"/>
          <w:noProof/>
          <w:sz w:val="24"/>
        </w:rPr>
        <w:t>е през 2017 г.</w:t>
      </w:r>
    </w:p>
    <w:p w:rsidR="007F5454" w:rsidRDefault="007F5454">
      <w:pPr>
        <w:jc w:val="both"/>
        <w:rPr>
          <w:rFonts w:ascii="Times New Roman" w:hAnsi="Times New Roman"/>
          <w:noProof/>
          <w:color w:val="000000"/>
          <w:sz w:val="24"/>
        </w:rPr>
      </w:pPr>
    </w:p>
    <w:p w:rsidR="007F5454" w:rsidRDefault="00854701">
      <w:pPr>
        <w:pStyle w:val="Heading1"/>
        <w:spacing w:line="276" w:lineRule="auto"/>
        <w:ind w:left="1080"/>
        <w:rPr>
          <w:noProof/>
          <w:szCs w:val="24"/>
        </w:rPr>
      </w:pPr>
      <w:r>
        <w:rPr>
          <w:noProof/>
        </w:rPr>
        <w:t>в.</w:t>
      </w:r>
      <w:r>
        <w:rPr>
          <w:noProof/>
        </w:rPr>
        <w:tab/>
        <w:t>Предотвратяване, реакция при кризи и възстановяване</w:t>
      </w:r>
    </w:p>
    <w:p w:rsidR="007F5454" w:rsidRDefault="00854701">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 xml:space="preserve">Макар че последиците могат да бъдат ограничени чрез дългосрочни политики на национално равнище и на равнище ЕС, в краткосрочен план от съществено значение е да се увеличи способността </w:t>
      </w:r>
      <w:r>
        <w:rPr>
          <w:rFonts w:ascii="Times New Roman" w:hAnsi="Times New Roman"/>
          <w:noProof/>
          <w:sz w:val="24"/>
        </w:rPr>
        <w:t xml:space="preserve">на държавите членки и Съюза бързо и координирано да предотвратяват хибридните заплахи, да реагират спрямо тях и да се възстановяват от последствията им. Бързите ответни действия на събития, предизвикани от хибридни заплахи, са от съществено значение. През </w:t>
      </w:r>
      <w:r>
        <w:rPr>
          <w:rFonts w:ascii="Times New Roman" w:hAnsi="Times New Roman"/>
          <w:noProof/>
          <w:sz w:val="24"/>
        </w:rPr>
        <w:t>последната година беше постигнат голям напредък в тази област с въвеждането в ЕС на оперативен протокол, в който се определя процесът на управление на криза в случай на хибридна атака. В бъдеще редовно ще се осъществяват мониторинг и учения.</w:t>
      </w:r>
    </w:p>
    <w:p w:rsidR="007F5454" w:rsidRDefault="007F5454">
      <w:pPr>
        <w:autoSpaceDE w:val="0"/>
        <w:autoSpaceDN w:val="0"/>
        <w:adjustRightInd w:val="0"/>
        <w:jc w:val="both"/>
        <w:rPr>
          <w:rFonts w:ascii="Times New Roman" w:hAnsi="Times New Roman" w:cs="Times New Roman"/>
          <w:noProof/>
          <w:sz w:val="24"/>
          <w:szCs w:val="24"/>
        </w:rPr>
      </w:pPr>
    </w:p>
    <w:p w:rsidR="007F5454" w:rsidRDefault="00854701">
      <w:pPr>
        <w:pStyle w:val="ListParagraph"/>
        <w:ind w:left="0"/>
        <w:jc w:val="both"/>
        <w:rPr>
          <w:rFonts w:ascii="Times New Roman" w:hAnsi="Times New Roman" w:cs="Times New Roman"/>
          <w:b/>
          <w:i/>
          <w:noProof/>
          <w:sz w:val="24"/>
          <w:szCs w:val="24"/>
        </w:rPr>
      </w:pPr>
      <w:r>
        <w:rPr>
          <w:rFonts w:ascii="Times New Roman" w:hAnsi="Times New Roman"/>
          <w:b/>
          <w:i/>
          <w:noProof/>
          <w:u w:val="single"/>
        </w:rPr>
        <w:t>Действие 19:</w:t>
      </w:r>
      <w:r>
        <w:rPr>
          <w:rFonts w:ascii="Times New Roman" w:hAnsi="Times New Roman"/>
          <w:b/>
          <w:i/>
          <w:noProof/>
        </w:rPr>
        <w:t xml:space="preserve"> </w:t>
      </w:r>
      <w:r>
        <w:rPr>
          <w:rFonts w:ascii="Times New Roman" w:hAnsi="Times New Roman"/>
          <w:b/>
          <w:i/>
          <w:noProof/>
        </w:rPr>
        <w:t>върховният представител и Комисията, в координация с държавите членки, ще установят общ оперативен протокол и ще провеждат редовни учения за подобряване на капацитета за вземане на стратегически решения в отговор на комплексни хибридни заплахи въз основа н</w:t>
      </w:r>
      <w:r>
        <w:rPr>
          <w:rFonts w:ascii="Times New Roman" w:hAnsi="Times New Roman"/>
          <w:b/>
          <w:i/>
          <w:noProof/>
        </w:rPr>
        <w:t>а процедурите за управление на кризи и интегрираните договорености за реакция на ЕС на политическо равнище в кризисни ситуации.</w:t>
      </w:r>
    </w:p>
    <w:p w:rsidR="007F5454" w:rsidRDefault="00854701">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В съвместната рамка се препоръчва създаването на механизми за бързи ответни действия спрямо събития, предизвикани от хибридни за</w:t>
      </w:r>
      <w:r>
        <w:rPr>
          <w:rFonts w:ascii="Times New Roman" w:hAnsi="Times New Roman"/>
          <w:noProof/>
          <w:sz w:val="24"/>
        </w:rPr>
        <w:t>плахи, и координиране между механизмите за реагиране</w:t>
      </w:r>
      <w:r>
        <w:rPr>
          <w:noProof/>
          <w:vertAlign w:val="superscript"/>
        </w:rPr>
        <w:footnoteReference w:id="37"/>
      </w:r>
      <w:r>
        <w:rPr>
          <w:rFonts w:ascii="Times New Roman" w:hAnsi="Times New Roman"/>
          <w:noProof/>
          <w:sz w:val="24"/>
        </w:rPr>
        <w:t xml:space="preserve"> и системите за ранно предупреждение на ЕС. За тази цел службите на Комисията и ЕСВД издадоха оперативния протокол на ЕС за борбата с хибридните заплахи (EU Playbook)</w:t>
      </w:r>
      <w:r>
        <w:rPr>
          <w:noProof/>
          <w:vertAlign w:val="superscript"/>
        </w:rPr>
        <w:footnoteReference w:id="38"/>
      </w:r>
      <w:r>
        <w:rPr>
          <w:rFonts w:ascii="Times New Roman" w:hAnsi="Times New Roman"/>
          <w:noProof/>
          <w:sz w:val="24"/>
        </w:rPr>
        <w:t>, в който се очертават редът и услов</w:t>
      </w:r>
      <w:r>
        <w:rPr>
          <w:rFonts w:ascii="Times New Roman" w:hAnsi="Times New Roman"/>
          <w:noProof/>
          <w:sz w:val="24"/>
        </w:rPr>
        <w:t>ията за координация, синтез и анализ на разузнавателна информация, информационно осигуряване на процесите на създаване на политики, ученията и обучението, и сътрудничество с партньорски организации, по-специално с НАТО, в случай на хибридна заплаха. НАТО с</w:t>
      </w:r>
      <w:r>
        <w:rPr>
          <w:rFonts w:ascii="Times New Roman" w:hAnsi="Times New Roman"/>
          <w:noProof/>
          <w:sz w:val="24"/>
        </w:rPr>
        <w:t>ъщо разработи протокол за засилено взаимодействие с ЕС в предотвратяването и борбата с хибридни заплахи в областите на киберотбраната, стратегическите комуникации, ситуационната осведоменост и управлението на кризи. Протоколът EU Playbook ще бъде изпитан ч</w:t>
      </w:r>
      <w:r>
        <w:rPr>
          <w:rFonts w:ascii="Times New Roman" w:hAnsi="Times New Roman"/>
          <w:noProof/>
          <w:sz w:val="24"/>
        </w:rPr>
        <w:t>рез учение през есента на 2017 г. като част от паралелното и координирано учение на Европейския съюз, което включва взаимодействие с НАТО.</w:t>
      </w:r>
    </w:p>
    <w:p w:rsidR="007F5454" w:rsidRDefault="007F5454">
      <w:pPr>
        <w:autoSpaceDE w:val="0"/>
        <w:autoSpaceDN w:val="0"/>
        <w:adjustRightInd w:val="0"/>
        <w:jc w:val="both"/>
        <w:rPr>
          <w:rFonts w:ascii="Times New Roman" w:hAnsi="Times New Roman" w:cs="Times New Roman"/>
          <w:noProof/>
          <w:sz w:val="24"/>
          <w:szCs w:val="24"/>
        </w:rPr>
      </w:pPr>
    </w:p>
    <w:p w:rsidR="007F5454" w:rsidRDefault="00854701">
      <w:pPr>
        <w:pStyle w:val="ListParagraph"/>
        <w:ind w:left="0"/>
        <w:jc w:val="both"/>
        <w:rPr>
          <w:rFonts w:ascii="Times New Roman" w:hAnsi="Times New Roman" w:cs="Times New Roman"/>
          <w:b/>
          <w:bCs/>
          <w:i/>
          <w:iCs/>
          <w:noProof/>
          <w:szCs w:val="24"/>
        </w:rPr>
      </w:pPr>
      <w:r>
        <w:rPr>
          <w:rFonts w:ascii="Times New Roman" w:hAnsi="Times New Roman"/>
          <w:b/>
          <w:i/>
          <w:noProof/>
          <w:u w:val="single"/>
        </w:rPr>
        <w:t>Действие 20</w:t>
      </w:r>
      <w:r>
        <w:rPr>
          <w:rFonts w:ascii="Times New Roman" w:hAnsi="Times New Roman"/>
          <w:b/>
          <w:i/>
          <w:noProof/>
        </w:rPr>
        <w:t xml:space="preserve">: Комисията и върховният представител (в рамките на съответните им компетенции) ще разгледат </w:t>
      </w:r>
      <w:r>
        <w:rPr>
          <w:rFonts w:ascii="Times New Roman" w:hAnsi="Times New Roman"/>
          <w:b/>
          <w:i/>
          <w:noProof/>
        </w:rPr>
        <w:t>приложимостта и практическите последици на член 222 от ДФЕС и член 42, параграф 7 от ДЕС в случай на мащабна и сериозна хибридна атака.</w:t>
      </w:r>
    </w:p>
    <w:p w:rsidR="007F5454" w:rsidRDefault="00854701">
      <w:pPr>
        <w:jc w:val="both"/>
        <w:rPr>
          <w:rFonts w:ascii="Times New Roman" w:hAnsi="Times New Roman" w:cs="Times New Roman"/>
          <w:bCs/>
          <w:iCs/>
          <w:noProof/>
          <w:sz w:val="24"/>
          <w:szCs w:val="24"/>
        </w:rPr>
      </w:pPr>
      <w:r>
        <w:rPr>
          <w:rFonts w:ascii="Times New Roman" w:hAnsi="Times New Roman"/>
          <w:noProof/>
          <w:sz w:val="24"/>
        </w:rPr>
        <w:t>Член 42, параграф 7 от ДЕС се отнася за въоръжено нападение на територията на държава членка, докато член 222 от ДФЕС (к</w:t>
      </w:r>
      <w:r>
        <w:rPr>
          <w:rFonts w:ascii="Times New Roman" w:hAnsi="Times New Roman"/>
          <w:noProof/>
          <w:sz w:val="24"/>
        </w:rPr>
        <w:t>лауза за солидарност) се отнася за терористично нападение или природно или предизвикано от човека бедствие на територията на държава членка. Вторият член е по-вероятно да бъде използван в случай на хибридни атаки, които представляват смесица от престъпни/п</w:t>
      </w:r>
      <w:r>
        <w:rPr>
          <w:rFonts w:ascii="Times New Roman" w:hAnsi="Times New Roman"/>
          <w:noProof/>
          <w:sz w:val="24"/>
        </w:rPr>
        <w:t>одривни действия. Позоваването на клаузата за солидарност поражда координация на равнището на Съвета (интегрираните договорености за реакция на ЕС на политическо равнище в кризисни ситуации — IPCR) и последици за съответните институции, агенции и органи на</w:t>
      </w:r>
      <w:r>
        <w:rPr>
          <w:rFonts w:ascii="Times New Roman" w:hAnsi="Times New Roman"/>
          <w:noProof/>
          <w:sz w:val="24"/>
        </w:rPr>
        <w:t xml:space="preserve"> ЕС, както и програми и механизми на ЕС за съдействие. Решение 2014/415/ЕС на Съвета предвижда условията и реда за прилагане от страна на Съюза на клаузата за солидарност. Тези условия и ред за прилагане остават в сила и не се налага преразглеждане на реше</w:t>
      </w:r>
      <w:r>
        <w:rPr>
          <w:rFonts w:ascii="Times New Roman" w:hAnsi="Times New Roman"/>
          <w:noProof/>
          <w:sz w:val="24"/>
        </w:rPr>
        <w:t xml:space="preserve">нието на Съвета. Ако дадена хибридна атака включва въоръжено нападение, тогава е възможно позоваване и на член 42, параграф 7. В такъв случай помощта и съдействието се оказват както от държавите членки, така и от ЕС. Комисията и върховният представител ще </w:t>
      </w:r>
      <w:r>
        <w:rPr>
          <w:rFonts w:ascii="Times New Roman" w:hAnsi="Times New Roman"/>
          <w:noProof/>
          <w:sz w:val="24"/>
        </w:rPr>
        <w:t xml:space="preserve">продължат да оценяват най-ефективните начини за справяне с подобни атаки. </w:t>
      </w:r>
    </w:p>
    <w:p w:rsidR="007F5454" w:rsidRDefault="007F5454">
      <w:pPr>
        <w:jc w:val="both"/>
        <w:rPr>
          <w:rFonts w:ascii="Times New Roman" w:hAnsi="Times New Roman" w:cs="Times New Roman"/>
          <w:bCs/>
          <w:iCs/>
          <w:noProof/>
          <w:sz w:val="24"/>
          <w:szCs w:val="24"/>
        </w:rPr>
      </w:pPr>
    </w:p>
    <w:p w:rsidR="007F5454" w:rsidRDefault="00854701">
      <w:pPr>
        <w:jc w:val="both"/>
        <w:rPr>
          <w:rFonts w:ascii="Times New Roman" w:hAnsi="Times New Roman" w:cs="Times New Roman"/>
          <w:bCs/>
          <w:iCs/>
          <w:noProof/>
          <w:sz w:val="24"/>
          <w:szCs w:val="24"/>
        </w:rPr>
      </w:pPr>
      <w:r>
        <w:rPr>
          <w:rFonts w:ascii="Times New Roman" w:hAnsi="Times New Roman"/>
          <w:noProof/>
          <w:sz w:val="24"/>
        </w:rPr>
        <w:t>Въвеждането на горепосочения оперативен протокол на ЕС пряко подпомага тази оценка и ще бъде упражнено като част от паралелното и координирано учение (PACE) на ЕС през октомври 201</w:t>
      </w:r>
      <w:r>
        <w:rPr>
          <w:rFonts w:ascii="Times New Roman" w:hAnsi="Times New Roman"/>
          <w:noProof/>
          <w:sz w:val="24"/>
        </w:rPr>
        <w:t>7 г. В това учение ще бъдат изпитани различните механизми и способността на ЕС за взаимодействие с цел ускорено вземане на решения, когато дадена хибридна атака поражда неяснота.</w:t>
      </w:r>
    </w:p>
    <w:p w:rsidR="007F5454" w:rsidRDefault="007F5454">
      <w:pPr>
        <w:jc w:val="both"/>
        <w:rPr>
          <w:rFonts w:ascii="Times New Roman" w:hAnsi="Times New Roman"/>
          <w:noProof/>
          <w:sz w:val="24"/>
          <w:highlight w:val="cyan"/>
        </w:rPr>
      </w:pPr>
    </w:p>
    <w:p w:rsidR="007F5454" w:rsidRDefault="00854701">
      <w:pPr>
        <w:pStyle w:val="ListParagraph"/>
        <w:ind w:left="0"/>
        <w:jc w:val="both"/>
        <w:rPr>
          <w:rFonts w:ascii="Times New Roman" w:hAnsi="Times New Roman" w:cs="Times New Roman"/>
          <w:b/>
          <w:bCs/>
          <w:i/>
          <w:iCs/>
          <w:noProof/>
          <w:sz w:val="24"/>
          <w:szCs w:val="24"/>
        </w:rPr>
      </w:pPr>
      <w:r>
        <w:rPr>
          <w:rFonts w:ascii="Times New Roman" w:hAnsi="Times New Roman"/>
          <w:b/>
          <w:i/>
          <w:noProof/>
          <w:u w:val="single"/>
        </w:rPr>
        <w:t>Действие 21:</w:t>
      </w:r>
      <w:r>
        <w:rPr>
          <w:rFonts w:ascii="Times New Roman" w:hAnsi="Times New Roman"/>
          <w:b/>
          <w:i/>
          <w:noProof/>
        </w:rPr>
        <w:t xml:space="preserve"> върховният представител, в координация с държавите членки, ще и</w:t>
      </w:r>
      <w:r>
        <w:rPr>
          <w:rFonts w:ascii="Times New Roman" w:hAnsi="Times New Roman"/>
          <w:b/>
          <w:i/>
          <w:noProof/>
        </w:rPr>
        <w:t>нтегрира, използва и координира способностите за военни действия в борбата с хибридните заплахи в рамките на общата политика за сигурност и отбрана.</w:t>
      </w:r>
    </w:p>
    <w:p w:rsidR="007F5454" w:rsidRDefault="00854701">
      <w:pPr>
        <w:jc w:val="both"/>
        <w:rPr>
          <w:rFonts w:ascii="Times New Roman" w:hAnsi="Times New Roman"/>
          <w:noProof/>
          <w:sz w:val="24"/>
        </w:rPr>
      </w:pPr>
      <w:r>
        <w:rPr>
          <w:rFonts w:ascii="Times New Roman" w:hAnsi="Times New Roman"/>
          <w:noProof/>
          <w:sz w:val="24"/>
        </w:rPr>
        <w:t>В изпълнение на задачата за обединяване на военните способности в подкрепа на ОВППС/ОПСО и след семинар с в</w:t>
      </w:r>
      <w:r>
        <w:rPr>
          <w:rFonts w:ascii="Times New Roman" w:hAnsi="Times New Roman"/>
          <w:noProof/>
          <w:sz w:val="24"/>
        </w:rPr>
        <w:t>оенни експерти през декември 2016 г. и насоки през май 2017 г. от работната група на Военния комитет на Европейския съюз през юли 2017 г. беше финализирано военното становище относно „военния принос на ЕС към борбата с хибридните заплахи в рамките на ОПСО“</w:t>
      </w:r>
      <w:r>
        <w:rPr>
          <w:rFonts w:ascii="Times New Roman" w:hAnsi="Times New Roman"/>
          <w:noProof/>
          <w:sz w:val="24"/>
        </w:rPr>
        <w:t xml:space="preserve"> и то ще бъде приложено чрез Плана за изпълнение относно разработването на концепции. </w:t>
      </w:r>
    </w:p>
    <w:p w:rsidR="007F5454" w:rsidRDefault="00854701">
      <w:pPr>
        <w:pStyle w:val="Heading1"/>
        <w:spacing w:line="276" w:lineRule="auto"/>
        <w:ind w:left="1080"/>
        <w:rPr>
          <w:noProof/>
          <w:szCs w:val="24"/>
        </w:rPr>
      </w:pPr>
      <w:r>
        <w:rPr>
          <w:noProof/>
        </w:rPr>
        <w:t>г.</w:t>
      </w:r>
      <w:r>
        <w:rPr>
          <w:noProof/>
        </w:rPr>
        <w:tab/>
        <w:t>Сътрудничеството между ЕС И НАТО</w:t>
      </w:r>
    </w:p>
    <w:p w:rsidR="007F5454" w:rsidRDefault="00854701">
      <w:pPr>
        <w:pStyle w:val="ListParagraph"/>
        <w:ind w:left="0"/>
        <w:jc w:val="both"/>
        <w:rPr>
          <w:rFonts w:ascii="Times New Roman" w:hAnsi="Times New Roman" w:cs="Times New Roman"/>
          <w:b/>
          <w:i/>
          <w:noProof/>
          <w:sz w:val="24"/>
          <w:szCs w:val="24"/>
        </w:rPr>
      </w:pPr>
      <w:r>
        <w:rPr>
          <w:rFonts w:ascii="Times New Roman" w:hAnsi="Times New Roman"/>
          <w:b/>
          <w:i/>
          <w:noProof/>
          <w:u w:val="single"/>
        </w:rPr>
        <w:t>Действие 22</w:t>
      </w:r>
      <w:r>
        <w:rPr>
          <w:rFonts w:ascii="Times New Roman" w:hAnsi="Times New Roman"/>
          <w:b/>
          <w:i/>
          <w:noProof/>
        </w:rPr>
        <w:t xml:space="preserve">: върховният представител, в координация с Комисията, ще продължи неформалния диалог и ще засили сътрудничеството и </w:t>
      </w:r>
      <w:r>
        <w:rPr>
          <w:rFonts w:ascii="Times New Roman" w:hAnsi="Times New Roman"/>
          <w:b/>
          <w:i/>
          <w:noProof/>
        </w:rPr>
        <w:t>координацията с НАТО в областта на ситуационната осведоменост, стратегическите комуникации, кибернетичната сигурност и предотвратяването и реакцията на кризи с цел борба с хибридните заплахи, като се зачитат принципите на приобщаване и независимост в проце</w:t>
      </w:r>
      <w:r>
        <w:rPr>
          <w:rFonts w:ascii="Times New Roman" w:hAnsi="Times New Roman"/>
          <w:b/>
          <w:i/>
          <w:noProof/>
        </w:rPr>
        <w:t>са на вземане на решения на всяка организация</w:t>
      </w:r>
      <w:r>
        <w:rPr>
          <w:rFonts w:ascii="Times New Roman" w:hAnsi="Times New Roman"/>
          <w:b/>
          <w:i/>
          <w:noProof/>
          <w:sz w:val="24"/>
        </w:rPr>
        <w:t xml:space="preserve"> </w:t>
      </w:r>
    </w:p>
    <w:p w:rsidR="007F5454" w:rsidRDefault="00854701">
      <w:pPr>
        <w:jc w:val="both"/>
        <w:rPr>
          <w:rFonts w:ascii="Times New Roman" w:hAnsi="Times New Roman" w:cs="Times New Roman"/>
          <w:noProof/>
          <w:sz w:val="24"/>
          <w:szCs w:val="24"/>
        </w:rPr>
      </w:pPr>
      <w:r>
        <w:rPr>
          <w:rFonts w:ascii="Times New Roman" w:hAnsi="Times New Roman"/>
          <w:noProof/>
          <w:sz w:val="24"/>
        </w:rPr>
        <w:t>Въз основа на съвместната декларация, подписана от председателите на Европейския съвет и Европейската комисия, заедно с генералния секретар на НАТО във Варшава на 8 юли 2016 г., ЕС и НАТО разработиха общ набор</w:t>
      </w:r>
      <w:r>
        <w:rPr>
          <w:rFonts w:ascii="Times New Roman" w:hAnsi="Times New Roman"/>
          <w:noProof/>
          <w:sz w:val="24"/>
        </w:rPr>
        <w:t xml:space="preserve"> от 42 предложения за изпълнение, който впоследствие беше одобрен в отделни, успоредно протичащи процеси на 6 декември 2016 г. както от Съвета на ЕС, така и от Съвета на НАТО</w:t>
      </w:r>
      <w:r>
        <w:rPr>
          <w:rStyle w:val="FootnoteReference"/>
          <w:rFonts w:ascii="Times New Roman" w:hAnsi="Times New Roman"/>
          <w:noProof/>
          <w:sz w:val="24"/>
        </w:rPr>
        <w:footnoteReference w:id="39"/>
      </w:r>
      <w:r>
        <w:rPr>
          <w:rFonts w:ascii="Times New Roman" w:hAnsi="Times New Roman"/>
          <w:noProof/>
          <w:sz w:val="24"/>
        </w:rPr>
        <w:t>. През юни 2017 г. върховният представител и заместник-председател на Комисията и</w:t>
      </w:r>
      <w:r>
        <w:rPr>
          <w:rFonts w:ascii="Times New Roman" w:hAnsi="Times New Roman"/>
          <w:noProof/>
          <w:sz w:val="24"/>
        </w:rPr>
        <w:t xml:space="preserve"> генералният секретар на НАТО публикуваха доклад за цялостния напредък, постигнат по 42-те действия от съвместната декларация. Борбата с хибридните заплахи е една от седемте области на сътрудничество, идентифицирани в съвместната декларация, като за нея се</w:t>
      </w:r>
      <w:r>
        <w:rPr>
          <w:rFonts w:ascii="Times New Roman" w:hAnsi="Times New Roman"/>
          <w:noProof/>
          <w:sz w:val="24"/>
        </w:rPr>
        <w:t xml:space="preserve"> отнасят десет от четиридесет и двете действия. Докладът показва, че положените през изминалата година съвместни усилия са дали съществени резултати. Вече бяха упоменати много от насочените срещу хибридните заплахи конкретни действия, включително Европейск</w:t>
      </w:r>
      <w:r>
        <w:rPr>
          <w:rFonts w:ascii="Times New Roman" w:hAnsi="Times New Roman"/>
          <w:noProof/>
          <w:sz w:val="24"/>
        </w:rPr>
        <w:t>ият център за високи постижения в борбата с хибридните заплахи, по-добрата ситуационна осведоменост, създаването на звеното на ЕС за синтез на информацията за хибридните заплахи и взаимодействието му с новосъздадения от НАТО клон за анализ на хибридните за</w:t>
      </w:r>
      <w:r>
        <w:rPr>
          <w:rFonts w:ascii="Times New Roman" w:hAnsi="Times New Roman"/>
          <w:noProof/>
          <w:sz w:val="24"/>
        </w:rPr>
        <w:t>плахи, както и сътрудничество между екипите за стратегически комуникации. За първи път щабове на НАТО и на ЕС ще упражнят в съвместно учение своите ответни действия по сценарий за хибридна атака. Очаква се в рамките на това учение да се провери изпълнениет</w:t>
      </w:r>
      <w:r>
        <w:rPr>
          <w:rFonts w:ascii="Times New Roman" w:hAnsi="Times New Roman"/>
          <w:noProof/>
          <w:sz w:val="24"/>
        </w:rPr>
        <w:t xml:space="preserve">о на над една трета от общите предложения. ЕС ще проведе своето собствено паралелно и координирано учение тази година и се подготвя да поеме водеща роля през 2018 г. </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По отношение на устойчивостта щабовете както на ЕС, така и на НАТО провеждаха кръстосани</w:t>
      </w:r>
      <w:r>
        <w:rPr>
          <w:rFonts w:ascii="Times New Roman" w:hAnsi="Times New Roman"/>
          <w:noProof/>
          <w:sz w:val="24"/>
        </w:rPr>
        <w:t xml:space="preserve"> брифинги, включително по интегрираните договорености за реакция на ЕС на политическо равнище в кризисни ситуации. Редовните контакти между щабовете на ЕС и НАТО, включително чрез семинари или участие на НАТО в Управителния съвет на Европейската агенция по</w:t>
      </w:r>
      <w:r>
        <w:rPr>
          <w:rFonts w:ascii="Times New Roman" w:hAnsi="Times New Roman"/>
          <w:noProof/>
          <w:sz w:val="24"/>
        </w:rPr>
        <w:t xml:space="preserve"> отбрана, дадоха възможност за обмен на информация относно базовите изисквания на НАТО за устойчивостта на национално равнище. За есента е планиран по-нататъшен обмен между Комисията и НАТО относно укрепването на устойчивостта. В следващият доклад за напре</w:t>
      </w:r>
      <w:r>
        <w:rPr>
          <w:rFonts w:ascii="Times New Roman" w:hAnsi="Times New Roman"/>
          <w:noProof/>
          <w:sz w:val="24"/>
        </w:rPr>
        <w:t>дъка в сътрудничеството между ЕС и НАТО ще бъдат предложени възможности за разширяване на сътрудничеството между двете организации.</w:t>
      </w:r>
    </w:p>
    <w:p w:rsidR="007F5454" w:rsidRDefault="007F5454">
      <w:pPr>
        <w:jc w:val="both"/>
        <w:rPr>
          <w:rFonts w:ascii="Times New Roman" w:hAnsi="Times New Roman" w:cs="Times New Roman"/>
          <w:noProof/>
          <w:sz w:val="24"/>
          <w:szCs w:val="24"/>
        </w:rPr>
      </w:pPr>
    </w:p>
    <w:p w:rsidR="007F5454" w:rsidRDefault="00854701">
      <w:pPr>
        <w:pStyle w:val="Heading1"/>
        <w:numPr>
          <w:ilvl w:val="0"/>
          <w:numId w:val="2"/>
        </w:numPr>
        <w:spacing w:line="276" w:lineRule="auto"/>
        <w:ind w:left="426" w:hanging="426"/>
        <w:rPr>
          <w:noProof/>
          <w:szCs w:val="24"/>
        </w:rPr>
      </w:pPr>
      <w:r>
        <w:rPr>
          <w:noProof/>
        </w:rPr>
        <w:t>ЗАКЛЮЧЕНИЕ</w:t>
      </w:r>
    </w:p>
    <w:p w:rsidR="007F5454" w:rsidRDefault="00854701">
      <w:pPr>
        <w:jc w:val="both"/>
        <w:rPr>
          <w:rFonts w:ascii="Times New Roman" w:hAnsi="Times New Roman" w:cs="Times New Roman"/>
          <w:noProof/>
          <w:sz w:val="24"/>
          <w:szCs w:val="24"/>
        </w:rPr>
      </w:pPr>
      <w:r>
        <w:rPr>
          <w:rFonts w:ascii="Times New Roman" w:hAnsi="Times New Roman"/>
          <w:noProof/>
          <w:sz w:val="24"/>
        </w:rPr>
        <w:t>В съвместната рамка са очертани действия, предназначени да способстват за противодействието на хибридните заплах</w:t>
      </w:r>
      <w:r>
        <w:rPr>
          <w:rFonts w:ascii="Times New Roman" w:hAnsi="Times New Roman"/>
          <w:noProof/>
          <w:sz w:val="24"/>
        </w:rPr>
        <w:t xml:space="preserve">и и за укрепването на устойчивостта на равнището на ЕС и на национално равнище, както и на партньорите. Макар че Комисията и върховният представител постигат резултати във всички области в тясно сътрудничество с държавите членки и партньорите, от решаващо </w:t>
      </w:r>
      <w:r>
        <w:rPr>
          <w:rFonts w:ascii="Times New Roman" w:hAnsi="Times New Roman"/>
          <w:noProof/>
          <w:sz w:val="24"/>
        </w:rPr>
        <w:t>значение е тази динамика да се поддържа постоянно спрямо текущите и непрекъснато развиващи се хибридни заплахи. Държавите членки носят основната отговорност за борбата с хибридните заплахи във връзка с националната сигурност и поддържането на законността и</w:t>
      </w:r>
      <w:r>
        <w:rPr>
          <w:rFonts w:ascii="Times New Roman" w:hAnsi="Times New Roman"/>
          <w:noProof/>
          <w:sz w:val="24"/>
        </w:rPr>
        <w:t xml:space="preserve"> реда. Устойчивостта на национално равнище и колективните усилия за защита срещу хибридните заплахи трябва да се разбират като взаимно подсилващи се елементи на едно и също усилие. Ето защо държавите членки се приканват да извършат тези проучвания на хибри</w:t>
      </w:r>
      <w:r>
        <w:rPr>
          <w:rFonts w:ascii="Times New Roman" w:hAnsi="Times New Roman"/>
          <w:noProof/>
          <w:sz w:val="24"/>
        </w:rPr>
        <w:t>дните заплахи възможно най-бързо, тъй като те ще предоставят ценна информация за степента на уязвимост и подготвеност в цяла Европа. Въз основа на постигнатия значителен напредък в подобряването на осведомеността следва да се увеличи максимално потенциалът</w:t>
      </w:r>
      <w:r>
        <w:rPr>
          <w:rFonts w:ascii="Times New Roman" w:hAnsi="Times New Roman"/>
          <w:noProof/>
          <w:sz w:val="24"/>
        </w:rPr>
        <w:t xml:space="preserve"> на звеното на ЕС за синтез на информацията за хибридните заплахи.</w:t>
      </w:r>
      <w:r>
        <w:rPr>
          <w:noProof/>
        </w:rPr>
        <w:t xml:space="preserve"> </w:t>
      </w:r>
      <w:r>
        <w:rPr>
          <w:rFonts w:ascii="Times New Roman" w:hAnsi="Times New Roman"/>
          <w:noProof/>
          <w:sz w:val="24"/>
        </w:rPr>
        <w:t>Върховният представител приканва държавите членки да подкрепят работата на оперативните групи StratCom, за да се противодейства по-ефективно на увеличението на хибридните заплахи. ЕС ще под</w:t>
      </w:r>
      <w:r>
        <w:rPr>
          <w:rFonts w:ascii="Times New Roman" w:hAnsi="Times New Roman"/>
          <w:noProof/>
          <w:sz w:val="24"/>
        </w:rPr>
        <w:t xml:space="preserve">крепи изцяло Европейския център за борбата с хибридните заплахи, в който Финландия е водеща. </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Уникалното предимство на ЕС се състои в подпомагането на държавите членки и партньорите за изграждане на тяхната устойчивост въз основа на широк набор от съществ</w:t>
      </w:r>
      <w:r>
        <w:rPr>
          <w:rFonts w:ascii="Times New Roman" w:hAnsi="Times New Roman"/>
          <w:noProof/>
          <w:sz w:val="24"/>
        </w:rPr>
        <w:t>уващи инструменти и програми. Беше постигнат значителен напредък по действия за изграждането на устойчивост в множество области, като например транспорта, енергетиката, киберсигурността, критичната инфраструктура, защитата на финансовата система от незакон</w:t>
      </w:r>
      <w:r>
        <w:rPr>
          <w:rFonts w:ascii="Times New Roman" w:hAnsi="Times New Roman"/>
          <w:noProof/>
          <w:sz w:val="24"/>
        </w:rPr>
        <w:t>на употреба и противодействието на насилническия екстремизъм и радикализацията. ЕС ще продължи с изграждането на устойчивост, тъй като характерът на хибридните заплахи се развива. По-конкретно ЕС ще разработи показатели с оглед да се подобри защитата и уст</w:t>
      </w:r>
      <w:r>
        <w:rPr>
          <w:rFonts w:ascii="Times New Roman" w:hAnsi="Times New Roman"/>
          <w:noProof/>
          <w:sz w:val="24"/>
        </w:rPr>
        <w:t>ойчивостта на критичната инфраструктура спрямо хибридните заплахи в съответните сектори.</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 xml:space="preserve">Европейският фонд за отбрана може да съфинансира заедно с държавите членки работата по приоритетните способности с оглед укрепване на устойчивостта спрямо хибридните </w:t>
      </w:r>
      <w:r>
        <w:rPr>
          <w:rFonts w:ascii="Times New Roman" w:hAnsi="Times New Roman"/>
          <w:noProof/>
          <w:sz w:val="24"/>
        </w:rPr>
        <w:t xml:space="preserve">заплахи. В предстоящия пакет за киберсигурността, както и в междусекторните мерки, насочени към изпълнението на Директивата за мрежова и информационна сигурност, ще бъдат предвидени нови платформи за борба с хибридните заплахи. </w:t>
      </w:r>
    </w:p>
    <w:p w:rsidR="007F5454" w:rsidRDefault="007F5454">
      <w:pPr>
        <w:jc w:val="both"/>
        <w:rPr>
          <w:rFonts w:ascii="Times New Roman" w:hAnsi="Times New Roman" w:cs="Times New Roman"/>
          <w:noProof/>
          <w:sz w:val="24"/>
          <w:szCs w:val="24"/>
        </w:rPr>
      </w:pPr>
    </w:p>
    <w:p w:rsidR="007F5454" w:rsidRDefault="00854701">
      <w:pPr>
        <w:jc w:val="both"/>
        <w:rPr>
          <w:rFonts w:ascii="Times New Roman" w:hAnsi="Times New Roman" w:cs="Times New Roman"/>
          <w:noProof/>
          <w:sz w:val="24"/>
          <w:szCs w:val="24"/>
        </w:rPr>
      </w:pPr>
      <w:r>
        <w:rPr>
          <w:rFonts w:ascii="Times New Roman" w:hAnsi="Times New Roman"/>
          <w:noProof/>
          <w:sz w:val="24"/>
        </w:rPr>
        <w:t>Комисията и върховният пре</w:t>
      </w:r>
      <w:r>
        <w:rPr>
          <w:rFonts w:ascii="Times New Roman" w:hAnsi="Times New Roman"/>
          <w:noProof/>
          <w:sz w:val="24"/>
        </w:rPr>
        <w:t>дставител призовават държавите членки и заинтересованите страни, когато е необходимо, бързо да постигнат споразумение и да осигурят бързото и ефективно изпълнение на очертаните в настоящото съобщение множество мерки, насочени към повишаване на устойчивостт</w:t>
      </w:r>
      <w:r>
        <w:rPr>
          <w:rFonts w:ascii="Times New Roman" w:hAnsi="Times New Roman"/>
          <w:noProof/>
          <w:sz w:val="24"/>
        </w:rPr>
        <w:t>а. ЕС ще разчита на своето вече плодотворно сътрудничество с НАТО и ще го задълбочава.</w:t>
      </w:r>
    </w:p>
    <w:p w:rsidR="007F5454" w:rsidRDefault="007F5454">
      <w:pPr>
        <w:jc w:val="both"/>
        <w:rPr>
          <w:rFonts w:ascii="Times New Roman" w:hAnsi="Times New Roman" w:cs="Times New Roman"/>
          <w:noProof/>
          <w:sz w:val="24"/>
          <w:szCs w:val="24"/>
        </w:rPr>
      </w:pPr>
    </w:p>
    <w:p w:rsidR="007F5454" w:rsidRDefault="00854701">
      <w:pPr>
        <w:jc w:val="both"/>
        <w:rPr>
          <w:noProof/>
        </w:rPr>
      </w:pPr>
      <w:r>
        <w:rPr>
          <w:rFonts w:ascii="Times New Roman" w:hAnsi="Times New Roman"/>
          <w:noProof/>
          <w:sz w:val="24"/>
        </w:rPr>
        <w:t>Съюзът потвърждава ангажимента си да мобилизира всички подходящи инструменти на ЕС за справяне с комплексни хибридни заплахи. Подкрепата за усилията на държавите членки</w:t>
      </w:r>
      <w:r>
        <w:rPr>
          <w:rFonts w:ascii="Times New Roman" w:hAnsi="Times New Roman"/>
          <w:noProof/>
          <w:sz w:val="24"/>
        </w:rPr>
        <w:t xml:space="preserve"> остава приоритет за Съюза, действащ заедно с основните си партньори като по-силен и по-бързо реагиращ гарант за сигурността.</w:t>
      </w:r>
    </w:p>
    <w:p w:rsidR="007F5454" w:rsidRDefault="007F5454">
      <w:pPr>
        <w:jc w:val="both"/>
        <w:rPr>
          <w:noProof/>
        </w:rPr>
      </w:pPr>
    </w:p>
    <w:sectPr w:rsidR="007F545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454" w:rsidRDefault="00854701">
      <w:r>
        <w:separator/>
      </w:r>
    </w:p>
  </w:endnote>
  <w:endnote w:type="continuationSeparator" w:id="0">
    <w:p w:rsidR="007F5454" w:rsidRDefault="00854701">
      <w:r>
        <w:continuationSeparator/>
      </w:r>
    </w:p>
  </w:endnote>
  <w:endnote w:type="continuationNotice" w:id="1">
    <w:p w:rsidR="007F5454" w:rsidRDefault="007F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01" w:rsidRPr="00854701" w:rsidRDefault="00854701" w:rsidP="00854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01" w:rsidRPr="00854701" w:rsidRDefault="00854701" w:rsidP="00854701">
    <w:pPr>
      <w:pStyle w:val="FooterCoverPage"/>
      <w:rPr>
        <w:rFonts w:ascii="Arial" w:hAnsi="Arial" w:cs="Arial"/>
        <w:b/>
        <w:sz w:val="48"/>
      </w:rPr>
    </w:pPr>
    <w:r w:rsidRPr="00854701">
      <w:rPr>
        <w:rFonts w:ascii="Arial" w:hAnsi="Arial" w:cs="Arial"/>
        <w:b/>
        <w:sz w:val="48"/>
      </w:rPr>
      <w:t>BG</w:t>
    </w:r>
    <w:r w:rsidRPr="00854701">
      <w:rPr>
        <w:rFonts w:ascii="Arial" w:hAnsi="Arial" w:cs="Arial"/>
        <w:b/>
        <w:sz w:val="48"/>
      </w:rPr>
      <w:tab/>
    </w:r>
    <w:r w:rsidRPr="00854701">
      <w:rPr>
        <w:rFonts w:ascii="Arial" w:hAnsi="Arial" w:cs="Arial"/>
        <w:b/>
        <w:sz w:val="48"/>
      </w:rPr>
      <w:tab/>
    </w:r>
    <w:fldSimple w:instr=" DOCVARIABLE &quot;LW_Confidence&quot; \* MERGEFORMAT ">
      <w:r>
        <w:t xml:space="preserve"> </w:t>
      </w:r>
    </w:fldSimple>
    <w:r w:rsidRPr="00854701">
      <w:tab/>
    </w:r>
    <w:r w:rsidRPr="00854701">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01" w:rsidRPr="00854701" w:rsidRDefault="00854701" w:rsidP="0085470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54" w:rsidRDefault="007F54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442863"/>
      <w:docPartObj>
        <w:docPartGallery w:val="Page Numbers (Bottom of Page)"/>
        <w:docPartUnique/>
      </w:docPartObj>
    </w:sdtPr>
    <w:sdtEndPr>
      <w:rPr>
        <w:noProof/>
      </w:rPr>
    </w:sdtEndPr>
    <w:sdtContent>
      <w:p w:rsidR="007F5454" w:rsidRDefault="008547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54" w:rsidRDefault="007F5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454" w:rsidRDefault="00854701">
      <w:r>
        <w:separator/>
      </w:r>
    </w:p>
  </w:footnote>
  <w:footnote w:type="continuationSeparator" w:id="0">
    <w:p w:rsidR="007F5454" w:rsidRDefault="00854701">
      <w:r>
        <w:continuationSeparator/>
      </w:r>
    </w:p>
  </w:footnote>
  <w:footnote w:type="continuationNotice" w:id="1">
    <w:p w:rsidR="007F5454" w:rsidRDefault="007F5454"/>
  </w:footnote>
  <w:footnote w:id="2">
    <w:p w:rsidR="007F5454" w:rsidRDefault="00854701">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Съвместно съобщение до Европейския парламент и Съвета, озаглавено </w:t>
      </w:r>
      <w:r>
        <w:rPr>
          <w:rFonts w:ascii="Times New Roman" w:hAnsi="Times New Roman"/>
          <w:i/>
        </w:rPr>
        <w:t xml:space="preserve">Съвместна рамка за </w:t>
      </w:r>
      <w:r>
        <w:rPr>
          <w:rFonts w:ascii="Times New Roman" w:hAnsi="Times New Roman"/>
          <w:i/>
        </w:rPr>
        <w:t>борба с хибридните заплахи — ответни действия на Европейския съюз</w:t>
      </w:r>
      <w:r>
        <w:rPr>
          <w:rFonts w:ascii="Times New Roman" w:hAnsi="Times New Roman"/>
        </w:rPr>
        <w:t>, JOIN (2016) 18 final.</w:t>
      </w:r>
    </w:p>
  </w:footnote>
  <w:footnote w:id="3">
    <w:p w:rsidR="007F5454" w:rsidRDefault="00854701">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Заключения на Съвета относно борбата с хибридните заплахи</w:t>
      </w:r>
      <w:r>
        <w:rPr>
          <w:rFonts w:ascii="Times New Roman" w:hAnsi="Times New Roman"/>
        </w:rPr>
        <w:t>, Съобщение за пресата 196/16, 19 април 2016 г.</w:t>
      </w:r>
    </w:p>
  </w:footnote>
  <w:footnote w:id="4">
    <w:p w:rsidR="007F5454" w:rsidRDefault="00854701">
      <w:pPr>
        <w:pStyle w:val="FootnoteText"/>
        <w:jc w:val="both"/>
        <w:rPr>
          <w:lang w:val="en-US"/>
        </w:rPr>
      </w:pPr>
      <w:r>
        <w:rPr>
          <w:rStyle w:val="FootnoteReference"/>
          <w:rFonts w:ascii="Times New Roman" w:hAnsi="Times New Roman"/>
        </w:rPr>
        <w:footnoteRef/>
      </w:r>
      <w:r>
        <w:rPr>
          <w:rFonts w:ascii="Times New Roman" w:hAnsi="Times New Roman"/>
        </w:rPr>
        <w:t xml:space="preserve"> Представена от върховния представител пред Европейския съв</w:t>
      </w:r>
      <w:r>
        <w:rPr>
          <w:rFonts w:ascii="Times New Roman" w:hAnsi="Times New Roman"/>
        </w:rPr>
        <w:t>ет на 28 юни 2016 г.</w:t>
      </w:r>
    </w:p>
  </w:footnote>
  <w:footnote w:id="5">
    <w:p w:rsidR="007F5454" w:rsidRDefault="00854701">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COM(2016) 230 final, 20.4.2016 г.</w:t>
      </w:r>
    </w:p>
  </w:footnote>
  <w:footnote w:id="6">
    <w:p w:rsidR="007F5454" w:rsidRDefault="00854701">
      <w:pPr>
        <w:pStyle w:val="Comment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Пътната карта от Братислава на Европейския съвет от 16 септември 2016 г. и Декларацията от Рим на ръководителите на 27 държави членки и на Европейския съвет, Европейския парламент и Европейската ко</w:t>
      </w:r>
      <w:r>
        <w:rPr>
          <w:rFonts w:ascii="Times New Roman" w:hAnsi="Times New Roman"/>
        </w:rPr>
        <w:t>мисия от 25 март 2017 г.</w:t>
      </w:r>
    </w:p>
  </w:footnote>
  <w:footnote w:id="7">
    <w:p w:rsidR="007F5454" w:rsidRDefault="00854701">
      <w:pPr>
        <w:pStyle w:val="FootnoteText"/>
        <w:rPr>
          <w:rFonts w:ascii="Times New Roman" w:hAnsi="Times New Roman" w:cs="Times New Roman"/>
        </w:rPr>
      </w:pPr>
      <w:r>
        <w:rPr>
          <w:rStyle w:val="FootnoteReference"/>
          <w:rFonts w:ascii="Times New Roman" w:hAnsi="Times New Roman"/>
        </w:rPr>
        <w:footnoteRef/>
      </w:r>
      <w:hyperlink r:id="rId1">
        <w:r>
          <w:rPr>
            <w:rStyle w:val="Hyperlink"/>
            <w:rFonts w:ascii="Times New Roman" w:hAnsi="Times New Roman"/>
          </w:rPr>
          <w:t>http://www.consilium.europa.eu/en/press/press-releases/2017/06/19-conclusions-eu-nato-cooperation</w:t>
        </w:r>
      </w:hyperlink>
    </w:p>
  </w:footnote>
  <w:footnote w:id="8">
    <w:p w:rsidR="007F5454" w:rsidRDefault="0085470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Документ за р</w:t>
      </w:r>
      <w:r>
        <w:rPr>
          <w:rFonts w:ascii="Times New Roman" w:hAnsi="Times New Roman"/>
        </w:rPr>
        <w:t xml:space="preserve">азмисъл относно бъдещето на европейската отбрана, 7.6.2017 г., </w:t>
      </w:r>
      <w:hyperlink r:id="rId2">
        <w:r>
          <w:rPr>
            <w:rStyle w:val="Hyperlink"/>
            <w:rFonts w:ascii="Times New Roman" w:hAnsi="Times New Roman"/>
          </w:rPr>
          <w:t>https://ec.europa.eu/commission/sites/beta-political/files/reflection-paper-defence</w:t>
        </w:r>
        <w:r>
          <w:rPr>
            <w:rStyle w:val="Hyperlink"/>
            <w:rFonts w:ascii="Times New Roman" w:hAnsi="Times New Roman"/>
          </w:rPr>
          <w:t>_en.pdf</w:t>
        </w:r>
      </w:hyperlink>
    </w:p>
  </w:footnote>
  <w:footnote w:id="9">
    <w:p w:rsidR="007F5454" w:rsidRDefault="0085470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Досега 21 държави членки са определили национални звена за контакт. Това са лица, работещи в столиците на държавите членки в сферата на политиката/устойчивостта.</w:t>
      </w:r>
    </w:p>
  </w:footnote>
  <w:footnote w:id="10">
    <w:p w:rsidR="007F5454" w:rsidRDefault="0085470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Финландия, Франция, Германия, Латвия, Литва, Полша, Швеция, Обединеното кралство, </w:t>
      </w:r>
      <w:r>
        <w:rPr>
          <w:rFonts w:ascii="Times New Roman" w:hAnsi="Times New Roman"/>
        </w:rPr>
        <w:t xml:space="preserve">Естония и Испания. </w:t>
      </w:r>
    </w:p>
  </w:footnote>
  <w:footnote w:id="11">
    <w:p w:rsidR="007F5454" w:rsidRDefault="00854701">
      <w:pPr>
        <w:pStyle w:val="FootnoteText"/>
      </w:pPr>
      <w:r>
        <w:rPr>
          <w:rStyle w:val="FootnoteReference"/>
          <w:rFonts w:ascii="Times New Roman" w:hAnsi="Times New Roman"/>
        </w:rPr>
        <w:footnoteRef/>
      </w:r>
      <w:r>
        <w:rPr>
          <w:rFonts w:ascii="Times New Roman" w:hAnsi="Times New Roman"/>
        </w:rPr>
        <w:t xml:space="preserve"> Центърът е отворен за други държави членки на ЕС и съюзници от НАТО, които желаят да се присъединят.</w:t>
      </w:r>
    </w:p>
  </w:footnote>
  <w:footnote w:id="12">
    <w:p w:rsidR="007F5454" w:rsidRPr="00854701" w:rsidRDefault="00854701">
      <w:pPr>
        <w:pStyle w:val="FootnoteText"/>
        <w:rPr>
          <w:rFonts w:ascii="Times New Roman" w:hAnsi="Times New Roman" w:cs="Times New Roman"/>
          <w:highlight w:val="yellow"/>
        </w:rPr>
      </w:pPr>
      <w:r>
        <w:rPr>
          <w:rStyle w:val="FootnoteReference"/>
          <w:rFonts w:ascii="Times New Roman" w:hAnsi="Times New Roman"/>
        </w:rPr>
        <w:footnoteRef/>
      </w:r>
      <w:hyperlink r:id="rId3" w:history="1">
        <w:r>
          <w:rPr>
            <w:rStyle w:val="Hyperlink"/>
            <w:rFonts w:ascii="Times New Roman" w:hAnsi="Times New Roman" w:cs="Times New Roman"/>
            <w:lang w:val="en-GB"/>
          </w:rPr>
          <w:t>https</w:t>
        </w:r>
        <w:r w:rsidRPr="00854701">
          <w:rPr>
            <w:rStyle w:val="Hyperlink"/>
            <w:rFonts w:ascii="Times New Roman" w:hAnsi="Times New Roman" w:cs="Times New Roman"/>
          </w:rPr>
          <w:t>://</w:t>
        </w:r>
        <w:r>
          <w:rPr>
            <w:rStyle w:val="Hyperlink"/>
            <w:rFonts w:ascii="Times New Roman" w:hAnsi="Times New Roman" w:cs="Times New Roman"/>
            <w:lang w:val="en-GB"/>
          </w:rPr>
          <w:t>www</w:t>
        </w:r>
        <w:r w:rsidRPr="00854701">
          <w:rPr>
            <w:rStyle w:val="Hyperlink"/>
            <w:rFonts w:ascii="Times New Roman" w:hAnsi="Times New Roman" w:cs="Times New Roman"/>
          </w:rPr>
          <w:t>.</w:t>
        </w:r>
        <w:r>
          <w:rPr>
            <w:rStyle w:val="Hyperlink"/>
            <w:rFonts w:ascii="Times New Roman" w:hAnsi="Times New Roman" w:cs="Times New Roman"/>
            <w:lang w:val="en-GB"/>
          </w:rPr>
          <w:t>ea</w:t>
        </w:r>
        <w:r>
          <w:rPr>
            <w:rStyle w:val="Hyperlink"/>
            <w:rFonts w:ascii="Times New Roman" w:hAnsi="Times New Roman" w:cs="Times New Roman"/>
            <w:lang w:val="en-GB"/>
          </w:rPr>
          <w:t>sa</w:t>
        </w:r>
        <w:r w:rsidRPr="00854701">
          <w:rPr>
            <w:rStyle w:val="Hyperlink"/>
            <w:rFonts w:ascii="Times New Roman" w:hAnsi="Times New Roman" w:cs="Times New Roman"/>
          </w:rPr>
          <w:t>.</w:t>
        </w:r>
        <w:r>
          <w:rPr>
            <w:rStyle w:val="Hyperlink"/>
            <w:rFonts w:ascii="Times New Roman" w:hAnsi="Times New Roman" w:cs="Times New Roman"/>
            <w:lang w:val="en-GB"/>
          </w:rPr>
          <w:t>europa</w:t>
        </w:r>
        <w:r w:rsidRPr="00854701">
          <w:rPr>
            <w:rStyle w:val="Hyperlink"/>
            <w:rFonts w:ascii="Times New Roman" w:hAnsi="Times New Roman" w:cs="Times New Roman"/>
          </w:rPr>
          <w:t>.</w:t>
        </w:r>
        <w:r>
          <w:rPr>
            <w:rStyle w:val="Hyperlink"/>
            <w:rFonts w:ascii="Times New Roman" w:hAnsi="Times New Roman" w:cs="Times New Roman"/>
            <w:lang w:val="en-GB"/>
          </w:rPr>
          <w:t>eu</w:t>
        </w:r>
        <w:r w:rsidRPr="00854701">
          <w:rPr>
            <w:rStyle w:val="Hyperlink"/>
            <w:rFonts w:ascii="Times New Roman" w:hAnsi="Times New Roman" w:cs="Times New Roman"/>
          </w:rPr>
          <w:t>/</w:t>
        </w:r>
        <w:r>
          <w:rPr>
            <w:rStyle w:val="Hyperlink"/>
            <w:rFonts w:ascii="Times New Roman" w:hAnsi="Times New Roman" w:cs="Times New Roman"/>
            <w:lang w:val="en-GB"/>
          </w:rPr>
          <w:t>system</w:t>
        </w:r>
        <w:r w:rsidRPr="00854701">
          <w:rPr>
            <w:rStyle w:val="Hyperlink"/>
            <w:rFonts w:ascii="Times New Roman" w:hAnsi="Times New Roman" w:cs="Times New Roman"/>
          </w:rPr>
          <w:t>/</w:t>
        </w:r>
        <w:r>
          <w:rPr>
            <w:rStyle w:val="Hyperlink"/>
            <w:rFonts w:ascii="Times New Roman" w:hAnsi="Times New Roman" w:cs="Times New Roman"/>
            <w:lang w:val="en-GB"/>
          </w:rPr>
          <w:t>files</w:t>
        </w:r>
        <w:r w:rsidRPr="00854701">
          <w:rPr>
            <w:rStyle w:val="Hyperlink"/>
            <w:rFonts w:ascii="Times New Roman" w:hAnsi="Times New Roman" w:cs="Times New Roman"/>
          </w:rPr>
          <w:t>/</w:t>
        </w:r>
        <w:r>
          <w:rPr>
            <w:rStyle w:val="Hyperlink"/>
            <w:rFonts w:ascii="Times New Roman" w:hAnsi="Times New Roman" w:cs="Times New Roman"/>
            <w:lang w:val="en-GB"/>
          </w:rPr>
          <w:t>dfu</w:t>
        </w:r>
        <w:r w:rsidRPr="00854701">
          <w:rPr>
            <w:rStyle w:val="Hyperlink"/>
            <w:rFonts w:ascii="Times New Roman" w:hAnsi="Times New Roman" w:cs="Times New Roman"/>
          </w:rPr>
          <w:t>/208599_</w:t>
        </w:r>
        <w:r>
          <w:rPr>
            <w:rStyle w:val="Hyperlink"/>
            <w:rFonts w:ascii="Times New Roman" w:hAnsi="Times New Roman" w:cs="Times New Roman"/>
            <w:lang w:val="en-GB"/>
          </w:rPr>
          <w:t>EASA</w:t>
        </w:r>
        <w:r w:rsidRPr="00854701">
          <w:rPr>
            <w:rStyle w:val="Hyperlink"/>
            <w:rFonts w:ascii="Times New Roman" w:hAnsi="Times New Roman" w:cs="Times New Roman"/>
          </w:rPr>
          <w:t>_</w:t>
        </w:r>
        <w:r>
          <w:rPr>
            <w:rStyle w:val="Hyperlink"/>
            <w:rFonts w:ascii="Times New Roman" w:hAnsi="Times New Roman" w:cs="Times New Roman"/>
            <w:lang w:val="en-GB"/>
          </w:rPr>
          <w:t>CONFLICT</w:t>
        </w:r>
        <w:r w:rsidRPr="00854701">
          <w:rPr>
            <w:rStyle w:val="Hyperlink"/>
            <w:rFonts w:ascii="Times New Roman" w:hAnsi="Times New Roman" w:cs="Times New Roman"/>
          </w:rPr>
          <w:t>_</w:t>
        </w:r>
        <w:r>
          <w:rPr>
            <w:rStyle w:val="Hyperlink"/>
            <w:rFonts w:ascii="Times New Roman" w:hAnsi="Times New Roman" w:cs="Times New Roman"/>
            <w:lang w:val="en-GB"/>
          </w:rPr>
          <w:t>ZONE</w:t>
        </w:r>
        <w:r w:rsidRPr="00854701">
          <w:rPr>
            <w:rStyle w:val="Hyperlink"/>
            <w:rFonts w:ascii="Times New Roman" w:hAnsi="Times New Roman" w:cs="Times New Roman"/>
          </w:rPr>
          <w:t>_</w:t>
        </w:r>
        <w:r>
          <w:rPr>
            <w:rStyle w:val="Hyperlink"/>
            <w:rFonts w:ascii="Times New Roman" w:hAnsi="Times New Roman" w:cs="Times New Roman"/>
            <w:lang w:val="en-GB"/>
          </w:rPr>
          <w:t>CHAIRMAN</w:t>
        </w:r>
        <w:r w:rsidRPr="00854701">
          <w:rPr>
            <w:rStyle w:val="Hyperlink"/>
            <w:rFonts w:ascii="Times New Roman" w:hAnsi="Times New Roman" w:cs="Times New Roman"/>
          </w:rPr>
          <w:t>_</w:t>
        </w:r>
        <w:r>
          <w:rPr>
            <w:rStyle w:val="Hyperlink"/>
            <w:rFonts w:ascii="Times New Roman" w:hAnsi="Times New Roman" w:cs="Times New Roman"/>
            <w:lang w:val="en-GB"/>
          </w:rPr>
          <w:t>REPORT</w:t>
        </w:r>
        <w:r w:rsidRPr="00854701">
          <w:rPr>
            <w:rStyle w:val="Hyperlink"/>
            <w:rFonts w:ascii="Times New Roman" w:hAnsi="Times New Roman" w:cs="Times New Roman"/>
          </w:rPr>
          <w:t>_</w:t>
        </w:r>
        <w:r>
          <w:rPr>
            <w:rStyle w:val="Hyperlink"/>
            <w:rFonts w:ascii="Times New Roman" w:hAnsi="Times New Roman" w:cs="Times New Roman"/>
            <w:lang w:val="en-GB"/>
          </w:rPr>
          <w:t>no</w:t>
        </w:r>
        <w:r w:rsidRPr="00854701">
          <w:rPr>
            <w:rStyle w:val="Hyperlink"/>
            <w:rFonts w:ascii="Times New Roman" w:hAnsi="Times New Roman" w:cs="Times New Roman"/>
          </w:rPr>
          <w:t>_</w:t>
        </w:r>
        <w:r>
          <w:rPr>
            <w:rStyle w:val="Hyperlink"/>
            <w:rFonts w:ascii="Times New Roman" w:hAnsi="Times New Roman" w:cs="Times New Roman"/>
            <w:lang w:val="en-GB"/>
          </w:rPr>
          <w:t>B</w:t>
        </w:r>
        <w:r w:rsidRPr="00854701">
          <w:rPr>
            <w:rStyle w:val="Hyperlink"/>
            <w:rFonts w:ascii="Times New Roman" w:hAnsi="Times New Roman" w:cs="Times New Roman"/>
          </w:rPr>
          <w:t>_</w:t>
        </w:r>
        <w:r>
          <w:rPr>
            <w:rStyle w:val="Hyperlink"/>
            <w:rFonts w:ascii="Times New Roman" w:hAnsi="Times New Roman" w:cs="Times New Roman"/>
            <w:lang w:val="en-GB"/>
          </w:rPr>
          <w:t>update</w:t>
        </w:r>
        <w:r w:rsidRPr="00854701">
          <w:rPr>
            <w:rStyle w:val="Hyperlink"/>
            <w:rFonts w:ascii="Times New Roman" w:hAnsi="Times New Roman" w:cs="Times New Roman"/>
          </w:rPr>
          <w:t>.</w:t>
        </w:r>
        <w:r>
          <w:rPr>
            <w:rStyle w:val="Hyperlink"/>
            <w:rFonts w:ascii="Times New Roman" w:hAnsi="Times New Roman" w:cs="Times New Roman"/>
            <w:lang w:val="en-GB"/>
          </w:rPr>
          <w:t>pdf</w:t>
        </w:r>
      </w:hyperlink>
    </w:p>
  </w:footnote>
  <w:footnote w:id="13">
    <w:p w:rsidR="007F5454" w:rsidRPr="00854701" w:rsidRDefault="00854701">
      <w:pPr>
        <w:pStyle w:val="FootnoteText"/>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https://ad.easa.europa.eu/czib-docs/page-1</w:t>
        </w:r>
      </w:hyperlink>
    </w:p>
  </w:footnote>
  <w:footnote w:id="14">
    <w:p w:rsidR="007F5454" w:rsidRPr="00854701" w:rsidRDefault="00854701">
      <w:pPr>
        <w:pStyle w:val="FootnoteText"/>
      </w:pPr>
      <w:r>
        <w:rPr>
          <w:rStyle w:val="FootnoteReference"/>
        </w:rPr>
        <w:footnoteRef/>
      </w:r>
      <w:r>
        <w:t xml:space="preserve"> </w:t>
      </w:r>
      <w:r>
        <w:rPr>
          <w:rFonts w:ascii="Times New Roman" w:hAnsi="Times New Roman"/>
        </w:rPr>
        <w:t>Заключения на Европейския Съвет от 22—23 юни 2017 г.</w:t>
      </w:r>
    </w:p>
  </w:footnote>
  <w:footnote w:id="15">
    <w:p w:rsidR="007F5454" w:rsidRPr="00854701" w:rsidRDefault="0085470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 (ОВ L 194, 19.7.2016 г., стp. 1).</w:t>
      </w:r>
    </w:p>
  </w:footnote>
  <w:footnote w:id="16">
    <w:p w:rsidR="007F5454" w:rsidRPr="00854701" w:rsidRDefault="0085470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Агенция на Европейския съюз за мрежова и информа</w:t>
      </w:r>
      <w:r>
        <w:rPr>
          <w:rFonts w:ascii="Times New Roman" w:hAnsi="Times New Roman"/>
        </w:rPr>
        <w:t>ционна сигурност.</w:t>
      </w:r>
    </w:p>
  </w:footnote>
  <w:footnote w:id="17">
    <w:p w:rsidR="007F5454" w:rsidRPr="00854701" w:rsidRDefault="0085470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(ЕС) 2015/2366 на Европейския парламент и на Съвета от 25 ноември 2015 г. за платежните услуги във вътрешния пазар (ОВ L 337, 23.12.2015 г., стр. 35).</w:t>
      </w:r>
    </w:p>
  </w:footnote>
  <w:footnote w:id="18">
    <w:p w:rsidR="007F5454" w:rsidRPr="00854701" w:rsidRDefault="0085470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https://ec.europa.eu/maritimeaffairs/sites/maritimeaffairs/files/docs/body/20141216-action-plan_en.pdf</w:t>
        </w:r>
      </w:hyperlink>
      <w:r>
        <w:rPr>
          <w:rFonts w:ascii="Times New Roman" w:hAnsi="Times New Roman"/>
        </w:rPr>
        <w:t xml:space="preserve">и вторият доклад относно изпълнението на плана за действие във връзка с Европейската стратегия за морска </w:t>
      </w:r>
      <w:r>
        <w:rPr>
          <w:rFonts w:ascii="Times New Roman" w:hAnsi="Times New Roman"/>
        </w:rPr>
        <w:t>сигурност, представен на държавите членки на 21 юни 2017 г.</w:t>
      </w:r>
    </w:p>
  </w:footnote>
  <w:footnote w:id="19">
    <w:p w:rsidR="007F5454" w:rsidRPr="00854701" w:rsidRDefault="00854701">
      <w:pPr>
        <w:pStyle w:val="FootnoteText"/>
        <w:jc w:val="both"/>
      </w:pPr>
      <w:r>
        <w:rPr>
          <w:rStyle w:val="FootnoteReference"/>
          <w:rFonts w:ascii="Times New Roman" w:hAnsi="Times New Roman"/>
        </w:rPr>
        <w:footnoteRef/>
      </w:r>
      <w:r>
        <w:rPr>
          <w:rFonts w:ascii="Times New Roman" w:hAnsi="Times New Roman"/>
        </w:rPr>
        <w:t xml:space="preserve"> Проучване относно „Преценка на капацитета за оценка на риска на равнището на изпълняващите функции по брегова охрана органи на държавите членки“, 2017 г., </w:t>
      </w:r>
      <w:hyperlink r:id="rId6">
        <w:r>
          <w:rPr>
            <w:rStyle w:val="Hyperlink"/>
            <w:rFonts w:ascii="Times New Roman" w:hAnsi="Times New Roman"/>
          </w:rPr>
          <w:t>https://ec.europa.eu/maritimeaffairs/documentation/studies</w:t>
        </w:r>
      </w:hyperlink>
      <w:r>
        <w:rPr>
          <w:sz w:val="18"/>
        </w:rPr>
        <w:fldChar w:fldCharType="begin"/>
      </w:r>
      <w:r>
        <w:rPr>
          <w:sz w:val="18"/>
        </w:rPr>
        <w:instrText>"https://bookshop.europa.eu/en/evaluation-of-risk-assessment-capacity-at-the-level-of-member-states-authorities-performing</w:instrText>
      </w:r>
      <w:r>
        <w:rPr>
          <w:sz w:val="18"/>
        </w:rPr>
        <w:instrText xml:space="preserve">-coast-guard-functions-in-order-to-identify-commonalities-and-ways-to-enhance-interoperability-and-cooperation-in-this-field-across-eu-pbEA0417344/?CatalogCategoryID=JRWep2OwmH0AAAFEQf8mwjCM" </w:instrText>
      </w:r>
      <w:r>
        <w:rPr>
          <w:sz w:val="18"/>
        </w:rPr>
        <w:fldChar w:fldCharType="separate"/>
      </w:r>
      <w:r>
        <w:rPr>
          <w:rStyle w:val="Hyperlink"/>
          <w:sz w:val="16"/>
        </w:rPr>
        <w:t>https://bookshop.europa.eu/en/evaluation-of-risk-assessment-capa</w:t>
      </w:r>
      <w:r>
        <w:rPr>
          <w:rStyle w:val="Hyperlink"/>
          <w:sz w:val="16"/>
        </w:rPr>
        <w:t>city-at-the-level-of-member-states-authorities-performing-coast-guard-functions-in-order-to-identify-commonalities-and-ways-to-enhance-interoperability-and-cooperation-in-this-field-across-eu-pbEA0417344/?CatalogCategoryID=JRWep2OwmH0AAAFEQf8mwjCM</w:t>
      </w:r>
      <w:r>
        <w:rPr>
          <w:rStyle w:val="Hyperlink"/>
          <w:sz w:val="16"/>
        </w:rPr>
        <w:fldChar w:fldCharType="end"/>
      </w:r>
    </w:p>
  </w:footnote>
  <w:footnote w:id="20">
    <w:p w:rsidR="007F5454" w:rsidRPr="00854701" w:rsidRDefault="00854701">
      <w:pPr>
        <w:pStyle w:val="FootnoteText"/>
      </w:pPr>
      <w:r>
        <w:rPr>
          <w:rStyle w:val="FootnoteReference"/>
          <w:rFonts w:ascii="Times New Roman" w:hAnsi="Times New Roman"/>
        </w:rPr>
        <w:footnoteRef/>
      </w:r>
      <w:r>
        <w:rPr>
          <w:rFonts w:ascii="Times New Roman" w:hAnsi="Times New Roman"/>
          <w:vertAlign w:val="superscript"/>
        </w:rPr>
        <w:t xml:space="preserve"> </w:t>
      </w:r>
      <w:r>
        <w:rPr>
          <w:rFonts w:ascii="Times New Roman" w:hAnsi="Times New Roman"/>
        </w:rPr>
        <w:t>Тре</w:t>
      </w:r>
      <w:r>
        <w:rPr>
          <w:rFonts w:ascii="Times New Roman" w:hAnsi="Times New Roman"/>
        </w:rPr>
        <w:t>ти доклад за напредъка по създаването на ефективен и истински Съюз на сигурност</w:t>
      </w:r>
      <w:r w:rsidRPr="00854701">
        <w:rPr>
          <w:rFonts w:ascii="Times New Roman" w:hAnsi="Times New Roman"/>
        </w:rPr>
        <w:t xml:space="preserve"> (</w:t>
      </w:r>
      <w:r>
        <w:rPr>
          <w:rFonts w:ascii="Times New Roman" w:hAnsi="Times New Roman"/>
          <w:lang w:val="nn-NO"/>
        </w:rPr>
        <w:t>COM</w:t>
      </w:r>
      <w:r w:rsidRPr="00854701">
        <w:rPr>
          <w:rFonts w:ascii="Times New Roman" w:hAnsi="Times New Roman"/>
        </w:rPr>
        <w:t>(2016)</w:t>
      </w:r>
      <w:r>
        <w:rPr>
          <w:rFonts w:ascii="Times New Roman" w:hAnsi="Times New Roman"/>
        </w:rPr>
        <w:t> </w:t>
      </w:r>
      <w:r w:rsidRPr="00854701">
        <w:rPr>
          <w:rFonts w:ascii="Times New Roman" w:hAnsi="Times New Roman"/>
        </w:rPr>
        <w:t xml:space="preserve">831 </w:t>
      </w:r>
      <w:r>
        <w:rPr>
          <w:rFonts w:ascii="Times New Roman" w:hAnsi="Times New Roman"/>
          <w:lang w:val="nn-NO"/>
        </w:rPr>
        <w:t>final</w:t>
      </w:r>
      <w:r w:rsidRPr="00854701">
        <w:rPr>
          <w:rFonts w:ascii="Times New Roman" w:hAnsi="Times New Roman"/>
        </w:rPr>
        <w:t>)</w:t>
      </w:r>
      <w:r>
        <w:rPr>
          <w:rFonts w:ascii="Times New Roman" w:hAnsi="Times New Roman"/>
        </w:rPr>
        <w:t>.</w:t>
      </w:r>
    </w:p>
  </w:footnote>
  <w:footnote w:id="21">
    <w:p w:rsidR="007F5454" w:rsidRPr="00854701" w:rsidRDefault="00854701">
      <w:pPr>
        <w:pStyle w:val="FootnoteText"/>
        <w:jc w:val="both"/>
      </w:pPr>
      <w:r>
        <w:rPr>
          <w:rStyle w:val="FootnoteReference"/>
          <w:rFonts w:ascii="Times New Roman" w:hAnsi="Times New Roman"/>
        </w:rPr>
        <w:footnoteRef/>
      </w:r>
      <w:r>
        <w:rPr>
          <w:rFonts w:ascii="Times New Roman" w:hAnsi="Times New Roman"/>
        </w:rP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w:t>
      </w:r>
      <w:r>
        <w:rPr>
          <w:rFonts w:ascii="Times New Roman" w:hAnsi="Times New Roman"/>
        </w:rPr>
        <w:t>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(текст от значение з</w:t>
      </w:r>
      <w:r>
        <w:rPr>
          <w:rFonts w:ascii="Times New Roman" w:hAnsi="Times New Roman"/>
        </w:rPr>
        <w:t>а ЕИП), ОВ L 141, 5.6.2015 г., стр. 73—117.</w:t>
      </w:r>
    </w:p>
  </w:footnote>
  <w:footnote w:id="22">
    <w:p w:rsidR="007F5454" w:rsidRPr="00854701" w:rsidRDefault="00854701">
      <w:pPr>
        <w:pStyle w:val="FootnoteText"/>
        <w:jc w:val="both"/>
      </w:pPr>
      <w:r>
        <w:rPr>
          <w:rStyle w:val="FootnoteReference"/>
          <w:rFonts w:ascii="Times New Roman" w:hAnsi="Times New Roman"/>
        </w:rPr>
        <w:footnoteRef/>
      </w:r>
      <w:r>
        <w:t xml:space="preserve"> </w:t>
      </w:r>
      <w:r>
        <w:rPr>
          <w:rFonts w:ascii="Times New Roman" w:hAnsi="Times New Roman"/>
        </w:rPr>
        <w:t>За повече подробности вж. третия доклад за напредъка по създаването на ефективен и истински Съюз на сигурност (COM(2016) 831 final) и осмия доклад за напредъка по създаването на ефективен и истински Съюз на сиг</w:t>
      </w:r>
      <w:r>
        <w:rPr>
          <w:rFonts w:ascii="Times New Roman" w:hAnsi="Times New Roman"/>
        </w:rPr>
        <w:t>урност (COM(2017) 354 final).</w:t>
      </w:r>
    </w:p>
  </w:footnote>
  <w:footnote w:id="23">
    <w:p w:rsidR="007F5454" w:rsidRDefault="00854701">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lang w:val="pt-PT"/>
        </w:rPr>
        <w:t>COM(2017) 26.6.2017, COM(2017) 340 final, SWD(2017) 275 final 0</w:t>
      </w:r>
      <w:r>
        <w:rPr>
          <w:rFonts w:ascii="Times New Roman" w:hAnsi="Times New Roman"/>
        </w:rPr>
        <w:t>.</w:t>
      </w:r>
    </w:p>
  </w:footnote>
  <w:footnote w:id="24">
    <w:p w:rsidR="007F5454" w:rsidRDefault="00854701">
      <w:pPr>
        <w:pStyle w:val="FootnoteText"/>
        <w:rPr>
          <w:lang w:val="pt-PT"/>
        </w:rPr>
      </w:pPr>
      <w:r>
        <w:rPr>
          <w:rStyle w:val="FootnoteReference"/>
          <w:rFonts w:ascii="Times New Roman" w:hAnsi="Times New Roman"/>
        </w:rPr>
        <w:footnoteRef/>
      </w:r>
      <w:r>
        <w:t xml:space="preserve"> </w:t>
      </w:r>
      <w:r>
        <w:rPr>
          <w:rFonts w:ascii="Times New Roman" w:hAnsi="Times New Roman"/>
        </w:rPr>
        <w:t>Осми доклад за напредъка по създаването на ефективен и истински Съюз на сигурност (COM(2017) 354 final)</w:t>
      </w:r>
      <w:r>
        <w:t>.</w:t>
      </w:r>
    </w:p>
  </w:footnote>
  <w:footnote w:id="25">
    <w:p w:rsidR="007F5454" w:rsidRDefault="00854701">
      <w:pPr>
        <w:pStyle w:val="FootnoteText"/>
        <w:ind w:left="240" w:hanging="240"/>
        <w:rPr>
          <w:rFonts w:ascii="Times New Roman" w:hAnsi="Times New Roman"/>
          <w:lang w:val="pt-PT"/>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http://ec.europa.eu/dgs/education_culture/repository/education/library/publications/2016/communication-</w:t>
        </w:r>
        <w:r>
          <w:rPr>
            <w:rStyle w:val="Hyperlink"/>
            <w:rFonts w:ascii="Times New Roman" w:hAnsi="Times New Roman"/>
          </w:rPr>
          <w:t>preventing-radicalisation_en.pdf</w:t>
        </w:r>
      </w:hyperlink>
    </w:p>
  </w:footnote>
  <w:footnote w:id="26">
    <w:p w:rsidR="007F5454" w:rsidRDefault="007F5454">
      <w:pPr>
        <w:rPr>
          <w:lang w:val="pt-PT"/>
        </w:rPr>
      </w:pPr>
    </w:p>
  </w:footnote>
  <w:footnote w:id="27">
    <w:p w:rsidR="007F5454" w:rsidRDefault="00854701">
      <w:pPr>
        <w:pStyle w:val="FootnoteText"/>
        <w:jc w:val="both"/>
        <w:rPr>
          <w:rFonts w:ascii="Times New Roman" w:hAnsi="Times New Roman" w:cs="Times New Roman"/>
        </w:rPr>
      </w:pPr>
      <w:r>
        <w:rPr>
          <w:rStyle w:val="FootnoteReference"/>
          <w:rFonts w:ascii="Times New Roman" w:hAnsi="Times New Roman"/>
        </w:rPr>
        <w:footnoteRef/>
      </w:r>
      <w:r>
        <w:t xml:space="preserve"> </w:t>
      </w:r>
      <w:r>
        <w:rPr>
          <w:rFonts w:ascii="Times New Roman" w:hAnsi="Times New Roman"/>
        </w:rPr>
        <w:t>За повече подробности вж. осмия доклад за напредъка по създаването на ефективен и истински Съюз на сигурност, COM(2017) 354 final.</w:t>
      </w:r>
    </w:p>
  </w:footnote>
  <w:footnote w:id="28">
    <w:p w:rsidR="007F5454" w:rsidRDefault="00854701">
      <w:pPr>
        <w:pStyle w:val="FootnoteText"/>
        <w:jc w:val="both"/>
      </w:pPr>
      <w:r>
        <w:rPr>
          <w:rStyle w:val="FootnoteReference"/>
          <w:rFonts w:ascii="Times New Roman" w:hAnsi="Times New Roman"/>
        </w:rPr>
        <w:footnoteRef/>
      </w:r>
      <w:r>
        <w:t xml:space="preserve"> </w:t>
      </w:r>
      <w:r>
        <w:rPr>
          <w:rFonts w:ascii="Times New Roman" w:hAnsi="Times New Roman"/>
        </w:rPr>
        <w:t>За повече подробности вж. осмия доклад за напредъка по създаването на ефективен и истин</w:t>
      </w:r>
      <w:r>
        <w:rPr>
          <w:rFonts w:ascii="Times New Roman" w:hAnsi="Times New Roman"/>
        </w:rPr>
        <w:t>ски Съюз на сигурност, COM(2017) 354 final.</w:t>
      </w:r>
    </w:p>
  </w:footnote>
  <w:footnote w:id="29">
    <w:p w:rsidR="007F5454" w:rsidRDefault="00854701">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 xml:space="preserve">Кодекс за поведение за борба с незаконния език на омразата в интернет, 31 май 2016 г., </w:t>
      </w:r>
      <w:r>
        <w:rPr>
          <w:rFonts w:ascii="Times New Roman" w:hAnsi="Times New Roman" w:cs="Times New Roman"/>
          <w:lang w:val="en-GB"/>
        </w:rPr>
        <w:t>http</w:t>
      </w:r>
      <w:r>
        <w:rPr>
          <w:rFonts w:ascii="Times New Roman" w:hAnsi="Times New Roman" w:cs="Times New Roman"/>
        </w:rPr>
        <w:t>://</w:t>
      </w:r>
      <w:r>
        <w:rPr>
          <w:rFonts w:ascii="Times New Roman" w:hAnsi="Times New Roman" w:cs="Times New Roman"/>
          <w:lang w:val="en-GB"/>
        </w:rPr>
        <w:t>ec</w:t>
      </w:r>
      <w:r>
        <w:rPr>
          <w:rFonts w:ascii="Times New Roman" w:hAnsi="Times New Roman" w:cs="Times New Roman"/>
        </w:rPr>
        <w:t>.</w:t>
      </w:r>
      <w:r>
        <w:rPr>
          <w:rFonts w:ascii="Times New Roman" w:hAnsi="Times New Roman" w:cs="Times New Roman"/>
          <w:lang w:val="en-GB"/>
        </w:rPr>
        <w:t>europa</w:t>
      </w:r>
      <w:r>
        <w:rPr>
          <w:rFonts w:ascii="Times New Roman" w:hAnsi="Times New Roman" w:cs="Times New Roman"/>
        </w:rPr>
        <w:t>.</w:t>
      </w:r>
      <w:r>
        <w:rPr>
          <w:rFonts w:ascii="Times New Roman" w:hAnsi="Times New Roman" w:cs="Times New Roman"/>
          <w:lang w:val="en-GB"/>
        </w:rPr>
        <w:t>eu</w:t>
      </w:r>
      <w:r>
        <w:rPr>
          <w:rFonts w:ascii="Times New Roman" w:hAnsi="Times New Roman" w:cs="Times New Roman"/>
        </w:rPr>
        <w:t>/</w:t>
      </w:r>
      <w:r>
        <w:rPr>
          <w:rFonts w:ascii="Times New Roman" w:hAnsi="Times New Roman" w:cs="Times New Roman"/>
          <w:lang w:val="en-GB"/>
        </w:rPr>
        <w:t>justice</w:t>
      </w:r>
      <w:r>
        <w:rPr>
          <w:rFonts w:ascii="Times New Roman" w:hAnsi="Times New Roman" w:cs="Times New Roman"/>
        </w:rPr>
        <w:t>/</w:t>
      </w:r>
      <w:r>
        <w:rPr>
          <w:rFonts w:ascii="Times New Roman" w:hAnsi="Times New Roman" w:cs="Times New Roman"/>
          <w:lang w:val="en-GB"/>
        </w:rPr>
        <w:t>fundamental</w:t>
      </w:r>
      <w:r>
        <w:rPr>
          <w:rFonts w:ascii="Times New Roman" w:hAnsi="Times New Roman" w:cs="Times New Roman"/>
        </w:rPr>
        <w:t>-</w:t>
      </w:r>
      <w:r>
        <w:rPr>
          <w:rFonts w:ascii="Times New Roman" w:hAnsi="Times New Roman" w:cs="Times New Roman"/>
          <w:lang w:val="en-GB"/>
        </w:rPr>
        <w:t>rights</w:t>
      </w:r>
      <w:r>
        <w:rPr>
          <w:rFonts w:ascii="Times New Roman" w:hAnsi="Times New Roman" w:cs="Times New Roman"/>
        </w:rPr>
        <w:t>/</w:t>
      </w:r>
      <w:r>
        <w:rPr>
          <w:rFonts w:ascii="Times New Roman" w:hAnsi="Times New Roman" w:cs="Times New Roman"/>
          <w:lang w:val="en-GB"/>
        </w:rPr>
        <w:t>files</w:t>
      </w:r>
      <w:r>
        <w:rPr>
          <w:rFonts w:ascii="Times New Roman" w:hAnsi="Times New Roman" w:cs="Times New Roman"/>
        </w:rPr>
        <w:t>/</w:t>
      </w:r>
      <w:r>
        <w:rPr>
          <w:rFonts w:ascii="Times New Roman" w:hAnsi="Times New Roman" w:cs="Times New Roman"/>
          <w:lang w:val="en-GB"/>
        </w:rPr>
        <w:t>hate</w:t>
      </w:r>
      <w:r>
        <w:rPr>
          <w:rFonts w:ascii="Times New Roman" w:hAnsi="Times New Roman" w:cs="Times New Roman"/>
        </w:rPr>
        <w:t>_</w:t>
      </w:r>
      <w:r>
        <w:rPr>
          <w:rFonts w:ascii="Times New Roman" w:hAnsi="Times New Roman" w:cs="Times New Roman"/>
          <w:lang w:val="en-GB"/>
        </w:rPr>
        <w:t>speech</w:t>
      </w:r>
      <w:r>
        <w:rPr>
          <w:rFonts w:ascii="Times New Roman" w:hAnsi="Times New Roman" w:cs="Times New Roman"/>
        </w:rPr>
        <w:t>_</w:t>
      </w:r>
      <w:r>
        <w:rPr>
          <w:rFonts w:ascii="Times New Roman" w:hAnsi="Times New Roman" w:cs="Times New Roman"/>
          <w:lang w:val="en-GB"/>
        </w:rPr>
        <w:t>code</w:t>
      </w:r>
      <w:r>
        <w:rPr>
          <w:rFonts w:ascii="Times New Roman" w:hAnsi="Times New Roman" w:cs="Times New Roman"/>
        </w:rPr>
        <w:t>_</w:t>
      </w:r>
      <w:r>
        <w:rPr>
          <w:rFonts w:ascii="Times New Roman" w:hAnsi="Times New Roman" w:cs="Times New Roman"/>
          <w:lang w:val="en-GB"/>
        </w:rPr>
        <w:t>of</w:t>
      </w:r>
      <w:r>
        <w:rPr>
          <w:rFonts w:ascii="Times New Roman" w:hAnsi="Times New Roman" w:cs="Times New Roman"/>
        </w:rPr>
        <w:t>_</w:t>
      </w:r>
      <w:r>
        <w:rPr>
          <w:rFonts w:ascii="Times New Roman" w:hAnsi="Times New Roman" w:cs="Times New Roman"/>
          <w:lang w:val="en-GB"/>
        </w:rPr>
        <w:t>conduct</w:t>
      </w:r>
      <w:r>
        <w:rPr>
          <w:rFonts w:ascii="Times New Roman" w:hAnsi="Times New Roman" w:cs="Times New Roman"/>
        </w:rPr>
        <w:t>_</w:t>
      </w:r>
      <w:r>
        <w:rPr>
          <w:rFonts w:ascii="Times New Roman" w:hAnsi="Times New Roman" w:cs="Times New Roman"/>
          <w:lang w:val="en-GB"/>
        </w:rPr>
        <w:t>en</w:t>
      </w:r>
      <w:r>
        <w:rPr>
          <w:rFonts w:ascii="Times New Roman" w:hAnsi="Times New Roman" w:cs="Times New Roman"/>
        </w:rPr>
        <w:t>.</w:t>
      </w:r>
      <w:r>
        <w:rPr>
          <w:rFonts w:ascii="Times New Roman" w:hAnsi="Times New Roman" w:cs="Times New Roman"/>
          <w:lang w:val="en-GB"/>
        </w:rPr>
        <w:t>pdf</w:t>
      </w:r>
      <w:r>
        <w:t>.</w:t>
      </w:r>
    </w:p>
  </w:footnote>
  <w:footnote w:id="30">
    <w:p w:rsidR="007F5454" w:rsidRDefault="00854701">
      <w:pPr>
        <w:pStyle w:val="FootnoteText"/>
        <w:jc w:val="both"/>
      </w:pPr>
      <w:r>
        <w:rPr>
          <w:rStyle w:val="FootnoteReference"/>
          <w:rFonts w:ascii="Times New Roman" w:hAnsi="Times New Roman"/>
        </w:rPr>
        <w:footnoteRef/>
      </w:r>
      <w:r>
        <w:t xml:space="preserve"> </w:t>
      </w:r>
      <w:r>
        <w:rPr>
          <w:rFonts w:ascii="Times New Roman" w:hAnsi="Times New Roman"/>
        </w:rPr>
        <w:t xml:space="preserve">За повече подробности вж. осмия </w:t>
      </w:r>
      <w:r>
        <w:rPr>
          <w:rFonts w:ascii="Times New Roman" w:hAnsi="Times New Roman"/>
        </w:rPr>
        <w:t>доклад за напредъка по създаването на ефективен и истински Съюз на сигурност, COM(2017) 354 final.</w:t>
      </w:r>
    </w:p>
  </w:footnote>
  <w:footnote w:id="31">
    <w:p w:rsidR="007F5454" w:rsidRDefault="0085470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Съвета от 22—23 юни 2017 г.</w:t>
      </w:r>
    </w:p>
  </w:footnote>
  <w:footnote w:id="32">
    <w:p w:rsidR="007F5454" w:rsidRDefault="0085470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Среща на върха на Г-7 в Таормина, Италия, 26—27.5.2017 г.</w:t>
      </w:r>
    </w:p>
  </w:footnote>
  <w:footnote w:id="33">
    <w:p w:rsidR="007F5454" w:rsidRDefault="00854701">
      <w:pPr>
        <w:pStyle w:val="FootnoteText"/>
      </w:pPr>
      <w:r>
        <w:rPr>
          <w:rStyle w:val="FootnoteReference"/>
          <w:rFonts w:ascii="Times New Roman" w:hAnsi="Times New Roman"/>
        </w:rPr>
        <w:footnoteRef/>
      </w:r>
      <w:r>
        <w:rPr>
          <w:rFonts w:ascii="Times New Roman" w:hAnsi="Times New Roman"/>
        </w:rPr>
        <w:t xml:space="preserve"> Среща на върха на Г-20 в Хамбург, Германия, 7—8.7.2</w:t>
      </w:r>
      <w:r>
        <w:rPr>
          <w:rFonts w:ascii="Times New Roman" w:hAnsi="Times New Roman"/>
        </w:rPr>
        <w:t>017 г.</w:t>
      </w:r>
    </w:p>
  </w:footnote>
  <w:footnote w:id="34">
    <w:p w:rsidR="007F5454" w:rsidRDefault="0085470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Вж. горепосоченото съобщение на Комисията, COM(2017) 228 final.</w:t>
      </w:r>
    </w:p>
  </w:footnote>
  <w:footnote w:id="35">
    <w:p w:rsidR="007F5454" w:rsidRDefault="00854701">
      <w:pPr>
        <w:pStyle w:val="FootnoteText"/>
      </w:pPr>
      <w:r>
        <w:rPr>
          <w:rStyle w:val="FootnoteReference"/>
          <w:rFonts w:ascii="Times New Roman" w:hAnsi="Times New Roman"/>
        </w:rPr>
        <w:footnoteRef/>
      </w:r>
      <w:r>
        <w:rPr>
          <w:rFonts w:ascii="Times New Roman" w:hAnsi="Times New Roman"/>
        </w:rPr>
        <w:t>Съвместно съобщение до Европейския парламент и Съвета: Стратегически подход към устойчивостта във външната дейност на ЕС, JOIN (2017) 21 final.</w:t>
      </w:r>
    </w:p>
  </w:footnote>
  <w:footnote w:id="36">
    <w:p w:rsidR="007F5454" w:rsidRDefault="00854701">
      <w:pPr>
        <w:autoSpaceDE w:val="0"/>
        <w:autoSpaceDN w:val="0"/>
        <w:adjustRightInd w:val="0"/>
        <w:jc w:val="both"/>
        <w:rPr>
          <w:rFonts w:ascii="Times New Roman" w:hAnsi="Times New Roman" w:cs="Times New Roman"/>
          <w:color w:val="FFFFFF"/>
          <w:sz w:val="20"/>
          <w:szCs w:val="20"/>
        </w:rPr>
      </w:pPr>
      <w:r>
        <w:rPr>
          <w:rStyle w:val="FootnoteReference"/>
          <w:rFonts w:ascii="Times New Roman" w:hAnsi="Times New Roman"/>
          <w:sz w:val="20"/>
        </w:rPr>
        <w:footnoteRef/>
      </w:r>
      <w:r>
        <w:rPr>
          <w:rFonts w:ascii="Times New Roman" w:hAnsi="Times New Roman"/>
          <w:sz w:val="20"/>
        </w:rPr>
        <w:t xml:space="preserve"> Това название не засяга позициите по отношение на статута и е съобразено с Резолюция 1244 на Съвета за сигурност на ООН и становището на Международния съд относно обявяването на независимост от страна на Косово.</w:t>
      </w:r>
    </w:p>
  </w:footnote>
  <w:footnote w:id="37">
    <w:p w:rsidR="007F5454" w:rsidRDefault="0085470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Интегрираните договорености на Съвета за </w:t>
      </w:r>
      <w:r>
        <w:rPr>
          <w:rFonts w:ascii="Times New Roman" w:hAnsi="Times New Roman"/>
        </w:rPr>
        <w:t>реакция на ЕС на политическо равнище в кризисни ситуации (IPCR), системата ARGUS на Комисията и CRM на ЕСВД.</w:t>
      </w:r>
    </w:p>
  </w:footnote>
  <w:footnote w:id="38">
    <w:p w:rsidR="007F5454" w:rsidRDefault="00854701">
      <w:pPr>
        <w:pStyle w:val="FootnoteText"/>
        <w:jc w:val="both"/>
      </w:pPr>
      <w:r>
        <w:rPr>
          <w:rStyle w:val="FootnoteReference"/>
          <w:rFonts w:ascii="Times New Roman" w:hAnsi="Times New Roman"/>
        </w:rPr>
        <w:footnoteRef/>
      </w:r>
      <w:r>
        <w:rPr>
          <w:rFonts w:ascii="Times New Roman" w:hAnsi="Times New Roman"/>
        </w:rPr>
        <w:t xml:space="preserve"> Работен документ на службите (2016) 227, приет на 7 юли 2016 г.</w:t>
      </w:r>
    </w:p>
  </w:footnote>
  <w:footnote w:id="39">
    <w:p w:rsidR="007F5454" w:rsidRDefault="00854701">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http://www.consilium.europa.eu/en/press/press-releases/2016/12/06-eu-nato-joint-declaration/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01" w:rsidRPr="00854701" w:rsidRDefault="00854701" w:rsidP="00854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01" w:rsidRPr="00854701" w:rsidRDefault="00854701" w:rsidP="0085470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01" w:rsidRPr="00854701" w:rsidRDefault="00854701" w:rsidP="0085470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54" w:rsidRDefault="007F54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54" w:rsidRDefault="007F54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54" w:rsidRDefault="007F5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127C"/>
    <w:multiLevelType w:val="hybridMultilevel"/>
    <w:tmpl w:val="7DF814DC"/>
    <w:lvl w:ilvl="0" w:tplc="7F8A36A2">
      <w:start w:val="1"/>
      <w:numFmt w:val="bullet"/>
      <w:lvlText w:val=""/>
      <w:lvlJc w:val="left"/>
      <w:pPr>
        <w:ind w:left="720" w:hanging="360"/>
      </w:pPr>
      <w:rPr>
        <w:rFonts w:ascii="Symbol" w:hAnsi="Symbol" w:hint="default"/>
      </w:rPr>
    </w:lvl>
    <w:lvl w:ilvl="1" w:tplc="34E494C4" w:tentative="1">
      <w:start w:val="1"/>
      <w:numFmt w:val="bullet"/>
      <w:lvlText w:val="o"/>
      <w:lvlJc w:val="left"/>
      <w:pPr>
        <w:ind w:left="1440" w:hanging="360"/>
      </w:pPr>
      <w:rPr>
        <w:rFonts w:ascii="Courier New" w:hAnsi="Courier New" w:cs="Courier New" w:hint="default"/>
      </w:rPr>
    </w:lvl>
    <w:lvl w:ilvl="2" w:tplc="BA26BC1E" w:tentative="1">
      <w:start w:val="1"/>
      <w:numFmt w:val="bullet"/>
      <w:lvlText w:val=""/>
      <w:lvlJc w:val="left"/>
      <w:pPr>
        <w:ind w:left="2160" w:hanging="360"/>
      </w:pPr>
      <w:rPr>
        <w:rFonts w:ascii="Wingdings" w:hAnsi="Wingdings" w:hint="default"/>
      </w:rPr>
    </w:lvl>
    <w:lvl w:ilvl="3" w:tplc="5BF07FF0" w:tentative="1">
      <w:start w:val="1"/>
      <w:numFmt w:val="bullet"/>
      <w:lvlText w:val=""/>
      <w:lvlJc w:val="left"/>
      <w:pPr>
        <w:ind w:left="2880" w:hanging="360"/>
      </w:pPr>
      <w:rPr>
        <w:rFonts w:ascii="Symbol" w:hAnsi="Symbol" w:hint="default"/>
      </w:rPr>
    </w:lvl>
    <w:lvl w:ilvl="4" w:tplc="8A402BFE" w:tentative="1">
      <w:start w:val="1"/>
      <w:numFmt w:val="bullet"/>
      <w:lvlText w:val="o"/>
      <w:lvlJc w:val="left"/>
      <w:pPr>
        <w:ind w:left="3600" w:hanging="360"/>
      </w:pPr>
      <w:rPr>
        <w:rFonts w:ascii="Courier New" w:hAnsi="Courier New" w:cs="Courier New" w:hint="default"/>
      </w:rPr>
    </w:lvl>
    <w:lvl w:ilvl="5" w:tplc="38F22CB6" w:tentative="1">
      <w:start w:val="1"/>
      <w:numFmt w:val="bullet"/>
      <w:lvlText w:val=""/>
      <w:lvlJc w:val="left"/>
      <w:pPr>
        <w:ind w:left="4320" w:hanging="360"/>
      </w:pPr>
      <w:rPr>
        <w:rFonts w:ascii="Wingdings" w:hAnsi="Wingdings" w:hint="default"/>
      </w:rPr>
    </w:lvl>
    <w:lvl w:ilvl="6" w:tplc="931E7FF6" w:tentative="1">
      <w:start w:val="1"/>
      <w:numFmt w:val="bullet"/>
      <w:lvlText w:val=""/>
      <w:lvlJc w:val="left"/>
      <w:pPr>
        <w:ind w:left="5040" w:hanging="360"/>
      </w:pPr>
      <w:rPr>
        <w:rFonts w:ascii="Symbol" w:hAnsi="Symbol" w:hint="default"/>
      </w:rPr>
    </w:lvl>
    <w:lvl w:ilvl="7" w:tplc="974CE3E8" w:tentative="1">
      <w:start w:val="1"/>
      <w:numFmt w:val="bullet"/>
      <w:lvlText w:val="o"/>
      <w:lvlJc w:val="left"/>
      <w:pPr>
        <w:ind w:left="5760" w:hanging="360"/>
      </w:pPr>
      <w:rPr>
        <w:rFonts w:ascii="Courier New" w:hAnsi="Courier New" w:cs="Courier New" w:hint="default"/>
      </w:rPr>
    </w:lvl>
    <w:lvl w:ilvl="8" w:tplc="DAE62E20" w:tentative="1">
      <w:start w:val="1"/>
      <w:numFmt w:val="bullet"/>
      <w:lvlText w:val=""/>
      <w:lvlJc w:val="left"/>
      <w:pPr>
        <w:ind w:left="6480" w:hanging="360"/>
      </w:pPr>
      <w:rPr>
        <w:rFonts w:ascii="Wingdings" w:hAnsi="Wingdings" w:hint="default"/>
      </w:rPr>
    </w:lvl>
  </w:abstractNum>
  <w:abstractNum w:abstractNumId="1">
    <w:nsid w:val="0FDD3C8C"/>
    <w:multiLevelType w:val="hybridMultilevel"/>
    <w:tmpl w:val="36722A1C"/>
    <w:lvl w:ilvl="0" w:tplc="7230F77E">
      <w:start w:val="1"/>
      <w:numFmt w:val="decimal"/>
      <w:lvlText w:val="%1."/>
      <w:lvlJc w:val="left"/>
      <w:pPr>
        <w:ind w:left="720" w:hanging="360"/>
      </w:pPr>
    </w:lvl>
    <w:lvl w:ilvl="1" w:tplc="6728DA76" w:tentative="1">
      <w:start w:val="1"/>
      <w:numFmt w:val="lowerLetter"/>
      <w:lvlText w:val="%2."/>
      <w:lvlJc w:val="left"/>
      <w:pPr>
        <w:ind w:left="1440" w:hanging="360"/>
      </w:pPr>
    </w:lvl>
    <w:lvl w:ilvl="2" w:tplc="8242C3A8" w:tentative="1">
      <w:start w:val="1"/>
      <w:numFmt w:val="lowerRoman"/>
      <w:lvlText w:val="%3."/>
      <w:lvlJc w:val="right"/>
      <w:pPr>
        <w:ind w:left="2160" w:hanging="180"/>
      </w:pPr>
    </w:lvl>
    <w:lvl w:ilvl="3" w:tplc="B77ED634" w:tentative="1">
      <w:start w:val="1"/>
      <w:numFmt w:val="decimal"/>
      <w:lvlText w:val="%4."/>
      <w:lvlJc w:val="left"/>
      <w:pPr>
        <w:ind w:left="2880" w:hanging="360"/>
      </w:pPr>
    </w:lvl>
    <w:lvl w:ilvl="4" w:tplc="1766003E" w:tentative="1">
      <w:start w:val="1"/>
      <w:numFmt w:val="lowerLetter"/>
      <w:lvlText w:val="%5."/>
      <w:lvlJc w:val="left"/>
      <w:pPr>
        <w:ind w:left="3600" w:hanging="360"/>
      </w:pPr>
    </w:lvl>
    <w:lvl w:ilvl="5" w:tplc="A85E8D24" w:tentative="1">
      <w:start w:val="1"/>
      <w:numFmt w:val="lowerRoman"/>
      <w:lvlText w:val="%6."/>
      <w:lvlJc w:val="right"/>
      <w:pPr>
        <w:ind w:left="4320" w:hanging="180"/>
      </w:pPr>
    </w:lvl>
    <w:lvl w:ilvl="6" w:tplc="2640F1A4" w:tentative="1">
      <w:start w:val="1"/>
      <w:numFmt w:val="decimal"/>
      <w:lvlText w:val="%7."/>
      <w:lvlJc w:val="left"/>
      <w:pPr>
        <w:ind w:left="5040" w:hanging="360"/>
      </w:pPr>
    </w:lvl>
    <w:lvl w:ilvl="7" w:tplc="DA4EA142" w:tentative="1">
      <w:start w:val="1"/>
      <w:numFmt w:val="lowerLetter"/>
      <w:lvlText w:val="%8."/>
      <w:lvlJc w:val="left"/>
      <w:pPr>
        <w:ind w:left="5760" w:hanging="360"/>
      </w:pPr>
    </w:lvl>
    <w:lvl w:ilvl="8" w:tplc="FDF08502" w:tentative="1">
      <w:start w:val="1"/>
      <w:numFmt w:val="lowerRoman"/>
      <w:lvlText w:val="%9."/>
      <w:lvlJc w:val="right"/>
      <w:pPr>
        <w:ind w:left="6480" w:hanging="180"/>
      </w:pPr>
    </w:lvl>
  </w:abstractNum>
  <w:abstractNum w:abstractNumId="2">
    <w:nsid w:val="198D7E47"/>
    <w:multiLevelType w:val="hybridMultilevel"/>
    <w:tmpl w:val="2872FB94"/>
    <w:lvl w:ilvl="0" w:tplc="55D8C3BE">
      <w:start w:val="1"/>
      <w:numFmt w:val="bullet"/>
      <w:lvlText w:val=""/>
      <w:lvlJc w:val="left"/>
      <w:pPr>
        <w:ind w:left="720" w:hanging="360"/>
      </w:pPr>
      <w:rPr>
        <w:rFonts w:ascii="Symbol" w:hAnsi="Symbol" w:hint="default"/>
      </w:rPr>
    </w:lvl>
    <w:lvl w:ilvl="1" w:tplc="016CF496" w:tentative="1">
      <w:start w:val="1"/>
      <w:numFmt w:val="bullet"/>
      <w:lvlText w:val="o"/>
      <w:lvlJc w:val="left"/>
      <w:pPr>
        <w:ind w:left="1440" w:hanging="360"/>
      </w:pPr>
      <w:rPr>
        <w:rFonts w:ascii="Courier New" w:hAnsi="Courier New" w:cs="Courier New" w:hint="default"/>
      </w:rPr>
    </w:lvl>
    <w:lvl w:ilvl="2" w:tplc="A7027CFE" w:tentative="1">
      <w:start w:val="1"/>
      <w:numFmt w:val="bullet"/>
      <w:lvlText w:val=""/>
      <w:lvlJc w:val="left"/>
      <w:pPr>
        <w:ind w:left="2160" w:hanging="360"/>
      </w:pPr>
      <w:rPr>
        <w:rFonts w:ascii="Wingdings" w:hAnsi="Wingdings" w:hint="default"/>
      </w:rPr>
    </w:lvl>
    <w:lvl w:ilvl="3" w:tplc="BA1A0EE4" w:tentative="1">
      <w:start w:val="1"/>
      <w:numFmt w:val="bullet"/>
      <w:lvlText w:val=""/>
      <w:lvlJc w:val="left"/>
      <w:pPr>
        <w:ind w:left="2880" w:hanging="360"/>
      </w:pPr>
      <w:rPr>
        <w:rFonts w:ascii="Symbol" w:hAnsi="Symbol" w:hint="default"/>
      </w:rPr>
    </w:lvl>
    <w:lvl w:ilvl="4" w:tplc="9DEAA348" w:tentative="1">
      <w:start w:val="1"/>
      <w:numFmt w:val="bullet"/>
      <w:lvlText w:val="o"/>
      <w:lvlJc w:val="left"/>
      <w:pPr>
        <w:ind w:left="3600" w:hanging="360"/>
      </w:pPr>
      <w:rPr>
        <w:rFonts w:ascii="Courier New" w:hAnsi="Courier New" w:cs="Courier New" w:hint="default"/>
      </w:rPr>
    </w:lvl>
    <w:lvl w:ilvl="5" w:tplc="7C509490" w:tentative="1">
      <w:start w:val="1"/>
      <w:numFmt w:val="bullet"/>
      <w:lvlText w:val=""/>
      <w:lvlJc w:val="left"/>
      <w:pPr>
        <w:ind w:left="4320" w:hanging="360"/>
      </w:pPr>
      <w:rPr>
        <w:rFonts w:ascii="Wingdings" w:hAnsi="Wingdings" w:hint="default"/>
      </w:rPr>
    </w:lvl>
    <w:lvl w:ilvl="6" w:tplc="EDDA62B6" w:tentative="1">
      <w:start w:val="1"/>
      <w:numFmt w:val="bullet"/>
      <w:lvlText w:val=""/>
      <w:lvlJc w:val="left"/>
      <w:pPr>
        <w:ind w:left="5040" w:hanging="360"/>
      </w:pPr>
      <w:rPr>
        <w:rFonts w:ascii="Symbol" w:hAnsi="Symbol" w:hint="default"/>
      </w:rPr>
    </w:lvl>
    <w:lvl w:ilvl="7" w:tplc="59BE3746" w:tentative="1">
      <w:start w:val="1"/>
      <w:numFmt w:val="bullet"/>
      <w:lvlText w:val="o"/>
      <w:lvlJc w:val="left"/>
      <w:pPr>
        <w:ind w:left="5760" w:hanging="360"/>
      </w:pPr>
      <w:rPr>
        <w:rFonts w:ascii="Courier New" w:hAnsi="Courier New" w:cs="Courier New" w:hint="default"/>
      </w:rPr>
    </w:lvl>
    <w:lvl w:ilvl="8" w:tplc="E30E1036" w:tentative="1">
      <w:start w:val="1"/>
      <w:numFmt w:val="bullet"/>
      <w:lvlText w:val=""/>
      <w:lvlJc w:val="left"/>
      <w:pPr>
        <w:ind w:left="6480" w:hanging="360"/>
      </w:pPr>
      <w:rPr>
        <w:rFonts w:ascii="Wingdings" w:hAnsi="Wingdings" w:hint="default"/>
      </w:rPr>
    </w:lvl>
  </w:abstractNum>
  <w:abstractNum w:abstractNumId="3">
    <w:nsid w:val="1F734306"/>
    <w:multiLevelType w:val="multilevel"/>
    <w:tmpl w:val="ED1835A6"/>
    <w:lvl w:ilvl="0">
      <w:start w:val="1"/>
      <w:numFmt w:val="decimal"/>
      <w:lvlText w:val="%1."/>
      <w:lvlJc w:val="left"/>
      <w:pPr>
        <w:tabs>
          <w:tab w:val="num" w:pos="3599"/>
        </w:tabs>
        <w:ind w:left="3599" w:hanging="480"/>
      </w:pPr>
      <w:rPr>
        <w:rFonts w:hint="default"/>
      </w:rPr>
    </w:lvl>
    <w:lvl w:ilvl="1">
      <w:start w:val="1"/>
      <w:numFmt w:val="decimal"/>
      <w:lvlText w:val="%1.%2."/>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3272"/>
        </w:tabs>
        <w:ind w:left="3272" w:hanging="720"/>
      </w:pPr>
      <w:rPr>
        <w:rFonts w:hint="default"/>
        <w:b/>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6D856D7"/>
    <w:multiLevelType w:val="hybridMultilevel"/>
    <w:tmpl w:val="2C5ADBF4"/>
    <w:lvl w:ilvl="0" w:tplc="3C224694">
      <w:start w:val="1"/>
      <w:numFmt w:val="decimal"/>
      <w:lvlText w:val="%1."/>
      <w:lvlJc w:val="left"/>
      <w:pPr>
        <w:ind w:left="720" w:hanging="360"/>
      </w:pPr>
    </w:lvl>
    <w:lvl w:ilvl="1" w:tplc="F9B68480">
      <w:start w:val="1"/>
      <w:numFmt w:val="lowerLetter"/>
      <w:lvlText w:val="%2."/>
      <w:lvlJc w:val="left"/>
      <w:pPr>
        <w:ind w:left="1440" w:hanging="360"/>
      </w:pPr>
    </w:lvl>
    <w:lvl w:ilvl="2" w:tplc="C9A419F4" w:tentative="1">
      <w:start w:val="1"/>
      <w:numFmt w:val="lowerRoman"/>
      <w:lvlText w:val="%3."/>
      <w:lvlJc w:val="right"/>
      <w:pPr>
        <w:ind w:left="2160" w:hanging="180"/>
      </w:pPr>
    </w:lvl>
    <w:lvl w:ilvl="3" w:tplc="27F0A984" w:tentative="1">
      <w:start w:val="1"/>
      <w:numFmt w:val="decimal"/>
      <w:lvlText w:val="%4."/>
      <w:lvlJc w:val="left"/>
      <w:pPr>
        <w:ind w:left="2880" w:hanging="360"/>
      </w:pPr>
    </w:lvl>
    <w:lvl w:ilvl="4" w:tplc="CEB449FE" w:tentative="1">
      <w:start w:val="1"/>
      <w:numFmt w:val="lowerLetter"/>
      <w:lvlText w:val="%5."/>
      <w:lvlJc w:val="left"/>
      <w:pPr>
        <w:ind w:left="3600" w:hanging="360"/>
      </w:pPr>
    </w:lvl>
    <w:lvl w:ilvl="5" w:tplc="F80C9D54" w:tentative="1">
      <w:start w:val="1"/>
      <w:numFmt w:val="lowerRoman"/>
      <w:lvlText w:val="%6."/>
      <w:lvlJc w:val="right"/>
      <w:pPr>
        <w:ind w:left="4320" w:hanging="180"/>
      </w:pPr>
    </w:lvl>
    <w:lvl w:ilvl="6" w:tplc="2FF66472" w:tentative="1">
      <w:start w:val="1"/>
      <w:numFmt w:val="decimal"/>
      <w:lvlText w:val="%7."/>
      <w:lvlJc w:val="left"/>
      <w:pPr>
        <w:ind w:left="5040" w:hanging="360"/>
      </w:pPr>
    </w:lvl>
    <w:lvl w:ilvl="7" w:tplc="03ECB6FA" w:tentative="1">
      <w:start w:val="1"/>
      <w:numFmt w:val="lowerLetter"/>
      <w:lvlText w:val="%8."/>
      <w:lvlJc w:val="left"/>
      <w:pPr>
        <w:ind w:left="5760" w:hanging="360"/>
      </w:pPr>
    </w:lvl>
    <w:lvl w:ilvl="8" w:tplc="1F264950" w:tentative="1">
      <w:start w:val="1"/>
      <w:numFmt w:val="lowerRoman"/>
      <w:lvlText w:val="%9."/>
      <w:lvlJc w:val="right"/>
      <w:pPr>
        <w:ind w:left="6480" w:hanging="180"/>
      </w:pPr>
    </w:lvl>
  </w:abstractNum>
  <w:abstractNum w:abstractNumId="5">
    <w:nsid w:val="2B396CEE"/>
    <w:multiLevelType w:val="hybridMultilevel"/>
    <w:tmpl w:val="268C5564"/>
    <w:lvl w:ilvl="0" w:tplc="CBC4C054">
      <w:start w:val="1"/>
      <w:numFmt w:val="bullet"/>
      <w:lvlText w:val=""/>
      <w:lvlJc w:val="left"/>
      <w:pPr>
        <w:ind w:left="720" w:hanging="360"/>
      </w:pPr>
      <w:rPr>
        <w:rFonts w:ascii="Symbol" w:hAnsi="Symbol" w:hint="default"/>
      </w:rPr>
    </w:lvl>
    <w:lvl w:ilvl="1" w:tplc="D97E5050" w:tentative="1">
      <w:start w:val="1"/>
      <w:numFmt w:val="bullet"/>
      <w:lvlText w:val="o"/>
      <w:lvlJc w:val="left"/>
      <w:pPr>
        <w:ind w:left="1440" w:hanging="360"/>
      </w:pPr>
      <w:rPr>
        <w:rFonts w:ascii="Courier New" w:hAnsi="Courier New" w:cs="Courier New" w:hint="default"/>
      </w:rPr>
    </w:lvl>
    <w:lvl w:ilvl="2" w:tplc="8C948C10" w:tentative="1">
      <w:start w:val="1"/>
      <w:numFmt w:val="bullet"/>
      <w:lvlText w:val=""/>
      <w:lvlJc w:val="left"/>
      <w:pPr>
        <w:ind w:left="2160" w:hanging="360"/>
      </w:pPr>
      <w:rPr>
        <w:rFonts w:ascii="Wingdings" w:hAnsi="Wingdings" w:hint="default"/>
      </w:rPr>
    </w:lvl>
    <w:lvl w:ilvl="3" w:tplc="AF34FC74" w:tentative="1">
      <w:start w:val="1"/>
      <w:numFmt w:val="bullet"/>
      <w:lvlText w:val=""/>
      <w:lvlJc w:val="left"/>
      <w:pPr>
        <w:ind w:left="2880" w:hanging="360"/>
      </w:pPr>
      <w:rPr>
        <w:rFonts w:ascii="Symbol" w:hAnsi="Symbol" w:hint="default"/>
      </w:rPr>
    </w:lvl>
    <w:lvl w:ilvl="4" w:tplc="7C02C6D6" w:tentative="1">
      <w:start w:val="1"/>
      <w:numFmt w:val="bullet"/>
      <w:lvlText w:val="o"/>
      <w:lvlJc w:val="left"/>
      <w:pPr>
        <w:ind w:left="3600" w:hanging="360"/>
      </w:pPr>
      <w:rPr>
        <w:rFonts w:ascii="Courier New" w:hAnsi="Courier New" w:cs="Courier New" w:hint="default"/>
      </w:rPr>
    </w:lvl>
    <w:lvl w:ilvl="5" w:tplc="843A3666" w:tentative="1">
      <w:start w:val="1"/>
      <w:numFmt w:val="bullet"/>
      <w:lvlText w:val=""/>
      <w:lvlJc w:val="left"/>
      <w:pPr>
        <w:ind w:left="4320" w:hanging="360"/>
      </w:pPr>
      <w:rPr>
        <w:rFonts w:ascii="Wingdings" w:hAnsi="Wingdings" w:hint="default"/>
      </w:rPr>
    </w:lvl>
    <w:lvl w:ilvl="6" w:tplc="323A330C" w:tentative="1">
      <w:start w:val="1"/>
      <w:numFmt w:val="bullet"/>
      <w:lvlText w:val=""/>
      <w:lvlJc w:val="left"/>
      <w:pPr>
        <w:ind w:left="5040" w:hanging="360"/>
      </w:pPr>
      <w:rPr>
        <w:rFonts w:ascii="Symbol" w:hAnsi="Symbol" w:hint="default"/>
      </w:rPr>
    </w:lvl>
    <w:lvl w:ilvl="7" w:tplc="9A10CD18" w:tentative="1">
      <w:start w:val="1"/>
      <w:numFmt w:val="bullet"/>
      <w:lvlText w:val="o"/>
      <w:lvlJc w:val="left"/>
      <w:pPr>
        <w:ind w:left="5760" w:hanging="360"/>
      </w:pPr>
      <w:rPr>
        <w:rFonts w:ascii="Courier New" w:hAnsi="Courier New" w:cs="Courier New" w:hint="default"/>
      </w:rPr>
    </w:lvl>
    <w:lvl w:ilvl="8" w:tplc="C0C256AE" w:tentative="1">
      <w:start w:val="1"/>
      <w:numFmt w:val="bullet"/>
      <w:lvlText w:val=""/>
      <w:lvlJc w:val="left"/>
      <w:pPr>
        <w:ind w:left="6480" w:hanging="360"/>
      </w:pPr>
      <w:rPr>
        <w:rFonts w:ascii="Wingdings" w:hAnsi="Wingdings" w:hint="default"/>
      </w:rPr>
    </w:lvl>
  </w:abstractNum>
  <w:abstractNum w:abstractNumId="6">
    <w:nsid w:val="301C4CD9"/>
    <w:multiLevelType w:val="hybridMultilevel"/>
    <w:tmpl w:val="D466D386"/>
    <w:lvl w:ilvl="0" w:tplc="CD40CA6C">
      <w:start w:val="1"/>
      <w:numFmt w:val="bullet"/>
      <w:lvlText w:val=""/>
      <w:lvlJc w:val="left"/>
      <w:pPr>
        <w:ind w:left="360" w:hanging="360"/>
      </w:pPr>
      <w:rPr>
        <w:rFonts w:ascii="Symbol" w:hAnsi="Symbol" w:hint="default"/>
      </w:rPr>
    </w:lvl>
    <w:lvl w:ilvl="1" w:tplc="373A306A" w:tentative="1">
      <w:start w:val="1"/>
      <w:numFmt w:val="bullet"/>
      <w:lvlText w:val="o"/>
      <w:lvlJc w:val="left"/>
      <w:pPr>
        <w:ind w:left="1080" w:hanging="360"/>
      </w:pPr>
      <w:rPr>
        <w:rFonts w:ascii="Courier New" w:hAnsi="Courier New" w:cs="Courier New" w:hint="default"/>
      </w:rPr>
    </w:lvl>
    <w:lvl w:ilvl="2" w:tplc="E0A82F9C" w:tentative="1">
      <w:start w:val="1"/>
      <w:numFmt w:val="bullet"/>
      <w:lvlText w:val=""/>
      <w:lvlJc w:val="left"/>
      <w:pPr>
        <w:ind w:left="1800" w:hanging="360"/>
      </w:pPr>
      <w:rPr>
        <w:rFonts w:ascii="Wingdings" w:hAnsi="Wingdings" w:hint="default"/>
      </w:rPr>
    </w:lvl>
    <w:lvl w:ilvl="3" w:tplc="F30E2782" w:tentative="1">
      <w:start w:val="1"/>
      <w:numFmt w:val="bullet"/>
      <w:lvlText w:val=""/>
      <w:lvlJc w:val="left"/>
      <w:pPr>
        <w:ind w:left="2520" w:hanging="360"/>
      </w:pPr>
      <w:rPr>
        <w:rFonts w:ascii="Symbol" w:hAnsi="Symbol" w:hint="default"/>
      </w:rPr>
    </w:lvl>
    <w:lvl w:ilvl="4" w:tplc="29A29C40" w:tentative="1">
      <w:start w:val="1"/>
      <w:numFmt w:val="bullet"/>
      <w:lvlText w:val="o"/>
      <w:lvlJc w:val="left"/>
      <w:pPr>
        <w:ind w:left="3240" w:hanging="360"/>
      </w:pPr>
      <w:rPr>
        <w:rFonts w:ascii="Courier New" w:hAnsi="Courier New" w:cs="Courier New" w:hint="default"/>
      </w:rPr>
    </w:lvl>
    <w:lvl w:ilvl="5" w:tplc="B8D8EDA2" w:tentative="1">
      <w:start w:val="1"/>
      <w:numFmt w:val="bullet"/>
      <w:lvlText w:val=""/>
      <w:lvlJc w:val="left"/>
      <w:pPr>
        <w:ind w:left="3960" w:hanging="360"/>
      </w:pPr>
      <w:rPr>
        <w:rFonts w:ascii="Wingdings" w:hAnsi="Wingdings" w:hint="default"/>
      </w:rPr>
    </w:lvl>
    <w:lvl w:ilvl="6" w:tplc="0C86B098" w:tentative="1">
      <w:start w:val="1"/>
      <w:numFmt w:val="bullet"/>
      <w:lvlText w:val=""/>
      <w:lvlJc w:val="left"/>
      <w:pPr>
        <w:ind w:left="4680" w:hanging="360"/>
      </w:pPr>
      <w:rPr>
        <w:rFonts w:ascii="Symbol" w:hAnsi="Symbol" w:hint="default"/>
      </w:rPr>
    </w:lvl>
    <w:lvl w:ilvl="7" w:tplc="23E6A0DE" w:tentative="1">
      <w:start w:val="1"/>
      <w:numFmt w:val="bullet"/>
      <w:lvlText w:val="o"/>
      <w:lvlJc w:val="left"/>
      <w:pPr>
        <w:ind w:left="5400" w:hanging="360"/>
      </w:pPr>
      <w:rPr>
        <w:rFonts w:ascii="Courier New" w:hAnsi="Courier New" w:cs="Courier New" w:hint="default"/>
      </w:rPr>
    </w:lvl>
    <w:lvl w:ilvl="8" w:tplc="00CA80F8" w:tentative="1">
      <w:start w:val="1"/>
      <w:numFmt w:val="bullet"/>
      <w:lvlText w:val=""/>
      <w:lvlJc w:val="left"/>
      <w:pPr>
        <w:ind w:left="6120" w:hanging="360"/>
      </w:pPr>
      <w:rPr>
        <w:rFonts w:ascii="Wingdings" w:hAnsi="Wingdings" w:hint="default"/>
      </w:rPr>
    </w:lvl>
  </w:abstractNum>
  <w:abstractNum w:abstractNumId="7">
    <w:nsid w:val="31F715F6"/>
    <w:multiLevelType w:val="hybridMultilevel"/>
    <w:tmpl w:val="6D4A15F8"/>
    <w:lvl w:ilvl="0" w:tplc="EEACE60E">
      <w:start w:val="1"/>
      <w:numFmt w:val="bullet"/>
      <w:lvlText w:val=""/>
      <w:lvlJc w:val="left"/>
      <w:pPr>
        <w:ind w:left="720" w:hanging="360"/>
      </w:pPr>
      <w:rPr>
        <w:rFonts w:ascii="Symbol" w:hAnsi="Symbol" w:hint="default"/>
      </w:rPr>
    </w:lvl>
    <w:lvl w:ilvl="1" w:tplc="5CBABDC2" w:tentative="1">
      <w:start w:val="1"/>
      <w:numFmt w:val="bullet"/>
      <w:lvlText w:val="o"/>
      <w:lvlJc w:val="left"/>
      <w:pPr>
        <w:ind w:left="1440" w:hanging="360"/>
      </w:pPr>
      <w:rPr>
        <w:rFonts w:ascii="Courier New" w:hAnsi="Courier New" w:cs="Courier New" w:hint="default"/>
      </w:rPr>
    </w:lvl>
    <w:lvl w:ilvl="2" w:tplc="48DE041E" w:tentative="1">
      <w:start w:val="1"/>
      <w:numFmt w:val="bullet"/>
      <w:lvlText w:val=""/>
      <w:lvlJc w:val="left"/>
      <w:pPr>
        <w:ind w:left="2160" w:hanging="360"/>
      </w:pPr>
      <w:rPr>
        <w:rFonts w:ascii="Wingdings" w:hAnsi="Wingdings" w:hint="default"/>
      </w:rPr>
    </w:lvl>
    <w:lvl w:ilvl="3" w:tplc="62ACF562" w:tentative="1">
      <w:start w:val="1"/>
      <w:numFmt w:val="bullet"/>
      <w:lvlText w:val=""/>
      <w:lvlJc w:val="left"/>
      <w:pPr>
        <w:ind w:left="2880" w:hanging="360"/>
      </w:pPr>
      <w:rPr>
        <w:rFonts w:ascii="Symbol" w:hAnsi="Symbol" w:hint="default"/>
      </w:rPr>
    </w:lvl>
    <w:lvl w:ilvl="4" w:tplc="71649440" w:tentative="1">
      <w:start w:val="1"/>
      <w:numFmt w:val="bullet"/>
      <w:lvlText w:val="o"/>
      <w:lvlJc w:val="left"/>
      <w:pPr>
        <w:ind w:left="3600" w:hanging="360"/>
      </w:pPr>
      <w:rPr>
        <w:rFonts w:ascii="Courier New" w:hAnsi="Courier New" w:cs="Courier New" w:hint="default"/>
      </w:rPr>
    </w:lvl>
    <w:lvl w:ilvl="5" w:tplc="D17E7AEC" w:tentative="1">
      <w:start w:val="1"/>
      <w:numFmt w:val="bullet"/>
      <w:lvlText w:val=""/>
      <w:lvlJc w:val="left"/>
      <w:pPr>
        <w:ind w:left="4320" w:hanging="360"/>
      </w:pPr>
      <w:rPr>
        <w:rFonts w:ascii="Wingdings" w:hAnsi="Wingdings" w:hint="default"/>
      </w:rPr>
    </w:lvl>
    <w:lvl w:ilvl="6" w:tplc="18864A62" w:tentative="1">
      <w:start w:val="1"/>
      <w:numFmt w:val="bullet"/>
      <w:lvlText w:val=""/>
      <w:lvlJc w:val="left"/>
      <w:pPr>
        <w:ind w:left="5040" w:hanging="360"/>
      </w:pPr>
      <w:rPr>
        <w:rFonts w:ascii="Symbol" w:hAnsi="Symbol" w:hint="default"/>
      </w:rPr>
    </w:lvl>
    <w:lvl w:ilvl="7" w:tplc="F738DF48" w:tentative="1">
      <w:start w:val="1"/>
      <w:numFmt w:val="bullet"/>
      <w:lvlText w:val="o"/>
      <w:lvlJc w:val="left"/>
      <w:pPr>
        <w:ind w:left="5760" w:hanging="360"/>
      </w:pPr>
      <w:rPr>
        <w:rFonts w:ascii="Courier New" w:hAnsi="Courier New" w:cs="Courier New" w:hint="default"/>
      </w:rPr>
    </w:lvl>
    <w:lvl w:ilvl="8" w:tplc="809421E6" w:tentative="1">
      <w:start w:val="1"/>
      <w:numFmt w:val="bullet"/>
      <w:lvlText w:val=""/>
      <w:lvlJc w:val="left"/>
      <w:pPr>
        <w:ind w:left="6480" w:hanging="360"/>
      </w:pPr>
      <w:rPr>
        <w:rFonts w:ascii="Wingdings" w:hAnsi="Wingdings" w:hint="default"/>
      </w:rPr>
    </w:lvl>
  </w:abstractNum>
  <w:abstractNum w:abstractNumId="8">
    <w:nsid w:val="3EB857D8"/>
    <w:multiLevelType w:val="hybridMultilevel"/>
    <w:tmpl w:val="E9EED498"/>
    <w:lvl w:ilvl="0" w:tplc="EB80509C">
      <w:start w:val="1"/>
      <w:numFmt w:val="bullet"/>
      <w:lvlText w:val=""/>
      <w:lvlJc w:val="left"/>
      <w:pPr>
        <w:ind w:left="720" w:hanging="360"/>
      </w:pPr>
      <w:rPr>
        <w:rFonts w:ascii="Symbol" w:hAnsi="Symbol" w:hint="default"/>
      </w:rPr>
    </w:lvl>
    <w:lvl w:ilvl="1" w:tplc="C61226C2" w:tentative="1">
      <w:start w:val="1"/>
      <w:numFmt w:val="bullet"/>
      <w:lvlText w:val="o"/>
      <w:lvlJc w:val="left"/>
      <w:pPr>
        <w:ind w:left="1440" w:hanging="360"/>
      </w:pPr>
      <w:rPr>
        <w:rFonts w:ascii="Courier New" w:hAnsi="Courier New" w:cs="Courier New" w:hint="default"/>
      </w:rPr>
    </w:lvl>
    <w:lvl w:ilvl="2" w:tplc="27B6CF24" w:tentative="1">
      <w:start w:val="1"/>
      <w:numFmt w:val="bullet"/>
      <w:lvlText w:val=""/>
      <w:lvlJc w:val="left"/>
      <w:pPr>
        <w:ind w:left="2160" w:hanging="360"/>
      </w:pPr>
      <w:rPr>
        <w:rFonts w:ascii="Wingdings" w:hAnsi="Wingdings" w:hint="default"/>
      </w:rPr>
    </w:lvl>
    <w:lvl w:ilvl="3" w:tplc="231A1E9A" w:tentative="1">
      <w:start w:val="1"/>
      <w:numFmt w:val="bullet"/>
      <w:lvlText w:val=""/>
      <w:lvlJc w:val="left"/>
      <w:pPr>
        <w:ind w:left="2880" w:hanging="360"/>
      </w:pPr>
      <w:rPr>
        <w:rFonts w:ascii="Symbol" w:hAnsi="Symbol" w:hint="default"/>
      </w:rPr>
    </w:lvl>
    <w:lvl w:ilvl="4" w:tplc="5CC2FAF8" w:tentative="1">
      <w:start w:val="1"/>
      <w:numFmt w:val="bullet"/>
      <w:lvlText w:val="o"/>
      <w:lvlJc w:val="left"/>
      <w:pPr>
        <w:ind w:left="3600" w:hanging="360"/>
      </w:pPr>
      <w:rPr>
        <w:rFonts w:ascii="Courier New" w:hAnsi="Courier New" w:cs="Courier New" w:hint="default"/>
      </w:rPr>
    </w:lvl>
    <w:lvl w:ilvl="5" w:tplc="8B0A8318" w:tentative="1">
      <w:start w:val="1"/>
      <w:numFmt w:val="bullet"/>
      <w:lvlText w:val=""/>
      <w:lvlJc w:val="left"/>
      <w:pPr>
        <w:ind w:left="4320" w:hanging="360"/>
      </w:pPr>
      <w:rPr>
        <w:rFonts w:ascii="Wingdings" w:hAnsi="Wingdings" w:hint="default"/>
      </w:rPr>
    </w:lvl>
    <w:lvl w:ilvl="6" w:tplc="92705F2E" w:tentative="1">
      <w:start w:val="1"/>
      <w:numFmt w:val="bullet"/>
      <w:lvlText w:val=""/>
      <w:lvlJc w:val="left"/>
      <w:pPr>
        <w:ind w:left="5040" w:hanging="360"/>
      </w:pPr>
      <w:rPr>
        <w:rFonts w:ascii="Symbol" w:hAnsi="Symbol" w:hint="default"/>
      </w:rPr>
    </w:lvl>
    <w:lvl w:ilvl="7" w:tplc="BB5C32F2" w:tentative="1">
      <w:start w:val="1"/>
      <w:numFmt w:val="bullet"/>
      <w:lvlText w:val="o"/>
      <w:lvlJc w:val="left"/>
      <w:pPr>
        <w:ind w:left="5760" w:hanging="360"/>
      </w:pPr>
      <w:rPr>
        <w:rFonts w:ascii="Courier New" w:hAnsi="Courier New" w:cs="Courier New" w:hint="default"/>
      </w:rPr>
    </w:lvl>
    <w:lvl w:ilvl="8" w:tplc="EF8688F8" w:tentative="1">
      <w:start w:val="1"/>
      <w:numFmt w:val="bullet"/>
      <w:lvlText w:val=""/>
      <w:lvlJc w:val="left"/>
      <w:pPr>
        <w:ind w:left="6480" w:hanging="360"/>
      </w:pPr>
      <w:rPr>
        <w:rFonts w:ascii="Wingdings" w:hAnsi="Wingdings" w:hint="default"/>
      </w:rPr>
    </w:lvl>
  </w:abstractNum>
  <w:abstractNum w:abstractNumId="9">
    <w:nsid w:val="467B2D5D"/>
    <w:multiLevelType w:val="hybridMultilevel"/>
    <w:tmpl w:val="0F1E395E"/>
    <w:lvl w:ilvl="0" w:tplc="A5263A5A">
      <w:start w:val="1"/>
      <w:numFmt w:val="decimal"/>
      <w:lvlText w:val="%1."/>
      <w:lvlJc w:val="left"/>
      <w:pPr>
        <w:ind w:left="720" w:hanging="360"/>
      </w:pPr>
      <w:rPr>
        <w:color w:val="1F49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91B5B80"/>
    <w:multiLevelType w:val="hybridMultilevel"/>
    <w:tmpl w:val="24E82302"/>
    <w:lvl w:ilvl="0" w:tplc="15FE3526">
      <w:start w:val="1"/>
      <w:numFmt w:val="bullet"/>
      <w:lvlText w:val=""/>
      <w:lvlJc w:val="left"/>
      <w:pPr>
        <w:ind w:left="720" w:hanging="360"/>
      </w:pPr>
      <w:rPr>
        <w:rFonts w:ascii="Symbol" w:hAnsi="Symbol" w:hint="default"/>
      </w:rPr>
    </w:lvl>
    <w:lvl w:ilvl="1" w:tplc="6C128034" w:tentative="1">
      <w:start w:val="1"/>
      <w:numFmt w:val="bullet"/>
      <w:lvlText w:val="o"/>
      <w:lvlJc w:val="left"/>
      <w:pPr>
        <w:ind w:left="1440" w:hanging="360"/>
      </w:pPr>
      <w:rPr>
        <w:rFonts w:ascii="Courier New" w:hAnsi="Courier New" w:cs="Courier New" w:hint="default"/>
      </w:rPr>
    </w:lvl>
    <w:lvl w:ilvl="2" w:tplc="B47EC200" w:tentative="1">
      <w:start w:val="1"/>
      <w:numFmt w:val="bullet"/>
      <w:lvlText w:val=""/>
      <w:lvlJc w:val="left"/>
      <w:pPr>
        <w:ind w:left="2160" w:hanging="360"/>
      </w:pPr>
      <w:rPr>
        <w:rFonts w:ascii="Wingdings" w:hAnsi="Wingdings" w:hint="default"/>
      </w:rPr>
    </w:lvl>
    <w:lvl w:ilvl="3" w:tplc="2508F2D2" w:tentative="1">
      <w:start w:val="1"/>
      <w:numFmt w:val="bullet"/>
      <w:lvlText w:val=""/>
      <w:lvlJc w:val="left"/>
      <w:pPr>
        <w:ind w:left="2880" w:hanging="360"/>
      </w:pPr>
      <w:rPr>
        <w:rFonts w:ascii="Symbol" w:hAnsi="Symbol" w:hint="default"/>
      </w:rPr>
    </w:lvl>
    <w:lvl w:ilvl="4" w:tplc="EB7225E6" w:tentative="1">
      <w:start w:val="1"/>
      <w:numFmt w:val="bullet"/>
      <w:lvlText w:val="o"/>
      <w:lvlJc w:val="left"/>
      <w:pPr>
        <w:ind w:left="3600" w:hanging="360"/>
      </w:pPr>
      <w:rPr>
        <w:rFonts w:ascii="Courier New" w:hAnsi="Courier New" w:cs="Courier New" w:hint="default"/>
      </w:rPr>
    </w:lvl>
    <w:lvl w:ilvl="5" w:tplc="476C4782" w:tentative="1">
      <w:start w:val="1"/>
      <w:numFmt w:val="bullet"/>
      <w:lvlText w:val=""/>
      <w:lvlJc w:val="left"/>
      <w:pPr>
        <w:ind w:left="4320" w:hanging="360"/>
      </w:pPr>
      <w:rPr>
        <w:rFonts w:ascii="Wingdings" w:hAnsi="Wingdings" w:hint="default"/>
      </w:rPr>
    </w:lvl>
    <w:lvl w:ilvl="6" w:tplc="AA32F522" w:tentative="1">
      <w:start w:val="1"/>
      <w:numFmt w:val="bullet"/>
      <w:lvlText w:val=""/>
      <w:lvlJc w:val="left"/>
      <w:pPr>
        <w:ind w:left="5040" w:hanging="360"/>
      </w:pPr>
      <w:rPr>
        <w:rFonts w:ascii="Symbol" w:hAnsi="Symbol" w:hint="default"/>
      </w:rPr>
    </w:lvl>
    <w:lvl w:ilvl="7" w:tplc="E44E036C" w:tentative="1">
      <w:start w:val="1"/>
      <w:numFmt w:val="bullet"/>
      <w:lvlText w:val="o"/>
      <w:lvlJc w:val="left"/>
      <w:pPr>
        <w:ind w:left="5760" w:hanging="360"/>
      </w:pPr>
      <w:rPr>
        <w:rFonts w:ascii="Courier New" w:hAnsi="Courier New" w:cs="Courier New" w:hint="default"/>
      </w:rPr>
    </w:lvl>
    <w:lvl w:ilvl="8" w:tplc="BC328104" w:tentative="1">
      <w:start w:val="1"/>
      <w:numFmt w:val="bullet"/>
      <w:lvlText w:val=""/>
      <w:lvlJc w:val="left"/>
      <w:pPr>
        <w:ind w:left="6480" w:hanging="360"/>
      </w:pPr>
      <w:rPr>
        <w:rFonts w:ascii="Wingdings" w:hAnsi="Wingdings" w:hint="default"/>
      </w:rPr>
    </w:lvl>
  </w:abstractNum>
  <w:abstractNum w:abstractNumId="11">
    <w:nsid w:val="4AF43DE4"/>
    <w:multiLevelType w:val="hybridMultilevel"/>
    <w:tmpl w:val="A1302EA2"/>
    <w:lvl w:ilvl="0" w:tplc="1F52F78C">
      <w:start w:val="1"/>
      <w:numFmt w:val="decimal"/>
      <w:lvlText w:val="%1."/>
      <w:lvlJc w:val="left"/>
      <w:pPr>
        <w:ind w:left="720" w:hanging="360"/>
      </w:pPr>
      <w:rPr>
        <w:rFonts w:hint="default"/>
      </w:rPr>
    </w:lvl>
    <w:lvl w:ilvl="1" w:tplc="59267276" w:tentative="1">
      <w:start w:val="1"/>
      <w:numFmt w:val="lowerLetter"/>
      <w:lvlText w:val="%2."/>
      <w:lvlJc w:val="left"/>
      <w:pPr>
        <w:ind w:left="1440" w:hanging="360"/>
      </w:pPr>
    </w:lvl>
    <w:lvl w:ilvl="2" w:tplc="B096FE1A" w:tentative="1">
      <w:start w:val="1"/>
      <w:numFmt w:val="lowerRoman"/>
      <w:lvlText w:val="%3."/>
      <w:lvlJc w:val="right"/>
      <w:pPr>
        <w:ind w:left="2160" w:hanging="180"/>
      </w:pPr>
    </w:lvl>
    <w:lvl w:ilvl="3" w:tplc="C706BEE4" w:tentative="1">
      <w:start w:val="1"/>
      <w:numFmt w:val="decimal"/>
      <w:lvlText w:val="%4."/>
      <w:lvlJc w:val="left"/>
      <w:pPr>
        <w:ind w:left="2880" w:hanging="360"/>
      </w:pPr>
    </w:lvl>
    <w:lvl w:ilvl="4" w:tplc="DEE481E2" w:tentative="1">
      <w:start w:val="1"/>
      <w:numFmt w:val="lowerLetter"/>
      <w:lvlText w:val="%5."/>
      <w:lvlJc w:val="left"/>
      <w:pPr>
        <w:ind w:left="3600" w:hanging="360"/>
      </w:pPr>
    </w:lvl>
    <w:lvl w:ilvl="5" w:tplc="2FA4EF6A" w:tentative="1">
      <w:start w:val="1"/>
      <w:numFmt w:val="lowerRoman"/>
      <w:lvlText w:val="%6."/>
      <w:lvlJc w:val="right"/>
      <w:pPr>
        <w:ind w:left="4320" w:hanging="180"/>
      </w:pPr>
    </w:lvl>
    <w:lvl w:ilvl="6" w:tplc="4E543BF6" w:tentative="1">
      <w:start w:val="1"/>
      <w:numFmt w:val="decimal"/>
      <w:lvlText w:val="%7."/>
      <w:lvlJc w:val="left"/>
      <w:pPr>
        <w:ind w:left="5040" w:hanging="360"/>
      </w:pPr>
    </w:lvl>
    <w:lvl w:ilvl="7" w:tplc="9E8E4B6C" w:tentative="1">
      <w:start w:val="1"/>
      <w:numFmt w:val="lowerLetter"/>
      <w:lvlText w:val="%8."/>
      <w:lvlJc w:val="left"/>
      <w:pPr>
        <w:ind w:left="5760" w:hanging="360"/>
      </w:pPr>
    </w:lvl>
    <w:lvl w:ilvl="8" w:tplc="C6F08072" w:tentative="1">
      <w:start w:val="1"/>
      <w:numFmt w:val="lowerRoman"/>
      <w:lvlText w:val="%9."/>
      <w:lvlJc w:val="right"/>
      <w:pPr>
        <w:ind w:left="6480" w:hanging="180"/>
      </w:pPr>
    </w:lvl>
  </w:abstractNum>
  <w:abstractNum w:abstractNumId="12">
    <w:nsid w:val="546152B9"/>
    <w:multiLevelType w:val="hybridMultilevel"/>
    <w:tmpl w:val="60283CA4"/>
    <w:lvl w:ilvl="0" w:tplc="3D5A2DAA">
      <w:start w:val="1"/>
      <w:numFmt w:val="decimal"/>
      <w:lvlText w:val="%1."/>
      <w:lvlJc w:val="left"/>
      <w:pPr>
        <w:ind w:left="720" w:hanging="360"/>
      </w:pPr>
    </w:lvl>
    <w:lvl w:ilvl="1" w:tplc="5492D134" w:tentative="1">
      <w:start w:val="1"/>
      <w:numFmt w:val="lowerLetter"/>
      <w:lvlText w:val="%2."/>
      <w:lvlJc w:val="left"/>
      <w:pPr>
        <w:ind w:left="1440" w:hanging="360"/>
      </w:pPr>
    </w:lvl>
    <w:lvl w:ilvl="2" w:tplc="331E5C3C" w:tentative="1">
      <w:start w:val="1"/>
      <w:numFmt w:val="lowerRoman"/>
      <w:lvlText w:val="%3."/>
      <w:lvlJc w:val="right"/>
      <w:pPr>
        <w:ind w:left="2160" w:hanging="180"/>
      </w:pPr>
    </w:lvl>
    <w:lvl w:ilvl="3" w:tplc="F89621AA" w:tentative="1">
      <w:start w:val="1"/>
      <w:numFmt w:val="decimal"/>
      <w:lvlText w:val="%4."/>
      <w:lvlJc w:val="left"/>
      <w:pPr>
        <w:ind w:left="2880" w:hanging="360"/>
      </w:pPr>
    </w:lvl>
    <w:lvl w:ilvl="4" w:tplc="E544E62C" w:tentative="1">
      <w:start w:val="1"/>
      <w:numFmt w:val="lowerLetter"/>
      <w:lvlText w:val="%5."/>
      <w:lvlJc w:val="left"/>
      <w:pPr>
        <w:ind w:left="3600" w:hanging="360"/>
      </w:pPr>
    </w:lvl>
    <w:lvl w:ilvl="5" w:tplc="C888B96C" w:tentative="1">
      <w:start w:val="1"/>
      <w:numFmt w:val="lowerRoman"/>
      <w:lvlText w:val="%6."/>
      <w:lvlJc w:val="right"/>
      <w:pPr>
        <w:ind w:left="4320" w:hanging="180"/>
      </w:pPr>
    </w:lvl>
    <w:lvl w:ilvl="6" w:tplc="00564C14" w:tentative="1">
      <w:start w:val="1"/>
      <w:numFmt w:val="decimal"/>
      <w:lvlText w:val="%7."/>
      <w:lvlJc w:val="left"/>
      <w:pPr>
        <w:ind w:left="5040" w:hanging="360"/>
      </w:pPr>
    </w:lvl>
    <w:lvl w:ilvl="7" w:tplc="1E365BA8" w:tentative="1">
      <w:start w:val="1"/>
      <w:numFmt w:val="lowerLetter"/>
      <w:lvlText w:val="%8."/>
      <w:lvlJc w:val="left"/>
      <w:pPr>
        <w:ind w:left="5760" w:hanging="360"/>
      </w:pPr>
    </w:lvl>
    <w:lvl w:ilvl="8" w:tplc="AC1AE5D8" w:tentative="1">
      <w:start w:val="1"/>
      <w:numFmt w:val="lowerRoman"/>
      <w:lvlText w:val="%9."/>
      <w:lvlJc w:val="right"/>
      <w:pPr>
        <w:ind w:left="6480" w:hanging="180"/>
      </w:pPr>
    </w:lvl>
  </w:abstractNum>
  <w:abstractNum w:abstractNumId="13">
    <w:nsid w:val="5E5E15A1"/>
    <w:multiLevelType w:val="hybridMultilevel"/>
    <w:tmpl w:val="E48A40A2"/>
    <w:lvl w:ilvl="0" w:tplc="C1D6C2C6">
      <w:start w:val="1"/>
      <w:numFmt w:val="bullet"/>
      <w:lvlText w:val=""/>
      <w:lvlJc w:val="left"/>
      <w:pPr>
        <w:ind w:left="720" w:hanging="360"/>
      </w:pPr>
      <w:rPr>
        <w:rFonts w:ascii="Symbol" w:hAnsi="Symbol" w:hint="default"/>
      </w:rPr>
    </w:lvl>
    <w:lvl w:ilvl="1" w:tplc="E0C2075A" w:tentative="1">
      <w:start w:val="1"/>
      <w:numFmt w:val="bullet"/>
      <w:lvlText w:val="o"/>
      <w:lvlJc w:val="left"/>
      <w:pPr>
        <w:ind w:left="1440" w:hanging="360"/>
      </w:pPr>
      <w:rPr>
        <w:rFonts w:ascii="Courier New" w:hAnsi="Courier New" w:cs="Courier New" w:hint="default"/>
      </w:rPr>
    </w:lvl>
    <w:lvl w:ilvl="2" w:tplc="5E2067EA" w:tentative="1">
      <w:start w:val="1"/>
      <w:numFmt w:val="bullet"/>
      <w:lvlText w:val=""/>
      <w:lvlJc w:val="left"/>
      <w:pPr>
        <w:ind w:left="2160" w:hanging="360"/>
      </w:pPr>
      <w:rPr>
        <w:rFonts w:ascii="Wingdings" w:hAnsi="Wingdings" w:hint="default"/>
      </w:rPr>
    </w:lvl>
    <w:lvl w:ilvl="3" w:tplc="D87C974E" w:tentative="1">
      <w:start w:val="1"/>
      <w:numFmt w:val="bullet"/>
      <w:lvlText w:val=""/>
      <w:lvlJc w:val="left"/>
      <w:pPr>
        <w:ind w:left="2880" w:hanging="360"/>
      </w:pPr>
      <w:rPr>
        <w:rFonts w:ascii="Symbol" w:hAnsi="Symbol" w:hint="default"/>
      </w:rPr>
    </w:lvl>
    <w:lvl w:ilvl="4" w:tplc="05003106" w:tentative="1">
      <w:start w:val="1"/>
      <w:numFmt w:val="bullet"/>
      <w:lvlText w:val="o"/>
      <w:lvlJc w:val="left"/>
      <w:pPr>
        <w:ind w:left="3600" w:hanging="360"/>
      </w:pPr>
      <w:rPr>
        <w:rFonts w:ascii="Courier New" w:hAnsi="Courier New" w:cs="Courier New" w:hint="default"/>
      </w:rPr>
    </w:lvl>
    <w:lvl w:ilvl="5" w:tplc="FD66BC1C" w:tentative="1">
      <w:start w:val="1"/>
      <w:numFmt w:val="bullet"/>
      <w:lvlText w:val=""/>
      <w:lvlJc w:val="left"/>
      <w:pPr>
        <w:ind w:left="4320" w:hanging="360"/>
      </w:pPr>
      <w:rPr>
        <w:rFonts w:ascii="Wingdings" w:hAnsi="Wingdings" w:hint="default"/>
      </w:rPr>
    </w:lvl>
    <w:lvl w:ilvl="6" w:tplc="0AACA816" w:tentative="1">
      <w:start w:val="1"/>
      <w:numFmt w:val="bullet"/>
      <w:lvlText w:val=""/>
      <w:lvlJc w:val="left"/>
      <w:pPr>
        <w:ind w:left="5040" w:hanging="360"/>
      </w:pPr>
      <w:rPr>
        <w:rFonts w:ascii="Symbol" w:hAnsi="Symbol" w:hint="default"/>
      </w:rPr>
    </w:lvl>
    <w:lvl w:ilvl="7" w:tplc="DFC631C0" w:tentative="1">
      <w:start w:val="1"/>
      <w:numFmt w:val="bullet"/>
      <w:lvlText w:val="o"/>
      <w:lvlJc w:val="left"/>
      <w:pPr>
        <w:ind w:left="5760" w:hanging="360"/>
      </w:pPr>
      <w:rPr>
        <w:rFonts w:ascii="Courier New" w:hAnsi="Courier New" w:cs="Courier New" w:hint="default"/>
      </w:rPr>
    </w:lvl>
    <w:lvl w:ilvl="8" w:tplc="20CC7A46" w:tentative="1">
      <w:start w:val="1"/>
      <w:numFmt w:val="bullet"/>
      <w:lvlText w:val=""/>
      <w:lvlJc w:val="left"/>
      <w:pPr>
        <w:ind w:left="6480" w:hanging="360"/>
      </w:pPr>
      <w:rPr>
        <w:rFonts w:ascii="Wingdings" w:hAnsi="Wingdings" w:hint="default"/>
      </w:rPr>
    </w:lvl>
  </w:abstractNum>
  <w:abstractNum w:abstractNumId="14">
    <w:nsid w:val="63046812"/>
    <w:multiLevelType w:val="hybridMultilevel"/>
    <w:tmpl w:val="BFE0718E"/>
    <w:lvl w:ilvl="0" w:tplc="0F5ED084">
      <w:start w:val="1"/>
      <w:numFmt w:val="bullet"/>
      <w:lvlText w:val=""/>
      <w:lvlJc w:val="left"/>
      <w:pPr>
        <w:ind w:left="840" w:hanging="360"/>
      </w:pPr>
      <w:rPr>
        <w:rFonts w:ascii="Symbol" w:hAnsi="Symbol" w:hint="default"/>
      </w:rPr>
    </w:lvl>
    <w:lvl w:ilvl="1" w:tplc="F5C42C4A" w:tentative="1">
      <w:start w:val="1"/>
      <w:numFmt w:val="bullet"/>
      <w:lvlText w:val="o"/>
      <w:lvlJc w:val="left"/>
      <w:pPr>
        <w:ind w:left="1560" w:hanging="360"/>
      </w:pPr>
      <w:rPr>
        <w:rFonts w:ascii="Courier New" w:hAnsi="Courier New" w:cs="Courier New" w:hint="default"/>
      </w:rPr>
    </w:lvl>
    <w:lvl w:ilvl="2" w:tplc="8E1A135A" w:tentative="1">
      <w:start w:val="1"/>
      <w:numFmt w:val="bullet"/>
      <w:lvlText w:val=""/>
      <w:lvlJc w:val="left"/>
      <w:pPr>
        <w:ind w:left="2280" w:hanging="360"/>
      </w:pPr>
      <w:rPr>
        <w:rFonts w:ascii="Wingdings" w:hAnsi="Wingdings" w:hint="default"/>
      </w:rPr>
    </w:lvl>
    <w:lvl w:ilvl="3" w:tplc="C29C8A50" w:tentative="1">
      <w:start w:val="1"/>
      <w:numFmt w:val="bullet"/>
      <w:lvlText w:val=""/>
      <w:lvlJc w:val="left"/>
      <w:pPr>
        <w:ind w:left="3000" w:hanging="360"/>
      </w:pPr>
      <w:rPr>
        <w:rFonts w:ascii="Symbol" w:hAnsi="Symbol" w:hint="default"/>
      </w:rPr>
    </w:lvl>
    <w:lvl w:ilvl="4" w:tplc="A41E8E3E" w:tentative="1">
      <w:start w:val="1"/>
      <w:numFmt w:val="bullet"/>
      <w:lvlText w:val="o"/>
      <w:lvlJc w:val="left"/>
      <w:pPr>
        <w:ind w:left="3720" w:hanging="360"/>
      </w:pPr>
      <w:rPr>
        <w:rFonts w:ascii="Courier New" w:hAnsi="Courier New" w:cs="Courier New" w:hint="default"/>
      </w:rPr>
    </w:lvl>
    <w:lvl w:ilvl="5" w:tplc="483818CE" w:tentative="1">
      <w:start w:val="1"/>
      <w:numFmt w:val="bullet"/>
      <w:lvlText w:val=""/>
      <w:lvlJc w:val="left"/>
      <w:pPr>
        <w:ind w:left="4440" w:hanging="360"/>
      </w:pPr>
      <w:rPr>
        <w:rFonts w:ascii="Wingdings" w:hAnsi="Wingdings" w:hint="default"/>
      </w:rPr>
    </w:lvl>
    <w:lvl w:ilvl="6" w:tplc="E416E150" w:tentative="1">
      <w:start w:val="1"/>
      <w:numFmt w:val="bullet"/>
      <w:lvlText w:val=""/>
      <w:lvlJc w:val="left"/>
      <w:pPr>
        <w:ind w:left="5160" w:hanging="360"/>
      </w:pPr>
      <w:rPr>
        <w:rFonts w:ascii="Symbol" w:hAnsi="Symbol" w:hint="default"/>
      </w:rPr>
    </w:lvl>
    <w:lvl w:ilvl="7" w:tplc="584244AE" w:tentative="1">
      <w:start w:val="1"/>
      <w:numFmt w:val="bullet"/>
      <w:lvlText w:val="o"/>
      <w:lvlJc w:val="left"/>
      <w:pPr>
        <w:ind w:left="5880" w:hanging="360"/>
      </w:pPr>
      <w:rPr>
        <w:rFonts w:ascii="Courier New" w:hAnsi="Courier New" w:cs="Courier New" w:hint="default"/>
      </w:rPr>
    </w:lvl>
    <w:lvl w:ilvl="8" w:tplc="4EE05780" w:tentative="1">
      <w:start w:val="1"/>
      <w:numFmt w:val="bullet"/>
      <w:lvlText w:val=""/>
      <w:lvlJc w:val="left"/>
      <w:pPr>
        <w:ind w:left="6600" w:hanging="360"/>
      </w:pPr>
      <w:rPr>
        <w:rFonts w:ascii="Wingdings" w:hAnsi="Wingdings" w:hint="default"/>
      </w:rPr>
    </w:lvl>
  </w:abstractNum>
  <w:abstractNum w:abstractNumId="15">
    <w:nsid w:val="7A1F4E22"/>
    <w:multiLevelType w:val="hybridMultilevel"/>
    <w:tmpl w:val="14D0B666"/>
    <w:lvl w:ilvl="0" w:tplc="084EF4F8">
      <w:numFmt w:val="bullet"/>
      <w:lvlText w:val="-"/>
      <w:lvlJc w:val="left"/>
      <w:pPr>
        <w:ind w:left="720" w:hanging="360"/>
      </w:pPr>
      <w:rPr>
        <w:rFonts w:ascii="Times New Roman" w:eastAsiaTheme="minorHAnsi" w:hAnsi="Times New Roman" w:cs="Times New Roman" w:hint="default"/>
      </w:rPr>
    </w:lvl>
    <w:lvl w:ilvl="1" w:tplc="8498208A" w:tentative="1">
      <w:start w:val="1"/>
      <w:numFmt w:val="bullet"/>
      <w:lvlText w:val="o"/>
      <w:lvlJc w:val="left"/>
      <w:pPr>
        <w:ind w:left="1440" w:hanging="360"/>
      </w:pPr>
      <w:rPr>
        <w:rFonts w:ascii="Courier New" w:hAnsi="Courier New" w:cs="Courier New" w:hint="default"/>
      </w:rPr>
    </w:lvl>
    <w:lvl w:ilvl="2" w:tplc="CC8A658A" w:tentative="1">
      <w:start w:val="1"/>
      <w:numFmt w:val="bullet"/>
      <w:lvlText w:val=""/>
      <w:lvlJc w:val="left"/>
      <w:pPr>
        <w:ind w:left="2160" w:hanging="360"/>
      </w:pPr>
      <w:rPr>
        <w:rFonts w:ascii="Wingdings" w:hAnsi="Wingdings" w:hint="default"/>
      </w:rPr>
    </w:lvl>
    <w:lvl w:ilvl="3" w:tplc="EB5260EC" w:tentative="1">
      <w:start w:val="1"/>
      <w:numFmt w:val="bullet"/>
      <w:lvlText w:val=""/>
      <w:lvlJc w:val="left"/>
      <w:pPr>
        <w:ind w:left="2880" w:hanging="360"/>
      </w:pPr>
      <w:rPr>
        <w:rFonts w:ascii="Symbol" w:hAnsi="Symbol" w:hint="default"/>
      </w:rPr>
    </w:lvl>
    <w:lvl w:ilvl="4" w:tplc="9F96B99E" w:tentative="1">
      <w:start w:val="1"/>
      <w:numFmt w:val="bullet"/>
      <w:lvlText w:val="o"/>
      <w:lvlJc w:val="left"/>
      <w:pPr>
        <w:ind w:left="3600" w:hanging="360"/>
      </w:pPr>
      <w:rPr>
        <w:rFonts w:ascii="Courier New" w:hAnsi="Courier New" w:cs="Courier New" w:hint="default"/>
      </w:rPr>
    </w:lvl>
    <w:lvl w:ilvl="5" w:tplc="9BF81D3A" w:tentative="1">
      <w:start w:val="1"/>
      <w:numFmt w:val="bullet"/>
      <w:lvlText w:val=""/>
      <w:lvlJc w:val="left"/>
      <w:pPr>
        <w:ind w:left="4320" w:hanging="360"/>
      </w:pPr>
      <w:rPr>
        <w:rFonts w:ascii="Wingdings" w:hAnsi="Wingdings" w:hint="default"/>
      </w:rPr>
    </w:lvl>
    <w:lvl w:ilvl="6" w:tplc="C3AAF572" w:tentative="1">
      <w:start w:val="1"/>
      <w:numFmt w:val="bullet"/>
      <w:lvlText w:val=""/>
      <w:lvlJc w:val="left"/>
      <w:pPr>
        <w:ind w:left="5040" w:hanging="360"/>
      </w:pPr>
      <w:rPr>
        <w:rFonts w:ascii="Symbol" w:hAnsi="Symbol" w:hint="default"/>
      </w:rPr>
    </w:lvl>
    <w:lvl w:ilvl="7" w:tplc="A5BE147E" w:tentative="1">
      <w:start w:val="1"/>
      <w:numFmt w:val="bullet"/>
      <w:lvlText w:val="o"/>
      <w:lvlJc w:val="left"/>
      <w:pPr>
        <w:ind w:left="5760" w:hanging="360"/>
      </w:pPr>
      <w:rPr>
        <w:rFonts w:ascii="Courier New" w:hAnsi="Courier New" w:cs="Courier New" w:hint="default"/>
      </w:rPr>
    </w:lvl>
    <w:lvl w:ilvl="8" w:tplc="A122335E" w:tentative="1">
      <w:start w:val="1"/>
      <w:numFmt w:val="bullet"/>
      <w:lvlText w:val=""/>
      <w:lvlJc w:val="left"/>
      <w:pPr>
        <w:ind w:left="6480" w:hanging="360"/>
      </w:pPr>
      <w:rPr>
        <w:rFonts w:ascii="Wingdings" w:hAnsi="Wingdings" w:hint="default"/>
      </w:rPr>
    </w:lvl>
  </w:abstractNum>
  <w:abstractNum w:abstractNumId="16">
    <w:nsid w:val="7A1F4E23"/>
    <w:multiLevelType w:val="multilevel"/>
    <w:tmpl w:val="ED1835A6"/>
    <w:lvl w:ilvl="0">
      <w:start w:val="1"/>
      <w:numFmt w:val="decimal"/>
      <w:lvlText w:val="%1."/>
      <w:lvlJc w:val="left"/>
      <w:pPr>
        <w:tabs>
          <w:tab w:val="num" w:pos="3599"/>
        </w:tabs>
        <w:ind w:left="3599" w:hanging="480"/>
      </w:pPr>
      <w:rPr>
        <w:rFonts w:hint="default"/>
      </w:rPr>
    </w:lvl>
    <w:lvl w:ilvl="1">
      <w:start w:val="1"/>
      <w:numFmt w:val="decimal"/>
      <w:lvlText w:val="%1.%2."/>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3272"/>
        </w:tabs>
        <w:ind w:left="3272" w:hanging="720"/>
      </w:pPr>
      <w:rPr>
        <w:rFonts w:hint="default"/>
        <w:b/>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CFE679A"/>
    <w:multiLevelType w:val="hybridMultilevel"/>
    <w:tmpl w:val="A702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8"/>
  </w:num>
  <w:num w:numId="6">
    <w:abstractNumId w:val="14"/>
  </w:num>
  <w:num w:numId="7">
    <w:abstractNumId w:val="5"/>
  </w:num>
  <w:num w:numId="8">
    <w:abstractNumId w:val="1"/>
  </w:num>
  <w:num w:numId="9">
    <w:abstractNumId w:val="7"/>
  </w:num>
  <w:num w:numId="10">
    <w:abstractNumId w:val="10"/>
  </w:num>
  <w:num w:numId="11">
    <w:abstractNumId w:val="13"/>
  </w:num>
  <w:num w:numId="12">
    <w:abstractNumId w:val="11"/>
  </w:num>
  <w:num w:numId="13">
    <w:abstractNumId w:val="2"/>
  </w:num>
  <w:num w:numId="14">
    <w:abstractNumId w:val="12"/>
  </w:num>
  <w:num w:numId="15">
    <w:abstractNumId w:val="15"/>
  </w:num>
  <w:num w:numId="16">
    <w:abstractNumId w:val="16"/>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4E4872935853423D8E0491EAE1CC07E9"/>
    <w:docVar w:name="LW_CROSSREFERENCE" w:val="&lt;UNUSED&gt;"/>
    <w:docVar w:name="LW_DocType" w:val="NORMAL"/>
    <w:docVar w:name="LW_EMISSION" w:val="19.7.2017"/>
    <w:docVar w:name="LW_EMISSION_ISODATE" w:val="2017-07-19"/>
    <w:docVar w:name="LW_EMISSION_LOCATION" w:val="BRX"/>
    <w:docVar w:name="LW_EMISSION_PREFIX" w:val="\u1041?\u1088?\u1102?\u1082?\u1089?\u1077?\u1083?, "/>
    <w:docVar w:name="LW_EMISSION_SUFFIX" w:val=" \u1075?."/>
    <w:docVar w:name="LW_ID_DOCTYPE_NONLW" w:val="CP-018"/>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7) 30"/>
    <w:docVar w:name="LW_REF.INTERNE" w:val="&lt;UNUSED&gt;"/>
    <w:docVar w:name="LW_SOUS.TITRE.OBJ.CP" w:val="&lt;UNUSED&gt;"/>
    <w:docVar w:name="LW_SUPERTITRE" w:val="&lt;UNUSED&gt;"/>
    <w:docVar w:name="LW_TITRE.OBJ.CP" w:val="\u1086?\u1090?\u1085?\u1086?\u1089?\u1085?\u1086? \u1080?\u1079?\u1087?\u1098?\u1083?\u1085?\u1077?\u1085?\u1080?\u1077?\u1090?\u1086? \u1085?\u1072? \u1057?\u1098?\u1074?\u1084?\u1077?\u1089?\u1090?\u1085?\u1072?\u1090?\u1072? \u1088?\u1072?\u1084?\u1082?\u1072? \u1079?\u1072? \u1073?\u1086?\u1088?\u1073?\u1072? \u1089? \u1093?\u1080?\u1073?\u1088?\u1080?\u1076?\u1085?\u1080?\u1090?\u1077? \u1079?\u1072?\u1087?\u1083?\u1072?\u1093?\u1080? \u8212? \u1086?\u1090?\u1074?\u1077?\u1090?\u1085?\u1080? \u1076?\u1077?\u1081?\u1089?\u1090?\u1074?\u1080?\u1103? \u1085?\u1072? \u1045?\u1074?\u1088?\u1086?\u1087?\u1077?\u1081?\u1089?\u1082?\u1080?\u1103? \u1089?\u1098?\u1102?\u1079?"/>
    <w:docVar w:name="LW_TYPE.DOC.CP" w:val="\u1057?\u1066?\u1042?\u1052?\u1045?\u1057?\u1058?\u1045?\u1053? \u1044?\u1054?\u1050?\u1051?\u1040?\u1044? \u1044?\u1054? \u1045?\u1042?\u1056?\u1054?\u1055?\u1045?\u1049?\u1057?\u1050?\u1048?\u1071? \u1055?\u1040?\u1056?\u1051?\u1040?\u1052?\u1045?\u1053?\u1058? \u1048? \u1057?\u1066?\u1042?\u1045?\u1058?\u1040?"/>
  </w:docVars>
  <w:rsids>
    <w:rsidRoot w:val="007F5454"/>
    <w:rsid w:val="007F5454"/>
    <w:rsid w:val="0085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spacing w:after="240"/>
      <w:jc w:val="both"/>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qFormat/>
    <w:pPr>
      <w:keepNext/>
      <w:spacing w:after="24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Footnote Text Char1,Footnote Text Char1 Char Char Char Char,Footnote Text Char1 Char Char1,Fußnote,Schriftart: 10 pt,Schriftart: 8 pt,Schriftart: 9 pt,WB-Fußnotentext,stile 1,Fußno"/>
    <w:basedOn w:val="Normal"/>
    <w:link w:val="FootnoteTextChar"/>
    <w:uiPriority w:val="99"/>
    <w:unhideWhenUsed/>
    <w:qFormat/>
    <w:rPr>
      <w:sz w:val="20"/>
      <w:szCs w:val="20"/>
    </w:rPr>
  </w:style>
  <w:style w:type="character" w:customStyle="1" w:styleId="FootnoteTextChar">
    <w:name w:val="Footnote Text Char"/>
    <w:aliases w:val="Footnote Text Char Char Char,Footnote Text Char Char Char Char Char,Footnote Text Char1 Char,Footnote Text Char1 Char Char Char Char Char,Footnote Text Char1 Char Char1 Char,Fußnote Char,Schriftart: 10 pt Char,Schriftart: 8 pt Char"/>
    <w:basedOn w:val="DefaultParagraphFont"/>
    <w:link w:val="FootnoteText"/>
    <w:uiPriority w:val="99"/>
    <w:rPr>
      <w:sz w:val="20"/>
      <w:szCs w:val="20"/>
      <w:lang w:val="bg-BG"/>
    </w:rPr>
  </w:style>
  <w:style w:type="character" w:styleId="FootnoteReference">
    <w:name w:val="footnote reference"/>
    <w:aliases w:val=" BVI fnr,BVI fnr,Footnote Reference Superscript,Footnote Reference_LVL6,Footnote Reference_LVL61,Footnote Reference_LVL62,Footnote Reference_LVL63,Footnote Reference_LVL64,Footnote Reference_LVL65,Footnote symbol,Odwołanie przypisu"/>
    <w:basedOn w:val="DefaultParagraphFont"/>
    <w:link w:val="Odwo0142anieprzypisu"/>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BVI fnr Char1 Char,SUPER,fr"/>
    <w:basedOn w:val="Normal"/>
    <w:link w:val="FootnoteReference"/>
    <w:uiPriority w:val="99"/>
    <w:pPr>
      <w:spacing w:before="120" w:after="160" w:line="240" w:lineRule="exact"/>
      <w:jc w:val="both"/>
    </w:pPr>
    <w:rPr>
      <w:vertAlign w:val="superscript"/>
    </w:r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ing">
    <w:name w:val="Marking"/>
    <w:basedOn w:val="Normal"/>
    <w:pPr>
      <w:spacing w:after="240" w:line="276" w:lineRule="auto"/>
      <w:ind w:left="5115"/>
      <w:contextualSpacing/>
    </w:pPr>
    <w:rPr>
      <w:rFonts w:ascii="Times New Roman" w:hAnsi="Times New Roman"/>
      <w:i/>
      <w:sz w:val="32"/>
    </w:rPr>
  </w:style>
  <w:style w:type="paragraph" w:styleId="CommentText">
    <w:name w:val="annotation text"/>
    <w:basedOn w:val="Normal"/>
    <w:link w:val="CommentTextChar"/>
    <w:uiPriority w:val="99"/>
    <w:unhideWhenUsed/>
    <w:pPr>
      <w:spacing w:after="200"/>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jc w:val="center"/>
    </w:pPr>
    <w:rPr>
      <w:rFonts w:ascii="Times New Roman" w:hAnsi="Times New Roman" w:cs="Times New Roman"/>
      <w:b/>
      <w:sz w:val="24"/>
    </w:rPr>
  </w:style>
  <w:style w:type="paragraph" w:customStyle="1" w:styleId="Titreobjet">
    <w:name w:val="Titre objet"/>
    <w:basedOn w:val="Normal"/>
    <w:next w:val="Normal"/>
    <w:pPr>
      <w:spacing w:before="360" w:after="360"/>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spacing w:after="240"/>
      <w:jc w:val="both"/>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qFormat/>
    <w:pPr>
      <w:keepNext/>
      <w:spacing w:after="24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Footnote Text Char1,Footnote Text Char1 Char Char Char Char,Footnote Text Char1 Char Char1,Fußnote,Schriftart: 10 pt,Schriftart: 8 pt,Schriftart: 9 pt,WB-Fußnotentext,stile 1,Fußno"/>
    <w:basedOn w:val="Normal"/>
    <w:link w:val="FootnoteTextChar"/>
    <w:uiPriority w:val="99"/>
    <w:unhideWhenUsed/>
    <w:qFormat/>
    <w:rPr>
      <w:sz w:val="20"/>
      <w:szCs w:val="20"/>
    </w:rPr>
  </w:style>
  <w:style w:type="character" w:customStyle="1" w:styleId="FootnoteTextChar">
    <w:name w:val="Footnote Text Char"/>
    <w:aliases w:val="Footnote Text Char Char Char,Footnote Text Char Char Char Char Char,Footnote Text Char1 Char,Footnote Text Char1 Char Char Char Char Char,Footnote Text Char1 Char Char1 Char,Fußnote Char,Schriftart: 10 pt Char,Schriftart: 8 pt Char"/>
    <w:basedOn w:val="DefaultParagraphFont"/>
    <w:link w:val="FootnoteText"/>
    <w:uiPriority w:val="99"/>
    <w:rPr>
      <w:sz w:val="20"/>
      <w:szCs w:val="20"/>
      <w:lang w:val="bg-BG"/>
    </w:rPr>
  </w:style>
  <w:style w:type="character" w:styleId="FootnoteReference">
    <w:name w:val="footnote reference"/>
    <w:aliases w:val=" BVI fnr,BVI fnr,Footnote Reference Superscript,Footnote Reference_LVL6,Footnote Reference_LVL61,Footnote Reference_LVL62,Footnote Reference_LVL63,Footnote Reference_LVL64,Footnote Reference_LVL65,Footnote symbol,Odwołanie przypisu"/>
    <w:basedOn w:val="DefaultParagraphFont"/>
    <w:link w:val="Odwo0142anieprzypisu"/>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paragraph" w:customStyle="1" w:styleId="Odwo0142anieprzypisu">
    <w:name w:val="Odwo&lt;0142&gt;anie przypisu"/>
    <w:aliases w:val="BVI fnr Char1 Char,SUPER,fr"/>
    <w:basedOn w:val="Normal"/>
    <w:link w:val="FootnoteReference"/>
    <w:uiPriority w:val="99"/>
    <w:pPr>
      <w:spacing w:before="120" w:after="160" w:line="240" w:lineRule="exact"/>
      <w:jc w:val="both"/>
    </w:pPr>
    <w:rPr>
      <w:vertAlign w:val="superscript"/>
    </w:r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ing">
    <w:name w:val="Marking"/>
    <w:basedOn w:val="Normal"/>
    <w:pPr>
      <w:spacing w:after="240" w:line="276" w:lineRule="auto"/>
      <w:ind w:left="5115"/>
      <w:contextualSpacing/>
    </w:pPr>
    <w:rPr>
      <w:rFonts w:ascii="Times New Roman" w:hAnsi="Times New Roman"/>
      <w:i/>
      <w:sz w:val="32"/>
    </w:rPr>
  </w:style>
  <w:style w:type="paragraph" w:styleId="CommentText">
    <w:name w:val="annotation text"/>
    <w:basedOn w:val="Normal"/>
    <w:link w:val="CommentTextChar"/>
    <w:uiPriority w:val="99"/>
    <w:unhideWhenUsed/>
    <w:pPr>
      <w:spacing w:after="200"/>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jc w:val="center"/>
    </w:pPr>
    <w:rPr>
      <w:rFonts w:ascii="Times New Roman" w:hAnsi="Times New Roman" w:cs="Times New Roman"/>
      <w:b/>
      <w:sz w:val="24"/>
    </w:rPr>
  </w:style>
  <w:style w:type="paragraph" w:customStyle="1" w:styleId="Titreobjet">
    <w:name w:val="Titre objet"/>
    <w:basedOn w:val="Normal"/>
    <w:next w:val="Normal"/>
    <w:pPr>
      <w:spacing w:before="360" w:after="360"/>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97948">
      <w:bodyDiv w:val="1"/>
      <w:marLeft w:val="0"/>
      <w:marRight w:val="0"/>
      <w:marTop w:val="0"/>
      <w:marBottom w:val="0"/>
      <w:divBdr>
        <w:top w:val="none" w:sz="0" w:space="0" w:color="auto"/>
        <w:left w:val="none" w:sz="0" w:space="0" w:color="auto"/>
        <w:bottom w:val="none" w:sz="0" w:space="0" w:color="auto"/>
        <w:right w:val="none" w:sz="0" w:space="0" w:color="auto"/>
      </w:divBdr>
    </w:div>
    <w:div w:id="8347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16/12/06-eu-nato-joint-declaration/" TargetMode="External"/><Relationship Id="rId3" Type="http://schemas.openxmlformats.org/officeDocument/2006/relationships/hyperlink" Target="https://www.easa.europa.eu/system/files/dfu/208599_EASA_CONFLICT_ZONE_CHAIRMAN_REPORT_no_B_update.pdf" TargetMode="External"/><Relationship Id="rId7" Type="http://schemas.openxmlformats.org/officeDocument/2006/relationships/hyperlink" Target="http://ec.europa.eu/dgs/education_culture/repository/education/library/publications/2016/communication-preventing-radicalisation_en.pdf" TargetMode="External"/><Relationship Id="rId2" Type="http://schemas.openxmlformats.org/officeDocument/2006/relationships/hyperlink" Target="https://ec.europa.eu/commission/sites/beta-political/files/reflection-paper-defence_en.pdf" TargetMode="External"/><Relationship Id="rId1" Type="http://schemas.openxmlformats.org/officeDocument/2006/relationships/hyperlink" Target="http://www.consilium.europa.eu/en/press/press-releases/2017/06/19-conclusions-eu-nato-cooperation" TargetMode="External"/><Relationship Id="rId6" Type="http://schemas.openxmlformats.org/officeDocument/2006/relationships/hyperlink" Target="https://ec.europa.eu/maritimeaffairs/documentation/studies" TargetMode="External"/><Relationship Id="rId5" Type="http://schemas.openxmlformats.org/officeDocument/2006/relationships/hyperlink" Target="https://ec.europa.eu/maritimeaffairs/sites/maritimeaffairs/files/docs/body/20141216-action-plan_en.pdf" TargetMode="External"/><Relationship Id="rId4" Type="http://schemas.openxmlformats.org/officeDocument/2006/relationships/hyperlink" Target="https://ad.easa.europa.eu/czib-docs/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84AE-6263-4BEE-A853-377A3147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8993</Words>
  <Characters>54476</Characters>
  <Application>Microsoft Office Word</Application>
  <DocSecurity>0</DocSecurity>
  <Lines>939</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27</cp:revision>
  <cp:lastPrinted>2017-07-14T13:10:00Z</cp:lastPrinted>
  <dcterms:created xsi:type="dcterms:W3CDTF">2017-07-14T17:58:00Z</dcterms:created>
  <dcterms:modified xsi:type="dcterms:W3CDTF">2017-07-24T07:39:00Z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