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B940F41D19424A2AA762AD9880AAD758" style="width:450.75pt;height:334.5pt">
            <v:imagedata r:id="rId12" o:title=""/>
          </v:shape>
        </w:pict>
      </w:r>
    </w:p>
    <w:bookmarkEnd w:id="0"/>
    <w:p>
      <w:pPr>
        <w:rPr>
          <w:rFonts w:eastAsiaTheme="minorHAnsi"/>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p>
      <w:pPr>
        <w:spacing w:after="0"/>
        <w:jc w:val="both"/>
        <w:rPr>
          <w:rFonts w:ascii="Times New Roman" w:hAnsi="Times New Roman" w:cs="Times New Roman"/>
          <w:b/>
          <w:noProof/>
          <w:sz w:val="24"/>
          <w:szCs w:val="24"/>
        </w:rPr>
      </w:pPr>
      <w:bookmarkStart w:id="1" w:name="_GoBack"/>
      <w:bookmarkEnd w:id="1"/>
      <w:r>
        <w:rPr>
          <w:rFonts w:ascii="Times New Roman" w:hAnsi="Times New Roman"/>
          <w:b/>
          <w:noProof/>
          <w:sz w:val="24"/>
        </w:rPr>
        <w:lastRenderedPageBreak/>
        <w:t>1. Wprowadzenie</w:t>
      </w:r>
    </w:p>
    <w:p>
      <w:pPr>
        <w:jc w:val="both"/>
        <w:rPr>
          <w:rFonts w:ascii="Times New Roman" w:hAnsi="Times New Roman" w:cs="Times New Roman"/>
          <w:noProof/>
          <w:sz w:val="24"/>
          <w:szCs w:val="24"/>
        </w:rPr>
      </w:pPr>
      <w:r>
        <w:rPr>
          <w:rFonts w:ascii="Times New Roman" w:hAnsi="Times New Roman"/>
          <w:noProof/>
          <w:sz w:val="24"/>
        </w:rPr>
        <w:t>Europejski system przekazywania informacji z rejestrów karnych (ECRIS) został uruchomiony w kwietniu 2012 r. Jest regulowany decyzją ramową Rady 2009/315/WSiSW z dnia 26 lutego 2009 r. w sprawie organizacji wymiany informacji pochodzących z rejestru karnego pomiędzy państwami członkowskimi oraz treści tych informacji (decyzja ramowa)</w:t>
      </w:r>
      <w:r>
        <w:rPr>
          <w:rStyle w:val="FootnoteReference"/>
          <w:rFonts w:ascii="Times New Roman" w:hAnsi="Times New Roman"/>
          <w:noProof/>
          <w:sz w:val="24"/>
        </w:rPr>
        <w:footnoteReference w:id="2"/>
      </w:r>
      <w:r>
        <w:rPr>
          <w:rFonts w:ascii="Times New Roman" w:hAnsi="Times New Roman"/>
          <w:noProof/>
          <w:sz w:val="24"/>
        </w:rPr>
        <w:t xml:space="preserve"> i decyzją Rady z dnia 6 kwietnia 2009 w sprawie ustanowienia europejskiego systemu przekazywania informacji z rejestrów karnych (ECRIS), zgodnie z art. 11 decyzji ramowej 2009/316/WSiSW</w:t>
      </w:r>
      <w:r>
        <w:rPr>
          <w:rStyle w:val="FootnoteReference"/>
          <w:rFonts w:ascii="Times New Roman" w:hAnsi="Times New Roman"/>
          <w:noProof/>
          <w:sz w:val="24"/>
        </w:rPr>
        <w:footnoteReference w:id="3"/>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Jego celem jest poprawa bezpieczeństwa obywateli w ramach europejskiej przestrzeni sprawiedliwości, wolności i bezpieczeństwa, poprzez umożliwienie sprawnej wymiany informacji pomiędzy państwami członkowskimi na temat wcześniejszych wyroków karnych wydanych przez sądy karne w UE.</w:t>
      </w:r>
    </w:p>
    <w:p>
      <w:pPr>
        <w:jc w:val="both"/>
        <w:rPr>
          <w:rFonts w:ascii="Times New Roman" w:hAnsi="Times New Roman" w:cs="Times New Roman"/>
          <w:noProof/>
          <w:sz w:val="24"/>
          <w:szCs w:val="24"/>
        </w:rPr>
      </w:pPr>
      <w:r>
        <w:rPr>
          <w:rFonts w:ascii="Times New Roman" w:hAnsi="Times New Roman"/>
          <w:noProof/>
          <w:sz w:val="24"/>
        </w:rPr>
        <w:t>Niniejsze sprawozdanie jest pierwszym sprawozdaniem statystycznym Komisji dotyczącym wymiany informacji pochodzących z rejestrów karnych pomiędzy państwami członkowskimi za pośrednictwem systemu ECRIS, jak przewidziano w art. 7 decyzji Rady 2009/316/WSiSW.</w:t>
      </w:r>
    </w:p>
    <w:p>
      <w:pPr>
        <w:jc w:val="both"/>
        <w:rPr>
          <w:rFonts w:ascii="Times New Roman" w:hAnsi="Times New Roman" w:cs="Times New Roman"/>
          <w:noProof/>
          <w:sz w:val="24"/>
          <w:szCs w:val="24"/>
        </w:rPr>
      </w:pPr>
      <w:r>
        <w:rPr>
          <w:rFonts w:ascii="Times New Roman" w:hAnsi="Times New Roman"/>
          <w:b/>
          <w:noProof/>
          <w:sz w:val="24"/>
        </w:rPr>
        <w:t>1.1. Ogólne zasady systemu ECRIS</w:t>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 xml:space="preserve">ECRIS, oparty na zdecentralizowanej strukturze informatycznej, łączy państwa członkowskie i umożliwia im sprawną wymianę informacji z rejestrów karnych. </w:t>
      </w:r>
    </w:p>
    <w:p>
      <w:pPr>
        <w:numPr>
          <w:ilvl w:val="0"/>
          <w:numId w:val="20"/>
        </w:numPr>
        <w:ind w:left="360"/>
        <w:jc w:val="both"/>
        <w:rPr>
          <w:rFonts w:ascii="Times New Roman" w:hAnsi="Times New Roman" w:cs="Times New Roman"/>
          <w:noProof/>
          <w:sz w:val="24"/>
          <w:szCs w:val="24"/>
        </w:rPr>
      </w:pPr>
      <w:r>
        <w:rPr>
          <w:rFonts w:ascii="Times New Roman" w:hAnsi="Times New Roman"/>
          <w:noProof/>
          <w:sz w:val="24"/>
        </w:rPr>
        <w:t xml:space="preserve">Do celów systemu ECRIS każde państwo członkowskie wyznacza organ centralny (jeden lub więcej) jako pojedynczy punkt kontaktowy i powierza mu wszelkie zobowiązania wynikające z decyzji ramowej o systemie ECRIS. </w:t>
      </w:r>
    </w:p>
    <w:p>
      <w:pPr>
        <w:numPr>
          <w:ilvl w:val="0"/>
          <w:numId w:val="20"/>
        </w:numPr>
        <w:ind w:left="360"/>
        <w:jc w:val="both"/>
        <w:rPr>
          <w:rFonts w:ascii="Times New Roman" w:hAnsi="Times New Roman" w:cs="Times New Roman"/>
          <w:noProof/>
          <w:sz w:val="24"/>
          <w:szCs w:val="24"/>
        </w:rPr>
      </w:pPr>
      <w:r>
        <w:rPr>
          <w:rFonts w:ascii="Times New Roman" w:hAnsi="Times New Roman"/>
          <w:noProof/>
          <w:sz w:val="24"/>
        </w:rPr>
        <w:t xml:space="preserve">Informacje są wymieniane drogą elektroniczną pomiędzy organami centralnymi państw członkowskich z użyciem standardowego formatu umożliwiającego sprawną i bezpośrednio zrozumiałą komunikację we wszystkich językach UE w krótkich terminach 10–20 dni. </w:t>
      </w:r>
    </w:p>
    <w:p>
      <w:pPr>
        <w:numPr>
          <w:ilvl w:val="0"/>
          <w:numId w:val="19"/>
        </w:numPr>
        <w:ind w:left="360"/>
        <w:jc w:val="both"/>
        <w:rPr>
          <w:rFonts w:ascii="Times New Roman" w:hAnsi="Times New Roman" w:cs="Times New Roman"/>
          <w:noProof/>
          <w:sz w:val="24"/>
          <w:szCs w:val="24"/>
        </w:rPr>
      </w:pPr>
      <w:r>
        <w:rPr>
          <w:rFonts w:ascii="Times New Roman" w:hAnsi="Times New Roman"/>
          <w:noProof/>
          <w:sz w:val="24"/>
        </w:rPr>
        <w:t>Państwo członkowskie, które skazało obywatela innego państwa członkowskiego, jest zobowiązane prawnie do jak najszybszego przekazania, za pośrednictwem systemu ECRIS, informacji dotyczących wyroku skazującego państwu lub państwom członkowskim, których ta osoba jest obywatelem, z późniejszymi aktualizacjami (zawiadomieniami o nowych wyrokach skazujących i aktualizacjach).</w:t>
      </w:r>
    </w:p>
    <w:p>
      <w:pPr>
        <w:numPr>
          <w:ilvl w:val="0"/>
          <w:numId w:val="19"/>
        </w:numPr>
        <w:ind w:left="360"/>
        <w:jc w:val="both"/>
        <w:rPr>
          <w:rFonts w:ascii="Times New Roman" w:hAnsi="Times New Roman" w:cs="Times New Roman"/>
          <w:noProof/>
          <w:sz w:val="24"/>
          <w:szCs w:val="24"/>
        </w:rPr>
      </w:pPr>
      <w:r>
        <w:rPr>
          <w:rFonts w:ascii="Times New Roman" w:hAnsi="Times New Roman"/>
          <w:noProof/>
          <w:sz w:val="24"/>
        </w:rPr>
        <w:t>Dzięki temu państwo członkowskie może prowadzić centralny rejestr wszystkich wyroków skazujących wydanych w UE przez sądy karne przeciwko jego obywatelom. Jest ono zobowiązane do przechowywania i aktualizacji wszystkich informacji otrzymanych za pośrednictwem systemu ECRIS oraz do przekazywania pełnych informacji z rejestru karnego za pośrednictwem systemu (odpowiedzi na wnioski) na prośbę innego państwa członkowskiego (wnioski o udzielenie informacji).</w:t>
      </w:r>
    </w:p>
    <w:p>
      <w:pPr>
        <w:numPr>
          <w:ilvl w:val="0"/>
          <w:numId w:val="19"/>
        </w:numPr>
        <w:ind w:left="360"/>
        <w:jc w:val="both"/>
        <w:rPr>
          <w:rFonts w:ascii="Times New Roman" w:hAnsi="Times New Roman" w:cs="Times New Roman"/>
          <w:noProof/>
          <w:sz w:val="24"/>
          <w:szCs w:val="24"/>
        </w:rPr>
      </w:pPr>
      <w:r>
        <w:rPr>
          <w:rFonts w:ascii="Times New Roman" w:hAnsi="Times New Roman"/>
          <w:noProof/>
          <w:sz w:val="24"/>
        </w:rPr>
        <w:t xml:space="preserve">Informacje na temat wyroków skazujących muszą być udostępniane na użytek postępowania karnego oraz, jeśli zezwala na to prawo krajowe, podlegają wymianie w innych celach, takich jak procedury administracyjne, zatrudnienie, udzielanie zezwoleń itp. </w:t>
      </w:r>
    </w:p>
    <w:p>
      <w:pPr>
        <w:numPr>
          <w:ilvl w:val="0"/>
          <w:numId w:val="19"/>
        </w:numPr>
        <w:ind w:left="360"/>
        <w:jc w:val="both"/>
        <w:rPr>
          <w:rFonts w:ascii="Times New Roman" w:hAnsi="Times New Roman" w:cs="Times New Roman"/>
          <w:noProof/>
          <w:sz w:val="24"/>
          <w:szCs w:val="24"/>
        </w:rPr>
      </w:pPr>
      <w:r>
        <w:rPr>
          <w:rFonts w:ascii="Times New Roman" w:hAnsi="Times New Roman"/>
          <w:noProof/>
          <w:sz w:val="24"/>
        </w:rPr>
        <w:lastRenderedPageBreak/>
        <w:t>Chociaż system ECRIS został zaprojektowany przede wszystkim jako narzędzie wymiany informacji dotyczących obywateli UE, może również służyć do wymiany informacji na temat obywateli państw trzecich i bezpaństwowców (dalej zwanych „TCN”). W jednym pakiecie z niniejszym sprawozdaniem statystycznym Komisja zaproponowała przepisy uzupełniające ustanawiające centralny system ECRIS-TCN, wspomagające sprawną wymianę informacji za pośrednictwem systemu ECRIS na temat TCN.</w:t>
      </w:r>
    </w:p>
    <w:p>
      <w:pPr>
        <w:jc w:val="both"/>
        <w:rPr>
          <w:rFonts w:ascii="Times New Roman" w:hAnsi="Times New Roman" w:cs="Times New Roman"/>
          <w:noProof/>
          <w:sz w:val="24"/>
          <w:szCs w:val="24"/>
        </w:rPr>
      </w:pPr>
      <w:r>
        <w:rPr>
          <w:rFonts w:ascii="Times New Roman" w:hAnsi="Times New Roman"/>
          <w:noProof/>
          <w:sz w:val="24"/>
        </w:rPr>
        <w:t xml:space="preserve">Na mocy decyzji ramowej państwa członkowskie były zobowiązane do wdrożenia systemu pod względem prawnym i technicznym, utworzenia wzajemnych połączeń elektronicznych i rozpoczęcia wymiany informacji zgodnie z opisanymi powyżej zasadami do 27 kwietnia 2012 r. </w:t>
      </w:r>
      <w:bookmarkStart w:id="2" w:name="_Toc479267018"/>
    </w:p>
    <w:p>
      <w:pPr>
        <w:jc w:val="both"/>
        <w:rPr>
          <w:rFonts w:ascii="Times New Roman" w:hAnsi="Times New Roman" w:cs="Times New Roman"/>
          <w:noProof/>
          <w:sz w:val="24"/>
          <w:szCs w:val="24"/>
        </w:rPr>
      </w:pPr>
      <w:r>
        <w:rPr>
          <w:rFonts w:ascii="Times New Roman" w:hAnsi="Times New Roman"/>
          <w:b/>
          <w:noProof/>
          <w:sz w:val="24"/>
        </w:rPr>
        <w:t>1.2.</w:t>
      </w:r>
      <w:r>
        <w:rPr>
          <w:noProof/>
        </w:rPr>
        <w:t xml:space="preserve"> </w:t>
      </w:r>
      <w:r>
        <w:rPr>
          <w:rFonts w:ascii="Times New Roman" w:hAnsi="Times New Roman"/>
          <w:b/>
          <w:noProof/>
          <w:sz w:val="24"/>
        </w:rPr>
        <w:t>Podstawy</w:t>
      </w:r>
      <w:r>
        <w:rPr>
          <w:rFonts w:ascii="Times New Roman" w:hAnsi="Times New Roman"/>
          <w:noProof/>
          <w:sz w:val="24"/>
        </w:rPr>
        <w:t xml:space="preserve"> </w:t>
      </w:r>
      <w:r>
        <w:rPr>
          <w:rFonts w:ascii="Times New Roman" w:hAnsi="Times New Roman"/>
          <w:b/>
          <w:noProof/>
          <w:sz w:val="24"/>
        </w:rPr>
        <w:t>prawne systemu ECRIS i powiązane dane statystyczne</w:t>
      </w:r>
      <w:bookmarkEnd w:id="2"/>
    </w:p>
    <w:p>
      <w:pPr>
        <w:jc w:val="both"/>
        <w:rPr>
          <w:rFonts w:ascii="Times New Roman" w:hAnsi="Times New Roman" w:cs="Times New Roman"/>
          <w:noProof/>
          <w:sz w:val="24"/>
          <w:szCs w:val="24"/>
        </w:rPr>
      </w:pPr>
      <w:r>
        <w:rPr>
          <w:rFonts w:ascii="Times New Roman" w:hAnsi="Times New Roman"/>
          <w:noProof/>
          <w:sz w:val="24"/>
        </w:rPr>
        <w:t xml:space="preserve">Ogólne zasady regulujące wymianę informacji i funkcjonowanie systemu są określone w decyzji ramowej 2009/315/WSiSW. </w:t>
      </w:r>
    </w:p>
    <w:p>
      <w:pPr>
        <w:jc w:val="both"/>
        <w:rPr>
          <w:rFonts w:ascii="Times New Roman" w:hAnsi="Times New Roman" w:cs="Times New Roman"/>
          <w:noProof/>
          <w:sz w:val="24"/>
          <w:szCs w:val="24"/>
        </w:rPr>
      </w:pPr>
      <w:r>
        <w:rPr>
          <w:rFonts w:ascii="Times New Roman" w:hAnsi="Times New Roman"/>
          <w:noProof/>
          <w:sz w:val="24"/>
        </w:rPr>
        <w:t xml:space="preserve">W decyzji Rady 2009/316/WSiSW ustanowiono znormalizowany format pozwalający na wymianę drogą elektroniczną pomiędzy państwami członkowskimi informacji uzyskanych z krajowych rejestrów karnych, w szczególności w odniesieniu do informacji dotyczących przestępstwa będącego podstawą wyroku skazującego oraz informacji dotyczących treści takiego wyroku. Ustanowiono w niej również inne ogólne i techniczne środki wdrażania związane z organizacją i usprawnieniem wymiany informacji. </w:t>
      </w:r>
    </w:p>
    <w:p>
      <w:pPr>
        <w:jc w:val="both"/>
        <w:rPr>
          <w:rFonts w:ascii="Times New Roman" w:hAnsi="Times New Roman" w:cs="Times New Roman"/>
          <w:noProof/>
          <w:sz w:val="24"/>
          <w:szCs w:val="24"/>
        </w:rPr>
      </w:pPr>
      <w:r>
        <w:rPr>
          <w:rFonts w:ascii="Times New Roman" w:hAnsi="Times New Roman"/>
          <w:noProof/>
          <w:sz w:val="24"/>
        </w:rPr>
        <w:t>Rada przyjęła również dalsze szczegółowe zasady obsługi systemu ECRIS, w tym jego analizę biznesową, szczegółowe specyfikacje techniczne i informacje statystyczne</w:t>
      </w:r>
      <w:r>
        <w:rPr>
          <w:rStyle w:val="FootnoteReference"/>
          <w:rFonts w:ascii="Times New Roman" w:hAnsi="Times New Roman"/>
          <w:noProof/>
          <w:sz w:val="24"/>
        </w:rPr>
        <w:footnoteReference w:id="4"/>
      </w:r>
      <w:r>
        <w:rPr>
          <w:noProof/>
        </w:rPr>
        <w:t>.</w:t>
      </w:r>
    </w:p>
    <w:p>
      <w:pPr>
        <w:jc w:val="both"/>
        <w:rPr>
          <w:rFonts w:ascii="Times New Roman" w:hAnsi="Times New Roman" w:cs="Times New Roman"/>
          <w:noProof/>
          <w:sz w:val="24"/>
          <w:szCs w:val="24"/>
        </w:rPr>
      </w:pPr>
      <w:r>
        <w:rPr>
          <w:rFonts w:ascii="Times New Roman" w:hAnsi="Times New Roman"/>
          <w:noProof/>
          <w:sz w:val="24"/>
        </w:rPr>
        <w:t>Zgodnie z tymi ustaleniami dane statystyczne niezawierające danych osobowych są automatycznie zbierane przez system w celu monitorowania funkcjonowania i efektywności ECRIS, z </w:t>
      </w:r>
      <w:bookmarkStart w:id="3" w:name="_Hlk480975838"/>
      <w:r>
        <w:rPr>
          <w:rFonts w:ascii="Times New Roman" w:hAnsi="Times New Roman"/>
          <w:noProof/>
          <w:sz w:val="24"/>
        </w:rPr>
        <w:t>zapewnieniem zgodności wymian informacji pomiędzy państwami członkowskimi z ramami prawnymi ECRIS</w:t>
      </w:r>
      <w:bookmarkEnd w:id="3"/>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 xml:space="preserve">W szczegółowych specyfikacjach technicznych systemu ECRIS jest obecnie wymienionych 225 ustalonych wskaźników monitorowania tego systemu. Te dane statystyczne są generowane automatycznie przez system na poziomie krajowym i wysyłane przez państwa członkowskie do Komisji Europejskiej w odstępach miesięcznych. </w:t>
      </w:r>
    </w:p>
    <w:p>
      <w:pPr>
        <w:jc w:val="both"/>
        <w:rPr>
          <w:rFonts w:ascii="Times New Roman" w:hAnsi="Times New Roman" w:cs="Times New Roman"/>
          <w:noProof/>
          <w:sz w:val="24"/>
          <w:szCs w:val="24"/>
        </w:rPr>
      </w:pPr>
      <w:r>
        <w:rPr>
          <w:rFonts w:ascii="Times New Roman" w:hAnsi="Times New Roman"/>
          <w:noProof/>
          <w:sz w:val="24"/>
        </w:rPr>
        <w:t>Art. 7 decyzji Rady 2009/316/WSiSW stanowi:</w:t>
      </w:r>
    </w:p>
    <w:p>
      <w:pPr>
        <w:jc w:val="both"/>
        <w:rPr>
          <w:rFonts w:ascii="Times New Roman" w:hAnsi="Times New Roman" w:cs="Times New Roman"/>
          <w:noProof/>
          <w:sz w:val="24"/>
          <w:szCs w:val="24"/>
        </w:rPr>
      </w:pPr>
      <w:r>
        <w:rPr>
          <w:rFonts w:ascii="Times New Roman" w:hAnsi="Times New Roman"/>
          <w:noProof/>
          <w:sz w:val="24"/>
        </w:rPr>
        <w:t>„Służby Komisji regularnie publikują sprawozdania dotyczące wymiany – w ramach ECRIS – informacji pochodzących z rejestrów karnych, oparte w szczególności na statystykach, o których mowa w art. 6 ust. 2. Sprawozdanie to zostaje po raz pierwszy opublikowane rok po przedłożeniu sprawozdania, o którym mowa w art. 13 ust. 3 decyzji ramowej”.</w:t>
      </w:r>
    </w:p>
    <w:p>
      <w:pPr>
        <w:jc w:val="both"/>
        <w:rPr>
          <w:rFonts w:ascii="Times New Roman" w:hAnsi="Times New Roman" w:cs="Times New Roman"/>
          <w:noProof/>
          <w:sz w:val="24"/>
          <w:szCs w:val="24"/>
        </w:rPr>
      </w:pPr>
      <w:r>
        <w:rPr>
          <w:rFonts w:ascii="Times New Roman" w:hAnsi="Times New Roman"/>
          <w:noProof/>
          <w:sz w:val="24"/>
        </w:rPr>
        <w:t>Sprawozdanie z wdrażania wymienionej powyżej decyzji ramowej Rady 2009/315/WSiSW zostało przyjęte w dniu 19 stycznia 2016 r.</w:t>
      </w:r>
      <w:r>
        <w:rPr>
          <w:rStyle w:val="FootnoteReference"/>
          <w:rFonts w:ascii="Times New Roman" w:hAnsi="Times New Roman"/>
          <w:noProof/>
          <w:sz w:val="24"/>
        </w:rPr>
        <w:footnoteReference w:id="5"/>
      </w:r>
      <w:r>
        <w:rPr>
          <w:noProof/>
        </w:rPr>
        <w:t xml:space="preserve">. </w:t>
      </w:r>
      <w:r>
        <w:rPr>
          <w:rFonts w:ascii="Times New Roman" w:hAnsi="Times New Roman"/>
          <w:noProof/>
          <w:sz w:val="24"/>
        </w:rPr>
        <w:t xml:space="preserve">Komisja zdecydowała się na przedstawienie </w:t>
      </w:r>
      <w:r>
        <w:rPr>
          <w:rFonts w:ascii="Times New Roman" w:hAnsi="Times New Roman"/>
          <w:noProof/>
          <w:sz w:val="24"/>
        </w:rPr>
        <w:lastRenderedPageBreak/>
        <w:t>pierwszego sprawozdania statystycznego zgodnie z art. 7 w pakiecie łącznie z wnioskiem dotyczącym rozporządzenia ustanawiającego europejski system przekazywania informacji z rejestrów karnych dotyczących obywateli państw trzecich (system ECRIS-TCN)</w:t>
      </w:r>
      <w:r>
        <w:rPr>
          <w:rStyle w:val="FootnoteReference"/>
          <w:rFonts w:ascii="Times New Roman" w:hAnsi="Times New Roman"/>
          <w:noProof/>
          <w:sz w:val="24"/>
        </w:rPr>
        <w:footnoteReference w:id="6"/>
      </w:r>
      <w:r>
        <w:rPr>
          <w:rFonts w:ascii="Times New Roman" w:hAnsi="Times New Roman"/>
          <w:noProof/>
          <w:sz w:val="24"/>
        </w:rPr>
        <w:t>, który będzie stanowić uzupełnienie obecnego systemu ECRIS.</w:t>
      </w:r>
    </w:p>
    <w:p>
      <w:pPr>
        <w:jc w:val="both"/>
        <w:rPr>
          <w:rFonts w:ascii="Times New Roman" w:hAnsi="Times New Roman"/>
          <w:noProof/>
          <w:sz w:val="24"/>
        </w:rPr>
      </w:pPr>
      <w:r>
        <w:rPr>
          <w:rFonts w:ascii="Times New Roman" w:hAnsi="Times New Roman"/>
          <w:noProof/>
          <w:sz w:val="24"/>
        </w:rPr>
        <w:t xml:space="preserve">W niniejszym sprawozdaniu przedstawiono przegląd stosowania i wykorzystywania w praktyce systemu ECRIS od chwili jego uruchomienia, czyli w okresie od kwietnia 2012 r. do 31 grudnia 2016 r., z naciskiem na rok 2016. Celem sprawozdania jest przedstawienie zgodności wymian informacji prowadzonych przez państwa członkowskie z ramami prawnymi ECRIS oraz zidentyfikowanie wszelkich problemów ze sprawnością systemu, co ma służyć naprawie sytuacji. </w:t>
      </w:r>
    </w:p>
    <w:p>
      <w:pPr>
        <w:jc w:val="both"/>
        <w:rPr>
          <w:rFonts w:ascii="Times New Roman" w:hAnsi="Times New Roman" w:cs="Times New Roman"/>
          <w:noProof/>
          <w:sz w:val="24"/>
          <w:szCs w:val="24"/>
        </w:rPr>
      </w:pPr>
      <w:r>
        <w:rPr>
          <w:rFonts w:ascii="Times New Roman" w:hAnsi="Times New Roman"/>
          <w:noProof/>
          <w:sz w:val="24"/>
        </w:rPr>
        <w:t>Chociaż dane statystyczne składające się na ogólny przegląd obejmują pełny pięcioletni okres działania systemu ECRIS, porównawcze dane statystyczne dotyczące wszystkich państw członkowskich oraz tabele statystyczne dotyczące poszczególnych państw członkowskich w sekcji 2 załącznika obejmują tylko wymianę informacji za pośrednictwem systemu ECRIS w latach 2014-2016. Wybór ostatnich trzech lat działania systemu ECRIS do tej analizy był uzasadniony faktem, że w 2014 r. uzyskano znaczącą liczbę 25 wzajemnie połączonych państw członkowskich, w związku z czym od tego momentu można uznać, że dane statystyczne stanowią reprezentatywny przegląd rzeczywistej sytuacji.</w:t>
      </w:r>
    </w:p>
    <w:p>
      <w:pPr>
        <w:jc w:val="both"/>
        <w:rPr>
          <w:rFonts w:ascii="Times New Roman" w:hAnsi="Times New Roman" w:cs="Times New Roman"/>
          <w:noProof/>
          <w:sz w:val="24"/>
          <w:szCs w:val="24"/>
        </w:rPr>
      </w:pPr>
      <w:r>
        <w:rPr>
          <w:rFonts w:ascii="Times New Roman" w:hAnsi="Times New Roman"/>
          <w:noProof/>
          <w:sz w:val="24"/>
        </w:rPr>
        <w:t xml:space="preserve">Sprawozdanie opiera się na danych statystycznych generowanych automatycznie przez system i wysyłanych Komisji przez państwa członkowskie. Ze zbioru 225 wskaźników statystycznych ustanowionych w odniesieniu do systemu ECRIS wybrano do publikacji tylko najbardziej istotne i znaczące informacje statystyczne. </w:t>
      </w:r>
    </w:p>
    <w:p>
      <w:pPr>
        <w:jc w:val="both"/>
        <w:rPr>
          <w:rFonts w:ascii="Times New Roman" w:hAnsi="Times New Roman" w:cs="Times New Roman"/>
          <w:noProof/>
          <w:sz w:val="24"/>
          <w:szCs w:val="24"/>
        </w:rPr>
      </w:pPr>
      <w:r>
        <w:rPr>
          <w:rFonts w:ascii="Times New Roman" w:hAnsi="Times New Roman"/>
          <w:noProof/>
          <w:sz w:val="24"/>
        </w:rPr>
        <w:t xml:space="preserve">Państwa członkowskie poproszono również o przekazanie informacji statystycznych na temat liczby wydanych na ich terytorium wyroków skazujących dotyczących obywateli innych państw członkowskich UE, aby umożliwić opracowanie przeglądu wdrażania procedury powiadamiania. </w:t>
      </w:r>
    </w:p>
    <w:p>
      <w:pPr>
        <w:jc w:val="both"/>
        <w:rPr>
          <w:rFonts w:ascii="Times New Roman" w:hAnsi="Times New Roman" w:cs="Times New Roman"/>
          <w:noProof/>
          <w:sz w:val="24"/>
          <w:szCs w:val="24"/>
        </w:rPr>
      </w:pPr>
      <w:r>
        <w:rPr>
          <w:rFonts w:ascii="Times New Roman" w:hAnsi="Times New Roman"/>
          <w:noProof/>
          <w:sz w:val="24"/>
        </w:rPr>
        <w:t xml:space="preserve">Sprawozdanie obejmuje dane na temat wyroków skazujących otrzymane od 24 państw członkowskich. Komisja nie otrzymała danych z Bułgarii, Cypru, Danii i Słowenii. </w:t>
      </w:r>
    </w:p>
    <w:p>
      <w:pPr>
        <w:jc w:val="both"/>
        <w:rPr>
          <w:rFonts w:ascii="Times New Roman" w:hAnsi="Times New Roman" w:cs="Times New Roman"/>
          <w:b/>
          <w:smallCaps/>
          <w:noProof/>
          <w:color w:val="000080"/>
          <w:kern w:val="28"/>
          <w:sz w:val="24"/>
          <w:szCs w:val="24"/>
        </w:rPr>
      </w:pPr>
      <w:r>
        <w:rPr>
          <w:rFonts w:ascii="Times New Roman" w:hAnsi="Times New Roman"/>
          <w:b/>
          <w:noProof/>
          <w:sz w:val="24"/>
        </w:rPr>
        <w:t>2. Główne ustalenia</w:t>
      </w:r>
    </w:p>
    <w:p>
      <w:pPr>
        <w:numPr>
          <w:ilvl w:val="0"/>
          <w:numId w:val="27"/>
        </w:numPr>
        <w:ind w:left="714" w:hanging="357"/>
        <w:jc w:val="both"/>
        <w:rPr>
          <w:rFonts w:ascii="Times New Roman" w:hAnsi="Times New Roman" w:cs="Times New Roman"/>
          <w:noProof/>
          <w:sz w:val="24"/>
          <w:szCs w:val="24"/>
        </w:rPr>
      </w:pPr>
      <w:r>
        <w:rPr>
          <w:rFonts w:ascii="Times New Roman" w:hAnsi="Times New Roman"/>
          <w:b/>
          <w:noProof/>
          <w:sz w:val="24"/>
        </w:rPr>
        <w:t>Wszystkie 28 państw członkowskich jest aktywnych w ECRIS, jednak brakuje 24 % możliwych wzajemnych połączeń.</w:t>
      </w:r>
    </w:p>
    <w:p>
      <w:pPr>
        <w:jc w:val="both"/>
        <w:rPr>
          <w:rFonts w:ascii="Times New Roman" w:hAnsi="Times New Roman" w:cs="Times New Roman"/>
          <w:noProof/>
          <w:sz w:val="24"/>
          <w:szCs w:val="24"/>
        </w:rPr>
      </w:pPr>
      <w:r>
        <w:rPr>
          <w:rFonts w:ascii="Times New Roman" w:hAnsi="Times New Roman"/>
          <w:noProof/>
          <w:sz w:val="24"/>
        </w:rPr>
        <w:t xml:space="preserve">Po pięciu latach funkcjonowania systemu ECRIS </w:t>
      </w:r>
      <w:r>
        <w:rPr>
          <w:rFonts w:ascii="Times New Roman" w:hAnsi="Times New Roman"/>
          <w:b/>
          <w:noProof/>
          <w:sz w:val="24"/>
        </w:rPr>
        <w:t xml:space="preserve">wszystkie 28 państw członkowskich </w:t>
      </w:r>
      <w:r>
        <w:rPr>
          <w:rFonts w:ascii="Times New Roman" w:hAnsi="Times New Roman"/>
          <w:noProof/>
          <w:sz w:val="24"/>
        </w:rPr>
        <w:t xml:space="preserve">jest obecnie </w:t>
      </w:r>
      <w:r>
        <w:rPr>
          <w:rFonts w:ascii="Times New Roman" w:hAnsi="Times New Roman"/>
          <w:b/>
          <w:noProof/>
          <w:sz w:val="24"/>
        </w:rPr>
        <w:t>do niego podłączonych.</w:t>
      </w:r>
      <w:r>
        <w:rPr>
          <w:rFonts w:ascii="Times New Roman" w:hAnsi="Times New Roman"/>
          <w:noProof/>
          <w:sz w:val="24"/>
        </w:rPr>
        <w:t xml:space="preserve"> Słowenia i Portugalia dołączyły w styczniu 2017 r. Jednak </w:t>
      </w:r>
      <w:r>
        <w:rPr>
          <w:rFonts w:ascii="Times New Roman" w:hAnsi="Times New Roman"/>
          <w:b/>
          <w:noProof/>
          <w:sz w:val="24"/>
        </w:rPr>
        <w:t>żadne z państw członkowskich nie wymienia informacji za pośrednictwem systemu ECRIS ze wszystkimi 27 pozostałymi państwami członkowskimi.</w:t>
      </w:r>
      <w:r>
        <w:rPr>
          <w:rFonts w:ascii="Times New Roman" w:hAnsi="Times New Roman"/>
          <w:noProof/>
          <w:sz w:val="24"/>
        </w:rPr>
        <w:t xml:space="preserve"> Pod koniec 2016 r.</w:t>
      </w:r>
      <w:r>
        <w:rPr>
          <w:rFonts w:ascii="Times New Roman" w:hAnsi="Times New Roman"/>
          <w:b/>
          <w:noProof/>
          <w:sz w:val="24"/>
        </w:rPr>
        <w:t xml:space="preserve"> ustanowiono jedynie 76 % całkowitej liczby możliwych wzajemnych połączeń</w:t>
      </w:r>
      <w:r>
        <w:rPr>
          <w:rFonts w:ascii="Times New Roman" w:hAnsi="Times New Roman"/>
          <w:noProof/>
          <w:sz w:val="24"/>
        </w:rPr>
        <w:t>. Ostateczny cel – podłączenie każdego państwa członkowskiego do systemu ECRIS i wymiana przez niego informacji za pośrednictwem tego systemu ze wszystkimi innymi państwami członkowskimi – nie został więc jeszcze osiągnięty.</w:t>
      </w:r>
    </w:p>
    <w:p>
      <w:pPr>
        <w:numPr>
          <w:ilvl w:val="0"/>
          <w:numId w:val="27"/>
        </w:numPr>
        <w:ind w:left="714" w:hanging="357"/>
        <w:jc w:val="both"/>
        <w:rPr>
          <w:rFonts w:ascii="Times New Roman" w:hAnsi="Times New Roman"/>
          <w:b/>
          <w:noProof/>
          <w:sz w:val="24"/>
        </w:rPr>
      </w:pPr>
      <w:r>
        <w:rPr>
          <w:rFonts w:ascii="Times New Roman" w:hAnsi="Times New Roman"/>
          <w:b/>
          <w:noProof/>
          <w:sz w:val="24"/>
        </w:rPr>
        <w:t>Liczba wymienionych komunikatów osiągnęła w 2016 r. 2 miliony.</w:t>
      </w:r>
    </w:p>
    <w:p>
      <w:pPr>
        <w:jc w:val="both"/>
        <w:rPr>
          <w:rFonts w:ascii="Times New Roman" w:hAnsi="Times New Roman" w:cs="Times New Roman"/>
          <w:noProof/>
          <w:sz w:val="24"/>
          <w:szCs w:val="24"/>
        </w:rPr>
      </w:pPr>
      <w:r>
        <w:rPr>
          <w:rFonts w:ascii="Times New Roman" w:hAnsi="Times New Roman"/>
          <w:noProof/>
          <w:sz w:val="24"/>
        </w:rPr>
        <w:t xml:space="preserve">Liczba komunikatów wymienionych przez wszystkie wzajemnie połączone państwa członkowskie wzrosła z 300 000 pod koniec 2012 r. do prawie </w:t>
      </w:r>
      <w:r>
        <w:rPr>
          <w:rFonts w:ascii="Times New Roman" w:hAnsi="Times New Roman"/>
          <w:b/>
          <w:noProof/>
          <w:sz w:val="24"/>
        </w:rPr>
        <w:t xml:space="preserve">2 milionów w 2016 r. </w:t>
      </w:r>
      <w:r>
        <w:rPr>
          <w:rFonts w:ascii="Times New Roman" w:hAnsi="Times New Roman"/>
          <w:noProof/>
          <w:sz w:val="24"/>
        </w:rPr>
        <w:lastRenderedPageBreak/>
        <w:t>(</w:t>
      </w:r>
      <w:r>
        <w:rPr>
          <w:rFonts w:ascii="Times New Roman" w:hAnsi="Times New Roman"/>
          <w:b/>
          <w:noProof/>
          <w:sz w:val="24"/>
        </w:rPr>
        <w:t>średnio 165 000 komunikatów miesięcznie</w:t>
      </w:r>
      <w:r>
        <w:rPr>
          <w:rFonts w:ascii="Times New Roman" w:hAnsi="Times New Roman"/>
          <w:noProof/>
          <w:sz w:val="24"/>
        </w:rPr>
        <w:t>). Aktualnie</w:t>
      </w:r>
      <w:r>
        <w:rPr>
          <w:rFonts w:ascii="Times New Roman" w:hAnsi="Times New Roman"/>
          <w:b/>
          <w:noProof/>
          <w:sz w:val="24"/>
        </w:rPr>
        <w:t xml:space="preserve"> liczba przesyłanych w ciągu roku powiadomień o nowych wyrokach skazujących, wniosków o udzielenie informacji i odpowiedzi</w:t>
      </w:r>
      <w:r>
        <w:rPr>
          <w:rFonts w:ascii="Times New Roman" w:hAnsi="Times New Roman"/>
          <w:noProof/>
          <w:sz w:val="24"/>
        </w:rPr>
        <w:t xml:space="preserve"> </w:t>
      </w:r>
      <w:r>
        <w:rPr>
          <w:rFonts w:ascii="Times New Roman" w:hAnsi="Times New Roman"/>
          <w:b/>
          <w:noProof/>
          <w:sz w:val="24"/>
        </w:rPr>
        <w:t>na wnioski</w:t>
      </w:r>
      <w:r>
        <w:rPr>
          <w:rFonts w:ascii="Times New Roman" w:hAnsi="Times New Roman"/>
          <w:noProof/>
          <w:sz w:val="24"/>
        </w:rPr>
        <w:t xml:space="preserve"> sięga w przybliżeniu </w:t>
      </w:r>
      <w:r>
        <w:rPr>
          <w:rFonts w:ascii="Times New Roman" w:hAnsi="Times New Roman"/>
          <w:b/>
          <w:noProof/>
          <w:sz w:val="24"/>
        </w:rPr>
        <w:t>350 000</w:t>
      </w:r>
      <w:r>
        <w:rPr>
          <w:rFonts w:ascii="Times New Roman" w:hAnsi="Times New Roman"/>
          <w:noProof/>
          <w:sz w:val="24"/>
        </w:rPr>
        <w:t xml:space="preserve"> w każdej kategorii</w:t>
      </w:r>
      <w:r>
        <w:rPr>
          <w:rFonts w:ascii="Times New Roman" w:hAnsi="Times New Roman"/>
          <w:b/>
          <w:noProof/>
          <w:sz w:val="24"/>
        </w:rPr>
        <w:t>.</w:t>
      </w:r>
      <w:r>
        <w:rPr>
          <w:rFonts w:ascii="Times New Roman" w:hAnsi="Times New Roman"/>
          <w:noProof/>
          <w:sz w:val="24"/>
        </w:rPr>
        <w:t xml:space="preserve"> Najbardziej aktywnymi państwami członkowskimi pod względem całkowitej liczby tych trzech rodzajów komunikatów wysłanych w 2016 r. były: DE (24,9 %), następnie UK (13,7 %), IT (7,7 %), PL (6,6 %) i RO (5,5 %).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 xml:space="preserve">W co trzeciej odpowiedzi ujawniono istnienie wcześniejszych wyroków karnych. </w:t>
      </w:r>
    </w:p>
    <w:p>
      <w:pPr>
        <w:jc w:val="both"/>
        <w:rPr>
          <w:rFonts w:ascii="Times New Roman" w:hAnsi="Times New Roman" w:cs="Times New Roman"/>
          <w:noProof/>
          <w:sz w:val="24"/>
          <w:szCs w:val="24"/>
        </w:rPr>
      </w:pPr>
      <w:r>
        <w:rPr>
          <w:rFonts w:ascii="Times New Roman" w:hAnsi="Times New Roman"/>
          <w:noProof/>
          <w:sz w:val="24"/>
        </w:rPr>
        <w:t>Od pierwszego roku działania systemu ECRIS na </w:t>
      </w:r>
      <w:r>
        <w:rPr>
          <w:rFonts w:ascii="Times New Roman" w:hAnsi="Times New Roman"/>
          <w:b/>
          <w:noProof/>
          <w:sz w:val="24"/>
        </w:rPr>
        <w:t>31 % wniosków o udzielenie informacji na temat wcześniejszych wyroków odpowiedziano poprzez przekazanie informacji na temat wcześniejszych wyroków karnych.</w:t>
      </w:r>
      <w:r>
        <w:rPr>
          <w:rFonts w:ascii="Times New Roman" w:hAnsi="Times New Roman"/>
          <w:noProof/>
          <w:sz w:val="24"/>
        </w:rPr>
        <w:t xml:space="preserve"> Oznacza to, że w przypadku 31 % wniosków dana osoba była już skazana jeden lub więcej razy w innym miejscu w Unii. Dowodzi to istotnej wartości systemu ECRIS jako narzędzia uzyskiwania informacji z rejestrów karnych. W </w:t>
      </w:r>
      <w:r>
        <w:rPr>
          <w:rFonts w:ascii="Times New Roman" w:hAnsi="Times New Roman"/>
          <w:b/>
          <w:noProof/>
          <w:sz w:val="24"/>
        </w:rPr>
        <w:t>2016 r.</w:t>
      </w:r>
      <w:r>
        <w:rPr>
          <w:rFonts w:ascii="Times New Roman" w:hAnsi="Times New Roman"/>
          <w:noProof/>
          <w:sz w:val="24"/>
        </w:rPr>
        <w:t xml:space="preserve"> ponad </w:t>
      </w:r>
      <w:r>
        <w:rPr>
          <w:rFonts w:ascii="Times New Roman" w:hAnsi="Times New Roman"/>
          <w:b/>
          <w:noProof/>
          <w:sz w:val="24"/>
        </w:rPr>
        <w:t>105 000 odpowiedzi zawierało informacje na temat wcześniejszych wyroków karnych</w:t>
      </w:r>
      <w:r>
        <w:rPr>
          <w:rFonts w:ascii="Times New Roman" w:hAnsi="Times New Roman"/>
          <w:noProof/>
          <w:sz w:val="24"/>
        </w:rPr>
        <w:t>.</w:t>
      </w:r>
    </w:p>
    <w:p>
      <w:pPr>
        <w:numPr>
          <w:ilvl w:val="0"/>
          <w:numId w:val="27"/>
        </w:numPr>
        <w:ind w:left="714" w:hanging="357"/>
        <w:jc w:val="both"/>
        <w:rPr>
          <w:rFonts w:ascii="Times New Roman" w:hAnsi="Times New Roman"/>
          <w:b/>
          <w:noProof/>
          <w:sz w:val="24"/>
        </w:rPr>
      </w:pPr>
      <w:r>
        <w:rPr>
          <w:rFonts w:ascii="Times New Roman" w:hAnsi="Times New Roman"/>
          <w:b/>
          <w:noProof/>
          <w:sz w:val="24"/>
        </w:rPr>
        <w:t>Tendencja w kierunku stabilizacji liczby powiadomień</w:t>
      </w:r>
    </w:p>
    <w:p>
      <w:pPr>
        <w:jc w:val="both"/>
        <w:rPr>
          <w:rFonts w:ascii="Times New Roman" w:hAnsi="Times New Roman" w:cs="Times New Roman"/>
          <w:noProof/>
          <w:sz w:val="24"/>
          <w:szCs w:val="24"/>
        </w:rPr>
      </w:pPr>
      <w:r>
        <w:rPr>
          <w:rFonts w:ascii="Times New Roman" w:hAnsi="Times New Roman"/>
          <w:noProof/>
          <w:sz w:val="24"/>
        </w:rPr>
        <w:t xml:space="preserve">Od 2014 r., dzięki 25 wzajemnie połączonym państwom członkowskim, </w:t>
      </w:r>
      <w:r>
        <w:rPr>
          <w:rFonts w:ascii="Times New Roman" w:hAnsi="Times New Roman"/>
          <w:b/>
          <w:noProof/>
          <w:sz w:val="24"/>
        </w:rPr>
        <w:t xml:space="preserve">liczba powiadomień o nowych wyrokach skazujących stopniowo się ustabilizowała, </w:t>
      </w:r>
      <w:r>
        <w:rPr>
          <w:rFonts w:ascii="Times New Roman" w:hAnsi="Times New Roman"/>
          <w:noProof/>
          <w:sz w:val="24"/>
        </w:rPr>
        <w:t>sięgając</w:t>
      </w:r>
      <w:r>
        <w:rPr>
          <w:rFonts w:ascii="Times New Roman" w:hAnsi="Times New Roman"/>
          <w:b/>
          <w:noProof/>
          <w:sz w:val="24"/>
        </w:rPr>
        <w:t xml:space="preserve"> 330 000 powiadomień w 2016 r.</w:t>
      </w:r>
      <w:r>
        <w:rPr>
          <w:rFonts w:ascii="Times New Roman" w:hAnsi="Times New Roman"/>
          <w:noProof/>
          <w:sz w:val="24"/>
        </w:rPr>
        <w:t xml:space="preserve"> Nastąpiło to po okresie początkowego istotnego wzrostu, przystąpieniu do sieci nowych państw członkowskich i powstaniu nowych wzajemnych połączeń. Oczekuje się, że ta liczba dalej będzie rosnąć, niezależnie od poziomu karalności, w miarę jak wskaźnik wzajemnych połączeń będzie się zbliżał do 100 %.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Szybki wzrost liczby wniosków o udzielenie informacji i odpowiedzi</w:t>
      </w:r>
    </w:p>
    <w:p>
      <w:pPr>
        <w:jc w:val="both"/>
        <w:rPr>
          <w:rFonts w:ascii="Times New Roman" w:hAnsi="Times New Roman" w:cs="Times New Roman"/>
          <w:noProof/>
          <w:sz w:val="24"/>
          <w:szCs w:val="24"/>
        </w:rPr>
      </w:pPr>
      <w:r>
        <w:rPr>
          <w:rFonts w:ascii="Times New Roman" w:hAnsi="Times New Roman"/>
          <w:b/>
          <w:noProof/>
          <w:sz w:val="24"/>
        </w:rPr>
        <w:t>Liczba wniosków u udzielenie informacji</w:t>
      </w:r>
      <w:r>
        <w:rPr>
          <w:rFonts w:ascii="Times New Roman" w:hAnsi="Times New Roman"/>
          <w:noProof/>
          <w:sz w:val="24"/>
        </w:rPr>
        <w:t xml:space="preserve"> i </w:t>
      </w:r>
      <w:r>
        <w:rPr>
          <w:rFonts w:ascii="Times New Roman" w:hAnsi="Times New Roman"/>
          <w:b/>
          <w:noProof/>
          <w:sz w:val="24"/>
        </w:rPr>
        <w:t>odpowiedzi na te wnioski</w:t>
      </w:r>
      <w:r>
        <w:rPr>
          <w:rFonts w:ascii="Times New Roman" w:hAnsi="Times New Roman"/>
          <w:noProof/>
          <w:sz w:val="24"/>
        </w:rPr>
        <w:t xml:space="preserve"> </w:t>
      </w:r>
      <w:r>
        <w:rPr>
          <w:rFonts w:ascii="Times New Roman" w:hAnsi="Times New Roman"/>
          <w:b/>
          <w:noProof/>
          <w:sz w:val="24"/>
        </w:rPr>
        <w:t>gwałtownie wzrosła</w:t>
      </w:r>
      <w:r>
        <w:rPr>
          <w:rFonts w:ascii="Times New Roman" w:hAnsi="Times New Roman"/>
          <w:noProof/>
          <w:sz w:val="24"/>
        </w:rPr>
        <w:t xml:space="preserve"> na przestrzeni ostatnich pięciu lat, sięgając </w:t>
      </w:r>
      <w:r>
        <w:rPr>
          <w:rFonts w:ascii="Times New Roman" w:hAnsi="Times New Roman"/>
          <w:b/>
          <w:noProof/>
          <w:sz w:val="24"/>
        </w:rPr>
        <w:t>364 000 wniosków</w:t>
      </w:r>
      <w:r>
        <w:rPr>
          <w:rFonts w:ascii="Times New Roman" w:hAnsi="Times New Roman"/>
          <w:noProof/>
          <w:sz w:val="24"/>
        </w:rPr>
        <w:t xml:space="preserve"> i </w:t>
      </w:r>
      <w:r>
        <w:rPr>
          <w:rFonts w:ascii="Times New Roman" w:hAnsi="Times New Roman"/>
          <w:b/>
          <w:noProof/>
          <w:sz w:val="24"/>
        </w:rPr>
        <w:t>350 000 odpowiedzi</w:t>
      </w:r>
      <w:r>
        <w:rPr>
          <w:rFonts w:ascii="Times New Roman" w:hAnsi="Times New Roman"/>
          <w:noProof/>
          <w:sz w:val="24"/>
        </w:rPr>
        <w:t xml:space="preserve"> w 2016 r. Jest to pozytywny znak zwiększającej się świadomości w państwach członkowskich co do potrzeby wykorzystywania systemu ECRIS do wnioskowania o informacje na potrzeby postępowań karnych, a także w innych celach, np. związanych z rekrutacją, w szczególności na stanowiska wiążące się z bezpośrednim i regularnym kontaktem z dziećmi zgodnie z dyrektywą 2011/93/UE</w:t>
      </w:r>
      <w:r>
        <w:rPr>
          <w:rFonts w:ascii="Times New Roman" w:hAnsi="Times New Roman"/>
          <w:noProof/>
          <w:sz w:val="24"/>
          <w:vertAlign w:val="superscript"/>
        </w:rPr>
        <w:footnoteReference w:id="7"/>
      </w:r>
      <w:r>
        <w:rPr>
          <w:rFonts w:ascii="Times New Roman" w:hAnsi="Times New Roman"/>
          <w:noProof/>
          <w:sz w:val="24"/>
        </w:rPr>
        <w:t xml:space="preserve">.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Istotne różnice pomiędzy państwami członkowskimi pod względem działań i obciążenia pracą w związku z systemem ECRIS</w:t>
      </w:r>
    </w:p>
    <w:p>
      <w:pPr>
        <w:jc w:val="both"/>
        <w:rPr>
          <w:rFonts w:ascii="Times New Roman" w:hAnsi="Times New Roman" w:cs="Times New Roman"/>
          <w:noProof/>
          <w:sz w:val="24"/>
          <w:szCs w:val="24"/>
        </w:rPr>
      </w:pPr>
      <w:r>
        <w:rPr>
          <w:rFonts w:ascii="Times New Roman" w:hAnsi="Times New Roman"/>
          <w:noProof/>
          <w:sz w:val="24"/>
        </w:rPr>
        <w:t xml:space="preserve">Niektóre państwa członkowskie wysyłają dużo więcej </w:t>
      </w:r>
      <w:r>
        <w:rPr>
          <w:rFonts w:ascii="Times New Roman" w:hAnsi="Times New Roman"/>
          <w:b/>
          <w:noProof/>
          <w:sz w:val="24"/>
        </w:rPr>
        <w:t>wniosków o udzielenie informacji niż otrzymują.</w:t>
      </w:r>
      <w:r>
        <w:rPr>
          <w:rFonts w:ascii="Times New Roman" w:hAnsi="Times New Roman"/>
          <w:noProof/>
          <w:sz w:val="24"/>
        </w:rPr>
        <w:t xml:space="preserve"> W 2016 r. dotyczyło to DE, UK, AT i CZ. Inne państwa członkowskie borykają się z </w:t>
      </w:r>
      <w:r>
        <w:rPr>
          <w:rFonts w:ascii="Times New Roman" w:hAnsi="Times New Roman"/>
          <w:b/>
          <w:noProof/>
          <w:sz w:val="24"/>
        </w:rPr>
        <w:t>istotnym obciążeniem pracą w związku z odpowiadaniem na wnioski</w:t>
      </w:r>
      <w:r>
        <w:rPr>
          <w:rFonts w:ascii="Times New Roman" w:hAnsi="Times New Roman"/>
          <w:noProof/>
          <w:sz w:val="24"/>
        </w:rPr>
        <w:t>, podczas gdy same wysyłają ich mniej. Są to: PL, RO, SK, LT, IT, BG, LV, HU, HR, IE, EL, EE. Obciążenie pracą niektórych innych państw członkowskich wynika przede wszystkim z wysyłania dużej liczby powiadomień o nowych wyrokach skazujących do państw członkowskich, których obywatelem jest przestępca, podczas gdy same wysyłają mniej wniosków. Dotyczy to: IT, BE, ES, FR, CY.</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 xml:space="preserve">Nie wszystkie wyroki skazujące i aktualizacje są zgłaszane. </w:t>
      </w:r>
    </w:p>
    <w:p>
      <w:pPr>
        <w:jc w:val="both"/>
        <w:rPr>
          <w:rFonts w:ascii="Times New Roman" w:hAnsi="Times New Roman" w:cs="Times New Roman"/>
          <w:noProof/>
          <w:sz w:val="24"/>
          <w:szCs w:val="24"/>
        </w:rPr>
      </w:pPr>
      <w:r>
        <w:rPr>
          <w:rFonts w:ascii="Times New Roman" w:hAnsi="Times New Roman"/>
          <w:noProof/>
          <w:sz w:val="24"/>
        </w:rPr>
        <w:lastRenderedPageBreak/>
        <w:t>Najbardziej aktywnymi państwami członkowskimi pod względem wysłanych powiadomień o nowych wyrokach skazujących w 2016 r. były DE (29,7 % wszystkich takich wysłanych powiadomień), IT (19,0 %), BE (13,6 %), UK (9,9 %), ES (9,0 %) i FR (5,2 %).</w:t>
      </w:r>
    </w:p>
    <w:p>
      <w:pPr>
        <w:jc w:val="both"/>
        <w:rPr>
          <w:rFonts w:ascii="Times New Roman" w:hAnsi="Times New Roman" w:cs="Times New Roman"/>
          <w:noProof/>
          <w:sz w:val="24"/>
          <w:szCs w:val="24"/>
        </w:rPr>
      </w:pPr>
      <w:r>
        <w:rPr>
          <w:rFonts w:ascii="Times New Roman" w:hAnsi="Times New Roman"/>
          <w:noProof/>
          <w:sz w:val="24"/>
        </w:rPr>
        <w:t xml:space="preserve">Z drugiej strony niektóre państwa członkowskie w ogóle </w:t>
      </w:r>
      <w:r>
        <w:rPr>
          <w:rFonts w:ascii="Times New Roman" w:hAnsi="Times New Roman"/>
          <w:b/>
          <w:noProof/>
          <w:sz w:val="24"/>
        </w:rPr>
        <w:t>nie wysyłają powiadomień o nowych wyrokach skazujących</w:t>
      </w:r>
      <w:r>
        <w:rPr>
          <w:rFonts w:ascii="Times New Roman" w:hAnsi="Times New Roman"/>
          <w:noProof/>
          <w:sz w:val="24"/>
        </w:rPr>
        <w:t xml:space="preserve"> (EL) </w:t>
      </w:r>
      <w:r>
        <w:rPr>
          <w:rFonts w:ascii="Times New Roman" w:hAnsi="Times New Roman"/>
          <w:b/>
          <w:noProof/>
          <w:sz w:val="24"/>
        </w:rPr>
        <w:t>lub wysyłają niewiele</w:t>
      </w:r>
      <w:r>
        <w:rPr>
          <w:rFonts w:ascii="Times New Roman" w:hAnsi="Times New Roman"/>
          <w:noProof/>
          <w:sz w:val="24"/>
        </w:rPr>
        <w:t xml:space="preserve"> powiadomień w stosunku do liczby przebywających na ich terenie obywateli innych państw członkowskich UE</w:t>
      </w:r>
      <w:r>
        <w:rPr>
          <w:rStyle w:val="FootnoteReference"/>
          <w:rFonts w:ascii="Times New Roman" w:hAnsi="Times New Roman"/>
          <w:noProof/>
          <w:sz w:val="24"/>
        </w:rPr>
        <w:footnoteReference w:id="8"/>
      </w:r>
      <w:r>
        <w:rPr>
          <w:rFonts w:ascii="Times New Roman" w:hAnsi="Times New Roman"/>
          <w:noProof/>
          <w:sz w:val="24"/>
        </w:rPr>
        <w:t xml:space="preserve"> (BG, EE, HR, LT, LV, MT, RO w 2016 r.; BG, EE, LV, HR, LT w 2015 r.; BG, EE, HR, LT, LV, RO, SK w 2014 r.). Niezgłaszanie wyroków skazujących w sposób systematyczny i wiarygodny może spowodować możliwość odcięcia się przez przestępców od ich kryminalnej przeszłości lub popełniania przez nich ponownie tych samych przestępstw.</w:t>
      </w:r>
    </w:p>
    <w:p>
      <w:pPr>
        <w:jc w:val="both"/>
        <w:rPr>
          <w:rFonts w:ascii="Times New Roman" w:hAnsi="Times New Roman" w:cs="Times New Roman"/>
          <w:noProof/>
          <w:sz w:val="24"/>
          <w:szCs w:val="24"/>
        </w:rPr>
      </w:pPr>
      <w:r>
        <w:rPr>
          <w:rFonts w:ascii="Times New Roman" w:hAnsi="Times New Roman"/>
          <w:b/>
          <w:noProof/>
          <w:sz w:val="24"/>
        </w:rPr>
        <w:t xml:space="preserve">Aktualizacje wysłanych informacji o wyrokach skazujących </w:t>
      </w:r>
      <w:r>
        <w:rPr>
          <w:rFonts w:ascii="Times New Roman" w:hAnsi="Times New Roman"/>
          <w:noProof/>
          <w:sz w:val="24"/>
        </w:rPr>
        <w:t xml:space="preserve">stanowiły średnio </w:t>
      </w:r>
      <w:r>
        <w:rPr>
          <w:rFonts w:ascii="Times New Roman" w:hAnsi="Times New Roman"/>
          <w:b/>
          <w:noProof/>
          <w:sz w:val="24"/>
        </w:rPr>
        <w:t>27 % wszystkich powiadomień</w:t>
      </w:r>
      <w:r>
        <w:rPr>
          <w:rFonts w:ascii="Times New Roman" w:hAnsi="Times New Roman"/>
          <w:noProof/>
          <w:sz w:val="24"/>
        </w:rPr>
        <w:t xml:space="preserve"> w 2016 r.</w:t>
      </w:r>
      <w:r>
        <w:rPr>
          <w:noProof/>
        </w:rPr>
        <w:t xml:space="preserve"> </w:t>
      </w:r>
      <w:r>
        <w:rPr>
          <w:rFonts w:ascii="Times New Roman" w:hAnsi="Times New Roman"/>
          <w:noProof/>
          <w:sz w:val="24"/>
        </w:rPr>
        <w:t xml:space="preserve">Niektóre państwa członkowskie w ogóle </w:t>
      </w:r>
      <w:r>
        <w:rPr>
          <w:rFonts w:ascii="Times New Roman" w:hAnsi="Times New Roman"/>
          <w:b/>
          <w:noProof/>
          <w:sz w:val="24"/>
        </w:rPr>
        <w:t>nie wysłały aktualizacji</w:t>
      </w:r>
      <w:r>
        <w:rPr>
          <w:rFonts w:ascii="Times New Roman" w:hAnsi="Times New Roman"/>
          <w:noProof/>
          <w:sz w:val="24"/>
        </w:rPr>
        <w:t xml:space="preserve"> wcześniej przesłanych powiadomień (BG, DK, EE, EL, LV, RO w 2016 r.; BG, DK, FI, EL w 2015 r.; DK, EE, FI, EL, HR, RO w 2014 r.) lub </w:t>
      </w:r>
      <w:r>
        <w:rPr>
          <w:rFonts w:ascii="Times New Roman" w:hAnsi="Times New Roman"/>
          <w:b/>
          <w:noProof/>
          <w:sz w:val="24"/>
        </w:rPr>
        <w:t>wysłały niewielką liczbę</w:t>
      </w:r>
      <w:r>
        <w:rPr>
          <w:rFonts w:ascii="Times New Roman" w:hAnsi="Times New Roman"/>
          <w:noProof/>
          <w:sz w:val="24"/>
        </w:rPr>
        <w:t xml:space="preserve"> takich komunikatów (HR, LT, LU w 2016 r.; EE, HR, LT, LU, LV, RO w 2015 r.; BG, HU, IE, LT, LU, LV, SK w 2014 r.). Brak aktualizacji informacji o wyrokach skazujących prowadzi do przetwarzania, jak również rozpowszechniania przestarzałych i niewiarygodnych informacji o takich wyrokach przez państwo członkowskie obywatelstwa.</w:t>
      </w:r>
      <w:r>
        <w:rPr>
          <w:noProof/>
        </w:rPr>
        <w:t xml:space="preserve">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System ECRIS nie zawsze jest wykorzystywany do wnioskowania o udzielenie informacji o wcześniejszych wyrokach skazujących.</w:t>
      </w:r>
    </w:p>
    <w:p>
      <w:pPr>
        <w:jc w:val="both"/>
        <w:rPr>
          <w:rFonts w:ascii="Times New Roman" w:hAnsi="Times New Roman" w:cs="Times New Roman"/>
          <w:noProof/>
          <w:sz w:val="24"/>
          <w:szCs w:val="24"/>
        </w:rPr>
      </w:pPr>
      <w:r>
        <w:rPr>
          <w:rFonts w:ascii="Times New Roman" w:hAnsi="Times New Roman"/>
          <w:noProof/>
          <w:sz w:val="24"/>
        </w:rPr>
        <w:t xml:space="preserve">Państwami członkowskimi, które wysłały największą liczbę wniosków w 2016 r., były: DE (38,6 %), a następne w kolejności były UK (26,7 %), CZ (10,1 %), AT (6,9 %), ES (3,7 %) i FR (3,5 %). Jednak niektóre państwa członkowskie w ogóle </w:t>
      </w:r>
      <w:r>
        <w:rPr>
          <w:rFonts w:ascii="Times New Roman" w:hAnsi="Times New Roman"/>
          <w:b/>
          <w:noProof/>
          <w:sz w:val="24"/>
        </w:rPr>
        <w:t xml:space="preserve">nie wysyłały wniosków </w:t>
      </w:r>
      <w:r>
        <w:rPr>
          <w:rFonts w:ascii="Times New Roman" w:hAnsi="Times New Roman"/>
          <w:noProof/>
          <w:sz w:val="24"/>
        </w:rPr>
        <w:t>o</w:t>
      </w:r>
      <w:r>
        <w:rPr>
          <w:rFonts w:ascii="Times New Roman" w:hAnsi="Times New Roman"/>
          <w:b/>
          <w:noProof/>
          <w:sz w:val="24"/>
        </w:rPr>
        <w:t> </w:t>
      </w:r>
      <w:r>
        <w:rPr>
          <w:rFonts w:ascii="Times New Roman" w:hAnsi="Times New Roman"/>
          <w:noProof/>
          <w:sz w:val="24"/>
        </w:rPr>
        <w:t xml:space="preserve">udzielenie informacji (EL) lub </w:t>
      </w:r>
      <w:r>
        <w:rPr>
          <w:rFonts w:ascii="Times New Roman" w:hAnsi="Times New Roman"/>
          <w:b/>
          <w:noProof/>
          <w:sz w:val="24"/>
        </w:rPr>
        <w:t>wysłały niewielką liczbę</w:t>
      </w:r>
      <w:r>
        <w:rPr>
          <w:rFonts w:ascii="Times New Roman" w:hAnsi="Times New Roman"/>
          <w:noProof/>
          <w:sz w:val="24"/>
        </w:rPr>
        <w:t xml:space="preserve"> takich wniosków (BG, CY, HU, IT, MT, SK w 2016 r.; BG, HU, IT, SK w 2015 r.; BG, EE, HR, HU, IT, SK w 2014 r.). Prowadzi to do sytuacji, w której sądy karne mogłyby wydawać wyroki bez znajomości wcześniejszych wyroków skazujących w innych państwach członkowskich, niezgodnie z wymaganiami określonymi w decyzji ramowej 2008/675/WSiSW</w:t>
      </w:r>
      <w:r>
        <w:rPr>
          <w:rStyle w:val="FootnoteReference"/>
          <w:rFonts w:ascii="Times New Roman" w:hAnsi="Times New Roman"/>
          <w:noProof/>
          <w:sz w:val="24"/>
        </w:rPr>
        <w:footnoteReference w:id="9"/>
      </w:r>
      <w:r>
        <w:rPr>
          <w:rFonts w:ascii="Times New Roman" w:hAnsi="Times New Roman"/>
          <w:noProof/>
          <w:sz w:val="24"/>
        </w:rPr>
        <w:t>. Niewystarczające informacje na temat wcześniejszych wyroków skazujących uniemożliwią również wykorzystywanie wiarygodnych informacji na temat takich wyroków w innych celach niż postępowania karne (np. kontroli przed zatrudnieniem), a przez to będą prowadzić do pogorszenia prewencji przestępczości.</w:t>
      </w:r>
    </w:p>
    <w:p>
      <w:pPr>
        <w:pStyle w:val="ListParagraph"/>
        <w:numPr>
          <w:ilvl w:val="0"/>
          <w:numId w:val="27"/>
        </w:numPr>
        <w:jc w:val="both"/>
        <w:rPr>
          <w:rFonts w:ascii="Times New Roman" w:hAnsi="Times New Roman" w:cs="Times New Roman"/>
          <w:b/>
          <w:noProof/>
          <w:sz w:val="24"/>
          <w:szCs w:val="24"/>
        </w:rPr>
      </w:pPr>
      <w:r>
        <w:rPr>
          <w:rFonts w:ascii="Times New Roman" w:hAnsi="Times New Roman"/>
          <w:b/>
          <w:noProof/>
          <w:sz w:val="24"/>
        </w:rPr>
        <w:t>W roku 2016 nie udzielono odpowiedzi na około 14 000 wniosków o udzielenie informacji (3,9 %).</w:t>
      </w:r>
    </w:p>
    <w:p>
      <w:pPr>
        <w:jc w:val="both"/>
        <w:rPr>
          <w:rFonts w:ascii="Times New Roman" w:hAnsi="Times New Roman" w:cs="Times New Roman"/>
          <w:noProof/>
          <w:sz w:val="24"/>
          <w:szCs w:val="24"/>
        </w:rPr>
      </w:pPr>
      <w:r>
        <w:rPr>
          <w:rFonts w:ascii="Times New Roman" w:hAnsi="Times New Roman"/>
          <w:noProof/>
          <w:sz w:val="24"/>
        </w:rPr>
        <w:t xml:space="preserve">W większości państw członkowskich liczba otrzymanych odpowiedzi była nieco mniejsza niż liczba wysłanych wniosków o udzielenie informacji, przy czym średnia różnica wynosiła </w:t>
      </w:r>
      <w:r>
        <w:rPr>
          <w:rFonts w:ascii="Times New Roman" w:hAnsi="Times New Roman"/>
          <w:b/>
          <w:noProof/>
          <w:sz w:val="24"/>
        </w:rPr>
        <w:t>około 3,9 % w 2016 r.</w:t>
      </w:r>
      <w:r>
        <w:rPr>
          <w:rFonts w:ascii="Times New Roman" w:hAnsi="Times New Roman"/>
          <w:noProof/>
          <w:sz w:val="24"/>
        </w:rPr>
        <w:t xml:space="preserve"> Państwami członkowskimi, które nie odpowiedziały na największy odsetek otrzymanych wniosków, były: CY (66,1 %), EL (34,9 %), IT (20 %) i LV (17,8 %).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W roku 2016 nie udzielono odpowiedzi na około 13 000 wniosków (3,6 %) w przewidzianym prawem terminie.</w:t>
      </w:r>
    </w:p>
    <w:p>
      <w:pPr>
        <w:jc w:val="both"/>
        <w:rPr>
          <w:rFonts w:ascii="Times New Roman" w:hAnsi="Times New Roman" w:cs="Times New Roman"/>
          <w:noProof/>
          <w:sz w:val="24"/>
          <w:szCs w:val="24"/>
        </w:rPr>
      </w:pPr>
      <w:r>
        <w:rPr>
          <w:rFonts w:ascii="Times New Roman" w:hAnsi="Times New Roman"/>
          <w:noProof/>
          <w:sz w:val="24"/>
        </w:rPr>
        <w:t xml:space="preserve">W roku 2016 </w:t>
      </w:r>
      <w:r>
        <w:rPr>
          <w:rFonts w:ascii="Times New Roman" w:hAnsi="Times New Roman"/>
          <w:b/>
          <w:noProof/>
          <w:sz w:val="24"/>
        </w:rPr>
        <w:t>nie udzielono odpowiedzi w przewidzianym prawem terminie na prawie 13 000 wniosków</w:t>
      </w:r>
      <w:r>
        <w:rPr>
          <w:rFonts w:ascii="Times New Roman" w:hAnsi="Times New Roman"/>
          <w:noProof/>
          <w:sz w:val="24"/>
        </w:rPr>
        <w:t>. Stanowi to </w:t>
      </w:r>
      <w:r>
        <w:rPr>
          <w:rFonts w:ascii="Times New Roman" w:hAnsi="Times New Roman"/>
          <w:b/>
          <w:noProof/>
          <w:sz w:val="24"/>
        </w:rPr>
        <w:t>3,6 %</w:t>
      </w:r>
      <w:r>
        <w:rPr>
          <w:rFonts w:ascii="Times New Roman" w:hAnsi="Times New Roman"/>
          <w:noProof/>
          <w:sz w:val="24"/>
        </w:rPr>
        <w:t xml:space="preserve"> </w:t>
      </w:r>
      <w:r>
        <w:rPr>
          <w:rFonts w:ascii="Times New Roman" w:hAnsi="Times New Roman"/>
          <w:b/>
          <w:noProof/>
          <w:sz w:val="24"/>
        </w:rPr>
        <w:t>łącznej</w:t>
      </w:r>
      <w:r>
        <w:rPr>
          <w:rFonts w:ascii="Times New Roman" w:hAnsi="Times New Roman"/>
          <w:noProof/>
          <w:sz w:val="24"/>
        </w:rPr>
        <w:t xml:space="preserve"> liczby wniosków. Państwami członkowskimi, które mają najwięcej problemów z przestrzeganiem przewidzianych prawem terminów, są: EL (na 28,1 % wniosków otrzymanych przez EL nie udzielono odpowiedzi w terminie), FI (21,5 %), EE (20,5 %), RO (9,3 %) i IT (5,28 %).</w:t>
      </w:r>
      <w:bookmarkStart w:id="4" w:name="_Hlk480363534"/>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System ECRIS jest w coraz większym stopniu wykorzystywany do innych celów niż postępowania karne</w:t>
      </w:r>
    </w:p>
    <w:p>
      <w:pPr>
        <w:jc w:val="both"/>
        <w:rPr>
          <w:rFonts w:ascii="Times New Roman" w:hAnsi="Times New Roman" w:cs="Times New Roman"/>
          <w:noProof/>
          <w:sz w:val="24"/>
          <w:szCs w:val="24"/>
        </w:rPr>
      </w:pPr>
      <w:r>
        <w:rPr>
          <w:rFonts w:ascii="Times New Roman" w:hAnsi="Times New Roman"/>
          <w:noProof/>
          <w:sz w:val="24"/>
        </w:rPr>
        <w:t xml:space="preserve">W trakcie działania ECRIS średnio </w:t>
      </w:r>
      <w:r>
        <w:rPr>
          <w:rFonts w:ascii="Times New Roman" w:hAnsi="Times New Roman"/>
          <w:b/>
          <w:noProof/>
          <w:sz w:val="24"/>
        </w:rPr>
        <w:t>81 %</w:t>
      </w:r>
      <w:r>
        <w:rPr>
          <w:rFonts w:ascii="Times New Roman" w:hAnsi="Times New Roman"/>
          <w:noProof/>
          <w:sz w:val="24"/>
        </w:rPr>
        <w:t xml:space="preserve"> wszystkich wniosków złożono w celach związanych z </w:t>
      </w:r>
      <w:r>
        <w:rPr>
          <w:rFonts w:ascii="Times New Roman" w:hAnsi="Times New Roman"/>
          <w:b/>
          <w:noProof/>
          <w:sz w:val="24"/>
        </w:rPr>
        <w:t>postępowaniem karnym,</w:t>
      </w:r>
      <w:r>
        <w:rPr>
          <w:rFonts w:ascii="Times New Roman" w:hAnsi="Times New Roman"/>
          <w:noProof/>
          <w:sz w:val="24"/>
        </w:rPr>
        <w:t xml:space="preserve"> a </w:t>
      </w:r>
      <w:r>
        <w:rPr>
          <w:rFonts w:ascii="Times New Roman" w:hAnsi="Times New Roman"/>
          <w:b/>
          <w:noProof/>
          <w:sz w:val="24"/>
        </w:rPr>
        <w:t>19 %</w:t>
      </w:r>
      <w:r>
        <w:rPr>
          <w:rFonts w:ascii="Times New Roman" w:hAnsi="Times New Roman"/>
          <w:noProof/>
          <w:sz w:val="24"/>
        </w:rPr>
        <w:t xml:space="preserve"> w </w:t>
      </w:r>
      <w:r>
        <w:rPr>
          <w:rFonts w:ascii="Times New Roman" w:hAnsi="Times New Roman"/>
          <w:b/>
          <w:noProof/>
          <w:sz w:val="24"/>
        </w:rPr>
        <w:t>innych celach</w:t>
      </w:r>
      <w:r>
        <w:rPr>
          <w:rFonts w:ascii="Times New Roman" w:hAnsi="Times New Roman"/>
          <w:noProof/>
          <w:sz w:val="24"/>
        </w:rPr>
        <w:t xml:space="preserve">. Liczba </w:t>
      </w:r>
      <w:r>
        <w:rPr>
          <w:rFonts w:ascii="Times New Roman" w:hAnsi="Times New Roman"/>
          <w:b/>
          <w:noProof/>
          <w:sz w:val="24"/>
        </w:rPr>
        <w:t>wniosków</w:t>
      </w:r>
      <w:r>
        <w:rPr>
          <w:rFonts w:ascii="Times New Roman" w:hAnsi="Times New Roman"/>
          <w:noProof/>
          <w:sz w:val="24"/>
        </w:rPr>
        <w:t xml:space="preserve"> </w:t>
      </w:r>
      <w:r>
        <w:rPr>
          <w:rFonts w:ascii="Times New Roman" w:hAnsi="Times New Roman"/>
          <w:b/>
          <w:noProof/>
          <w:sz w:val="24"/>
        </w:rPr>
        <w:t xml:space="preserve">złożonych w innych celach </w:t>
      </w:r>
      <w:r>
        <w:rPr>
          <w:rFonts w:ascii="Times New Roman" w:hAnsi="Times New Roman"/>
          <w:noProof/>
          <w:sz w:val="24"/>
        </w:rPr>
        <w:t>zwiększyła się do </w:t>
      </w:r>
      <w:r>
        <w:rPr>
          <w:rFonts w:ascii="Times New Roman" w:hAnsi="Times New Roman"/>
          <w:b/>
          <w:noProof/>
          <w:sz w:val="24"/>
        </w:rPr>
        <w:t>22 % w 2016 r.,</w:t>
      </w:r>
      <w:r>
        <w:rPr>
          <w:rFonts w:ascii="Times New Roman" w:hAnsi="Times New Roman"/>
          <w:noProof/>
          <w:sz w:val="24"/>
        </w:rPr>
        <w:t xml:space="preserve"> osiągając liczbę</w:t>
      </w:r>
      <w:r>
        <w:rPr>
          <w:rFonts w:ascii="Times New Roman" w:hAnsi="Times New Roman"/>
          <w:b/>
          <w:noProof/>
          <w:sz w:val="24"/>
        </w:rPr>
        <w:t xml:space="preserve"> 79 000 </w:t>
      </w:r>
      <w:r>
        <w:rPr>
          <w:rFonts w:ascii="Times New Roman" w:hAnsi="Times New Roman"/>
          <w:noProof/>
          <w:sz w:val="24"/>
        </w:rPr>
        <w:t xml:space="preserve">wniosków. Wnioski od osób fizycznych o udzielenie </w:t>
      </w:r>
      <w:r>
        <w:rPr>
          <w:rFonts w:ascii="Times New Roman" w:hAnsi="Times New Roman"/>
          <w:b/>
          <w:noProof/>
          <w:sz w:val="24"/>
        </w:rPr>
        <w:t>informacji z rejestru karnego dotyczących nich samych</w:t>
      </w:r>
      <w:r>
        <w:rPr>
          <w:rFonts w:ascii="Times New Roman" w:hAnsi="Times New Roman"/>
          <w:noProof/>
          <w:sz w:val="24"/>
        </w:rPr>
        <w:t xml:space="preserve"> stanowią największą część wniosków składanych w celach niezwiązanych z postępowaniem karnym – 68 % wszystkich wniosków w innych celach i 15 % wszystkich złożonych wniosków.</w:t>
      </w:r>
    </w:p>
    <w:p>
      <w:pPr>
        <w:numPr>
          <w:ilvl w:val="0"/>
          <w:numId w:val="27"/>
        </w:numPr>
        <w:ind w:left="714" w:hanging="357"/>
        <w:jc w:val="both"/>
        <w:rPr>
          <w:rFonts w:ascii="Times New Roman" w:hAnsi="Times New Roman" w:cs="Times New Roman"/>
          <w:noProof/>
          <w:sz w:val="24"/>
          <w:szCs w:val="24"/>
        </w:rPr>
      </w:pPr>
      <w:r>
        <w:rPr>
          <w:rFonts w:ascii="Times New Roman" w:hAnsi="Times New Roman"/>
          <w:b/>
          <w:noProof/>
          <w:sz w:val="24"/>
        </w:rPr>
        <w:t>Obecnie ECRIS jest rzadko wykorzystywany w odniesieniu do TCN</w:t>
      </w:r>
    </w:p>
    <w:p>
      <w:pPr>
        <w:spacing w:after="0"/>
        <w:jc w:val="both"/>
        <w:rPr>
          <w:rFonts w:ascii="Times New Roman" w:hAnsi="Times New Roman" w:cs="Times New Roman"/>
          <w:noProof/>
          <w:sz w:val="24"/>
          <w:szCs w:val="24"/>
        </w:rPr>
      </w:pPr>
      <w:r>
        <w:rPr>
          <w:rFonts w:ascii="Times New Roman" w:hAnsi="Times New Roman"/>
          <w:noProof/>
          <w:sz w:val="24"/>
        </w:rPr>
        <w:t>Średnio</w:t>
      </w:r>
      <w:r>
        <w:rPr>
          <w:rFonts w:ascii="Times New Roman" w:hAnsi="Times New Roman"/>
          <w:b/>
          <w:noProof/>
          <w:sz w:val="24"/>
        </w:rPr>
        <w:t xml:space="preserve"> 90 %</w:t>
      </w:r>
      <w:r>
        <w:rPr>
          <w:rFonts w:ascii="Times New Roman" w:hAnsi="Times New Roman"/>
          <w:noProof/>
          <w:sz w:val="24"/>
        </w:rPr>
        <w:t xml:space="preserve"> wszystkich wniosków dotyczy </w:t>
      </w:r>
      <w:r>
        <w:rPr>
          <w:rFonts w:ascii="Times New Roman" w:hAnsi="Times New Roman"/>
          <w:b/>
          <w:noProof/>
          <w:sz w:val="24"/>
        </w:rPr>
        <w:t>obywateli UE,</w:t>
      </w:r>
      <w:r>
        <w:rPr>
          <w:rFonts w:ascii="Times New Roman" w:hAnsi="Times New Roman"/>
          <w:noProof/>
          <w:sz w:val="24"/>
        </w:rPr>
        <w:t xml:space="preserve"> a około </w:t>
      </w:r>
      <w:r>
        <w:rPr>
          <w:rFonts w:ascii="Times New Roman" w:hAnsi="Times New Roman"/>
          <w:b/>
          <w:noProof/>
          <w:sz w:val="24"/>
        </w:rPr>
        <w:t>10 % – obywateli państw trzecich i bezpaństwowców</w:t>
      </w:r>
      <w:r>
        <w:rPr>
          <w:rFonts w:ascii="Times New Roman" w:hAnsi="Times New Roman"/>
          <w:noProof/>
          <w:sz w:val="24"/>
        </w:rPr>
        <w:t>. Liczba wniosków o udzielenie informacji w sprawie</w:t>
      </w:r>
      <w:r>
        <w:rPr>
          <w:rFonts w:ascii="Times New Roman" w:hAnsi="Times New Roman"/>
          <w:b/>
          <w:noProof/>
          <w:sz w:val="24"/>
        </w:rPr>
        <w:t xml:space="preserve"> TCN </w:t>
      </w:r>
      <w:r>
        <w:rPr>
          <w:rFonts w:ascii="Times New Roman" w:hAnsi="Times New Roman"/>
          <w:noProof/>
          <w:sz w:val="24"/>
        </w:rPr>
        <w:t>sięgnęła w 2016 r.</w:t>
      </w:r>
      <w:r>
        <w:rPr>
          <w:rFonts w:ascii="Times New Roman" w:hAnsi="Times New Roman"/>
          <w:b/>
          <w:noProof/>
          <w:sz w:val="24"/>
        </w:rPr>
        <w:t xml:space="preserve"> ponad 33 000</w:t>
      </w:r>
      <w:r>
        <w:rPr>
          <w:rFonts w:ascii="Times New Roman" w:hAnsi="Times New Roman"/>
          <w:noProof/>
          <w:sz w:val="24"/>
        </w:rPr>
        <w:t xml:space="preserve">. Uzupełnienie systemu ECRIS o scentralizowany system dotyczący wyłącznie TCN, co Komisja proponuje w ramach pakietu obejmującego niniejsze sprawozdanie, powinno prowadzić do znacznego zwiększenia liczby wniosków dotyczących TCN. </w:t>
      </w:r>
    </w:p>
    <w:p>
      <w:pPr>
        <w:jc w:val="both"/>
        <w:rPr>
          <w:rFonts w:ascii="Times New Roman" w:hAnsi="Times New Roman" w:cs="Times New Roman"/>
          <w:b/>
          <w:noProof/>
          <w:sz w:val="24"/>
          <w:szCs w:val="24"/>
        </w:rPr>
      </w:pPr>
      <w:bookmarkStart w:id="5" w:name="_Toc479267019"/>
      <w:bookmarkEnd w:id="4"/>
    </w:p>
    <w:p>
      <w:pPr>
        <w:jc w:val="both"/>
        <w:rPr>
          <w:rFonts w:ascii="Times New Roman" w:hAnsi="Times New Roman" w:cs="Times New Roman"/>
          <w:b/>
          <w:noProof/>
          <w:sz w:val="24"/>
          <w:szCs w:val="24"/>
        </w:rPr>
      </w:pPr>
      <w:r>
        <w:rPr>
          <w:rFonts w:ascii="Times New Roman" w:hAnsi="Times New Roman"/>
          <w:b/>
          <w:noProof/>
          <w:sz w:val="24"/>
        </w:rPr>
        <w:t>3. Wymiana informacji za pośrednictwem systemu ECRIS w liczbach</w:t>
      </w:r>
      <w:bookmarkStart w:id="6" w:name="_Ref366147146"/>
      <w:bookmarkStart w:id="7" w:name="_Toc479267020"/>
      <w:bookmarkEnd w:id="5"/>
    </w:p>
    <w:p>
      <w:pPr>
        <w:jc w:val="both"/>
        <w:rPr>
          <w:rFonts w:ascii="Times New Roman" w:hAnsi="Times New Roman" w:cs="Times New Roman"/>
          <w:b/>
          <w:noProof/>
          <w:sz w:val="24"/>
          <w:szCs w:val="24"/>
        </w:rPr>
      </w:pPr>
      <w:r>
        <w:rPr>
          <w:rFonts w:ascii="Times New Roman" w:hAnsi="Times New Roman"/>
          <w:b/>
          <w:smallCaps/>
          <w:noProof/>
          <w:sz w:val="24"/>
        </w:rPr>
        <w:t>3.1.</w:t>
      </w:r>
      <w:r>
        <w:rPr>
          <w:noProof/>
        </w:rPr>
        <w:t xml:space="preserve"> </w:t>
      </w:r>
      <w:r>
        <w:rPr>
          <w:rFonts w:ascii="Times New Roman" w:hAnsi="Times New Roman"/>
          <w:b/>
          <w:noProof/>
          <w:sz w:val="24"/>
        </w:rPr>
        <w:t>Podłączone państwa członkowskie</w:t>
      </w:r>
      <w:bookmarkEnd w:id="6"/>
      <w:bookmarkEnd w:id="7"/>
    </w:p>
    <w:p>
      <w:pPr>
        <w:jc w:val="both"/>
        <w:rPr>
          <w:rFonts w:ascii="Times New Roman" w:hAnsi="Times New Roman" w:cs="Times New Roman"/>
          <w:noProof/>
          <w:sz w:val="24"/>
          <w:szCs w:val="24"/>
        </w:rPr>
      </w:pPr>
      <w:r>
        <w:rPr>
          <w:rFonts w:ascii="Times New Roman" w:hAnsi="Times New Roman"/>
          <w:noProof/>
          <w:sz w:val="24"/>
        </w:rPr>
        <w:t xml:space="preserve">Państwo członkowskie uznaje się za podłączone do ECRIS, jeżeli wymienia informacje z rejestru karnego z co najmniej jednym podłączonym partnerem. </w:t>
      </w:r>
      <w:bookmarkStart w:id="8" w:name="_Hlk481158166"/>
      <w:r>
        <w:rPr>
          <w:rFonts w:ascii="Times New Roman" w:hAnsi="Times New Roman"/>
          <w:noProof/>
          <w:sz w:val="24"/>
        </w:rPr>
        <w:t xml:space="preserve">Dotychczas </w:t>
      </w:r>
      <w:r>
        <w:rPr>
          <w:rFonts w:ascii="Times New Roman" w:hAnsi="Times New Roman"/>
          <w:b/>
          <w:noProof/>
          <w:sz w:val="24"/>
        </w:rPr>
        <w:t>wszystkie 28 państw członkowskich zostało podłączonych do systemu ECRIS</w:t>
      </w:r>
      <w:r>
        <w:rPr>
          <w:rFonts w:ascii="Times New Roman" w:hAnsi="Times New Roman"/>
          <w:noProof/>
          <w:sz w:val="24"/>
        </w:rPr>
        <w:t xml:space="preserve"> i wymienia informacje z rejestru karnego z co najmniej jednym innym państwem członkowskim, przy czym ostatnie państwa członkowskie (SI i PT) dołączyły w styczniu 2017 r. </w:t>
      </w:r>
      <w:bookmarkEnd w:id="8"/>
      <w:r>
        <w:rPr>
          <w:rFonts w:ascii="Times New Roman" w:hAnsi="Times New Roman"/>
          <w:noProof/>
          <w:sz w:val="24"/>
        </w:rPr>
        <w:t>Historię podłączeń do sieci ECRIS przedstawiono w sekcji 1.1 załącznika.</w:t>
      </w:r>
    </w:p>
    <w:p>
      <w:pPr>
        <w:jc w:val="both"/>
        <w:rPr>
          <w:rFonts w:ascii="Times New Roman" w:hAnsi="Times New Roman" w:cs="Times New Roman"/>
          <w:b/>
          <w:noProof/>
          <w:sz w:val="24"/>
          <w:szCs w:val="24"/>
        </w:rPr>
      </w:pPr>
      <w:r>
        <w:rPr>
          <w:rFonts w:ascii="Times New Roman" w:hAnsi="Times New Roman"/>
          <w:noProof/>
          <w:sz w:val="24"/>
        </w:rPr>
        <w:t xml:space="preserve">ECRIS jest zdecentralizowanym systemem, w ramach którego wszystkie państwa członkowskie powinny być wzajemnie ze sobą połączone. Całkowita możliwa liczba wzajemnych połączeń w takiej konfiguracji wynosi 756 (27*28). </w:t>
      </w:r>
      <w:bookmarkStart w:id="9" w:name="_Hlk481160969"/>
      <w:r>
        <w:rPr>
          <w:rFonts w:ascii="Times New Roman" w:hAnsi="Times New Roman"/>
          <w:noProof/>
          <w:sz w:val="24"/>
        </w:rPr>
        <w:t xml:space="preserve">Chociaż wszystkie państwa członkowskie są obecnie podłączone do ECRIS, </w:t>
      </w:r>
      <w:r>
        <w:rPr>
          <w:rFonts w:ascii="Times New Roman" w:hAnsi="Times New Roman"/>
          <w:b/>
          <w:noProof/>
          <w:sz w:val="24"/>
        </w:rPr>
        <w:t xml:space="preserve">żadne z nich nie wymienia informacji za pośrednictwem systemu ECRIS ze wszystkimi 27 pozostałymi państwami członkowskimi. </w:t>
      </w:r>
    </w:p>
    <w:bookmarkEnd w:id="9"/>
    <w:p>
      <w:pPr>
        <w:jc w:val="both"/>
        <w:rPr>
          <w:rFonts w:ascii="Times New Roman" w:hAnsi="Times New Roman" w:cs="Times New Roman"/>
          <w:noProof/>
          <w:sz w:val="24"/>
          <w:szCs w:val="24"/>
        </w:rPr>
      </w:pPr>
      <w:r>
        <w:rPr>
          <w:rFonts w:ascii="Times New Roman" w:hAnsi="Times New Roman"/>
          <w:noProof/>
          <w:sz w:val="24"/>
        </w:rPr>
        <w:t>W poniższej tabeli przedstawiono liczbę wzajemnych połączeń w przypadku każdego państwa członkowskiego w kwietniu 2017 r.</w:t>
      </w:r>
    </w:p>
    <w:p>
      <w:pPr>
        <w:jc w:val="center"/>
        <w:rPr>
          <w:rFonts w:ascii="Times New Roman" w:hAnsi="Times New Roman" w:cs="Times New Roman"/>
          <w:noProof/>
          <w:sz w:val="24"/>
          <w:szCs w:val="24"/>
        </w:rPr>
      </w:pPr>
      <w:r>
        <w:rPr>
          <w:noProof/>
          <w:lang w:val="en-US" w:eastAsia="en-US" w:bidi="ar-SA"/>
        </w:rPr>
        <w:drawing>
          <wp:inline distT="0" distB="0" distL="0" distR="0">
            <wp:extent cx="5756910" cy="3291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291840"/>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rPr>
        <w:t xml:space="preserve">System ECRIS zaczął funkcjonowanie od 173 wzajemnych połączeń w 2012 r. – spośród 756 możliwych (przy czym było do niego podłączonych 28 państw członkowskich). </w:t>
      </w:r>
      <w:bookmarkStart w:id="10" w:name="_Hlk481158260"/>
      <w:r>
        <w:rPr>
          <w:rFonts w:ascii="Times New Roman" w:hAnsi="Times New Roman"/>
          <w:noProof/>
          <w:sz w:val="24"/>
        </w:rPr>
        <w:t xml:space="preserve">Pod koniec roku 2016, piątego roku działania systemu, ustanowiono 575 wzajemnych połączeń, co stanowiło </w:t>
      </w:r>
      <w:r>
        <w:rPr>
          <w:rFonts w:ascii="Times New Roman" w:hAnsi="Times New Roman"/>
          <w:b/>
          <w:noProof/>
          <w:sz w:val="24"/>
        </w:rPr>
        <w:t>76 % ich całkowitej możliwej liczby</w:t>
      </w:r>
      <w:r>
        <w:rPr>
          <w:rFonts w:ascii="Times New Roman" w:hAnsi="Times New Roman"/>
          <w:noProof/>
          <w:sz w:val="24"/>
        </w:rPr>
        <w:t xml:space="preserve"> i 88 % operacyjnych wzajemnych połączeń (SI i PT nie były wówczas jeszcze podłączone do ECRIS). Dynamikę zmian liczby wzajemnych połączeń w poszczególnych latach przedstawiono w sekcji 1.1 załącznika.</w:t>
      </w:r>
    </w:p>
    <w:p>
      <w:pPr>
        <w:jc w:val="both"/>
        <w:rPr>
          <w:rFonts w:ascii="Times New Roman" w:hAnsi="Times New Roman" w:cs="Times New Roman"/>
          <w:noProof/>
          <w:sz w:val="24"/>
          <w:szCs w:val="24"/>
        </w:rPr>
      </w:pPr>
      <w:bookmarkStart w:id="11" w:name="_Hlk481160416"/>
      <w:r>
        <w:rPr>
          <w:rFonts w:ascii="Times New Roman" w:hAnsi="Times New Roman"/>
          <w:noProof/>
          <w:sz w:val="24"/>
        </w:rPr>
        <w:t>W 2017 r. cztery państwa członkowskie (AT, ES, UK i IE) osiągnęły największą liczbę operacyjnych wzajemnych połączeń (26).</w:t>
      </w:r>
    </w:p>
    <w:bookmarkEnd w:id="11"/>
    <w:p>
      <w:pPr>
        <w:jc w:val="both"/>
        <w:rPr>
          <w:rFonts w:ascii="Times New Roman" w:hAnsi="Times New Roman" w:cs="Times New Roman"/>
          <w:noProof/>
          <w:sz w:val="24"/>
          <w:szCs w:val="24"/>
        </w:rPr>
      </w:pPr>
      <w:r>
        <w:rPr>
          <w:rFonts w:ascii="Times New Roman" w:hAnsi="Times New Roman"/>
          <w:noProof/>
          <w:sz w:val="24"/>
        </w:rPr>
        <w:t>Ostateczny cel – podłączenie każdego państwa członkowskiego do systemu ECRIS i wymiana przez niego informacji za pośrednictwem tego systemu ze wszystkimi innymi państwami członkowskimi – nie został więc jeszcze osiągnięty.</w:t>
      </w:r>
    </w:p>
    <w:p>
      <w:pPr>
        <w:jc w:val="both"/>
        <w:rPr>
          <w:rFonts w:ascii="Times New Roman" w:hAnsi="Times New Roman" w:cs="Times New Roman"/>
          <w:b/>
          <w:noProof/>
          <w:sz w:val="24"/>
          <w:szCs w:val="24"/>
        </w:rPr>
      </w:pPr>
      <w:bookmarkStart w:id="12" w:name="_Toc479267021"/>
      <w:bookmarkEnd w:id="10"/>
      <w:r>
        <w:rPr>
          <w:rFonts w:ascii="Times New Roman" w:hAnsi="Times New Roman"/>
          <w:b/>
          <w:smallCaps/>
          <w:noProof/>
          <w:sz w:val="24"/>
        </w:rPr>
        <w:t>3.2.</w:t>
      </w:r>
      <w:r>
        <w:rPr>
          <w:noProof/>
        </w:rPr>
        <w:t xml:space="preserve"> </w:t>
      </w:r>
      <w:r>
        <w:rPr>
          <w:rFonts w:ascii="Times New Roman" w:hAnsi="Times New Roman"/>
          <w:b/>
          <w:noProof/>
          <w:sz w:val="24"/>
        </w:rPr>
        <w:t>Łączna liczba wymienianych komunikatów</w:t>
      </w:r>
      <w:bookmarkEnd w:id="12"/>
    </w:p>
    <w:p>
      <w:pPr>
        <w:jc w:val="both"/>
        <w:rPr>
          <w:rFonts w:ascii="Times New Roman" w:hAnsi="Times New Roman" w:cs="Times New Roman"/>
          <w:noProof/>
          <w:sz w:val="24"/>
          <w:szCs w:val="24"/>
        </w:rPr>
      </w:pPr>
      <w:r>
        <w:rPr>
          <w:rFonts w:ascii="Times New Roman" w:hAnsi="Times New Roman"/>
          <w:noProof/>
          <w:sz w:val="24"/>
        </w:rPr>
        <w:t>Na poniższym wykresie zilustrowano szybko rosnącą roczną liczbę komunikatów wymienianych pomiędzy podłączonymi państwami członkowskimi od chwili uruchomienia systemu ECRIS, czyli w okresie od kwietnia 2012 r. do 31 grudnia 2016 r. W analizie danych dotyczących roku 2012 należy wziąć pod uwagę, że w tym roku system był aktywny tylko przez 8 miesięcy.</w:t>
      </w:r>
    </w:p>
    <w:p>
      <w:pPr>
        <w:jc w:val="center"/>
        <w:rPr>
          <w:rFonts w:ascii="Times New Roman" w:hAnsi="Times New Roman" w:cs="Times New Roman"/>
          <w:noProof/>
          <w:sz w:val="24"/>
          <w:szCs w:val="24"/>
          <w:highlight w:val="yellow"/>
        </w:rPr>
      </w:pPr>
      <w:r>
        <w:rPr>
          <w:noProof/>
          <w:lang w:val="en-US" w:eastAsia="en-US" w:bidi="ar-SA"/>
        </w:rPr>
        <w:drawing>
          <wp:inline distT="0" distB="0" distL="0" distR="0">
            <wp:extent cx="4659630" cy="2814955"/>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9630" cy="2814955"/>
                    </a:xfrm>
                    <a:prstGeom prst="rect">
                      <a:avLst/>
                    </a:prstGeom>
                    <a:noFill/>
                    <a:ln>
                      <a:noFill/>
                    </a:ln>
                  </pic:spPr>
                </pic:pic>
              </a:graphicData>
            </a:graphic>
          </wp:inline>
        </w:drawing>
      </w:r>
    </w:p>
    <w:p>
      <w:pPr>
        <w:jc w:val="both"/>
        <w:rPr>
          <w:rFonts w:ascii="Times New Roman" w:hAnsi="Times New Roman" w:cs="Times New Roman"/>
          <w:noProof/>
          <w:sz w:val="24"/>
          <w:szCs w:val="24"/>
        </w:rPr>
      </w:pPr>
      <w:bookmarkStart w:id="13" w:name="_Hlk481162649"/>
      <w:bookmarkStart w:id="14" w:name="_Hlk481160518"/>
      <w:r>
        <w:rPr>
          <w:rFonts w:ascii="Times New Roman" w:hAnsi="Times New Roman"/>
          <w:noProof/>
          <w:sz w:val="24"/>
        </w:rPr>
        <w:t xml:space="preserve">Liczba komunikatów wymienionych przez wszystkie wzajemnie połączone państwa członkowskie wzrosła z 300 000 pod koniec 2012 r. do prawie </w:t>
      </w:r>
      <w:r>
        <w:rPr>
          <w:rFonts w:ascii="Times New Roman" w:hAnsi="Times New Roman"/>
          <w:b/>
          <w:noProof/>
          <w:sz w:val="24"/>
        </w:rPr>
        <w:t xml:space="preserve">2 milionów w 2016 r. </w:t>
      </w:r>
      <w:r>
        <w:rPr>
          <w:rFonts w:ascii="Times New Roman" w:hAnsi="Times New Roman"/>
          <w:noProof/>
          <w:sz w:val="24"/>
        </w:rPr>
        <w:t>(</w:t>
      </w:r>
      <w:r>
        <w:rPr>
          <w:rFonts w:ascii="Times New Roman" w:hAnsi="Times New Roman"/>
          <w:b/>
          <w:noProof/>
          <w:sz w:val="24"/>
        </w:rPr>
        <w:t>średnio 165 000 komunikatów miesięcznie</w:t>
      </w:r>
      <w:r>
        <w:rPr>
          <w:rFonts w:ascii="Times New Roman" w:hAnsi="Times New Roman"/>
          <w:noProof/>
          <w:sz w:val="24"/>
        </w:rPr>
        <w:t xml:space="preserve">). </w:t>
      </w:r>
      <w:bookmarkEnd w:id="13"/>
      <w:r>
        <w:rPr>
          <w:rFonts w:ascii="Times New Roman" w:hAnsi="Times New Roman"/>
          <w:noProof/>
          <w:sz w:val="24"/>
        </w:rPr>
        <w:t xml:space="preserve">Liczby te obejmują wszystkie rodzaje komunikatów: powiadomienia, aktualizacje, wnioski, odpowiedzi, odmowy, inne odpowiedzi, wymiany dodatkowych informacji itp. </w:t>
      </w:r>
    </w:p>
    <w:p>
      <w:pPr>
        <w:jc w:val="both"/>
        <w:rPr>
          <w:rFonts w:ascii="Times New Roman" w:hAnsi="Times New Roman" w:cs="Times New Roman"/>
          <w:noProof/>
          <w:sz w:val="24"/>
          <w:szCs w:val="24"/>
        </w:rPr>
      </w:pPr>
      <w:r>
        <w:rPr>
          <w:rFonts w:ascii="Times New Roman" w:hAnsi="Times New Roman"/>
          <w:noProof/>
          <w:sz w:val="24"/>
        </w:rPr>
        <w:t>Na poniższym wykresie przedstawiono tendencje dotyczące powiadomień, wniosków i odpowiedzi na wnioski w okresie pięciu lat działania systemu ECRIS. Wzięto tu pod uwagę wyłącznie powiadomienia dotyczące nowych wyroków skazujących, bez aktualizacji. Odpowiedzi obejmują odpowiedzi na wnioski, odmowy odpowiedzi i inne odpowiedzi</w:t>
      </w:r>
      <w:r>
        <w:rPr>
          <w:rStyle w:val="FootnoteReference"/>
          <w:rFonts w:ascii="Times New Roman" w:hAnsi="Times New Roman"/>
          <w:noProof/>
          <w:sz w:val="24"/>
        </w:rPr>
        <w:footnoteReference w:id="10"/>
      </w:r>
      <w:r>
        <w:rPr>
          <w:rFonts w:ascii="Times New Roman" w:hAnsi="Times New Roman"/>
          <w:noProof/>
          <w:sz w:val="24"/>
        </w:rPr>
        <w:t xml:space="preserve">. </w:t>
      </w:r>
    </w:p>
    <w:p>
      <w:pPr>
        <w:jc w:val="center"/>
        <w:rPr>
          <w:rFonts w:ascii="Times New Roman" w:hAnsi="Times New Roman" w:cs="Times New Roman"/>
          <w:noProof/>
          <w:sz w:val="24"/>
          <w:szCs w:val="24"/>
          <w:highlight w:val="yellow"/>
        </w:rPr>
      </w:pPr>
      <w:r>
        <w:rPr>
          <w:noProof/>
          <w:lang w:val="en-US" w:eastAsia="en-US" w:bidi="ar-SA"/>
        </w:rPr>
        <w:drawing>
          <wp:inline distT="0" distB="0" distL="0" distR="0">
            <wp:extent cx="5760085" cy="29780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978043"/>
                    </a:xfrm>
                    <a:prstGeom prst="rect">
                      <a:avLst/>
                    </a:prstGeom>
                    <a:noFill/>
                    <a:ln>
                      <a:noFill/>
                    </a:ln>
                  </pic:spPr>
                </pic:pic>
              </a:graphicData>
            </a:graphic>
          </wp:inline>
        </w:drawing>
      </w:r>
    </w:p>
    <w:p>
      <w:pPr>
        <w:jc w:val="both"/>
        <w:rPr>
          <w:rFonts w:ascii="Times New Roman" w:hAnsi="Times New Roman" w:cs="Times New Roman"/>
          <w:noProof/>
          <w:sz w:val="24"/>
          <w:szCs w:val="24"/>
        </w:rPr>
      </w:pPr>
      <w:bookmarkStart w:id="15" w:name="_Hlk481162482"/>
      <w:r>
        <w:rPr>
          <w:rFonts w:ascii="Times New Roman" w:hAnsi="Times New Roman"/>
          <w:noProof/>
          <w:sz w:val="24"/>
        </w:rPr>
        <w:t>Obecnie</w:t>
      </w:r>
      <w:r>
        <w:rPr>
          <w:rFonts w:ascii="Times New Roman" w:hAnsi="Times New Roman"/>
          <w:b/>
          <w:noProof/>
          <w:sz w:val="24"/>
        </w:rPr>
        <w:t xml:space="preserve"> liczba powiadomień, wniosków i odpowiedzi</w:t>
      </w:r>
      <w:r>
        <w:rPr>
          <w:rFonts w:ascii="Times New Roman" w:hAnsi="Times New Roman"/>
          <w:noProof/>
          <w:sz w:val="24"/>
        </w:rPr>
        <w:t xml:space="preserve"> </w:t>
      </w:r>
      <w:r>
        <w:rPr>
          <w:rFonts w:ascii="Times New Roman" w:hAnsi="Times New Roman"/>
          <w:b/>
          <w:noProof/>
          <w:sz w:val="24"/>
        </w:rPr>
        <w:t>na wnioski</w:t>
      </w:r>
      <w:r>
        <w:rPr>
          <w:rFonts w:ascii="Times New Roman" w:hAnsi="Times New Roman"/>
          <w:noProof/>
          <w:sz w:val="24"/>
        </w:rPr>
        <w:t xml:space="preserve"> sięga w przybliżeniu </w:t>
      </w:r>
      <w:r>
        <w:rPr>
          <w:rFonts w:ascii="Times New Roman" w:hAnsi="Times New Roman"/>
          <w:b/>
          <w:noProof/>
          <w:sz w:val="24"/>
        </w:rPr>
        <w:t>350 000</w:t>
      </w:r>
      <w:r>
        <w:rPr>
          <w:rFonts w:ascii="Times New Roman" w:hAnsi="Times New Roman"/>
          <w:noProof/>
          <w:sz w:val="24"/>
        </w:rPr>
        <w:t xml:space="preserve"> rocznie w </w:t>
      </w:r>
      <w:r>
        <w:rPr>
          <w:rFonts w:ascii="Times New Roman" w:hAnsi="Times New Roman"/>
          <w:b/>
          <w:noProof/>
          <w:sz w:val="24"/>
        </w:rPr>
        <w:t xml:space="preserve">każdej kategorii. </w:t>
      </w:r>
    </w:p>
    <w:p>
      <w:pPr>
        <w:jc w:val="both"/>
        <w:rPr>
          <w:rFonts w:ascii="Times New Roman" w:hAnsi="Times New Roman" w:cs="Times New Roman"/>
          <w:noProof/>
          <w:sz w:val="24"/>
          <w:szCs w:val="24"/>
        </w:rPr>
      </w:pPr>
      <w:r>
        <w:rPr>
          <w:rFonts w:ascii="Times New Roman" w:hAnsi="Times New Roman"/>
          <w:noProof/>
          <w:sz w:val="24"/>
        </w:rPr>
        <w:t xml:space="preserve">Od roku 2014, w którym istniały wzajemne połączenia pomiędzy 25 państwami członkowskimi, </w:t>
      </w:r>
      <w:r>
        <w:rPr>
          <w:rFonts w:ascii="Times New Roman" w:hAnsi="Times New Roman"/>
          <w:b/>
          <w:noProof/>
          <w:sz w:val="24"/>
        </w:rPr>
        <w:t>liczba powiadomień dotyczących nowych wyroków skazujących stopniowo się stabilizowała</w:t>
      </w:r>
      <w:r>
        <w:rPr>
          <w:rFonts w:ascii="Times New Roman" w:hAnsi="Times New Roman"/>
          <w:noProof/>
          <w:sz w:val="24"/>
        </w:rPr>
        <w:t xml:space="preserve">, po początkowym istotnym wzroście skorelowanym z przystąpieniem do sieci nowych państw członkowskich i stworzeniem nowych wzajemnych połączeń. Oczekuje się, że liczba ta nadal będzie rosnąć, niezależnie od poziomu karalności, w miarę jak wskaźnik wzajemnych połączeń będzie się zbliżał do 100 %. </w:t>
      </w:r>
    </w:p>
    <w:p>
      <w:pPr>
        <w:jc w:val="both"/>
        <w:rPr>
          <w:rFonts w:ascii="Times New Roman" w:hAnsi="Times New Roman" w:cs="Times New Roman"/>
          <w:noProof/>
          <w:sz w:val="24"/>
          <w:szCs w:val="24"/>
        </w:rPr>
      </w:pPr>
      <w:r>
        <w:rPr>
          <w:rFonts w:ascii="Times New Roman" w:hAnsi="Times New Roman"/>
          <w:noProof/>
          <w:sz w:val="24"/>
        </w:rPr>
        <w:t xml:space="preserve">Z kolei liczba </w:t>
      </w:r>
      <w:r>
        <w:rPr>
          <w:rFonts w:ascii="Times New Roman" w:hAnsi="Times New Roman"/>
          <w:b/>
          <w:noProof/>
          <w:sz w:val="24"/>
        </w:rPr>
        <w:t>wniosków o udzielenie informacji</w:t>
      </w:r>
      <w:r>
        <w:rPr>
          <w:rFonts w:ascii="Times New Roman" w:hAnsi="Times New Roman"/>
          <w:noProof/>
          <w:sz w:val="24"/>
        </w:rPr>
        <w:t xml:space="preserve"> i powiązanych z nimi odpowiedzi na wnioski </w:t>
      </w:r>
      <w:r>
        <w:rPr>
          <w:rFonts w:ascii="Times New Roman" w:hAnsi="Times New Roman"/>
          <w:b/>
          <w:noProof/>
          <w:sz w:val="24"/>
        </w:rPr>
        <w:t>szybko się zwiększa</w:t>
      </w:r>
      <w:r>
        <w:rPr>
          <w:rFonts w:ascii="Times New Roman" w:hAnsi="Times New Roman"/>
          <w:noProof/>
          <w:sz w:val="24"/>
        </w:rPr>
        <w:t>. Jest to pozytywny znak zwiększającej się świadomości w państwach członkowskich co do potrzeby wykorzystywania systemu ECRIS do wnioskowania o informacje w toku postępowań karnych, aby można było w nich uwzględnić wcześniejsze wyroki skazujące, zgodnie z decyzją ramową 2008/675/WSiSW. Do tego pozytywnego trendu przyczynia się też zwiększająca się liczba wniosków o udzielenie informacji w innych celach niż postępowanie karne (np. związanych z zatrudnieniem, zwłaszcza na stanowiskach wiążących się z regularnym kontaktem z dziećmi zgodnie z dyrektywą 2011/93/UE).</w:t>
      </w:r>
    </w:p>
    <w:p>
      <w:pPr>
        <w:jc w:val="both"/>
        <w:rPr>
          <w:rFonts w:ascii="Times New Roman" w:hAnsi="Times New Roman" w:cs="Times New Roman"/>
          <w:b/>
          <w:noProof/>
          <w:sz w:val="24"/>
          <w:szCs w:val="24"/>
        </w:rPr>
      </w:pPr>
      <w:bookmarkStart w:id="16" w:name="_Toc479267022"/>
      <w:bookmarkEnd w:id="14"/>
      <w:bookmarkEnd w:id="15"/>
      <w:r>
        <w:rPr>
          <w:rFonts w:ascii="Times New Roman" w:hAnsi="Times New Roman"/>
          <w:b/>
          <w:noProof/>
          <w:sz w:val="24"/>
        </w:rPr>
        <w:t>3.3. Liczba powiadomień, wniosków</w:t>
      </w:r>
      <w:bookmarkEnd w:id="16"/>
      <w:r>
        <w:rPr>
          <w:rFonts w:ascii="Times New Roman" w:hAnsi="Times New Roman"/>
          <w:b/>
          <w:noProof/>
          <w:sz w:val="24"/>
        </w:rPr>
        <w:t xml:space="preserve"> i odpowiedzi w podziale na państwa członkowskie</w:t>
      </w:r>
    </w:p>
    <w:p>
      <w:pPr>
        <w:jc w:val="both"/>
        <w:rPr>
          <w:rFonts w:ascii="Times New Roman" w:hAnsi="Times New Roman" w:cs="Times New Roman"/>
          <w:noProof/>
          <w:sz w:val="24"/>
          <w:szCs w:val="24"/>
        </w:rPr>
      </w:pPr>
      <w:r>
        <w:rPr>
          <w:rFonts w:ascii="Times New Roman" w:hAnsi="Times New Roman"/>
          <w:noProof/>
          <w:sz w:val="24"/>
        </w:rPr>
        <w:t>Na poniższym wykresie przedstawiono liczbę wysłanych powiadomień o nowych wyrokach skazujących, wysłanych wniosków o udzielenie informacji i wysłanych odpowiedzi w odniesieniu do wszystkich wzajemnie połączonych państw członkowskich w 2016 r. Dane dotyczące lat 2014 i 2015 podano w sekcji 1.2 załącznika.</w:t>
      </w:r>
    </w:p>
    <w:p>
      <w:pPr>
        <w:rPr>
          <w:rFonts w:ascii="Times New Roman" w:hAnsi="Times New Roman" w:cs="Times New Roman"/>
          <w:noProof/>
          <w:sz w:val="24"/>
          <w:szCs w:val="24"/>
        </w:rPr>
      </w:pPr>
      <w:r>
        <w:rPr>
          <w:noProof/>
          <w:lang w:val="en-US" w:eastAsia="en-US" w:bidi="ar-SA"/>
        </w:rPr>
        <w:drawing>
          <wp:inline distT="0" distB="0" distL="0" distR="0">
            <wp:extent cx="5748655" cy="3689350"/>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3689350"/>
                    </a:xfrm>
                    <a:prstGeom prst="rect">
                      <a:avLst/>
                    </a:prstGeom>
                    <a:noFill/>
                    <a:ln>
                      <a:noFill/>
                    </a:ln>
                  </pic:spPr>
                </pic:pic>
              </a:graphicData>
            </a:graphic>
          </wp:inline>
        </w:drawing>
      </w:r>
    </w:p>
    <w:p>
      <w:pPr>
        <w:jc w:val="both"/>
        <w:rPr>
          <w:rFonts w:ascii="Times New Roman" w:hAnsi="Times New Roman" w:cs="Times New Roman"/>
          <w:noProof/>
          <w:sz w:val="24"/>
          <w:szCs w:val="24"/>
        </w:rPr>
      </w:pPr>
      <w:bookmarkStart w:id="17" w:name="_Hlk481161857"/>
      <w:bookmarkStart w:id="18" w:name="_Hlk481162724"/>
      <w:r>
        <w:rPr>
          <w:rFonts w:ascii="Times New Roman" w:hAnsi="Times New Roman"/>
          <w:noProof/>
          <w:sz w:val="24"/>
        </w:rPr>
        <w:t>Najbardziej aktywnymi państwami członkowskimi pod względem całkowitej liczby wysłanych tych trzech rodzajów komunikatów</w:t>
      </w:r>
      <w:r>
        <w:rPr>
          <w:rStyle w:val="FootnoteReference"/>
          <w:rFonts w:ascii="Times New Roman" w:hAnsi="Times New Roman"/>
          <w:noProof/>
          <w:sz w:val="24"/>
        </w:rPr>
        <w:footnoteReference w:id="11"/>
      </w:r>
      <w:r>
        <w:rPr>
          <w:rFonts w:ascii="Times New Roman" w:hAnsi="Times New Roman"/>
          <w:noProof/>
          <w:sz w:val="24"/>
        </w:rPr>
        <w:t xml:space="preserve"> były:</w:t>
      </w:r>
    </w:p>
    <w:p>
      <w:pPr>
        <w:jc w:val="both"/>
        <w:rPr>
          <w:rFonts w:ascii="Times New Roman" w:hAnsi="Times New Roman" w:cs="Times New Roman"/>
          <w:noProof/>
          <w:sz w:val="24"/>
          <w:szCs w:val="24"/>
        </w:rPr>
      </w:pPr>
      <w:r>
        <w:rPr>
          <w:rFonts w:ascii="Times New Roman" w:hAnsi="Times New Roman"/>
          <w:noProof/>
          <w:sz w:val="24"/>
        </w:rPr>
        <w:t>- w 2016 r.: DE (24,9 %), następnie UK (13,7 %), IT (7,7 %), PL (6,6 %) i RO (5,5 %).</w:t>
      </w:r>
    </w:p>
    <w:p>
      <w:pPr>
        <w:jc w:val="both"/>
        <w:rPr>
          <w:rFonts w:ascii="Times New Roman" w:hAnsi="Times New Roman" w:cs="Times New Roman"/>
          <w:noProof/>
          <w:sz w:val="24"/>
          <w:szCs w:val="24"/>
        </w:rPr>
      </w:pPr>
      <w:r>
        <w:rPr>
          <w:rFonts w:ascii="Times New Roman" w:hAnsi="Times New Roman"/>
          <w:noProof/>
          <w:sz w:val="24"/>
        </w:rPr>
        <w:t>- w 2015 r.: DE (25,6 %), następnie UK (14,7 %), IT (9,1 %), PL (7,0 %) i RO (5,6 %).</w:t>
      </w:r>
    </w:p>
    <w:bookmarkEnd w:id="17"/>
    <w:p>
      <w:pPr>
        <w:jc w:val="both"/>
        <w:rPr>
          <w:rFonts w:ascii="Times New Roman" w:hAnsi="Times New Roman" w:cs="Times New Roman"/>
          <w:noProof/>
          <w:sz w:val="24"/>
          <w:szCs w:val="24"/>
        </w:rPr>
      </w:pPr>
      <w:r>
        <w:rPr>
          <w:rFonts w:ascii="Times New Roman" w:hAnsi="Times New Roman"/>
          <w:noProof/>
          <w:sz w:val="24"/>
        </w:rPr>
        <w:t>- w 2014 r.: DE (28,7 %), a następne w kolejności były IT (10,9 %), UK (9,7 %), FR (8,3 %) i PL (6,8 %).</w:t>
      </w:r>
    </w:p>
    <w:p>
      <w:pPr>
        <w:jc w:val="both"/>
        <w:rPr>
          <w:rFonts w:ascii="Times New Roman" w:hAnsi="Times New Roman" w:cs="Times New Roman"/>
          <w:noProof/>
          <w:sz w:val="24"/>
          <w:szCs w:val="24"/>
        </w:rPr>
      </w:pPr>
      <w:r>
        <w:rPr>
          <w:rFonts w:ascii="Times New Roman" w:hAnsi="Times New Roman"/>
          <w:noProof/>
          <w:sz w:val="24"/>
        </w:rPr>
        <w:t xml:space="preserve">Podane liczby wskazują na </w:t>
      </w:r>
      <w:r>
        <w:rPr>
          <w:rFonts w:ascii="Times New Roman" w:hAnsi="Times New Roman"/>
          <w:b/>
          <w:noProof/>
          <w:sz w:val="24"/>
        </w:rPr>
        <w:t>istotne różnice pomiędzy państwami członkowskimi pod względem działań i obciążenia pracą w ramach systemu ECRIS</w:t>
      </w:r>
      <w:r>
        <w:rPr>
          <w:rFonts w:ascii="Times New Roman" w:hAnsi="Times New Roman"/>
          <w:noProof/>
          <w:sz w:val="24"/>
        </w:rPr>
        <w:t>.</w:t>
      </w:r>
    </w:p>
    <w:bookmarkEnd w:id="18"/>
    <w:p>
      <w:pPr>
        <w:jc w:val="both"/>
        <w:rPr>
          <w:rFonts w:ascii="Times New Roman" w:hAnsi="Times New Roman" w:cs="Times New Roman"/>
          <w:noProof/>
          <w:sz w:val="24"/>
          <w:szCs w:val="24"/>
        </w:rPr>
      </w:pPr>
      <w:r>
        <w:rPr>
          <w:rFonts w:ascii="Times New Roman" w:hAnsi="Times New Roman"/>
          <w:noProof/>
          <w:sz w:val="24"/>
        </w:rPr>
        <w:t>Niektóre państwa członkowskie wnioskują o udzielenie informacji znacznie częściej niż są proszone o udzielenie informacji. Są to: DE, UK, AT, a w 2016 r. również CZ. Inne borykają się głównie z istotnym obciążeniem pracą w związku z odpowiadaniem na wnioski, podczas gdy same wysyłają ich mniej: PL, RO, SK, LT, IT, BG, LV, HU, HR, IE, EL, EE. Obciążenie pracą niektórych innych państw członkowskich wynika przede wszystkim z wysyłania dużej liczby powiadomień o nowych wyrokach skazujących do państw członkowskich, których obywatelem jest przestępca, podczas gdy same wysyłają mniej wniosków: IT, BE, ES, FR, CY.</w:t>
      </w:r>
    </w:p>
    <w:p>
      <w:pPr>
        <w:jc w:val="both"/>
        <w:rPr>
          <w:rFonts w:ascii="Times New Roman" w:hAnsi="Times New Roman" w:cs="Times New Roman"/>
          <w:b/>
          <w:noProof/>
          <w:sz w:val="24"/>
          <w:szCs w:val="24"/>
        </w:rPr>
      </w:pPr>
      <w:r>
        <w:rPr>
          <w:rFonts w:ascii="Times New Roman" w:hAnsi="Times New Roman"/>
          <w:b/>
          <w:noProof/>
          <w:sz w:val="24"/>
        </w:rPr>
        <w:t>3.4. Powiadomienia</w:t>
      </w:r>
    </w:p>
    <w:p>
      <w:pPr>
        <w:jc w:val="both"/>
        <w:rPr>
          <w:rFonts w:ascii="Times New Roman" w:hAnsi="Times New Roman" w:cs="Times New Roman"/>
          <w:noProof/>
          <w:sz w:val="24"/>
          <w:szCs w:val="24"/>
        </w:rPr>
      </w:pPr>
      <w:r>
        <w:rPr>
          <w:rFonts w:ascii="Times New Roman" w:hAnsi="Times New Roman"/>
          <w:noProof/>
          <w:sz w:val="24"/>
        </w:rPr>
        <w:t>Na poniższym wykresie przedstawiono liczbę powiadomień wysłanych przez wszystkie wzajemnie połączone państwa członkowskie w 2016 r., w podziale na powiadomienia o nowych wyrokach skazujących i powiadomienia aktualizujące te wcześniej wysłane. Dane dotyczące lat 2014 i 2015 podano w sekcji 1.3 załącznika.</w:t>
      </w:r>
    </w:p>
    <w:p>
      <w:pPr>
        <w:rPr>
          <w:rStyle w:val="CommentReference"/>
          <w:rFonts w:ascii="Times New Roman" w:hAnsi="Times New Roman" w:cs="Times New Roman"/>
          <w:noProof/>
          <w:sz w:val="24"/>
          <w:szCs w:val="24"/>
        </w:rPr>
      </w:pPr>
      <w:bookmarkStart w:id="19" w:name="_Hlk481001185"/>
      <w:r>
        <w:rPr>
          <w:noProof/>
          <w:lang w:val="en-US" w:eastAsia="en-US" w:bidi="ar-SA"/>
        </w:rPr>
        <w:drawing>
          <wp:inline distT="0" distB="0" distL="0" distR="0">
            <wp:extent cx="5756910" cy="3562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562350"/>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b/>
          <w:noProof/>
          <w:sz w:val="24"/>
        </w:rPr>
        <w:t>Można zauważyć znaczne różnice między liczbami powiadomień wysyłanych przez różne państwa członkowskie</w:t>
      </w:r>
      <w:r>
        <w:rPr>
          <w:rFonts w:ascii="Times New Roman" w:hAnsi="Times New Roman"/>
          <w:noProof/>
          <w:sz w:val="24"/>
        </w:rPr>
        <w:t>, od prawie 100 000 (DE) do zera powiadomień o nowych wyrokach skazujących (EL) na rok.</w:t>
      </w:r>
      <w:r>
        <w:rPr>
          <w:noProof/>
        </w:rPr>
        <w:t xml:space="preserve"> </w:t>
      </w:r>
      <w:r>
        <w:rPr>
          <w:rFonts w:ascii="Times New Roman" w:hAnsi="Times New Roman"/>
          <w:noProof/>
          <w:sz w:val="24"/>
        </w:rPr>
        <w:t>Analizując te różnic</w:t>
      </w:r>
      <w:r>
        <w:rPr>
          <w:noProof/>
        </w:rPr>
        <w:t xml:space="preserve">e, należy uwzględnić przede wszystkim dwa czynniki: wielkość państwa i liczbę wyroków skazujących dotyczących obywateli innych państw członkowskich (dalej zwanych obywatelami innych państw członkowskich UE). </w:t>
      </w:r>
      <w:bookmarkStart w:id="20" w:name="_Hlk481014549"/>
      <w:r>
        <w:rPr>
          <w:noProof/>
        </w:rPr>
        <w:t>Szczegółową analizę danych statystycznych dotyczących poszczególnych państw członkowskich przedstawiono w sekcji 2 załącznika.</w:t>
      </w:r>
      <w:bookmarkEnd w:id="20"/>
    </w:p>
    <w:p>
      <w:pPr>
        <w:jc w:val="both"/>
        <w:rPr>
          <w:rFonts w:ascii="Times New Roman" w:hAnsi="Times New Roman" w:cs="Times New Roman"/>
          <w:noProof/>
          <w:sz w:val="24"/>
          <w:szCs w:val="24"/>
        </w:rPr>
      </w:pPr>
      <w:bookmarkStart w:id="21" w:name="_Hlk480998606"/>
      <w:bookmarkStart w:id="22" w:name="_Hlk481162205"/>
      <w:r>
        <w:rPr>
          <w:rFonts w:ascii="Times New Roman" w:hAnsi="Times New Roman"/>
          <w:b/>
          <w:noProof/>
          <w:sz w:val="24"/>
        </w:rPr>
        <w:t>Najbardziej aktywnymi</w:t>
      </w:r>
      <w:r>
        <w:rPr>
          <w:rFonts w:ascii="Times New Roman" w:hAnsi="Times New Roman"/>
          <w:noProof/>
          <w:sz w:val="24"/>
        </w:rPr>
        <w:t xml:space="preserve"> państwami członkowskimi pod względem wysyłania </w:t>
      </w:r>
      <w:r>
        <w:rPr>
          <w:rFonts w:ascii="Times New Roman" w:hAnsi="Times New Roman"/>
          <w:b/>
          <w:noProof/>
          <w:sz w:val="24"/>
        </w:rPr>
        <w:t>powiadomień</w:t>
      </w:r>
      <w:r>
        <w:rPr>
          <w:rFonts w:ascii="Times New Roman" w:hAnsi="Times New Roman"/>
          <w:noProof/>
          <w:sz w:val="24"/>
        </w:rPr>
        <w:t xml:space="preserve"> o nowych wyrokach skazujących były:</w:t>
      </w:r>
    </w:p>
    <w:p>
      <w:pPr>
        <w:jc w:val="both"/>
        <w:rPr>
          <w:rFonts w:ascii="Times New Roman" w:hAnsi="Times New Roman" w:cs="Times New Roman"/>
          <w:noProof/>
          <w:sz w:val="24"/>
          <w:szCs w:val="24"/>
        </w:rPr>
      </w:pPr>
      <w:r>
        <w:rPr>
          <w:rFonts w:ascii="Times New Roman" w:hAnsi="Times New Roman"/>
          <w:noProof/>
          <w:sz w:val="24"/>
        </w:rPr>
        <w:t xml:space="preserve">- w 2016 r.: </w:t>
      </w:r>
      <w:r>
        <w:rPr>
          <w:rFonts w:ascii="Times New Roman" w:hAnsi="Times New Roman"/>
          <w:b/>
          <w:noProof/>
          <w:sz w:val="24"/>
        </w:rPr>
        <w:t xml:space="preserve">DE </w:t>
      </w:r>
      <w:r>
        <w:rPr>
          <w:rFonts w:ascii="Times New Roman" w:hAnsi="Times New Roman"/>
          <w:noProof/>
          <w:sz w:val="24"/>
        </w:rPr>
        <w:t xml:space="preserve">(29,7 %), a następne w kolejności były </w:t>
      </w:r>
      <w:r>
        <w:rPr>
          <w:rFonts w:ascii="Times New Roman" w:hAnsi="Times New Roman"/>
          <w:b/>
          <w:noProof/>
          <w:sz w:val="24"/>
        </w:rPr>
        <w:t xml:space="preserve">IT </w:t>
      </w:r>
      <w:r>
        <w:rPr>
          <w:rFonts w:ascii="Times New Roman" w:hAnsi="Times New Roman"/>
          <w:noProof/>
          <w:sz w:val="24"/>
        </w:rPr>
        <w:t>(19,0 %),</w:t>
      </w:r>
      <w:r>
        <w:rPr>
          <w:rFonts w:ascii="Times New Roman" w:hAnsi="Times New Roman"/>
          <w:b/>
          <w:noProof/>
          <w:sz w:val="24"/>
        </w:rPr>
        <w:t xml:space="preserve"> BE </w:t>
      </w:r>
      <w:r>
        <w:rPr>
          <w:rFonts w:ascii="Times New Roman" w:hAnsi="Times New Roman"/>
          <w:noProof/>
          <w:sz w:val="24"/>
        </w:rPr>
        <w:t>(13,6 %),</w:t>
      </w:r>
      <w:r>
        <w:rPr>
          <w:rFonts w:ascii="Times New Roman" w:hAnsi="Times New Roman"/>
          <w:b/>
          <w:noProof/>
          <w:sz w:val="24"/>
        </w:rPr>
        <w:t xml:space="preserve"> UK </w:t>
      </w:r>
      <w:r>
        <w:rPr>
          <w:rFonts w:ascii="Times New Roman" w:hAnsi="Times New Roman"/>
          <w:noProof/>
          <w:sz w:val="24"/>
        </w:rPr>
        <w:t>(9,9 %),</w:t>
      </w:r>
      <w:r>
        <w:rPr>
          <w:rFonts w:ascii="Times New Roman" w:hAnsi="Times New Roman"/>
          <w:b/>
          <w:noProof/>
          <w:sz w:val="24"/>
        </w:rPr>
        <w:t xml:space="preserve"> ES </w:t>
      </w:r>
      <w:r>
        <w:rPr>
          <w:rFonts w:ascii="Times New Roman" w:hAnsi="Times New Roman"/>
          <w:noProof/>
          <w:sz w:val="24"/>
        </w:rPr>
        <w:t>(9,0 %) i</w:t>
      </w:r>
      <w:r>
        <w:rPr>
          <w:rFonts w:ascii="Times New Roman" w:hAnsi="Times New Roman"/>
          <w:b/>
          <w:noProof/>
          <w:sz w:val="24"/>
        </w:rPr>
        <w:t xml:space="preserve"> FR </w:t>
      </w:r>
      <w:r>
        <w:rPr>
          <w:rFonts w:ascii="Times New Roman" w:hAnsi="Times New Roman"/>
          <w:noProof/>
          <w:sz w:val="24"/>
        </w:rPr>
        <w:t>(5,2 %).</w:t>
      </w:r>
    </w:p>
    <w:p>
      <w:pPr>
        <w:jc w:val="both"/>
        <w:rPr>
          <w:rFonts w:ascii="Times New Roman" w:hAnsi="Times New Roman" w:cs="Times New Roman"/>
          <w:b/>
          <w:noProof/>
          <w:sz w:val="24"/>
          <w:szCs w:val="24"/>
        </w:rPr>
      </w:pPr>
      <w:r>
        <w:rPr>
          <w:rFonts w:ascii="Times New Roman" w:hAnsi="Times New Roman"/>
          <w:noProof/>
          <w:sz w:val="24"/>
        </w:rPr>
        <w:t xml:space="preserve">- w 2015 r.: </w:t>
      </w:r>
      <w:r>
        <w:rPr>
          <w:rFonts w:ascii="Times New Roman" w:hAnsi="Times New Roman"/>
          <w:b/>
          <w:noProof/>
          <w:sz w:val="24"/>
        </w:rPr>
        <w:t xml:space="preserve">DE </w:t>
      </w:r>
      <w:r>
        <w:rPr>
          <w:rFonts w:ascii="Times New Roman" w:hAnsi="Times New Roman"/>
          <w:noProof/>
          <w:sz w:val="24"/>
        </w:rPr>
        <w:t>(28,7 %), a następne w kolejności były</w:t>
      </w:r>
      <w:r>
        <w:rPr>
          <w:rFonts w:ascii="Times New Roman" w:hAnsi="Times New Roman"/>
          <w:b/>
          <w:noProof/>
          <w:sz w:val="24"/>
        </w:rPr>
        <w:t xml:space="preserve"> IT </w:t>
      </w:r>
      <w:r>
        <w:rPr>
          <w:rFonts w:ascii="Times New Roman" w:hAnsi="Times New Roman"/>
          <w:noProof/>
          <w:sz w:val="24"/>
        </w:rPr>
        <w:t>(19,8 %),</w:t>
      </w:r>
      <w:r>
        <w:rPr>
          <w:rFonts w:ascii="Times New Roman" w:hAnsi="Times New Roman"/>
          <w:b/>
          <w:noProof/>
          <w:sz w:val="24"/>
        </w:rPr>
        <w:t xml:space="preserve"> BE </w:t>
      </w:r>
      <w:r>
        <w:rPr>
          <w:rFonts w:ascii="Times New Roman" w:hAnsi="Times New Roman"/>
          <w:noProof/>
          <w:sz w:val="24"/>
        </w:rPr>
        <w:t>(12,5 %),</w:t>
      </w:r>
      <w:r>
        <w:rPr>
          <w:rFonts w:ascii="Times New Roman" w:hAnsi="Times New Roman"/>
          <w:b/>
          <w:noProof/>
          <w:sz w:val="24"/>
        </w:rPr>
        <w:t xml:space="preserve"> UK </w:t>
      </w:r>
      <w:r>
        <w:rPr>
          <w:rFonts w:ascii="Times New Roman" w:hAnsi="Times New Roman"/>
          <w:noProof/>
          <w:sz w:val="24"/>
        </w:rPr>
        <w:t>(11,4 %),</w:t>
      </w:r>
      <w:r>
        <w:rPr>
          <w:rFonts w:ascii="Times New Roman" w:hAnsi="Times New Roman"/>
          <w:b/>
          <w:noProof/>
          <w:sz w:val="24"/>
        </w:rPr>
        <w:t xml:space="preserve"> FR </w:t>
      </w:r>
      <w:r>
        <w:rPr>
          <w:rFonts w:ascii="Times New Roman" w:hAnsi="Times New Roman"/>
          <w:noProof/>
          <w:sz w:val="24"/>
        </w:rPr>
        <w:t>(6,3 %) i</w:t>
      </w:r>
      <w:r>
        <w:rPr>
          <w:rFonts w:ascii="Times New Roman" w:hAnsi="Times New Roman"/>
          <w:b/>
          <w:noProof/>
          <w:sz w:val="24"/>
        </w:rPr>
        <w:t xml:space="preserve"> ES </w:t>
      </w:r>
      <w:r>
        <w:rPr>
          <w:rFonts w:ascii="Times New Roman" w:hAnsi="Times New Roman"/>
          <w:noProof/>
          <w:sz w:val="24"/>
        </w:rPr>
        <w:t>(5,9 %).</w:t>
      </w:r>
    </w:p>
    <w:p>
      <w:pPr>
        <w:jc w:val="both"/>
        <w:rPr>
          <w:rFonts w:ascii="Times New Roman" w:hAnsi="Times New Roman" w:cs="Times New Roman"/>
          <w:noProof/>
          <w:sz w:val="24"/>
          <w:szCs w:val="24"/>
        </w:rPr>
      </w:pPr>
      <w:r>
        <w:rPr>
          <w:rFonts w:ascii="Times New Roman" w:hAnsi="Times New Roman"/>
          <w:noProof/>
          <w:sz w:val="24"/>
        </w:rPr>
        <w:t xml:space="preserve">- w 2014 r.: </w:t>
      </w:r>
      <w:r>
        <w:rPr>
          <w:rFonts w:ascii="Times New Roman" w:hAnsi="Times New Roman"/>
          <w:b/>
          <w:noProof/>
          <w:sz w:val="24"/>
        </w:rPr>
        <w:t xml:space="preserve">DE </w:t>
      </w:r>
      <w:r>
        <w:rPr>
          <w:rFonts w:ascii="Times New Roman" w:hAnsi="Times New Roman"/>
          <w:noProof/>
          <w:sz w:val="24"/>
        </w:rPr>
        <w:t xml:space="preserve">(30,0 %), a następne w kolejności były </w:t>
      </w:r>
      <w:r>
        <w:rPr>
          <w:rFonts w:ascii="Times New Roman" w:hAnsi="Times New Roman"/>
          <w:b/>
          <w:noProof/>
          <w:sz w:val="24"/>
        </w:rPr>
        <w:t xml:space="preserve">IT </w:t>
      </w:r>
      <w:r>
        <w:rPr>
          <w:rFonts w:ascii="Times New Roman" w:hAnsi="Times New Roman"/>
          <w:noProof/>
          <w:sz w:val="24"/>
        </w:rPr>
        <w:t>(20,8 %),</w:t>
      </w:r>
      <w:r>
        <w:rPr>
          <w:rFonts w:ascii="Times New Roman" w:hAnsi="Times New Roman"/>
          <w:b/>
          <w:noProof/>
          <w:sz w:val="24"/>
        </w:rPr>
        <w:t xml:space="preserve"> FR </w:t>
      </w:r>
      <w:r>
        <w:rPr>
          <w:rFonts w:ascii="Times New Roman" w:hAnsi="Times New Roman"/>
          <w:noProof/>
          <w:sz w:val="24"/>
        </w:rPr>
        <w:t>(11,2 %),</w:t>
      </w:r>
      <w:r>
        <w:rPr>
          <w:rFonts w:ascii="Times New Roman" w:hAnsi="Times New Roman"/>
          <w:b/>
          <w:noProof/>
          <w:sz w:val="24"/>
        </w:rPr>
        <w:t xml:space="preserve"> BE </w:t>
      </w:r>
      <w:r>
        <w:rPr>
          <w:rFonts w:ascii="Times New Roman" w:hAnsi="Times New Roman"/>
          <w:noProof/>
          <w:sz w:val="24"/>
        </w:rPr>
        <w:t>(8,4 %),</w:t>
      </w:r>
      <w:r>
        <w:rPr>
          <w:rFonts w:ascii="Times New Roman" w:hAnsi="Times New Roman"/>
          <w:b/>
          <w:noProof/>
          <w:sz w:val="24"/>
        </w:rPr>
        <w:t xml:space="preserve"> UK </w:t>
      </w:r>
      <w:r>
        <w:rPr>
          <w:rFonts w:ascii="Times New Roman" w:hAnsi="Times New Roman"/>
          <w:noProof/>
          <w:sz w:val="24"/>
        </w:rPr>
        <w:t>(7,9 %) i</w:t>
      </w:r>
      <w:r>
        <w:rPr>
          <w:rFonts w:ascii="Times New Roman" w:hAnsi="Times New Roman"/>
          <w:b/>
          <w:noProof/>
          <w:sz w:val="24"/>
        </w:rPr>
        <w:t xml:space="preserve"> ES </w:t>
      </w:r>
      <w:r>
        <w:rPr>
          <w:rFonts w:ascii="Times New Roman" w:hAnsi="Times New Roman"/>
          <w:noProof/>
          <w:sz w:val="24"/>
        </w:rPr>
        <w:t>(5,8 %).</w:t>
      </w:r>
    </w:p>
    <w:bookmarkEnd w:id="21"/>
    <w:p>
      <w:pPr>
        <w:jc w:val="both"/>
        <w:rPr>
          <w:rFonts w:ascii="Times New Roman" w:hAnsi="Times New Roman" w:cs="Times New Roman"/>
          <w:noProof/>
          <w:sz w:val="24"/>
          <w:szCs w:val="24"/>
        </w:rPr>
      </w:pPr>
      <w:r>
        <w:rPr>
          <w:rFonts w:ascii="Times New Roman" w:hAnsi="Times New Roman"/>
          <w:noProof/>
          <w:sz w:val="24"/>
        </w:rPr>
        <w:t xml:space="preserve">W przypadku uwzględnienia wszystkich wysłanych powiadomień, z aktualizacjami włącznie, powyższa klasyfikacja będzie wyglądać podobnie, z tym tylko, że </w:t>
      </w:r>
      <w:r>
        <w:rPr>
          <w:rFonts w:ascii="Times New Roman" w:hAnsi="Times New Roman"/>
          <w:b/>
          <w:noProof/>
          <w:sz w:val="24"/>
        </w:rPr>
        <w:t>ES</w:t>
      </w:r>
      <w:r>
        <w:rPr>
          <w:rFonts w:ascii="Times New Roman" w:hAnsi="Times New Roman"/>
          <w:noProof/>
          <w:sz w:val="24"/>
        </w:rPr>
        <w:t xml:space="preserve"> przesunie się na trzecią pozycję w 2016 r. i na czwartą pozycję w latach 2014 i 2015.</w:t>
      </w:r>
    </w:p>
    <w:p>
      <w:pPr>
        <w:jc w:val="both"/>
        <w:rPr>
          <w:rFonts w:ascii="Times New Roman" w:hAnsi="Times New Roman" w:cs="Times New Roman"/>
          <w:noProof/>
          <w:sz w:val="24"/>
          <w:szCs w:val="24"/>
        </w:rPr>
      </w:pPr>
      <w:r>
        <w:rPr>
          <w:rFonts w:ascii="Times New Roman" w:hAnsi="Times New Roman"/>
          <w:b/>
          <w:noProof/>
          <w:sz w:val="24"/>
        </w:rPr>
        <w:t>Wysłane powiadomienia dotyczące nowych wyroków skazujących i powiadomienia o aktualizacjach stanowiły odpowiednio średnio 73,2 % i 26,8</w:t>
      </w:r>
      <w:r>
        <w:rPr>
          <w:rFonts w:ascii="Times New Roman" w:hAnsi="Times New Roman"/>
          <w:noProof/>
          <w:sz w:val="24"/>
        </w:rPr>
        <w:t> % w roku 2016.</w:t>
      </w:r>
      <w:r>
        <w:rPr>
          <w:noProof/>
        </w:rPr>
        <w:t xml:space="preserve"> </w:t>
      </w:r>
      <w:r>
        <w:rPr>
          <w:rFonts w:ascii="Times New Roman" w:hAnsi="Times New Roman"/>
          <w:noProof/>
          <w:sz w:val="24"/>
        </w:rPr>
        <w:t>Dane dotyczące lat 2014 i 2015 podano w sekcji 1.3 załącznika.</w:t>
      </w:r>
      <w:r>
        <w:rPr>
          <w:rFonts w:ascii="Times New Roman" w:hAnsi="Times New Roman"/>
          <w:b/>
          <w:noProof/>
          <w:sz w:val="24"/>
        </w:rPr>
        <w:t xml:space="preserve"> Proporcje te różnią się znacznie pomiędzy państwami członkowskimi</w:t>
      </w:r>
      <w:r>
        <w:rPr>
          <w:rFonts w:ascii="Times New Roman" w:hAnsi="Times New Roman"/>
          <w:noProof/>
          <w:sz w:val="24"/>
        </w:rPr>
        <w:t>, od liczby aktualizacji dwa razy większej od liczby powiadomień (np. AT, PL), poprzez prawie równą liczbę obu tych kategorii komunikatów (np. ES, NL), do aktualizacji stanowiących nieznaczną część wszystkich powiadomień (np. BE, UK). W przypadku DE, które wysyłają największą liczbę wszystkich powiadomień, aktualizacje stanowiły około 22 % wszystkich wysłanych przez ten kraj powiadomień.</w:t>
      </w:r>
    </w:p>
    <w:p>
      <w:pPr>
        <w:jc w:val="both"/>
        <w:rPr>
          <w:rFonts w:ascii="Times New Roman" w:hAnsi="Times New Roman" w:cs="Times New Roman"/>
          <w:noProof/>
          <w:sz w:val="24"/>
          <w:szCs w:val="24"/>
        </w:rPr>
      </w:pPr>
      <w:r>
        <w:rPr>
          <w:rFonts w:ascii="Times New Roman" w:hAnsi="Times New Roman"/>
          <w:noProof/>
          <w:sz w:val="24"/>
        </w:rPr>
        <w:t xml:space="preserve">Zidentyfikowano tu dwa problemy na podstawie szczegółowej analizy danych statystycznych. </w:t>
      </w:r>
    </w:p>
    <w:p>
      <w:pPr>
        <w:jc w:val="both"/>
        <w:rPr>
          <w:rFonts w:ascii="Times New Roman" w:hAnsi="Times New Roman" w:cs="Times New Roman"/>
          <w:noProof/>
          <w:sz w:val="24"/>
          <w:szCs w:val="24"/>
        </w:rPr>
      </w:pPr>
      <w:r>
        <w:rPr>
          <w:rFonts w:ascii="Times New Roman" w:hAnsi="Times New Roman"/>
          <w:noProof/>
          <w:sz w:val="24"/>
        </w:rPr>
        <w:t xml:space="preserve">Po pierwsze niektóre państwa członkowskie w ogóle </w:t>
      </w:r>
      <w:r>
        <w:rPr>
          <w:rFonts w:ascii="Times New Roman" w:hAnsi="Times New Roman"/>
          <w:b/>
          <w:noProof/>
          <w:sz w:val="24"/>
        </w:rPr>
        <w:t>nie wysyłają powiadomień o nowych wyrokach skazujących</w:t>
      </w:r>
      <w:r>
        <w:rPr>
          <w:rFonts w:ascii="Times New Roman" w:hAnsi="Times New Roman"/>
          <w:noProof/>
          <w:sz w:val="24"/>
        </w:rPr>
        <w:t xml:space="preserve"> (EL) </w:t>
      </w:r>
      <w:r>
        <w:rPr>
          <w:rFonts w:ascii="Times New Roman" w:hAnsi="Times New Roman"/>
          <w:b/>
          <w:noProof/>
          <w:sz w:val="24"/>
        </w:rPr>
        <w:t>lub wysyłają bardzo niewiele</w:t>
      </w:r>
      <w:r>
        <w:rPr>
          <w:rFonts w:ascii="Times New Roman" w:hAnsi="Times New Roman"/>
          <w:noProof/>
          <w:sz w:val="24"/>
        </w:rPr>
        <w:t xml:space="preserve"> powiadomień w stosunku do liczby przebywających na ich terenie obywateli innych państw członkowskich UE (BG, EE, HR, LT, LV, MT, RO w 2016 r.; BG, EE, LV, HR, LT w 2015 r.; BG, EE, HR, LT, LV, RO, SK w 2014 r.). W rezultacie te niezgłoszone wyroki skazujące nie zostały zarejestrowane w państwie członkowskim lub państwach członkowskich obywatelstwa i przestępcy mogą potencjalnie uniknąć konsekwencji swojej kryminalnej przeszłości.</w:t>
      </w:r>
    </w:p>
    <w:p>
      <w:pPr>
        <w:jc w:val="both"/>
        <w:rPr>
          <w:rFonts w:ascii="Times New Roman" w:hAnsi="Times New Roman" w:cs="Times New Roman"/>
          <w:noProof/>
          <w:sz w:val="24"/>
          <w:szCs w:val="24"/>
        </w:rPr>
      </w:pPr>
      <w:r>
        <w:rPr>
          <w:rFonts w:ascii="Times New Roman" w:hAnsi="Times New Roman"/>
          <w:noProof/>
          <w:sz w:val="24"/>
        </w:rPr>
        <w:t xml:space="preserve">Po drugie niektóre państwa członkowskie w ogóle </w:t>
      </w:r>
      <w:r>
        <w:rPr>
          <w:rFonts w:ascii="Times New Roman" w:hAnsi="Times New Roman"/>
          <w:b/>
          <w:noProof/>
          <w:sz w:val="24"/>
        </w:rPr>
        <w:t>nie wysyłają aktualizacji</w:t>
      </w:r>
      <w:r>
        <w:rPr>
          <w:rFonts w:ascii="Times New Roman" w:hAnsi="Times New Roman"/>
          <w:noProof/>
          <w:sz w:val="24"/>
        </w:rPr>
        <w:t xml:space="preserve"> wcześniej przesłanych przez nie powiadomień (BG, DK, EE, EL, LV, RO w 2016 r.; BG, DK, FI, EL w 2015 r.; DK, EE, FI, EL, HR, RO w 2014 r.) lub </w:t>
      </w:r>
      <w:r>
        <w:rPr>
          <w:rFonts w:ascii="Times New Roman" w:hAnsi="Times New Roman"/>
          <w:b/>
          <w:noProof/>
          <w:sz w:val="24"/>
        </w:rPr>
        <w:t>wysyłają niewielką ilość</w:t>
      </w:r>
      <w:r>
        <w:rPr>
          <w:rFonts w:ascii="Times New Roman" w:hAnsi="Times New Roman"/>
          <w:noProof/>
          <w:sz w:val="24"/>
        </w:rPr>
        <w:t xml:space="preserve"> takich komunikatów (HR, LT, LU w 2016 r.; EE, HR, LT, LU, LV, RO w 2015 r.; BG, HU, IE, LT, LU, LV, SK w 2014 r.). Nieprzesyłanie aktualizacji informacji przez skazujące państwa członkowskie prowadzi do przetwarzania przestarzałych i nierzetelnych informacji przez państwo członkowskie obywatelstwa, co także obejmuje ich rozpowszechnianie.</w:t>
      </w:r>
    </w:p>
    <w:bookmarkEnd w:id="19"/>
    <w:bookmarkEnd w:id="22"/>
    <w:p>
      <w:pPr>
        <w:jc w:val="both"/>
        <w:rPr>
          <w:rFonts w:ascii="Times New Roman" w:hAnsi="Times New Roman" w:cs="Times New Roman"/>
          <w:b/>
          <w:noProof/>
          <w:sz w:val="24"/>
          <w:szCs w:val="24"/>
        </w:rPr>
      </w:pPr>
      <w:r>
        <w:rPr>
          <w:rFonts w:ascii="Times New Roman" w:hAnsi="Times New Roman"/>
          <w:b/>
          <w:noProof/>
          <w:sz w:val="24"/>
        </w:rPr>
        <w:t>3.5. Wnioski o udzielenie informacji</w:t>
      </w:r>
    </w:p>
    <w:p>
      <w:pPr>
        <w:jc w:val="both"/>
        <w:rPr>
          <w:rFonts w:ascii="Times New Roman" w:hAnsi="Times New Roman" w:cs="Times New Roman"/>
          <w:noProof/>
          <w:sz w:val="24"/>
          <w:szCs w:val="24"/>
        </w:rPr>
      </w:pPr>
      <w:r>
        <w:rPr>
          <w:rFonts w:ascii="Times New Roman" w:hAnsi="Times New Roman"/>
          <w:noProof/>
          <w:sz w:val="24"/>
        </w:rPr>
        <w:t>Na poniższym wykresie porównano liczby wniosków o udzielenie informacji wysłanych przez wszystkie wzajemnie połączone państwa członkowskie w 2016 r. z liczbami otrzymanych odpowiedzi na te wnioski. Dane dotyczące lat 2014 i 2015 podano w sekcji 1.4 załącznika.</w:t>
      </w:r>
    </w:p>
    <w:p>
      <w:pPr>
        <w:jc w:val="both"/>
        <w:rPr>
          <w:rFonts w:ascii="Times New Roman" w:hAnsi="Times New Roman" w:cs="Times New Roman"/>
          <w:noProof/>
          <w:sz w:val="24"/>
          <w:szCs w:val="24"/>
        </w:rPr>
      </w:pPr>
      <w:r>
        <w:rPr>
          <w:noProof/>
          <w:lang w:val="en-US" w:eastAsia="en-US" w:bidi="ar-SA"/>
        </w:rPr>
        <w:drawing>
          <wp:inline distT="0" distB="0" distL="0" distR="0">
            <wp:extent cx="5760085" cy="312072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120728"/>
                    </a:xfrm>
                    <a:prstGeom prst="rect">
                      <a:avLst/>
                    </a:prstGeom>
                    <a:noFill/>
                    <a:ln>
                      <a:noFill/>
                    </a:ln>
                  </pic:spPr>
                </pic:pic>
              </a:graphicData>
            </a:graphic>
          </wp:inline>
        </w:drawing>
      </w:r>
    </w:p>
    <w:p>
      <w:pPr>
        <w:jc w:val="both"/>
        <w:rPr>
          <w:rFonts w:ascii="Times New Roman" w:hAnsi="Times New Roman" w:cs="Times New Roman"/>
          <w:noProof/>
          <w:sz w:val="24"/>
          <w:szCs w:val="24"/>
        </w:rPr>
      </w:pPr>
      <w:bookmarkStart w:id="23" w:name="_Hlk481003611"/>
      <w:r>
        <w:rPr>
          <w:rFonts w:ascii="Times New Roman" w:hAnsi="Times New Roman"/>
          <w:b/>
          <w:noProof/>
          <w:sz w:val="24"/>
        </w:rPr>
        <w:t>Liczba wysyłanych wniosków o udzielenie informacji wykazuje znaczne różnice w przypadku różnych państw członkowskich</w:t>
      </w:r>
      <w:r>
        <w:rPr>
          <w:rFonts w:ascii="Times New Roman" w:hAnsi="Times New Roman"/>
          <w:noProof/>
          <w:sz w:val="24"/>
        </w:rPr>
        <w:t>, od prawie 140 000 (DE) do zera wniosków (EL) na rok. Głównym czynnikiem, który był brany pod uwagę w analizie tych zmian, jest liczba obywateli innych państw członkowskich mieszkających w danym państwie członkowskim.</w:t>
      </w:r>
    </w:p>
    <w:p>
      <w:pPr>
        <w:jc w:val="both"/>
        <w:rPr>
          <w:rFonts w:ascii="Times New Roman" w:hAnsi="Times New Roman" w:cs="Times New Roman"/>
          <w:noProof/>
          <w:sz w:val="24"/>
          <w:szCs w:val="24"/>
        </w:rPr>
      </w:pPr>
      <w:r>
        <w:rPr>
          <w:rFonts w:ascii="Times New Roman" w:hAnsi="Times New Roman"/>
          <w:b/>
          <w:noProof/>
          <w:sz w:val="24"/>
        </w:rPr>
        <w:t>Najbardziej aktywnymi</w:t>
      </w:r>
      <w:r>
        <w:rPr>
          <w:rFonts w:ascii="Times New Roman" w:hAnsi="Times New Roman"/>
          <w:noProof/>
          <w:sz w:val="24"/>
        </w:rPr>
        <w:t xml:space="preserve"> państwami członkowskimi pod względem </w:t>
      </w:r>
      <w:r>
        <w:rPr>
          <w:rFonts w:ascii="Times New Roman" w:hAnsi="Times New Roman"/>
          <w:b/>
          <w:noProof/>
          <w:sz w:val="24"/>
        </w:rPr>
        <w:t>wydanych wniosków</w:t>
      </w:r>
      <w:r>
        <w:rPr>
          <w:rFonts w:ascii="Times New Roman" w:hAnsi="Times New Roman"/>
          <w:noProof/>
          <w:sz w:val="24"/>
        </w:rPr>
        <w:t xml:space="preserve"> były:</w:t>
      </w:r>
    </w:p>
    <w:p>
      <w:pPr>
        <w:jc w:val="both"/>
        <w:rPr>
          <w:rFonts w:ascii="Times New Roman" w:hAnsi="Times New Roman" w:cs="Times New Roman"/>
          <w:noProof/>
          <w:sz w:val="24"/>
          <w:szCs w:val="24"/>
        </w:rPr>
      </w:pPr>
      <w:bookmarkStart w:id="24" w:name="_Hlk481001976"/>
      <w:r>
        <w:rPr>
          <w:rFonts w:ascii="Times New Roman" w:hAnsi="Times New Roman"/>
          <w:noProof/>
          <w:sz w:val="24"/>
        </w:rPr>
        <w:t xml:space="preserve">- w 2016 r.: </w:t>
      </w:r>
      <w:r>
        <w:rPr>
          <w:rFonts w:ascii="Times New Roman" w:hAnsi="Times New Roman"/>
          <w:b/>
          <w:noProof/>
          <w:sz w:val="24"/>
        </w:rPr>
        <w:t xml:space="preserve">DE </w:t>
      </w:r>
      <w:r>
        <w:rPr>
          <w:rFonts w:ascii="Times New Roman" w:hAnsi="Times New Roman"/>
          <w:noProof/>
          <w:sz w:val="24"/>
        </w:rPr>
        <w:t>(38,6 %), a następne w kolejności były</w:t>
      </w:r>
      <w:r>
        <w:rPr>
          <w:rFonts w:ascii="Times New Roman" w:hAnsi="Times New Roman"/>
          <w:b/>
          <w:noProof/>
          <w:sz w:val="24"/>
        </w:rPr>
        <w:t xml:space="preserve"> UK </w:t>
      </w:r>
      <w:r>
        <w:rPr>
          <w:rFonts w:ascii="Times New Roman" w:hAnsi="Times New Roman"/>
          <w:noProof/>
          <w:sz w:val="24"/>
        </w:rPr>
        <w:t>(26,7 %),</w:t>
      </w:r>
      <w:r>
        <w:rPr>
          <w:rFonts w:ascii="Times New Roman" w:hAnsi="Times New Roman"/>
          <w:b/>
          <w:noProof/>
          <w:sz w:val="24"/>
        </w:rPr>
        <w:t xml:space="preserve"> CZ </w:t>
      </w:r>
      <w:r>
        <w:rPr>
          <w:rFonts w:ascii="Times New Roman" w:hAnsi="Times New Roman"/>
          <w:noProof/>
          <w:sz w:val="24"/>
        </w:rPr>
        <w:t>(10,1 %),</w:t>
      </w:r>
      <w:r>
        <w:rPr>
          <w:rFonts w:ascii="Times New Roman" w:hAnsi="Times New Roman"/>
          <w:b/>
          <w:noProof/>
          <w:sz w:val="24"/>
        </w:rPr>
        <w:t xml:space="preserve"> AT </w:t>
      </w:r>
      <w:r>
        <w:rPr>
          <w:rFonts w:ascii="Times New Roman" w:hAnsi="Times New Roman"/>
          <w:noProof/>
          <w:sz w:val="24"/>
        </w:rPr>
        <w:t>(6,9 %),</w:t>
      </w:r>
      <w:r>
        <w:rPr>
          <w:rFonts w:ascii="Times New Roman" w:hAnsi="Times New Roman"/>
          <w:b/>
          <w:noProof/>
          <w:sz w:val="24"/>
        </w:rPr>
        <w:t xml:space="preserve"> ES </w:t>
      </w:r>
      <w:r>
        <w:rPr>
          <w:rFonts w:ascii="Times New Roman" w:hAnsi="Times New Roman"/>
          <w:noProof/>
          <w:sz w:val="24"/>
        </w:rPr>
        <w:t>(3,7 %)</w:t>
      </w:r>
      <w:r>
        <w:rPr>
          <w:rFonts w:ascii="Times New Roman" w:hAnsi="Times New Roman"/>
          <w:b/>
          <w:noProof/>
          <w:sz w:val="24"/>
        </w:rPr>
        <w:t xml:space="preserve"> </w:t>
      </w:r>
      <w:r>
        <w:rPr>
          <w:rFonts w:ascii="Times New Roman" w:hAnsi="Times New Roman"/>
          <w:noProof/>
          <w:sz w:val="24"/>
        </w:rPr>
        <w:t>i</w:t>
      </w:r>
      <w:r>
        <w:rPr>
          <w:rFonts w:ascii="Times New Roman" w:hAnsi="Times New Roman"/>
          <w:b/>
          <w:noProof/>
          <w:sz w:val="24"/>
        </w:rPr>
        <w:t xml:space="preserve"> FR </w:t>
      </w:r>
      <w:r>
        <w:rPr>
          <w:rFonts w:ascii="Times New Roman" w:hAnsi="Times New Roman"/>
          <w:noProof/>
          <w:sz w:val="24"/>
        </w:rPr>
        <w:t>(3,5 %).</w:t>
      </w:r>
    </w:p>
    <w:p>
      <w:pPr>
        <w:jc w:val="both"/>
        <w:rPr>
          <w:rFonts w:ascii="Times New Roman" w:hAnsi="Times New Roman" w:cs="Times New Roman"/>
          <w:noProof/>
          <w:sz w:val="24"/>
          <w:szCs w:val="24"/>
        </w:rPr>
      </w:pPr>
      <w:r>
        <w:rPr>
          <w:rFonts w:ascii="Times New Roman" w:hAnsi="Times New Roman"/>
          <w:noProof/>
          <w:sz w:val="24"/>
        </w:rPr>
        <w:t xml:space="preserve">- w 2015 r.: </w:t>
      </w:r>
      <w:r>
        <w:rPr>
          <w:rFonts w:ascii="Times New Roman" w:hAnsi="Times New Roman"/>
          <w:b/>
          <w:noProof/>
          <w:sz w:val="24"/>
        </w:rPr>
        <w:t xml:space="preserve">DE </w:t>
      </w:r>
      <w:r>
        <w:rPr>
          <w:rFonts w:ascii="Times New Roman" w:hAnsi="Times New Roman"/>
          <w:noProof/>
          <w:sz w:val="24"/>
        </w:rPr>
        <w:t>(40,0 %), a następne w kolejności były</w:t>
      </w:r>
      <w:r>
        <w:rPr>
          <w:rFonts w:ascii="Times New Roman" w:hAnsi="Times New Roman"/>
          <w:b/>
          <w:noProof/>
          <w:sz w:val="24"/>
        </w:rPr>
        <w:t xml:space="preserve"> UK </w:t>
      </w:r>
      <w:r>
        <w:rPr>
          <w:rFonts w:ascii="Times New Roman" w:hAnsi="Times New Roman"/>
          <w:noProof/>
          <w:sz w:val="24"/>
        </w:rPr>
        <w:t>(29,4 %),</w:t>
      </w:r>
      <w:r>
        <w:rPr>
          <w:rFonts w:ascii="Times New Roman" w:hAnsi="Times New Roman"/>
          <w:b/>
          <w:noProof/>
          <w:sz w:val="24"/>
        </w:rPr>
        <w:t xml:space="preserve"> AT </w:t>
      </w:r>
      <w:r>
        <w:rPr>
          <w:rFonts w:ascii="Times New Roman" w:hAnsi="Times New Roman"/>
          <w:noProof/>
          <w:sz w:val="24"/>
        </w:rPr>
        <w:t>(8,2 %),</w:t>
      </w:r>
      <w:r>
        <w:rPr>
          <w:rFonts w:ascii="Times New Roman" w:hAnsi="Times New Roman"/>
          <w:b/>
          <w:noProof/>
          <w:sz w:val="24"/>
        </w:rPr>
        <w:t xml:space="preserve"> FR </w:t>
      </w:r>
      <w:r>
        <w:rPr>
          <w:rFonts w:ascii="Times New Roman" w:hAnsi="Times New Roman"/>
          <w:noProof/>
          <w:sz w:val="24"/>
        </w:rPr>
        <w:t xml:space="preserve">(4,5 %), </w:t>
      </w:r>
      <w:r>
        <w:rPr>
          <w:rFonts w:ascii="Times New Roman" w:hAnsi="Times New Roman"/>
          <w:b/>
          <w:noProof/>
          <w:sz w:val="24"/>
        </w:rPr>
        <w:t xml:space="preserve">ES </w:t>
      </w:r>
      <w:r>
        <w:rPr>
          <w:rFonts w:ascii="Times New Roman" w:hAnsi="Times New Roman"/>
          <w:noProof/>
          <w:sz w:val="24"/>
        </w:rPr>
        <w:t>(4,0 %) i</w:t>
      </w:r>
      <w:r>
        <w:rPr>
          <w:rFonts w:ascii="Times New Roman" w:hAnsi="Times New Roman"/>
          <w:b/>
          <w:noProof/>
          <w:sz w:val="24"/>
        </w:rPr>
        <w:t xml:space="preserve"> CZ </w:t>
      </w:r>
      <w:r>
        <w:rPr>
          <w:rFonts w:ascii="Times New Roman" w:hAnsi="Times New Roman"/>
          <w:noProof/>
          <w:sz w:val="24"/>
        </w:rPr>
        <w:t>(3,3 %).</w:t>
      </w:r>
    </w:p>
    <w:p>
      <w:pPr>
        <w:jc w:val="both"/>
        <w:rPr>
          <w:rFonts w:ascii="Times New Roman" w:hAnsi="Times New Roman" w:cs="Times New Roman"/>
          <w:noProof/>
          <w:sz w:val="24"/>
          <w:szCs w:val="24"/>
        </w:rPr>
      </w:pPr>
      <w:r>
        <w:rPr>
          <w:rFonts w:ascii="Times New Roman" w:hAnsi="Times New Roman"/>
          <w:noProof/>
          <w:sz w:val="24"/>
        </w:rPr>
        <w:t xml:space="preserve">- w 2014 r.: </w:t>
      </w:r>
      <w:r>
        <w:rPr>
          <w:rFonts w:ascii="Times New Roman" w:hAnsi="Times New Roman"/>
          <w:b/>
          <w:noProof/>
          <w:sz w:val="24"/>
        </w:rPr>
        <w:t xml:space="preserve">DE </w:t>
      </w:r>
      <w:r>
        <w:rPr>
          <w:rFonts w:ascii="Times New Roman" w:hAnsi="Times New Roman"/>
          <w:noProof/>
          <w:sz w:val="24"/>
        </w:rPr>
        <w:t>(45,3 %), a następne w kolejności były</w:t>
      </w:r>
      <w:r>
        <w:rPr>
          <w:rFonts w:ascii="Times New Roman" w:hAnsi="Times New Roman"/>
          <w:b/>
          <w:noProof/>
          <w:sz w:val="24"/>
        </w:rPr>
        <w:t xml:space="preserve"> UK </w:t>
      </w:r>
      <w:r>
        <w:rPr>
          <w:rFonts w:ascii="Times New Roman" w:hAnsi="Times New Roman"/>
          <w:noProof/>
          <w:sz w:val="24"/>
        </w:rPr>
        <w:t xml:space="preserve">(18,7 %), </w:t>
      </w:r>
      <w:r>
        <w:rPr>
          <w:rFonts w:ascii="Times New Roman" w:hAnsi="Times New Roman"/>
          <w:b/>
          <w:noProof/>
          <w:sz w:val="24"/>
        </w:rPr>
        <w:t xml:space="preserve">AT </w:t>
      </w:r>
      <w:r>
        <w:rPr>
          <w:rFonts w:ascii="Times New Roman" w:hAnsi="Times New Roman"/>
          <w:noProof/>
          <w:sz w:val="24"/>
        </w:rPr>
        <w:t>(13,7 %),</w:t>
      </w:r>
      <w:r>
        <w:rPr>
          <w:rFonts w:ascii="Times New Roman" w:hAnsi="Times New Roman"/>
          <w:b/>
          <w:noProof/>
          <w:sz w:val="24"/>
        </w:rPr>
        <w:t xml:space="preserve"> FR </w:t>
      </w:r>
      <w:r>
        <w:rPr>
          <w:rFonts w:ascii="Times New Roman" w:hAnsi="Times New Roman"/>
          <w:noProof/>
          <w:sz w:val="24"/>
        </w:rPr>
        <w:t>(7,6 %),</w:t>
      </w:r>
      <w:r>
        <w:rPr>
          <w:rFonts w:ascii="Times New Roman" w:hAnsi="Times New Roman"/>
          <w:b/>
          <w:noProof/>
          <w:sz w:val="24"/>
        </w:rPr>
        <w:t xml:space="preserve"> CZ </w:t>
      </w:r>
      <w:r>
        <w:rPr>
          <w:rFonts w:ascii="Times New Roman" w:hAnsi="Times New Roman"/>
          <w:noProof/>
          <w:sz w:val="24"/>
        </w:rPr>
        <w:t>(4,1 %) i</w:t>
      </w:r>
      <w:r>
        <w:rPr>
          <w:rFonts w:ascii="Times New Roman" w:hAnsi="Times New Roman"/>
          <w:b/>
          <w:noProof/>
          <w:sz w:val="24"/>
        </w:rPr>
        <w:t xml:space="preserve"> NL </w:t>
      </w:r>
      <w:r>
        <w:rPr>
          <w:rFonts w:ascii="Times New Roman" w:hAnsi="Times New Roman"/>
          <w:noProof/>
          <w:sz w:val="24"/>
        </w:rPr>
        <w:t>(2,8 %).</w:t>
      </w:r>
    </w:p>
    <w:bookmarkEnd w:id="24"/>
    <w:p>
      <w:pPr>
        <w:jc w:val="both"/>
        <w:rPr>
          <w:rFonts w:ascii="Times New Roman" w:hAnsi="Times New Roman" w:cs="Times New Roman"/>
          <w:noProof/>
          <w:sz w:val="24"/>
          <w:szCs w:val="24"/>
        </w:rPr>
      </w:pPr>
      <w:r>
        <w:rPr>
          <w:rFonts w:ascii="Times New Roman" w:hAnsi="Times New Roman"/>
          <w:noProof/>
          <w:sz w:val="24"/>
        </w:rPr>
        <w:t xml:space="preserve">Niektóre państwa członkowskie </w:t>
      </w:r>
      <w:r>
        <w:rPr>
          <w:rFonts w:ascii="Times New Roman" w:hAnsi="Times New Roman"/>
          <w:b/>
          <w:noProof/>
          <w:sz w:val="24"/>
        </w:rPr>
        <w:t>nie wysyłają w ogóle wniosków</w:t>
      </w:r>
      <w:r>
        <w:rPr>
          <w:rFonts w:ascii="Times New Roman" w:hAnsi="Times New Roman"/>
          <w:noProof/>
          <w:sz w:val="24"/>
        </w:rPr>
        <w:t xml:space="preserve"> (EL) lub </w:t>
      </w:r>
      <w:r>
        <w:rPr>
          <w:rFonts w:ascii="Times New Roman" w:hAnsi="Times New Roman"/>
          <w:b/>
          <w:noProof/>
          <w:sz w:val="24"/>
        </w:rPr>
        <w:t>wysyłają ich niewielką liczbę</w:t>
      </w:r>
      <w:r>
        <w:rPr>
          <w:rFonts w:ascii="Times New Roman" w:hAnsi="Times New Roman"/>
          <w:noProof/>
          <w:sz w:val="24"/>
        </w:rPr>
        <w:t xml:space="preserve"> w stosunku do liczby przebywających na ich terenie obywateli innych państw członkowskich UE (BG, CY, HU, IT, MT, EE, HR, LV, RO, SK w 2016 r.; BG, HU, IT, EE, HR, LV, RO, CY, SK w 2015 r.; BG, EE, HR, HU, IT, LV, CY, SK w 2014 r.). Prowadzi to do sytuacji, w której sądy karne mogłyby wydawać wyroki bez znajomości wcześniejszych wyroków skazujących w innych państwach członkowskich, niezgodnie z wymaganiami określonymi w decyzji ramowej 2008/675/WSiSW w sprawie uwzględniania w nowym postępowaniu karnym wcześniejszych wyroków skazujących. Dodatkowo zmniejszony zostanie efekt prewencyjny wnioskowania o zaświadczenia z rejestru karnego w innych celach niż postępowanie karne, np. związanych z zatrudnieniem.</w:t>
      </w:r>
    </w:p>
    <w:p>
      <w:pPr>
        <w:jc w:val="both"/>
        <w:rPr>
          <w:rFonts w:ascii="Times New Roman" w:hAnsi="Times New Roman" w:cs="Times New Roman"/>
          <w:noProof/>
          <w:sz w:val="24"/>
          <w:szCs w:val="24"/>
        </w:rPr>
      </w:pPr>
      <w:r>
        <w:rPr>
          <w:rFonts w:ascii="Times New Roman" w:hAnsi="Times New Roman"/>
          <w:noProof/>
          <w:sz w:val="24"/>
        </w:rPr>
        <w:t xml:space="preserve">Z powyższych danych można również wywnioskować, że </w:t>
      </w:r>
      <w:r>
        <w:rPr>
          <w:rFonts w:ascii="Times New Roman" w:hAnsi="Times New Roman"/>
          <w:b/>
          <w:noProof/>
          <w:sz w:val="24"/>
        </w:rPr>
        <w:t>nie na wszystkie wnioski o udzielenie informacji zostają udzielone odpowiedzi</w:t>
      </w:r>
      <w:r>
        <w:rPr>
          <w:rFonts w:ascii="Times New Roman" w:hAnsi="Times New Roman"/>
          <w:noProof/>
          <w:sz w:val="24"/>
        </w:rPr>
        <w:t xml:space="preserve">. W większości tych przypadków liczba otrzymanych odpowiedzi jest nieco mniejsza niż liczba wysłanych wniosków, przy czym średnia różnica wynosi </w:t>
      </w:r>
      <w:r>
        <w:rPr>
          <w:rFonts w:ascii="Times New Roman" w:hAnsi="Times New Roman"/>
          <w:b/>
          <w:noProof/>
          <w:sz w:val="24"/>
        </w:rPr>
        <w:t>około 3,9 % w 2016 r.</w:t>
      </w:r>
      <w:r>
        <w:rPr>
          <w:rFonts w:ascii="Times New Roman" w:hAnsi="Times New Roman"/>
          <w:noProof/>
          <w:sz w:val="24"/>
        </w:rPr>
        <w:t xml:space="preserve"> W</w:t>
      </w:r>
      <w:r>
        <w:rPr>
          <w:rFonts w:ascii="Times New Roman" w:hAnsi="Times New Roman"/>
          <w:b/>
          <w:noProof/>
          <w:sz w:val="24"/>
        </w:rPr>
        <w:t> </w:t>
      </w:r>
      <w:r>
        <w:rPr>
          <w:rFonts w:ascii="Times New Roman" w:hAnsi="Times New Roman"/>
          <w:noProof/>
          <w:sz w:val="24"/>
        </w:rPr>
        <w:t>przypadku państw członkowskich najbardziej aktywnych pod względem wysyłania wniosków odpowiedzi nie udzielono na 7 % wniosków złożonych przez DE (9577), 4 % wniosków złożonych przez AT (869) i 2 % wniosków złożonych przez UK (1709) w 2016 r.</w:t>
      </w:r>
    </w:p>
    <w:bookmarkEnd w:id="23"/>
    <w:p>
      <w:pPr>
        <w:jc w:val="both"/>
        <w:rPr>
          <w:rFonts w:ascii="Times New Roman" w:hAnsi="Times New Roman" w:cs="Times New Roman"/>
          <w:b/>
          <w:noProof/>
          <w:sz w:val="24"/>
          <w:szCs w:val="24"/>
        </w:rPr>
      </w:pPr>
      <w:r>
        <w:rPr>
          <w:rFonts w:ascii="Times New Roman" w:hAnsi="Times New Roman"/>
          <w:b/>
          <w:noProof/>
          <w:sz w:val="24"/>
        </w:rPr>
        <w:t>3.6. Odpowiedzi na wnioski</w:t>
      </w:r>
    </w:p>
    <w:p>
      <w:pPr>
        <w:jc w:val="both"/>
        <w:rPr>
          <w:rFonts w:ascii="Times New Roman" w:hAnsi="Times New Roman" w:cs="Times New Roman"/>
          <w:noProof/>
          <w:sz w:val="24"/>
          <w:szCs w:val="24"/>
        </w:rPr>
      </w:pPr>
      <w:r>
        <w:rPr>
          <w:rFonts w:ascii="Times New Roman" w:hAnsi="Times New Roman"/>
          <w:noProof/>
          <w:sz w:val="24"/>
        </w:rPr>
        <w:t>Na poniższym wykresie przedstawiono liczby odpowiedzi przesłanych przez wszystkie wzajemnie połączone państwa członkowskie w 2016 r. w porównaniu z liczbami otrzymanych przez nie odpowiednich wniosków o udzielenie informacji. Dane dotyczące lat 2014 i 2015 podano w sekcji 1.5 załącznika.</w:t>
      </w:r>
    </w:p>
    <w:p>
      <w:pPr>
        <w:rPr>
          <w:rFonts w:ascii="Times New Roman" w:hAnsi="Times New Roman" w:cs="Times New Roman"/>
          <w:noProof/>
          <w:sz w:val="24"/>
          <w:szCs w:val="24"/>
        </w:rPr>
      </w:pPr>
      <w:r>
        <w:rPr>
          <w:noProof/>
          <w:lang w:val="en-US" w:eastAsia="en-US" w:bidi="ar-SA"/>
        </w:rPr>
        <w:drawing>
          <wp:inline distT="0" distB="0" distL="0" distR="0">
            <wp:extent cx="5760085" cy="3290942"/>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290942"/>
                    </a:xfrm>
                    <a:prstGeom prst="rect">
                      <a:avLst/>
                    </a:prstGeom>
                    <a:noFill/>
                    <a:ln>
                      <a:noFill/>
                    </a:ln>
                  </pic:spPr>
                </pic:pic>
              </a:graphicData>
            </a:graphic>
          </wp:inline>
        </w:drawing>
      </w:r>
    </w:p>
    <w:p>
      <w:pPr>
        <w:jc w:val="both"/>
        <w:rPr>
          <w:rFonts w:ascii="Times New Roman" w:hAnsi="Times New Roman" w:cs="Times New Roman"/>
          <w:noProof/>
          <w:sz w:val="24"/>
          <w:szCs w:val="24"/>
        </w:rPr>
      </w:pPr>
      <w:bookmarkStart w:id="25" w:name="_Hlk481164813"/>
      <w:r>
        <w:rPr>
          <w:rFonts w:ascii="Times New Roman" w:hAnsi="Times New Roman"/>
          <w:b/>
          <w:noProof/>
          <w:sz w:val="24"/>
        </w:rPr>
        <w:t>Liczba otrzymanych wniosków i odpowiadających im wysłanych odpowiedzi wykazuje istotne różnice między państwami członkowskimi</w:t>
      </w:r>
      <w:r>
        <w:rPr>
          <w:rFonts w:ascii="Times New Roman" w:hAnsi="Times New Roman"/>
          <w:noProof/>
          <w:sz w:val="24"/>
        </w:rPr>
        <w:t>, od 62 000 (PL) do 63 wniosków (MT) na rok. Analizując te różnice, należy uwzględnić przede wszystkim dwa czynniki: całkowitą populację danego państwa członkowskiego i liczbę obywateli tego państwa mieszkających w innych państwach członkowskich. Szczegółową analizę danych statystycznych dotyczących poszczególnych państw członkowskich przedstawiono w sekcji 2 załącznika.</w:t>
      </w:r>
    </w:p>
    <w:p>
      <w:pPr>
        <w:jc w:val="both"/>
        <w:rPr>
          <w:rFonts w:ascii="Times New Roman" w:hAnsi="Times New Roman" w:cs="Times New Roman"/>
          <w:noProof/>
          <w:sz w:val="24"/>
          <w:szCs w:val="24"/>
        </w:rPr>
      </w:pPr>
      <w:r>
        <w:rPr>
          <w:rFonts w:ascii="Times New Roman" w:hAnsi="Times New Roman"/>
          <w:noProof/>
          <w:sz w:val="24"/>
        </w:rPr>
        <w:t xml:space="preserve">Państwami członkowskimi, które otrzymały największą liczbę wniosków o udzielenie informacji, a w konsekwencji </w:t>
      </w:r>
      <w:r>
        <w:rPr>
          <w:rFonts w:ascii="Times New Roman" w:hAnsi="Times New Roman"/>
          <w:b/>
          <w:noProof/>
          <w:sz w:val="24"/>
        </w:rPr>
        <w:t>udzieliły odpowiedzi na największą bezwzględną liczbę</w:t>
      </w:r>
      <w:r>
        <w:rPr>
          <w:rFonts w:ascii="Times New Roman" w:hAnsi="Times New Roman"/>
          <w:noProof/>
          <w:sz w:val="24"/>
        </w:rPr>
        <w:t xml:space="preserve"> wniosków (niekoniecznie największą w stosunku do liczby otrzymanych wniosków), były:</w:t>
      </w:r>
    </w:p>
    <w:p>
      <w:pPr>
        <w:jc w:val="both"/>
        <w:rPr>
          <w:rFonts w:ascii="Times New Roman" w:hAnsi="Times New Roman" w:cs="Times New Roman"/>
          <w:b/>
          <w:noProof/>
          <w:sz w:val="24"/>
          <w:szCs w:val="24"/>
        </w:rPr>
      </w:pPr>
      <w:r>
        <w:rPr>
          <w:rFonts w:ascii="Times New Roman" w:hAnsi="Times New Roman"/>
          <w:noProof/>
          <w:sz w:val="24"/>
        </w:rPr>
        <w:t xml:space="preserve">- w 2016 r.: </w:t>
      </w:r>
      <w:r>
        <w:rPr>
          <w:rFonts w:ascii="Times New Roman" w:hAnsi="Times New Roman"/>
          <w:b/>
          <w:noProof/>
          <w:sz w:val="24"/>
        </w:rPr>
        <w:t xml:space="preserve">PL </w:t>
      </w:r>
      <w:r>
        <w:rPr>
          <w:rFonts w:ascii="Times New Roman" w:hAnsi="Times New Roman"/>
          <w:noProof/>
          <w:sz w:val="24"/>
        </w:rPr>
        <w:t>(17,4 % wszystkich odpowiedzi), a następne w kolejności były</w:t>
      </w:r>
      <w:r>
        <w:rPr>
          <w:rFonts w:ascii="Times New Roman" w:hAnsi="Times New Roman"/>
          <w:b/>
          <w:noProof/>
          <w:sz w:val="24"/>
        </w:rPr>
        <w:t xml:space="preserve"> RO </w:t>
      </w:r>
      <w:r>
        <w:rPr>
          <w:rFonts w:ascii="Times New Roman" w:hAnsi="Times New Roman"/>
          <w:noProof/>
          <w:sz w:val="24"/>
        </w:rPr>
        <w:t>(16,2 %),</w:t>
      </w:r>
      <w:r>
        <w:rPr>
          <w:rFonts w:ascii="Times New Roman" w:hAnsi="Times New Roman"/>
          <w:b/>
          <w:noProof/>
          <w:sz w:val="24"/>
        </w:rPr>
        <w:t xml:space="preserve"> SK </w:t>
      </w:r>
      <w:r>
        <w:rPr>
          <w:rFonts w:ascii="Times New Roman" w:hAnsi="Times New Roman"/>
          <w:noProof/>
          <w:sz w:val="24"/>
        </w:rPr>
        <w:t>(9,1 %),</w:t>
      </w:r>
      <w:r>
        <w:rPr>
          <w:rFonts w:ascii="Times New Roman" w:hAnsi="Times New Roman"/>
          <w:b/>
          <w:noProof/>
          <w:sz w:val="24"/>
        </w:rPr>
        <w:t xml:space="preserve"> DE </w:t>
      </w:r>
      <w:r>
        <w:rPr>
          <w:rFonts w:ascii="Times New Roman" w:hAnsi="Times New Roman"/>
          <w:noProof/>
          <w:sz w:val="24"/>
        </w:rPr>
        <w:t>(6,2 %),</w:t>
      </w:r>
      <w:r>
        <w:rPr>
          <w:rFonts w:ascii="Times New Roman" w:hAnsi="Times New Roman"/>
          <w:b/>
          <w:noProof/>
          <w:sz w:val="24"/>
        </w:rPr>
        <w:t xml:space="preserve"> IT </w:t>
      </w:r>
      <w:r>
        <w:rPr>
          <w:rFonts w:ascii="Times New Roman" w:hAnsi="Times New Roman"/>
          <w:noProof/>
          <w:sz w:val="24"/>
        </w:rPr>
        <w:t>(5,1 %) i</w:t>
      </w:r>
      <w:r>
        <w:rPr>
          <w:rFonts w:ascii="Times New Roman" w:hAnsi="Times New Roman"/>
          <w:b/>
          <w:noProof/>
          <w:sz w:val="24"/>
        </w:rPr>
        <w:t xml:space="preserve"> FR </w:t>
      </w:r>
      <w:r>
        <w:rPr>
          <w:rFonts w:ascii="Times New Roman" w:hAnsi="Times New Roman"/>
          <w:noProof/>
          <w:sz w:val="24"/>
        </w:rPr>
        <w:t>(4,6 %).</w:t>
      </w:r>
    </w:p>
    <w:p>
      <w:pPr>
        <w:jc w:val="both"/>
        <w:rPr>
          <w:rFonts w:ascii="Times New Roman" w:hAnsi="Times New Roman" w:cs="Times New Roman"/>
          <w:b/>
          <w:noProof/>
          <w:sz w:val="24"/>
          <w:szCs w:val="24"/>
        </w:rPr>
      </w:pPr>
      <w:r>
        <w:rPr>
          <w:rFonts w:ascii="Times New Roman" w:hAnsi="Times New Roman"/>
          <w:noProof/>
          <w:sz w:val="24"/>
        </w:rPr>
        <w:t xml:space="preserve">- w 2015 r.: </w:t>
      </w:r>
      <w:r>
        <w:rPr>
          <w:rFonts w:ascii="Times New Roman" w:hAnsi="Times New Roman"/>
          <w:b/>
          <w:noProof/>
          <w:sz w:val="24"/>
        </w:rPr>
        <w:t xml:space="preserve">PL </w:t>
      </w:r>
      <w:r>
        <w:rPr>
          <w:rFonts w:ascii="Times New Roman" w:hAnsi="Times New Roman"/>
          <w:noProof/>
          <w:sz w:val="24"/>
        </w:rPr>
        <w:t>(18,9 %), a następne w kolejności były</w:t>
      </w:r>
      <w:r>
        <w:rPr>
          <w:rFonts w:ascii="Times New Roman" w:hAnsi="Times New Roman"/>
          <w:b/>
          <w:noProof/>
          <w:sz w:val="24"/>
        </w:rPr>
        <w:t xml:space="preserve"> RO </w:t>
      </w:r>
      <w:r>
        <w:rPr>
          <w:rFonts w:ascii="Times New Roman" w:hAnsi="Times New Roman"/>
          <w:noProof/>
          <w:sz w:val="24"/>
        </w:rPr>
        <w:t>(17,9 %),</w:t>
      </w:r>
      <w:r>
        <w:rPr>
          <w:rFonts w:ascii="Times New Roman" w:hAnsi="Times New Roman"/>
          <w:b/>
          <w:noProof/>
          <w:sz w:val="24"/>
        </w:rPr>
        <w:t xml:space="preserve"> DE </w:t>
      </w:r>
      <w:r>
        <w:rPr>
          <w:rFonts w:ascii="Times New Roman" w:hAnsi="Times New Roman"/>
          <w:noProof/>
          <w:sz w:val="24"/>
        </w:rPr>
        <w:t>(7,5 %),</w:t>
      </w:r>
      <w:r>
        <w:rPr>
          <w:rFonts w:ascii="Times New Roman" w:hAnsi="Times New Roman"/>
          <w:b/>
          <w:noProof/>
          <w:sz w:val="24"/>
        </w:rPr>
        <w:t xml:space="preserve"> IT</w:t>
      </w:r>
      <w:r>
        <w:rPr>
          <w:rFonts w:ascii="Times New Roman" w:hAnsi="Times New Roman"/>
          <w:noProof/>
          <w:sz w:val="24"/>
        </w:rPr>
        <w:t xml:space="preserve"> (6,5 %), </w:t>
      </w:r>
      <w:r>
        <w:rPr>
          <w:rFonts w:ascii="Times New Roman" w:hAnsi="Times New Roman"/>
          <w:b/>
          <w:noProof/>
          <w:sz w:val="24"/>
        </w:rPr>
        <w:t xml:space="preserve">LT </w:t>
      </w:r>
      <w:r>
        <w:rPr>
          <w:rFonts w:ascii="Times New Roman" w:hAnsi="Times New Roman"/>
          <w:noProof/>
          <w:sz w:val="24"/>
        </w:rPr>
        <w:t>(5,2 %) i</w:t>
      </w:r>
      <w:r>
        <w:rPr>
          <w:rFonts w:ascii="Times New Roman" w:hAnsi="Times New Roman"/>
          <w:b/>
          <w:noProof/>
          <w:sz w:val="24"/>
        </w:rPr>
        <w:t xml:space="preserve"> FR </w:t>
      </w:r>
      <w:r>
        <w:rPr>
          <w:rFonts w:ascii="Times New Roman" w:hAnsi="Times New Roman"/>
          <w:noProof/>
          <w:sz w:val="24"/>
        </w:rPr>
        <w:t>(4,9 %).</w:t>
      </w:r>
    </w:p>
    <w:p>
      <w:pPr>
        <w:jc w:val="both"/>
        <w:rPr>
          <w:rFonts w:ascii="Times New Roman" w:hAnsi="Times New Roman" w:cs="Times New Roman"/>
          <w:b/>
          <w:noProof/>
          <w:sz w:val="24"/>
          <w:szCs w:val="24"/>
        </w:rPr>
      </w:pPr>
      <w:r>
        <w:rPr>
          <w:rFonts w:ascii="Times New Roman" w:hAnsi="Times New Roman"/>
          <w:noProof/>
          <w:sz w:val="24"/>
        </w:rPr>
        <w:t xml:space="preserve">- w 2014 r.: </w:t>
      </w:r>
      <w:r>
        <w:rPr>
          <w:rFonts w:ascii="Times New Roman" w:hAnsi="Times New Roman"/>
          <w:b/>
          <w:noProof/>
          <w:sz w:val="24"/>
        </w:rPr>
        <w:t xml:space="preserve">PL </w:t>
      </w:r>
      <w:r>
        <w:rPr>
          <w:rFonts w:ascii="Times New Roman" w:hAnsi="Times New Roman"/>
          <w:noProof/>
          <w:sz w:val="24"/>
        </w:rPr>
        <w:t>(20,0 %), a następne w kolejności były</w:t>
      </w:r>
      <w:r>
        <w:rPr>
          <w:rFonts w:ascii="Times New Roman" w:hAnsi="Times New Roman"/>
          <w:b/>
          <w:noProof/>
          <w:sz w:val="24"/>
        </w:rPr>
        <w:t xml:space="preserve"> RO </w:t>
      </w:r>
      <w:r>
        <w:rPr>
          <w:rFonts w:ascii="Times New Roman" w:hAnsi="Times New Roman"/>
          <w:noProof/>
          <w:sz w:val="24"/>
        </w:rPr>
        <w:t>(13,0 %),</w:t>
      </w:r>
      <w:r>
        <w:rPr>
          <w:rFonts w:ascii="Times New Roman" w:hAnsi="Times New Roman"/>
          <w:b/>
          <w:noProof/>
          <w:sz w:val="24"/>
        </w:rPr>
        <w:t xml:space="preserve"> DE </w:t>
      </w:r>
      <w:r>
        <w:rPr>
          <w:rFonts w:ascii="Times New Roman" w:hAnsi="Times New Roman"/>
          <w:noProof/>
          <w:sz w:val="24"/>
        </w:rPr>
        <w:t>(9,9 %),</w:t>
      </w:r>
      <w:r>
        <w:rPr>
          <w:rFonts w:ascii="Times New Roman" w:hAnsi="Times New Roman"/>
          <w:b/>
          <w:noProof/>
          <w:sz w:val="24"/>
        </w:rPr>
        <w:t xml:space="preserve"> IT </w:t>
      </w:r>
      <w:r>
        <w:rPr>
          <w:rFonts w:ascii="Times New Roman" w:hAnsi="Times New Roman"/>
          <w:noProof/>
          <w:sz w:val="24"/>
        </w:rPr>
        <w:t>(8,5 %),</w:t>
      </w:r>
      <w:r>
        <w:rPr>
          <w:rFonts w:ascii="Times New Roman" w:hAnsi="Times New Roman"/>
          <w:b/>
          <w:noProof/>
          <w:sz w:val="24"/>
        </w:rPr>
        <w:t xml:space="preserve"> FR </w:t>
      </w:r>
      <w:r>
        <w:rPr>
          <w:rFonts w:ascii="Times New Roman" w:hAnsi="Times New Roman"/>
          <w:noProof/>
          <w:sz w:val="24"/>
        </w:rPr>
        <w:t>(5,2 %) i</w:t>
      </w:r>
      <w:r>
        <w:rPr>
          <w:rFonts w:ascii="Times New Roman" w:hAnsi="Times New Roman"/>
          <w:b/>
          <w:noProof/>
          <w:sz w:val="24"/>
        </w:rPr>
        <w:t xml:space="preserve"> LT </w:t>
      </w:r>
      <w:r>
        <w:rPr>
          <w:rFonts w:ascii="Times New Roman" w:hAnsi="Times New Roman"/>
          <w:noProof/>
          <w:sz w:val="24"/>
        </w:rPr>
        <w:t>(5,0 %).</w:t>
      </w:r>
    </w:p>
    <w:p>
      <w:pPr>
        <w:jc w:val="both"/>
        <w:rPr>
          <w:rFonts w:ascii="Times New Roman" w:hAnsi="Times New Roman" w:cs="Times New Roman"/>
          <w:noProof/>
          <w:sz w:val="24"/>
          <w:szCs w:val="24"/>
        </w:rPr>
      </w:pPr>
      <w:r>
        <w:rPr>
          <w:rFonts w:ascii="Times New Roman" w:hAnsi="Times New Roman"/>
          <w:noProof/>
          <w:sz w:val="24"/>
        </w:rPr>
        <w:t>Chociaż wszystkie państwa członkowskie zasadniczo odpowiadają</w:t>
      </w:r>
      <w:r>
        <w:rPr>
          <w:rFonts w:ascii="Times New Roman" w:hAnsi="Times New Roman"/>
          <w:b/>
          <w:noProof/>
          <w:sz w:val="24"/>
        </w:rPr>
        <w:t xml:space="preserve"> </w:t>
      </w:r>
      <w:r>
        <w:rPr>
          <w:rFonts w:ascii="Times New Roman" w:hAnsi="Times New Roman"/>
          <w:noProof/>
          <w:sz w:val="24"/>
        </w:rPr>
        <w:t xml:space="preserve">na wnioski, </w:t>
      </w:r>
      <w:r>
        <w:rPr>
          <w:rFonts w:ascii="Times New Roman" w:hAnsi="Times New Roman"/>
          <w:b/>
          <w:noProof/>
          <w:sz w:val="24"/>
        </w:rPr>
        <w:t>nie na wszystkie wnioski o udzielenie informacji są udzielane odpowiedzi</w:t>
      </w:r>
      <w:r>
        <w:rPr>
          <w:rFonts w:ascii="Times New Roman" w:hAnsi="Times New Roman"/>
          <w:noProof/>
          <w:sz w:val="24"/>
        </w:rPr>
        <w:t>. W większości przypadków liczba wysłanych odpowiedzi jest nieco mniejsza niż liczba otrzymanych wniosków o udzielenie informacji (średnio o </w:t>
      </w:r>
      <w:r>
        <w:rPr>
          <w:rFonts w:ascii="Times New Roman" w:hAnsi="Times New Roman"/>
          <w:b/>
          <w:noProof/>
          <w:sz w:val="24"/>
        </w:rPr>
        <w:t>około 3,9 % w 2016 r.)</w:t>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 xml:space="preserve">W przypadku państw członkowskich, które otrzymały największą liczbę wniosków w 2016 r., IT nie odpowiedziały na 20,4 % otrzymanych wniosków (5579), FR na 3,9 % (657), DE na 2,5 % (552), PL na 1,9 % (1174), RO na 1,7 % (970) i SK na 0,1 % (47). </w:t>
      </w:r>
      <w:bookmarkStart w:id="26" w:name="_Hlk481154445"/>
    </w:p>
    <w:p>
      <w:pPr>
        <w:jc w:val="both"/>
        <w:rPr>
          <w:rFonts w:ascii="Times New Roman" w:hAnsi="Times New Roman" w:cs="Times New Roman"/>
          <w:noProof/>
          <w:sz w:val="24"/>
          <w:szCs w:val="24"/>
        </w:rPr>
      </w:pPr>
      <w:bookmarkStart w:id="27" w:name="_Hlk481154348"/>
      <w:r>
        <w:rPr>
          <w:rFonts w:ascii="Times New Roman" w:hAnsi="Times New Roman"/>
          <w:noProof/>
          <w:sz w:val="24"/>
        </w:rPr>
        <w:t xml:space="preserve">W 2016 r. państwami członkowskimi z największym odsetkiem wniosków, na które nie udzielono odpowiedzi, były: CY (66,1 % otrzymanych wniosków), EL (34,9 %), IT (20,4 %) i LV (17,8 %). </w:t>
      </w:r>
    </w:p>
    <w:bookmarkEnd w:id="25"/>
    <w:bookmarkEnd w:id="26"/>
    <w:bookmarkEnd w:id="27"/>
    <w:p>
      <w:pPr>
        <w:jc w:val="both"/>
        <w:rPr>
          <w:rFonts w:ascii="Times New Roman" w:hAnsi="Times New Roman" w:cs="Times New Roman"/>
          <w:b/>
          <w:noProof/>
          <w:sz w:val="24"/>
          <w:szCs w:val="24"/>
        </w:rPr>
      </w:pPr>
      <w:r>
        <w:rPr>
          <w:rFonts w:ascii="Times New Roman" w:hAnsi="Times New Roman"/>
          <w:b/>
          <w:noProof/>
          <w:sz w:val="24"/>
        </w:rPr>
        <w:t>3.7. Odpowiedzi udzielone po przewidzianym prawem terminie</w:t>
      </w:r>
    </w:p>
    <w:p>
      <w:pPr>
        <w:jc w:val="both"/>
        <w:rPr>
          <w:rFonts w:ascii="Times New Roman" w:hAnsi="Times New Roman" w:cs="Times New Roman"/>
          <w:noProof/>
          <w:sz w:val="24"/>
          <w:szCs w:val="24"/>
        </w:rPr>
      </w:pPr>
      <w:r>
        <w:rPr>
          <w:rFonts w:ascii="Times New Roman" w:hAnsi="Times New Roman"/>
          <w:noProof/>
          <w:sz w:val="24"/>
        </w:rPr>
        <w:t xml:space="preserve">Innym problemem jest to, że na niektóre wnioski odpowiedź nie zostaje udzielona w przewidzianym prawem terminie. W poniższej tabeli przedstawiono przegląd wszystkich państw członkowskich pod względem liczby odpowiedzi udzielonych po przewidzianym prawem terminie w 2016 r. </w:t>
      </w:r>
    </w:p>
    <w:p>
      <w:pPr>
        <w:jc w:val="center"/>
        <w:rPr>
          <w:rFonts w:ascii="Times New Roman" w:hAnsi="Times New Roman" w:cs="Times New Roman"/>
          <w:noProof/>
          <w:sz w:val="24"/>
          <w:szCs w:val="24"/>
        </w:rPr>
      </w:pPr>
      <w:r>
        <w:rPr>
          <w:noProof/>
          <w:lang w:val="en-US" w:eastAsia="en-US" w:bidi="ar-SA"/>
        </w:rPr>
        <w:drawing>
          <wp:inline distT="0" distB="0" distL="0" distR="0">
            <wp:extent cx="5760085" cy="51636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5163609"/>
                    </a:xfrm>
                    <a:prstGeom prst="rect">
                      <a:avLst/>
                    </a:prstGeom>
                    <a:noFill/>
                    <a:ln>
                      <a:noFill/>
                    </a:ln>
                  </pic:spPr>
                </pic:pic>
              </a:graphicData>
            </a:graphic>
          </wp:inline>
        </w:drawing>
      </w:r>
    </w:p>
    <w:p>
      <w:pPr>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 xml:space="preserve">W roku 2016 </w:t>
      </w:r>
      <w:r>
        <w:rPr>
          <w:rFonts w:ascii="Times New Roman" w:hAnsi="Times New Roman"/>
          <w:b/>
          <w:noProof/>
          <w:sz w:val="24"/>
        </w:rPr>
        <w:t>nie udzielono odpowiedzi w przewidzianym prawem terminie na około 13 000 wniosków</w:t>
      </w:r>
      <w:r>
        <w:rPr>
          <w:rFonts w:ascii="Times New Roman" w:hAnsi="Times New Roman"/>
          <w:noProof/>
          <w:sz w:val="24"/>
        </w:rPr>
        <w:t>. Stanowi to </w:t>
      </w:r>
      <w:r>
        <w:rPr>
          <w:rFonts w:ascii="Times New Roman" w:hAnsi="Times New Roman"/>
          <w:b/>
          <w:noProof/>
          <w:sz w:val="24"/>
        </w:rPr>
        <w:t>3,6 %</w:t>
      </w:r>
      <w:r>
        <w:rPr>
          <w:rFonts w:ascii="Times New Roman" w:hAnsi="Times New Roman"/>
          <w:noProof/>
          <w:sz w:val="24"/>
        </w:rPr>
        <w:t xml:space="preserve"> </w:t>
      </w:r>
      <w:r>
        <w:rPr>
          <w:rFonts w:ascii="Times New Roman" w:hAnsi="Times New Roman"/>
          <w:b/>
          <w:noProof/>
          <w:sz w:val="24"/>
        </w:rPr>
        <w:t>łącznej</w:t>
      </w:r>
      <w:r>
        <w:rPr>
          <w:rFonts w:ascii="Times New Roman" w:hAnsi="Times New Roman"/>
          <w:noProof/>
          <w:sz w:val="24"/>
        </w:rPr>
        <w:t xml:space="preserve"> liczby wniosków. Państwami członkowskimi, które miały najwięcej problemów z przestrzeganiem przewidzianych prawem terminów, były: EL (28,1 % wniosków, których termin odpowiedzi został przekroczony), FI (21,5 %), EE (20,5 %), RO (9,3 %) i IT (5,28 %). Jeśli chodzi o odpowiedzi przesłane po upływie przewidzianego prawem terminu, po terminie przesłano 27,33 % odpowiedzi udzielonych przez LT (4198), 21,33 % odpowiedzi udzielonych przez IE (2153), 19,56 % odpowiedzi udzielonych przez CY (134), 6,12 % odpowiedzi udzielonych przez RO (3535) i 4,92 % odpowiedzi udzielonych przez PL (3056). </w:t>
      </w:r>
    </w:p>
    <w:p>
      <w:pPr>
        <w:rPr>
          <w:rFonts w:ascii="Times New Roman" w:hAnsi="Times New Roman" w:cs="Times New Roman"/>
          <w:b/>
          <w:noProof/>
          <w:sz w:val="24"/>
          <w:szCs w:val="24"/>
        </w:rPr>
      </w:pPr>
      <w:bookmarkStart w:id="28" w:name="_Toc479267023"/>
      <w:r>
        <w:rPr>
          <w:rFonts w:ascii="Times New Roman" w:hAnsi="Times New Roman"/>
          <w:b/>
          <w:noProof/>
          <w:sz w:val="24"/>
        </w:rPr>
        <w:t>3.8. Wnioski w celach związanych z postępowaniem karnym i w innych celach</w:t>
      </w:r>
      <w:bookmarkEnd w:id="28"/>
    </w:p>
    <w:p>
      <w:pPr>
        <w:spacing w:after="0"/>
        <w:jc w:val="both"/>
        <w:rPr>
          <w:rFonts w:ascii="Times New Roman" w:hAnsi="Times New Roman" w:cs="Times New Roman"/>
          <w:noProof/>
          <w:sz w:val="24"/>
          <w:szCs w:val="24"/>
        </w:rPr>
      </w:pPr>
      <w:bookmarkStart w:id="29" w:name="_Hlk481158644"/>
      <w:r>
        <w:rPr>
          <w:rFonts w:ascii="Times New Roman" w:hAnsi="Times New Roman"/>
          <w:noProof/>
          <w:sz w:val="24"/>
        </w:rPr>
        <w:t>Na poniższych wykresach przedstawiono stosunek wniosków złożonych w celach związanych z postępowaniem karnym i w innych celach niż postępowanie karne w latach 2012–2016.</w:t>
      </w:r>
    </w:p>
    <w:p>
      <w:pPr>
        <w:spacing w:after="0"/>
        <w:jc w:val="both"/>
        <w:rPr>
          <w:rFonts w:ascii="Times New Roman" w:hAnsi="Times New Roman" w:cs="Times New Roman"/>
          <w:noProof/>
          <w:sz w:val="24"/>
          <w:szCs w:val="24"/>
        </w:rPr>
      </w:pPr>
    </w:p>
    <w:p>
      <w:pPr>
        <w:spacing w:after="0"/>
        <w:jc w:val="center"/>
        <w:rPr>
          <w:rFonts w:ascii="Times New Roman" w:hAnsi="Times New Roman" w:cs="Times New Roman"/>
          <w:noProof/>
          <w:sz w:val="24"/>
          <w:szCs w:val="24"/>
        </w:rPr>
      </w:pPr>
      <w:r>
        <w:rPr>
          <w:noProof/>
          <w:lang w:val="en-US" w:eastAsia="en-US" w:bidi="ar-SA"/>
        </w:rPr>
        <w:drawing>
          <wp:inline distT="0" distB="0" distL="0" distR="0">
            <wp:extent cx="2719346" cy="1484924"/>
            <wp:effectExtent l="0" t="0" r="508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9410" cy="1484959"/>
                    </a:xfrm>
                    <a:prstGeom prst="rect">
                      <a:avLst/>
                    </a:prstGeom>
                    <a:noFill/>
                    <a:ln>
                      <a:noFill/>
                    </a:ln>
                  </pic:spPr>
                </pic:pic>
              </a:graphicData>
            </a:graphic>
          </wp:inline>
        </w:drawing>
      </w:r>
    </w:p>
    <w:p>
      <w:pPr>
        <w:spacing w:after="0"/>
        <w:jc w:val="center"/>
        <w:rPr>
          <w:rFonts w:ascii="Times New Roman" w:hAnsi="Times New Roman" w:cs="Times New Roman"/>
          <w:noProof/>
          <w:sz w:val="24"/>
          <w:szCs w:val="24"/>
        </w:rPr>
      </w:pPr>
    </w:p>
    <w:bookmarkEnd w:id="29"/>
    <w:p>
      <w:pPr>
        <w:jc w:val="center"/>
        <w:rPr>
          <w:rFonts w:ascii="Times New Roman" w:hAnsi="Times New Roman" w:cs="Times New Roman"/>
          <w:noProof/>
          <w:sz w:val="24"/>
          <w:szCs w:val="24"/>
        </w:rPr>
      </w:pPr>
      <w:r>
        <w:rPr>
          <w:noProof/>
          <w:lang w:val="en-US" w:eastAsia="en-US" w:bidi="ar-SA"/>
        </w:rPr>
        <w:drawing>
          <wp:inline distT="0" distB="0" distL="0" distR="0">
            <wp:extent cx="4373218" cy="3042458"/>
            <wp:effectExtent l="0" t="0" r="889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7515" cy="3045447"/>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rPr>
        <w:t xml:space="preserve">W okresie działania ECRIS średnio </w:t>
      </w:r>
      <w:r>
        <w:rPr>
          <w:rFonts w:ascii="Times New Roman" w:hAnsi="Times New Roman"/>
          <w:b/>
          <w:noProof/>
          <w:sz w:val="24"/>
        </w:rPr>
        <w:t>81 %</w:t>
      </w:r>
      <w:r>
        <w:rPr>
          <w:rFonts w:ascii="Times New Roman" w:hAnsi="Times New Roman"/>
          <w:noProof/>
          <w:sz w:val="24"/>
        </w:rPr>
        <w:t xml:space="preserve"> wszystkich wniosków złożono w celach związanych z </w:t>
      </w:r>
      <w:r>
        <w:rPr>
          <w:rFonts w:ascii="Times New Roman" w:hAnsi="Times New Roman"/>
          <w:b/>
          <w:noProof/>
          <w:sz w:val="24"/>
        </w:rPr>
        <w:t>postępowaniem karnym,</w:t>
      </w:r>
      <w:r>
        <w:rPr>
          <w:rFonts w:ascii="Times New Roman" w:hAnsi="Times New Roman"/>
          <w:noProof/>
          <w:sz w:val="24"/>
        </w:rPr>
        <w:t xml:space="preserve"> a </w:t>
      </w:r>
      <w:r>
        <w:rPr>
          <w:rFonts w:ascii="Times New Roman" w:hAnsi="Times New Roman"/>
          <w:b/>
          <w:noProof/>
          <w:sz w:val="24"/>
        </w:rPr>
        <w:t>19 %</w:t>
      </w:r>
      <w:r>
        <w:rPr>
          <w:rFonts w:ascii="Times New Roman" w:hAnsi="Times New Roman"/>
          <w:noProof/>
          <w:sz w:val="24"/>
        </w:rPr>
        <w:t xml:space="preserve"> w </w:t>
      </w:r>
      <w:r>
        <w:rPr>
          <w:rFonts w:ascii="Times New Roman" w:hAnsi="Times New Roman"/>
          <w:b/>
          <w:noProof/>
          <w:sz w:val="24"/>
        </w:rPr>
        <w:t>innych celach</w:t>
      </w:r>
      <w:r>
        <w:rPr>
          <w:rFonts w:ascii="Times New Roman" w:hAnsi="Times New Roman"/>
          <w:noProof/>
          <w:sz w:val="24"/>
        </w:rPr>
        <w:t xml:space="preserve">. W 2016 r. liczba </w:t>
      </w:r>
      <w:r>
        <w:rPr>
          <w:rFonts w:ascii="Times New Roman" w:hAnsi="Times New Roman"/>
          <w:b/>
          <w:noProof/>
          <w:sz w:val="24"/>
        </w:rPr>
        <w:t>wniosków</w:t>
      </w:r>
      <w:r>
        <w:rPr>
          <w:rFonts w:ascii="Times New Roman" w:hAnsi="Times New Roman"/>
          <w:noProof/>
          <w:sz w:val="24"/>
        </w:rPr>
        <w:t xml:space="preserve"> </w:t>
      </w:r>
      <w:r>
        <w:rPr>
          <w:rFonts w:ascii="Times New Roman" w:hAnsi="Times New Roman"/>
          <w:b/>
          <w:noProof/>
          <w:sz w:val="24"/>
        </w:rPr>
        <w:t xml:space="preserve">złożonych w innych celach </w:t>
      </w:r>
      <w:r>
        <w:rPr>
          <w:rFonts w:ascii="Times New Roman" w:hAnsi="Times New Roman"/>
          <w:noProof/>
          <w:sz w:val="24"/>
        </w:rPr>
        <w:t>sięgnęła</w:t>
      </w:r>
      <w:r>
        <w:rPr>
          <w:noProof/>
        </w:rPr>
        <w:t xml:space="preserve"> </w:t>
      </w:r>
      <w:r>
        <w:rPr>
          <w:rFonts w:ascii="Times New Roman" w:hAnsi="Times New Roman"/>
          <w:b/>
          <w:noProof/>
          <w:sz w:val="24"/>
        </w:rPr>
        <w:t>79 000</w:t>
      </w:r>
      <w:r>
        <w:rPr>
          <w:noProof/>
        </w:rPr>
        <w:t>.</w:t>
      </w:r>
    </w:p>
    <w:p>
      <w:pPr>
        <w:jc w:val="both"/>
        <w:rPr>
          <w:rFonts w:ascii="Times New Roman" w:hAnsi="Times New Roman" w:cs="Times New Roman"/>
          <w:noProof/>
          <w:sz w:val="24"/>
          <w:szCs w:val="24"/>
        </w:rPr>
      </w:pPr>
      <w:r>
        <w:rPr>
          <w:rFonts w:ascii="Times New Roman" w:hAnsi="Times New Roman"/>
          <w:noProof/>
          <w:sz w:val="24"/>
        </w:rPr>
        <w:t>W latach 2012–2014 odsetek wniosków złożonych w innych celach utrzymywał się na stabilnym poziomie. Ten wzrost do </w:t>
      </w:r>
      <w:r>
        <w:rPr>
          <w:rFonts w:ascii="Times New Roman" w:hAnsi="Times New Roman"/>
          <w:b/>
          <w:noProof/>
          <w:sz w:val="24"/>
        </w:rPr>
        <w:t>22 % w 2016 r.</w:t>
      </w:r>
      <w:r>
        <w:rPr>
          <w:rFonts w:ascii="Times New Roman" w:hAnsi="Times New Roman"/>
          <w:noProof/>
          <w:sz w:val="24"/>
        </w:rPr>
        <w:t xml:space="preserve"> był spowodowany głównie wzrastającą liczbą wniosków w celach</w:t>
      </w:r>
      <w:r>
        <w:rPr>
          <w:rFonts w:ascii="Times New Roman" w:hAnsi="Times New Roman"/>
          <w:b/>
          <w:noProof/>
          <w:sz w:val="24"/>
        </w:rPr>
        <w:t xml:space="preserve"> rekrutacji </w:t>
      </w:r>
      <w:r>
        <w:rPr>
          <w:rFonts w:ascii="Times New Roman" w:hAnsi="Times New Roman"/>
          <w:noProof/>
          <w:sz w:val="24"/>
        </w:rPr>
        <w:t xml:space="preserve">do wykonywania działalności zawodowej lub zorganizowanej działalności wolontariackiej </w:t>
      </w:r>
      <w:r>
        <w:rPr>
          <w:rFonts w:ascii="Times New Roman" w:hAnsi="Times New Roman"/>
          <w:b/>
          <w:noProof/>
          <w:sz w:val="24"/>
        </w:rPr>
        <w:t>wiążącej się z bezpośrednim i regularnym kontaktem z dziećmi</w:t>
      </w:r>
      <w:r>
        <w:rPr>
          <w:rFonts w:ascii="Times New Roman" w:hAnsi="Times New Roman"/>
          <w:noProof/>
          <w:sz w:val="24"/>
        </w:rPr>
        <w:t xml:space="preserve">, w związku z wykonaniem </w:t>
      </w:r>
      <w:r>
        <w:rPr>
          <w:rFonts w:ascii="Times New Roman" w:hAnsi="Times New Roman"/>
          <w:b/>
          <w:noProof/>
          <w:sz w:val="24"/>
        </w:rPr>
        <w:t>dyrektywy 2011/93/UE</w:t>
      </w:r>
      <w:r>
        <w:rPr>
          <w:rFonts w:ascii="Times New Roman" w:hAnsi="Times New Roman"/>
          <w:noProof/>
          <w:sz w:val="24"/>
        </w:rPr>
        <w:t xml:space="preserve">. Takich wniosków było </w:t>
      </w:r>
      <w:r>
        <w:rPr>
          <w:rFonts w:ascii="Times New Roman" w:hAnsi="Times New Roman"/>
          <w:b/>
          <w:noProof/>
          <w:sz w:val="24"/>
        </w:rPr>
        <w:t>w</w:t>
      </w:r>
      <w:r>
        <w:rPr>
          <w:rFonts w:ascii="Times New Roman" w:hAnsi="Times New Roman"/>
          <w:noProof/>
          <w:sz w:val="24"/>
        </w:rPr>
        <w:t> </w:t>
      </w:r>
      <w:r>
        <w:rPr>
          <w:rFonts w:ascii="Times New Roman" w:hAnsi="Times New Roman"/>
          <w:b/>
          <w:noProof/>
          <w:sz w:val="24"/>
        </w:rPr>
        <w:t>roku 2016 prawie 8000</w:t>
      </w:r>
      <w:r>
        <w:rPr>
          <w:rFonts w:ascii="Times New Roman" w:hAnsi="Times New Roman"/>
          <w:noProof/>
          <w:sz w:val="24"/>
        </w:rPr>
        <w:t>, co stanowi 10 % wszystkich wniosków złożonych w innych celach. Dla porównania w 2012 r. liczba tych wniosków była znikoma (7 wniosków).</w:t>
      </w:r>
    </w:p>
    <w:p>
      <w:pPr>
        <w:jc w:val="both"/>
        <w:rPr>
          <w:rFonts w:ascii="Times New Roman" w:hAnsi="Times New Roman" w:cs="Times New Roman"/>
          <w:noProof/>
          <w:sz w:val="24"/>
          <w:szCs w:val="24"/>
        </w:rPr>
      </w:pPr>
      <w:r>
        <w:rPr>
          <w:rFonts w:ascii="Times New Roman" w:hAnsi="Times New Roman"/>
          <w:noProof/>
          <w:sz w:val="24"/>
        </w:rPr>
        <w:t xml:space="preserve">W 2016 r. większość wniosków w celach niezwiązanych z postępowaniem karnym została złożona przez osoby </w:t>
      </w:r>
      <w:r>
        <w:rPr>
          <w:rFonts w:ascii="Times New Roman" w:hAnsi="Times New Roman"/>
          <w:b/>
          <w:noProof/>
          <w:sz w:val="24"/>
        </w:rPr>
        <w:t>fizyczne, aby uzyskać informacje z rejestru karnego dotyczące nich samych</w:t>
      </w:r>
      <w:r>
        <w:rPr>
          <w:rFonts w:ascii="Times New Roman" w:hAnsi="Times New Roman"/>
          <w:noProof/>
          <w:sz w:val="24"/>
        </w:rPr>
        <w:t xml:space="preserve"> – 68 % wszystkich wniosków złożonych w innych celach i 15 % wszystkich złożonych wniosków. Następne w kolejności były wnioski złożone przez właściwe organy administracyjne w postępowaniach innych niż karne (14 % wniosków złożonych w innych celach i 3,1 % wszystkich złożonych wniosków), wnioski związane z rekrutacją zgodnie z dyrektywą 2011/93/UE (odpowiednio: 9,9 % i 2,2 %) i wnioski związane z ubieganiem się o pozwolenie na noszenie broni (odpowiednio: 3,5 % i 0,8 %).</w:t>
      </w:r>
    </w:p>
    <w:p>
      <w:pPr>
        <w:jc w:val="both"/>
        <w:rPr>
          <w:rFonts w:ascii="Times New Roman" w:hAnsi="Times New Roman" w:cs="Times New Roman"/>
          <w:noProof/>
          <w:sz w:val="24"/>
          <w:szCs w:val="24"/>
        </w:rPr>
      </w:pPr>
      <w:r>
        <w:rPr>
          <w:rFonts w:ascii="Times New Roman" w:hAnsi="Times New Roman"/>
          <w:noProof/>
          <w:sz w:val="24"/>
        </w:rPr>
        <w:t>Wnioski w ważnym celu uzyskania innego obywatelstwa stanowiły jedynie około 1,4 % wszystkich wniosków złożonych w innych celach i 0,3 % wszystkich złożonych wniosków.</w:t>
      </w:r>
    </w:p>
    <w:p>
      <w:pPr>
        <w:jc w:val="both"/>
        <w:rPr>
          <w:rFonts w:ascii="Times New Roman" w:hAnsi="Times New Roman" w:cs="Times New Roman"/>
          <w:noProof/>
          <w:sz w:val="24"/>
          <w:szCs w:val="24"/>
        </w:rPr>
      </w:pPr>
      <w:r>
        <w:rPr>
          <w:rFonts w:ascii="Times New Roman" w:hAnsi="Times New Roman"/>
          <w:noProof/>
          <w:sz w:val="24"/>
        </w:rPr>
        <w:t>Dokładniejsze dane na temat liczby wniosków dotyczących różnych kategorii celów w latach 2014–2016 podano w sekcji 1.6 załącznika.</w:t>
      </w:r>
    </w:p>
    <w:p>
      <w:pPr>
        <w:rPr>
          <w:rFonts w:ascii="Times New Roman" w:hAnsi="Times New Roman" w:cs="Times New Roman"/>
          <w:b/>
          <w:noProof/>
          <w:sz w:val="24"/>
          <w:szCs w:val="24"/>
        </w:rPr>
      </w:pPr>
      <w:bookmarkStart w:id="30" w:name="_Toc479267024"/>
      <w:r>
        <w:rPr>
          <w:rFonts w:ascii="Times New Roman" w:hAnsi="Times New Roman"/>
          <w:b/>
          <w:noProof/>
          <w:sz w:val="24"/>
        </w:rPr>
        <w:t xml:space="preserve">3.9. Wnioski dotyczące obywateli UE i </w:t>
      </w:r>
      <w:bookmarkEnd w:id="30"/>
      <w:r>
        <w:rPr>
          <w:rFonts w:ascii="Times New Roman" w:hAnsi="Times New Roman"/>
          <w:b/>
          <w:noProof/>
          <w:sz w:val="24"/>
        </w:rPr>
        <w:t>TCN</w:t>
      </w:r>
    </w:p>
    <w:p>
      <w:pPr>
        <w:spacing w:after="0"/>
        <w:jc w:val="both"/>
        <w:rPr>
          <w:rFonts w:ascii="Times New Roman" w:hAnsi="Times New Roman" w:cs="Times New Roman"/>
          <w:noProof/>
          <w:sz w:val="24"/>
          <w:szCs w:val="24"/>
        </w:rPr>
      </w:pPr>
      <w:r>
        <w:rPr>
          <w:rFonts w:ascii="Times New Roman" w:hAnsi="Times New Roman"/>
          <w:noProof/>
          <w:sz w:val="24"/>
        </w:rPr>
        <w:t>Na poniższych wykresach przedstawiono stosunek wniosków dotyczących obywateli UE do wniosków dotyczących TCN – w ujęciu rocznym</w:t>
      </w:r>
      <w:r>
        <w:rPr>
          <w:rStyle w:val="FootnoteReference"/>
          <w:rFonts w:ascii="Times New Roman" w:hAnsi="Times New Roman"/>
          <w:noProof/>
          <w:sz w:val="24"/>
        </w:rPr>
        <w:footnoteReference w:id="12"/>
      </w:r>
      <w:r>
        <w:rPr>
          <w:rFonts w:ascii="Times New Roman" w:hAnsi="Times New Roman"/>
          <w:noProof/>
          <w:sz w:val="24"/>
        </w:rPr>
        <w:t xml:space="preserve"> i średnio w trakcie całego okresu działania systemu ECRIS.</w:t>
      </w:r>
    </w:p>
    <w:p>
      <w:pPr>
        <w:spacing w:after="0"/>
        <w:jc w:val="both"/>
        <w:rPr>
          <w:rFonts w:ascii="Times New Roman" w:hAnsi="Times New Roman" w:cs="Times New Roman"/>
          <w:noProof/>
          <w:sz w:val="24"/>
          <w:szCs w:val="24"/>
        </w:rPr>
      </w:pPr>
    </w:p>
    <w:p>
      <w:pPr>
        <w:jc w:val="center"/>
        <w:rPr>
          <w:rFonts w:ascii="Times New Roman" w:hAnsi="Times New Roman" w:cs="Times New Roman"/>
          <w:noProof/>
          <w:sz w:val="24"/>
          <w:szCs w:val="24"/>
        </w:rPr>
      </w:pPr>
      <w:r>
        <w:rPr>
          <w:noProof/>
          <w:lang w:val="en-US" w:eastAsia="en-US" w:bidi="ar-SA"/>
        </w:rPr>
        <w:drawing>
          <wp:inline distT="0" distB="0" distL="0" distR="0">
            <wp:extent cx="3301318" cy="20196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6123" cy="2022571"/>
                    </a:xfrm>
                    <a:prstGeom prst="rect">
                      <a:avLst/>
                    </a:prstGeom>
                    <a:noFill/>
                    <a:ln>
                      <a:noFill/>
                    </a:ln>
                  </pic:spPr>
                </pic:pic>
              </a:graphicData>
            </a:graphic>
          </wp:inline>
        </w:drawing>
      </w:r>
      <w:r>
        <w:rPr>
          <w:rStyle w:val="CommentReference"/>
          <w:rFonts w:ascii="Times New Roman" w:hAnsi="Times New Roman"/>
          <w:noProof/>
          <w:sz w:val="24"/>
        </w:rPr>
        <w:t xml:space="preserve"> </w:t>
      </w:r>
    </w:p>
    <w:p>
      <w:pPr>
        <w:contextualSpacing/>
        <w:jc w:val="center"/>
        <w:rPr>
          <w:rFonts w:ascii="Times New Roman" w:hAnsi="Times New Roman" w:cs="Times New Roman"/>
          <w:noProof/>
          <w:sz w:val="24"/>
          <w:szCs w:val="24"/>
        </w:rPr>
      </w:pPr>
      <w:r>
        <w:rPr>
          <w:noProof/>
          <w:lang w:val="en-US" w:eastAsia="en-US" w:bidi="ar-SA"/>
        </w:rPr>
        <w:drawing>
          <wp:inline distT="0" distB="0" distL="0" distR="0">
            <wp:extent cx="4150580" cy="2625705"/>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1840" cy="2626502"/>
                    </a:xfrm>
                    <a:prstGeom prst="rect">
                      <a:avLst/>
                    </a:prstGeom>
                    <a:noFill/>
                    <a:ln>
                      <a:noFill/>
                    </a:ln>
                  </pic:spPr>
                </pic:pic>
              </a:graphicData>
            </a:graphic>
          </wp:inline>
        </w:drawing>
      </w:r>
    </w:p>
    <w:p>
      <w:pPr>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Średnio</w:t>
      </w:r>
      <w:r>
        <w:rPr>
          <w:rFonts w:ascii="Times New Roman" w:hAnsi="Times New Roman"/>
          <w:b/>
          <w:noProof/>
          <w:sz w:val="24"/>
        </w:rPr>
        <w:t xml:space="preserve"> 90 %</w:t>
      </w:r>
      <w:r>
        <w:rPr>
          <w:rFonts w:ascii="Times New Roman" w:hAnsi="Times New Roman"/>
          <w:noProof/>
          <w:sz w:val="24"/>
        </w:rPr>
        <w:t xml:space="preserve"> wszystkich wniosków dotyczy </w:t>
      </w:r>
      <w:r>
        <w:rPr>
          <w:rFonts w:ascii="Times New Roman" w:hAnsi="Times New Roman"/>
          <w:b/>
          <w:noProof/>
          <w:sz w:val="24"/>
        </w:rPr>
        <w:t>obywateli UE</w:t>
      </w:r>
      <w:r>
        <w:rPr>
          <w:rFonts w:ascii="Times New Roman" w:hAnsi="Times New Roman"/>
          <w:noProof/>
          <w:sz w:val="24"/>
        </w:rPr>
        <w:t xml:space="preserve">, a około </w:t>
      </w:r>
      <w:r>
        <w:rPr>
          <w:rFonts w:ascii="Times New Roman" w:hAnsi="Times New Roman"/>
          <w:b/>
          <w:noProof/>
          <w:sz w:val="24"/>
        </w:rPr>
        <w:t>10 % dotyczy TCN</w:t>
      </w:r>
      <w:r>
        <w:rPr>
          <w:rFonts w:ascii="Times New Roman" w:hAnsi="Times New Roman"/>
          <w:noProof/>
          <w:sz w:val="24"/>
        </w:rPr>
        <w:t>. Odsetek wniosków dotyczących bezpaństwowców jest marginalny (0,03 %).</w:t>
      </w:r>
    </w:p>
    <w:p>
      <w:pPr>
        <w:jc w:val="both"/>
        <w:rPr>
          <w:rFonts w:ascii="Times New Roman" w:hAnsi="Times New Roman" w:cs="Times New Roman"/>
          <w:noProof/>
          <w:sz w:val="24"/>
          <w:szCs w:val="24"/>
        </w:rPr>
      </w:pPr>
      <w:r>
        <w:rPr>
          <w:rFonts w:ascii="Times New Roman" w:hAnsi="Times New Roman"/>
          <w:noProof/>
          <w:sz w:val="24"/>
        </w:rPr>
        <w:t xml:space="preserve">W pierwszym roku działania systemu ECRIS odsetek wniosków dotyczących TCN był bardzo niski (5 %). W 2013 r. uległ podwojeniu i od tego czasu utrzymuje się na stałym poziomie. Liczba </w:t>
      </w:r>
      <w:r>
        <w:rPr>
          <w:rFonts w:ascii="Times New Roman" w:hAnsi="Times New Roman"/>
          <w:b/>
          <w:noProof/>
          <w:sz w:val="24"/>
        </w:rPr>
        <w:t xml:space="preserve">wniosków o udzielenie informacji w sprawie TCN </w:t>
      </w:r>
      <w:r>
        <w:rPr>
          <w:rFonts w:ascii="Times New Roman" w:hAnsi="Times New Roman"/>
          <w:noProof/>
          <w:sz w:val="24"/>
        </w:rPr>
        <w:t>sięgnęła w 2016 r.</w:t>
      </w:r>
      <w:r>
        <w:rPr>
          <w:rFonts w:ascii="Times New Roman" w:hAnsi="Times New Roman"/>
          <w:b/>
          <w:noProof/>
          <w:sz w:val="24"/>
        </w:rPr>
        <w:t xml:space="preserve"> ponad 33 000</w:t>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 xml:space="preserve">Przepisy uzupełniające proponowane przez Komisję w połączeniu z niniejszym sprawozdaniem doprowadzą do udoskonalenia systemu ECRIS w odniesieniu do TCN dzięki wprowadzeniu dedykowanego, scentralizowanego systemu umożliwiającego sprawną identyfikację jednego lub większej liczby państw członkowskich posiadających informacje w rejestrach karnych dotyczące TCN. Oczekuje się, że środek ten doprowadzi do znacznego zwiększenia liczby wniosków dotyczących TCN. </w:t>
      </w:r>
    </w:p>
    <w:p>
      <w:pPr>
        <w:rPr>
          <w:rFonts w:ascii="Times New Roman" w:hAnsi="Times New Roman" w:cs="Times New Roman"/>
          <w:b/>
          <w:noProof/>
          <w:sz w:val="24"/>
          <w:szCs w:val="24"/>
        </w:rPr>
      </w:pPr>
      <w:bookmarkStart w:id="31" w:name="_Toc479267025"/>
      <w:r>
        <w:rPr>
          <w:rFonts w:ascii="Times New Roman" w:hAnsi="Times New Roman"/>
          <w:b/>
          <w:noProof/>
          <w:sz w:val="24"/>
        </w:rPr>
        <w:t xml:space="preserve">3.10. </w:t>
      </w:r>
      <w:bookmarkEnd w:id="31"/>
      <w:r>
        <w:rPr>
          <w:rFonts w:ascii="Times New Roman" w:hAnsi="Times New Roman"/>
          <w:b/>
          <w:noProof/>
          <w:sz w:val="24"/>
        </w:rPr>
        <w:t>Odpowiedzi zawierające informacje o wyrokach skazujących</w:t>
      </w:r>
    </w:p>
    <w:p>
      <w:pPr>
        <w:jc w:val="both"/>
        <w:rPr>
          <w:rFonts w:ascii="Times New Roman" w:hAnsi="Times New Roman" w:cs="Times New Roman"/>
          <w:noProof/>
          <w:sz w:val="24"/>
          <w:szCs w:val="24"/>
        </w:rPr>
      </w:pPr>
      <w:r>
        <w:rPr>
          <w:rFonts w:ascii="Times New Roman" w:hAnsi="Times New Roman"/>
          <w:noProof/>
          <w:sz w:val="24"/>
        </w:rPr>
        <w:t>Na poniższych wykresach przedstawiono dane na temat odsetków odpowiedzi na wnioski zawierających informację o jednym lub większej liczbie wyroków skazujących, odpowiedzi nie</w:t>
      </w:r>
      <w:r>
        <w:rPr>
          <w:noProof/>
        </w:rPr>
        <w:t>zawierających informacji o wyrokach skazujących i innych odpowiedzi udzielanych rocznie</w:t>
      </w:r>
      <w:r>
        <w:rPr>
          <w:rStyle w:val="FootnoteReference"/>
          <w:rFonts w:ascii="Times New Roman" w:hAnsi="Times New Roman"/>
          <w:noProof/>
          <w:sz w:val="24"/>
        </w:rPr>
        <w:footnoteReference w:id="13"/>
      </w:r>
      <w:r>
        <w:rPr>
          <w:noProof/>
        </w:rPr>
        <w:t xml:space="preserve"> i średnio w całym okresie działania systemu ECRIS.</w:t>
      </w:r>
    </w:p>
    <w:p>
      <w:pPr>
        <w:jc w:val="center"/>
        <w:rPr>
          <w:rFonts w:ascii="Times New Roman" w:hAnsi="Times New Roman" w:cs="Times New Roman"/>
          <w:noProof/>
          <w:sz w:val="24"/>
          <w:szCs w:val="24"/>
        </w:rPr>
      </w:pPr>
      <w:r>
        <w:rPr>
          <w:noProof/>
          <w:lang w:val="en-US" w:eastAsia="en-US" w:bidi="ar-SA"/>
        </w:rPr>
        <w:drawing>
          <wp:inline distT="0" distB="0" distL="0" distR="0">
            <wp:extent cx="3514477" cy="20824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7897" cy="2084503"/>
                    </a:xfrm>
                    <a:prstGeom prst="rect">
                      <a:avLst/>
                    </a:prstGeom>
                    <a:noFill/>
                    <a:ln>
                      <a:noFill/>
                    </a:ln>
                  </pic:spPr>
                </pic:pic>
              </a:graphicData>
            </a:graphic>
          </wp:inline>
        </w:drawing>
      </w:r>
      <w:r>
        <w:rPr>
          <w:rStyle w:val="CommentReference"/>
          <w:rFonts w:ascii="Times New Roman" w:hAnsi="Times New Roman"/>
          <w:noProof/>
          <w:sz w:val="24"/>
        </w:rPr>
        <w:t xml:space="preserve"> </w:t>
      </w:r>
    </w:p>
    <w:p>
      <w:pPr>
        <w:jc w:val="center"/>
        <w:rPr>
          <w:rFonts w:ascii="Times New Roman" w:hAnsi="Times New Roman" w:cs="Times New Roman"/>
          <w:noProof/>
          <w:sz w:val="24"/>
          <w:szCs w:val="24"/>
        </w:rPr>
      </w:pPr>
      <w:r>
        <w:rPr>
          <w:noProof/>
          <w:lang w:val="en-US" w:eastAsia="en-US" w:bidi="ar-SA"/>
        </w:rPr>
        <w:drawing>
          <wp:inline distT="0" distB="0" distL="0" distR="0">
            <wp:extent cx="3927945" cy="2609532"/>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2683" cy="2612680"/>
                    </a:xfrm>
                    <a:prstGeom prst="rect">
                      <a:avLst/>
                    </a:prstGeom>
                    <a:noFill/>
                    <a:ln>
                      <a:noFill/>
                    </a:ln>
                  </pic:spPr>
                </pic:pic>
              </a:graphicData>
            </a:graphic>
          </wp:inline>
        </w:drawing>
      </w:r>
    </w:p>
    <w:p>
      <w:pPr>
        <w:contextualSpacing/>
        <w:jc w:val="both"/>
        <w:rPr>
          <w:rFonts w:ascii="Times New Roman" w:hAnsi="Times New Roman" w:cs="Times New Roman"/>
          <w:noProof/>
          <w:sz w:val="24"/>
          <w:szCs w:val="24"/>
        </w:rPr>
      </w:pPr>
      <w:r>
        <w:rPr>
          <w:rFonts w:ascii="Times New Roman" w:hAnsi="Times New Roman"/>
          <w:noProof/>
          <w:sz w:val="24"/>
        </w:rPr>
        <w:t xml:space="preserve">Od pierwszego roku działania systemu ECRIS </w:t>
      </w:r>
      <w:r>
        <w:rPr>
          <w:rFonts w:ascii="Times New Roman" w:hAnsi="Times New Roman"/>
          <w:b/>
          <w:noProof/>
          <w:sz w:val="24"/>
        </w:rPr>
        <w:t>31 % odpowiedzi zawierało informację na temat wcześniejszych wyroków skazujących.</w:t>
      </w:r>
      <w:r>
        <w:rPr>
          <w:rFonts w:ascii="Times New Roman" w:hAnsi="Times New Roman"/>
          <w:noProof/>
          <w:sz w:val="24"/>
        </w:rPr>
        <w:t xml:space="preserve"> Oznacza to, że w 31 % przypadków dana osoba została już skazana jeden lub więcej razy, co dowodzi wartości ECRIS jako narzędzia uzyskiwania informacji z rejestru karnego. W </w:t>
      </w:r>
      <w:r>
        <w:rPr>
          <w:rFonts w:ascii="Times New Roman" w:hAnsi="Times New Roman"/>
          <w:b/>
          <w:noProof/>
          <w:sz w:val="24"/>
        </w:rPr>
        <w:t>2016</w:t>
      </w:r>
      <w:r>
        <w:rPr>
          <w:rFonts w:ascii="Times New Roman" w:hAnsi="Times New Roman"/>
          <w:noProof/>
          <w:sz w:val="24"/>
        </w:rPr>
        <w:t xml:space="preserve"> r. stanowiło to ponad </w:t>
      </w:r>
      <w:r>
        <w:rPr>
          <w:rFonts w:ascii="Times New Roman" w:hAnsi="Times New Roman"/>
          <w:b/>
          <w:noProof/>
          <w:sz w:val="24"/>
        </w:rPr>
        <w:t>105 000 odpowiedzi zawierających informacje o wyrokach skazujących.</w:t>
      </w:r>
      <w:r>
        <w:rPr>
          <w:rFonts w:ascii="Times New Roman" w:hAnsi="Times New Roman"/>
          <w:noProof/>
          <w:sz w:val="24"/>
        </w:rPr>
        <w:t xml:space="preserve"> Odpowiedzi niezawierające żadnych informacji o wyrokach skazujących stanowiły średnio 63 %, a inne odpowiedzi 6 % w okresie ostatnich pięciu lat.</w:t>
      </w:r>
    </w:p>
    <w:p>
      <w:pPr>
        <w:rPr>
          <w:rStyle w:val="Hyperlink"/>
          <w:rFonts w:ascii="Times New Roman" w:hAnsi="Times New Roman" w:cs="Times New Roman"/>
          <w:i/>
          <w:noProof/>
          <w:sz w:val="24"/>
          <w:szCs w:val="24"/>
        </w:rPr>
      </w:pPr>
      <w:bookmarkStart w:id="32" w:name="_Toc479267027"/>
      <w:bookmarkStart w:id="33" w:name="_Toc479267028"/>
      <w:bookmarkStart w:id="34" w:name="_Toc479267029"/>
      <w:bookmarkStart w:id="35" w:name="_Toc479267030"/>
      <w:bookmarkStart w:id="36" w:name="_Toc479267031"/>
      <w:bookmarkStart w:id="37" w:name="_Toc479267032"/>
      <w:bookmarkStart w:id="38" w:name="_Toc479267033"/>
      <w:bookmarkStart w:id="39" w:name="_Toc479267034"/>
      <w:bookmarkStart w:id="40" w:name="_Toc479267035"/>
      <w:bookmarkStart w:id="41" w:name="_Toc479267036"/>
      <w:bookmarkStart w:id="42" w:name="_Toc479267037"/>
      <w:bookmarkStart w:id="43" w:name="_Toc479267038"/>
      <w:bookmarkStart w:id="44" w:name="_Toc479267039"/>
      <w:bookmarkStart w:id="45" w:name="_Toc479267040"/>
      <w:bookmarkStart w:id="46" w:name="_Toc479267041"/>
      <w:bookmarkStart w:id="47" w:name="_Toc479267042"/>
      <w:bookmarkStart w:id="48" w:name="_Toc479267043"/>
      <w:bookmarkStart w:id="49" w:name="_Toc479267044"/>
      <w:bookmarkStart w:id="50" w:name="_Toc479267045"/>
      <w:bookmarkStart w:id="51" w:name="_Toc479267046"/>
      <w:bookmarkStart w:id="52" w:name="_Toc479267047"/>
      <w:bookmarkStart w:id="53" w:name="_Toc479267048"/>
      <w:bookmarkStart w:id="54" w:name="_Toc479267049"/>
      <w:bookmarkStart w:id="55" w:name="_Toc479267050"/>
      <w:bookmarkStart w:id="56" w:name="_Toc479267051"/>
      <w:bookmarkStart w:id="57" w:name="_Toc479267052"/>
      <w:bookmarkStart w:id="58" w:name="_Toc479267053"/>
      <w:bookmarkStart w:id="59" w:name="_Toc479267054"/>
      <w:bookmarkStart w:id="60" w:name="_Toc479267055"/>
      <w:bookmarkStart w:id="61" w:name="_Toc479267056"/>
      <w:bookmarkStart w:id="62" w:name="_Toc479267057"/>
      <w:bookmarkStart w:id="63" w:name="_Toc479267058"/>
      <w:bookmarkStart w:id="64" w:name="_Toc479267059"/>
      <w:bookmarkStart w:id="65" w:name="_Toc479267060"/>
      <w:bookmarkStart w:id="66" w:name="_Toc479267061"/>
      <w:bookmarkStart w:id="67" w:name="_Toc479267062"/>
      <w:bookmarkStart w:id="68" w:name="_Toc479267063"/>
      <w:bookmarkStart w:id="69" w:name="_Toc479267064"/>
      <w:bookmarkStart w:id="70" w:name="_Toc479267065"/>
      <w:bookmarkStart w:id="71" w:name="_Toc479267066"/>
      <w:bookmarkStart w:id="72" w:name="_Toc479267067"/>
      <w:bookmarkStart w:id="73" w:name="_Toc479267068"/>
      <w:bookmarkStart w:id="74" w:name="_Toc479267069"/>
      <w:bookmarkStart w:id="75" w:name="_Toc479267070"/>
      <w:bookmarkStart w:id="76" w:name="_Toc479267071"/>
      <w:bookmarkStart w:id="77" w:name="_Toc479267072"/>
      <w:bookmarkStart w:id="78" w:name="_Toc479267073"/>
      <w:bookmarkStart w:id="79" w:name="_Toc479267074"/>
      <w:bookmarkStart w:id="80" w:name="_Toc479267075"/>
      <w:bookmarkStart w:id="81" w:name="_Toc479267076"/>
      <w:bookmarkStart w:id="82" w:name="_Toc479267077"/>
      <w:bookmarkStart w:id="83" w:name="_Toc479267078"/>
      <w:bookmarkStart w:id="84" w:name="_Toc479267079"/>
      <w:bookmarkStart w:id="85" w:name="_Toc479267080"/>
      <w:bookmarkStart w:id="86" w:name="_Toc479267081"/>
      <w:bookmarkStart w:id="87" w:name="_Toc479267082"/>
      <w:bookmarkStart w:id="88" w:name="_Toc479267083"/>
      <w:bookmarkStart w:id="89" w:name="_Toc479267084"/>
      <w:bookmarkStart w:id="90" w:name="_Toc479267085"/>
      <w:bookmarkStart w:id="91" w:name="_Toc479267086"/>
      <w:bookmarkStart w:id="92" w:name="_Toc479267087"/>
      <w:bookmarkStart w:id="93" w:name="_Toc479267088"/>
      <w:bookmarkStart w:id="94" w:name="_Toc479267089"/>
      <w:bookmarkStart w:id="95" w:name="_Toc479267090"/>
      <w:bookmarkStart w:id="96" w:name="_Toc479267091"/>
      <w:bookmarkStart w:id="97" w:name="_Toc479267092"/>
      <w:bookmarkStart w:id="98" w:name="_Toc479267093"/>
      <w:bookmarkStart w:id="99" w:name="_Toc479267094"/>
      <w:bookmarkStart w:id="100" w:name="_Toc479267095"/>
      <w:bookmarkStart w:id="101" w:name="_Toc479267096"/>
      <w:bookmarkStart w:id="102" w:name="_Toc479267097"/>
      <w:bookmarkStart w:id="103" w:name="_Toc479267098"/>
      <w:bookmarkStart w:id="104" w:name="_Toc479267099"/>
      <w:bookmarkStart w:id="105" w:name="_Toc479267100"/>
      <w:bookmarkStart w:id="106" w:name="_Toc479267101"/>
      <w:bookmarkStart w:id="107" w:name="_Toc479267102"/>
      <w:bookmarkStart w:id="108" w:name="_Toc479267103"/>
      <w:bookmarkStart w:id="109" w:name="_Toc479267104"/>
      <w:bookmarkStart w:id="110" w:name="_Toc479267105"/>
      <w:bookmarkStart w:id="111" w:name="_Toc479267106"/>
      <w:bookmarkStart w:id="112" w:name="_Toc479267107"/>
      <w:bookmarkStart w:id="113" w:name="_Toc479267108"/>
      <w:bookmarkStart w:id="114" w:name="_Toc479267109"/>
      <w:bookmarkStart w:id="115" w:name="_Toc479267110"/>
      <w:bookmarkStart w:id="116" w:name="_Toc479267111"/>
      <w:bookmarkStart w:id="117" w:name="_Toc479267112"/>
      <w:bookmarkStart w:id="118" w:name="_Toc479267113"/>
      <w:bookmarkStart w:id="119" w:name="_Toc479267114"/>
      <w:bookmarkStart w:id="120" w:name="_Toc479267115"/>
      <w:bookmarkStart w:id="121" w:name="_Toc479267116"/>
      <w:bookmarkStart w:id="122" w:name="_Toc479267117"/>
      <w:bookmarkStart w:id="123" w:name="_Toc479267118"/>
      <w:bookmarkStart w:id="124" w:name="_Toc479267119"/>
      <w:bookmarkStart w:id="125" w:name="_Toc479267120"/>
      <w:bookmarkStart w:id="126" w:name="_Toc479267121"/>
      <w:bookmarkStart w:id="127" w:name="_Toc479267122"/>
      <w:bookmarkStart w:id="128" w:name="_Toc479267123"/>
      <w:bookmarkStart w:id="129" w:name="_Toc479267124"/>
      <w:bookmarkStart w:id="130" w:name="_Toc479267125"/>
      <w:bookmarkStart w:id="131" w:name="_Toc479267126"/>
      <w:bookmarkStart w:id="132" w:name="_Toc479267127"/>
      <w:bookmarkStart w:id="133" w:name="_Toc479267128"/>
      <w:bookmarkStart w:id="134" w:name="_Toc479267129"/>
      <w:bookmarkStart w:id="135" w:name="_Toc479267130"/>
      <w:bookmarkStart w:id="136" w:name="_Toc479267131"/>
      <w:bookmarkStart w:id="137" w:name="_Toc479267132"/>
      <w:bookmarkStart w:id="138" w:name="_Toc479267133"/>
      <w:bookmarkStart w:id="139" w:name="_Toc479267134"/>
      <w:bookmarkStart w:id="140" w:name="_Toc479267135"/>
      <w:bookmarkStart w:id="141" w:name="_Toc479267136"/>
      <w:bookmarkStart w:id="142" w:name="_Toc479267137"/>
      <w:bookmarkStart w:id="143" w:name="_Toc479267138"/>
      <w:bookmarkStart w:id="144" w:name="_Toc479267139"/>
      <w:bookmarkStart w:id="145" w:name="_Toc479267140"/>
      <w:bookmarkStart w:id="146" w:name="_Toc479267141"/>
      <w:bookmarkStart w:id="147" w:name="_Toc479267142"/>
      <w:bookmarkStart w:id="148" w:name="_Toc479267143"/>
      <w:bookmarkStart w:id="149" w:name="_Toc479267144"/>
      <w:bookmarkStart w:id="150" w:name="_Toc479267145"/>
      <w:bookmarkStart w:id="151" w:name="_Toc479267146"/>
      <w:bookmarkStart w:id="152" w:name="_Toc479267147"/>
      <w:bookmarkStart w:id="153" w:name="_Toc479267148"/>
      <w:bookmarkStart w:id="154" w:name="_Toc479267149"/>
      <w:bookmarkStart w:id="155" w:name="_Toc479267150"/>
      <w:bookmarkStart w:id="156" w:name="_Toc479267151"/>
      <w:bookmarkStart w:id="157" w:name="_Toc479267152"/>
      <w:bookmarkStart w:id="158" w:name="_Toc479267153"/>
      <w:bookmarkStart w:id="159" w:name="_Toc479267154"/>
      <w:bookmarkStart w:id="160" w:name="_Toc479267155"/>
      <w:bookmarkStart w:id="161" w:name="_Toc479267156"/>
      <w:bookmarkStart w:id="162" w:name="_Toc479267157"/>
      <w:bookmarkStart w:id="163" w:name="_Toc479267158"/>
      <w:bookmarkStart w:id="164" w:name="_Toc479267159"/>
      <w:bookmarkStart w:id="165" w:name="_Toc479267160"/>
      <w:bookmarkStart w:id="166" w:name="_Toc479267161"/>
      <w:bookmarkStart w:id="167" w:name="_Toc479267162"/>
      <w:bookmarkStart w:id="168" w:name="_Toc479267163"/>
      <w:bookmarkStart w:id="169" w:name="_Toc479267164"/>
      <w:bookmarkStart w:id="170" w:name="_Toc479267165"/>
      <w:bookmarkStart w:id="171" w:name="_Toc47926716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sectPr>
      <w:headerReference w:type="even" r:id="rId33"/>
      <w:headerReference w:type="default" r:id="rId34"/>
      <w:footerReference w:type="even" r:id="rId35"/>
      <w:footerReference w:type="default" r:id="rId36"/>
      <w:headerReference w:type="first" r:id="rId37"/>
      <w:footerReference w:type="first" r:id="rId38"/>
      <w:pgSz w:w="11907" w:h="16840" w:code="9"/>
      <w:pgMar w:top="1418" w:right="1418" w:bottom="1418" w:left="1418" w:header="851" w:footer="255" w:gutter="0"/>
      <w:cols w:space="720"/>
      <w:titlePg/>
      <w:docGrid w:linePitch="245"/>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8E24B8" w15:done="0"/>
  <w15:commentEx w15:paraId="6E86590D" w15:done="0"/>
  <w15:commentEx w15:paraId="439AA53A" w15:done="0"/>
  <w15:commentEx w15:paraId="2D71B520" w15:done="0"/>
  <w15:commentEx w15:paraId="419EC50D" w15:done="0"/>
  <w15:commentEx w15:paraId="2E89FC3D" w15:done="0"/>
  <w15:commentEx w15:paraId="03DFCC02" w15:done="0"/>
  <w15:commentEx w15:paraId="03D9DADC" w15:done="0"/>
  <w15:commentEx w15:paraId="26B4E71E" w15:done="0"/>
  <w15:commentEx w15:paraId="694DD74E" w15:done="0"/>
  <w15:commentEx w15:paraId="5880BD8A" w15:done="0"/>
  <w15:commentEx w15:paraId="62A36268" w15:done="0"/>
  <w15:commentEx w15:paraId="7802DCA6" w15:done="0"/>
  <w15:commentEx w15:paraId="42F0B0F2" w15:done="0"/>
  <w15:commentEx w15:paraId="571BF361" w15:done="0"/>
  <w15:commentEx w15:paraId="38371697" w15:done="0"/>
  <w15:commentEx w15:paraId="5EB460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614629"/>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19</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531446"/>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2</w:t>
        </w:r>
        <w:r>
          <w:rPr>
            <w:noProof/>
          </w:rPr>
          <w:fldChar w:fldCharType="end"/>
        </w:r>
      </w:p>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spacing w:after="0"/>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Dz.U. L 93 z 7.4.2009, s. 23.</w:t>
      </w:r>
    </w:p>
  </w:footnote>
  <w:footnote w:id="3">
    <w:p>
      <w:pPr>
        <w:pStyle w:val="FootnoteText"/>
        <w:spacing w:after="0"/>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Dz.U. L 93 z 7.4.2009, s. 33.</w:t>
      </w:r>
    </w:p>
    <w:p>
      <w:pPr>
        <w:pStyle w:val="FootnoteText"/>
      </w:pPr>
    </w:p>
  </w:footnote>
  <w:footnote w:id="4">
    <w:p>
      <w:pPr>
        <w:pStyle w:val="FootnoteText"/>
        <w:spacing w:after="0"/>
        <w:ind w:left="709" w:hanging="709"/>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Art. 6 ust. 2 decyzji Rady 2009/316/WSiSW przewiduje przyjęcie środków wykonawczych dotyczących systemu ECRIS przez Radę, w szczególności ustanowienie systemów logowania i procedur umożliwiających monitorowanie funkcjonowania ECRIS i sporządzania statystyk niezawierających danych osobowych, dotyczących wymiany za pośrednictwem systemu ECRIS informacji uzyskanych z rejestrów karnych.</w:t>
      </w:r>
    </w:p>
  </w:footnote>
  <w:footnote w:id="5">
    <w:p>
      <w:pPr>
        <w:pStyle w:val="FootnoteText"/>
        <w:spacing w:after="0"/>
        <w:ind w:left="709" w:hanging="709"/>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Sprawozdanie Komisji dla Parlamentu Europejskiego i Rady w sprawie wdrożenia decyzji ramowej Rady 2009/315/WSiSW z dnia 26 lutego 2009 r. w sprawie organizacji wymiany informacji pochodzących z rejestru karnego pomiędzy państwami członkowskimi oraz treści tych informacji, COM (2016) 6 final.</w:t>
      </w:r>
    </w:p>
  </w:footnote>
  <w:footnote w:id="6">
    <w:p>
      <w:pPr>
        <w:pStyle w:val="FootnoteText"/>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COM(2017)344 final</w:t>
      </w:r>
    </w:p>
  </w:footnote>
  <w:footnote w:id="7">
    <w:p>
      <w:pPr>
        <w:pStyle w:val="FootnoteText"/>
        <w:spacing w:after="0"/>
        <w:ind w:left="709" w:hanging="709"/>
        <w:jc w:val="both"/>
        <w:rPr>
          <w:rFonts w:ascii="Times New Roman" w:hAnsi="Times New Roman" w:cs="Times New Roman"/>
          <w:sz w:val="20"/>
        </w:rPr>
      </w:pPr>
      <w:r>
        <w:rPr>
          <w:rStyle w:val="FootnoteReference"/>
        </w:rPr>
        <w:footnoteRef/>
      </w:r>
      <w:r>
        <w:t xml:space="preserve"> </w:t>
      </w:r>
      <w:r>
        <w:tab/>
      </w:r>
      <w:r>
        <w:rPr>
          <w:rFonts w:ascii="Times New Roman" w:hAnsi="Times New Roman"/>
          <w:sz w:val="20"/>
        </w:rPr>
        <w:t>Dyrektywa Parlamentu Europejskiego i Rady 2011/93/UE z dnia 13 grudnia 2011 r. w sprawie zwalczania niegodziwego traktowania w celach seksualnych i wykorzystywania seksualnego dzieci oraz pornografii dziecięcej, zastępująca decyzję ramową Rady 2004/68/WSiSW, Dz.U. L 335 z 17.12.2011, s. 1.</w:t>
      </w:r>
    </w:p>
  </w:footnote>
  <w:footnote w:id="8">
    <w:p>
      <w:pPr>
        <w:pStyle w:val="FootnoteText"/>
        <w:spacing w:after="0"/>
        <w:rPr>
          <w:rFonts w:ascii="Times New Roman" w:hAnsi="Times New Roman" w:cs="Times New Roman"/>
          <w:sz w:val="20"/>
        </w:rPr>
      </w:pPr>
      <w:r>
        <w:rPr>
          <w:rStyle w:val="FootnoteReference"/>
          <w:rFonts w:ascii="Times New Roman" w:hAnsi="Times New Roman"/>
          <w:sz w:val="20"/>
        </w:rPr>
        <w:footnoteRef/>
      </w:r>
      <w:r>
        <w:tab/>
      </w:r>
      <w:r>
        <w:rPr>
          <w:rFonts w:ascii="Times New Roman" w:hAnsi="Times New Roman"/>
          <w:sz w:val="20"/>
        </w:rPr>
        <w:t>Pokazują to dane statystyczne Eurostatu:</w:t>
      </w:r>
      <w:r>
        <w:t xml:space="preserve"> </w:t>
      </w:r>
      <w:hyperlink r:id="rId1">
        <w:r>
          <w:rPr>
            <w:rStyle w:val="Hyperlink"/>
            <w:rFonts w:ascii="Times New Roman" w:hAnsi="Times New Roman"/>
            <w:sz w:val="20"/>
          </w:rPr>
          <w:t>http://ec.europa.eu/eurostat/statistics-explained/index.php/File:Non-</w:t>
        </w:r>
      </w:hyperlink>
      <w:r>
        <w:rPr>
          <w:rFonts w:ascii="Times New Roman" w:hAnsi="Times New Roman"/>
          <w:sz w:val="20"/>
        </w:rPr>
        <w:t>national_population_by_group_of_citizenship,_1_January_2016_( %C2 %B9).png</w:t>
      </w:r>
    </w:p>
  </w:footnote>
  <w:footnote w:id="9">
    <w:p>
      <w:pPr>
        <w:pStyle w:val="FootnoteText"/>
        <w:ind w:left="709" w:hanging="709"/>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Decyzja ramowa Rady 2008/675/WSiSW w sprawie uwzględniania w nowym postępowaniu karnym wyroków skazujących zapadłych w państwach członkowskich Unii Europejskiej, Dz.U. L 220 z 15.8.2008, s. 32.</w:t>
      </w:r>
    </w:p>
  </w:footnote>
  <w:footnote w:id="10">
    <w:p>
      <w:pPr>
        <w:pStyle w:val="FootnoteText"/>
        <w:ind w:left="709" w:hanging="709"/>
        <w:rPr>
          <w:rFonts w:ascii="Times New Roman" w:hAnsi="Times New Roman" w:cs="Times New Roman"/>
          <w:sz w:val="20"/>
        </w:rPr>
      </w:pPr>
      <w:r>
        <w:rPr>
          <w:rStyle w:val="FootnoteReference"/>
          <w:rFonts w:ascii="Times New Roman" w:hAnsi="Times New Roman"/>
          <w:sz w:val="20"/>
        </w:rPr>
        <w:footnoteRef/>
      </w:r>
      <w:r>
        <w:t xml:space="preserve"> </w:t>
      </w:r>
      <w:r>
        <w:tab/>
      </w:r>
      <w:r>
        <w:rPr>
          <w:rFonts w:ascii="Times New Roman" w:hAnsi="Times New Roman"/>
          <w:sz w:val="20"/>
        </w:rPr>
        <w:t>Do innych odpowiedzi należą na przykład odpowiedzi zawierające informacje o znalezionych kilku różnych osobach, o osobie niebędącej obywatelem państwa członkowskiego, do którego jest skierowany wniosek, itp.</w:t>
      </w:r>
    </w:p>
  </w:footnote>
  <w:footnote w:id="11">
    <w:p>
      <w:pPr>
        <w:pStyle w:val="FootnoteText"/>
        <w:ind w:left="709" w:hanging="709"/>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Tabelę porównawczą z najbardziej aktywnymi państwami członkowskimi pod względem liczby wysłanych powiadomień, wniosków i odpowiedzi (w podziale na poszczególne kategorie) przedstawiono w sekcji 1.2 załącznika.</w:t>
      </w:r>
    </w:p>
  </w:footnote>
  <w:footnote w:id="12">
    <w:p>
      <w:pPr>
        <w:pStyle w:val="FootnoteText"/>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Zob. również tabela w sekcji 1.7 załącznika.</w:t>
      </w:r>
    </w:p>
  </w:footnote>
  <w:footnote w:id="13">
    <w:p>
      <w:pPr>
        <w:pStyle w:val="FootnoteText"/>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Zob. przypis 9. Zob. również tabela w sekcji 1.8 załącznika.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7B5"/>
    <w:multiLevelType w:val="hybridMultilevel"/>
    <w:tmpl w:val="587E3CAE"/>
    <w:lvl w:ilvl="0" w:tplc="147079E8">
      <w:start w:val="1"/>
      <w:numFmt w:val="bullet"/>
      <w:pStyle w:val="Listbullet2cm"/>
      <w:lvlText w:val=""/>
      <w:lvlJc w:val="left"/>
      <w:pPr>
        <w:tabs>
          <w:tab w:val="num" w:pos="1494"/>
        </w:tabs>
        <w:ind w:left="1474" w:hanging="340"/>
      </w:pPr>
      <w:rPr>
        <w:rFonts w:ascii="Symbol" w:hAnsi="Symbol" w:hint="default"/>
        <w:sz w:val="20"/>
      </w:rPr>
    </w:lvl>
    <w:lvl w:ilvl="1" w:tplc="2752F458">
      <w:start w:val="1"/>
      <w:numFmt w:val="bullet"/>
      <w:pStyle w:val="Listbullet2cm"/>
      <w:lvlText w:val=""/>
      <w:lvlJc w:val="left"/>
      <w:pPr>
        <w:tabs>
          <w:tab w:val="num" w:pos="1440"/>
        </w:tabs>
        <w:ind w:left="1420" w:hanging="340"/>
      </w:pPr>
      <w:rPr>
        <w:rFonts w:ascii="Symbol" w:hAnsi="Symbol" w:hint="default"/>
      </w:rPr>
    </w:lvl>
    <w:lvl w:ilvl="2" w:tplc="53A40F5C" w:tentative="1">
      <w:start w:val="1"/>
      <w:numFmt w:val="bullet"/>
      <w:lvlText w:val=""/>
      <w:lvlJc w:val="left"/>
      <w:pPr>
        <w:tabs>
          <w:tab w:val="num" w:pos="2160"/>
        </w:tabs>
        <w:ind w:left="2160" w:hanging="360"/>
      </w:pPr>
      <w:rPr>
        <w:rFonts w:ascii="Wingdings" w:hAnsi="Wingdings" w:hint="default"/>
      </w:rPr>
    </w:lvl>
    <w:lvl w:ilvl="3" w:tplc="7A2C8FDE" w:tentative="1">
      <w:start w:val="1"/>
      <w:numFmt w:val="bullet"/>
      <w:lvlText w:val=""/>
      <w:lvlJc w:val="left"/>
      <w:pPr>
        <w:tabs>
          <w:tab w:val="num" w:pos="2880"/>
        </w:tabs>
        <w:ind w:left="2880" w:hanging="360"/>
      </w:pPr>
      <w:rPr>
        <w:rFonts w:ascii="Symbol" w:hAnsi="Symbol" w:hint="default"/>
      </w:rPr>
    </w:lvl>
    <w:lvl w:ilvl="4" w:tplc="B874C7CC" w:tentative="1">
      <w:start w:val="1"/>
      <w:numFmt w:val="bullet"/>
      <w:lvlText w:val="o"/>
      <w:lvlJc w:val="left"/>
      <w:pPr>
        <w:tabs>
          <w:tab w:val="num" w:pos="3600"/>
        </w:tabs>
        <w:ind w:left="3600" w:hanging="360"/>
      </w:pPr>
      <w:rPr>
        <w:rFonts w:ascii="Courier New" w:hAnsi="Courier New" w:hint="default"/>
      </w:rPr>
    </w:lvl>
    <w:lvl w:ilvl="5" w:tplc="63D690E6" w:tentative="1">
      <w:start w:val="1"/>
      <w:numFmt w:val="bullet"/>
      <w:lvlText w:val=""/>
      <w:lvlJc w:val="left"/>
      <w:pPr>
        <w:tabs>
          <w:tab w:val="num" w:pos="4320"/>
        </w:tabs>
        <w:ind w:left="4320" w:hanging="360"/>
      </w:pPr>
      <w:rPr>
        <w:rFonts w:ascii="Wingdings" w:hAnsi="Wingdings" w:hint="default"/>
      </w:rPr>
    </w:lvl>
    <w:lvl w:ilvl="6" w:tplc="2D3E0C88" w:tentative="1">
      <w:start w:val="1"/>
      <w:numFmt w:val="bullet"/>
      <w:lvlText w:val=""/>
      <w:lvlJc w:val="left"/>
      <w:pPr>
        <w:tabs>
          <w:tab w:val="num" w:pos="5040"/>
        </w:tabs>
        <w:ind w:left="5040" w:hanging="360"/>
      </w:pPr>
      <w:rPr>
        <w:rFonts w:ascii="Symbol" w:hAnsi="Symbol" w:hint="default"/>
      </w:rPr>
    </w:lvl>
    <w:lvl w:ilvl="7" w:tplc="0AEC5C3E" w:tentative="1">
      <w:start w:val="1"/>
      <w:numFmt w:val="bullet"/>
      <w:lvlText w:val="o"/>
      <w:lvlJc w:val="left"/>
      <w:pPr>
        <w:tabs>
          <w:tab w:val="num" w:pos="5760"/>
        </w:tabs>
        <w:ind w:left="5760" w:hanging="360"/>
      </w:pPr>
      <w:rPr>
        <w:rFonts w:ascii="Courier New" w:hAnsi="Courier New" w:hint="default"/>
      </w:rPr>
    </w:lvl>
    <w:lvl w:ilvl="8" w:tplc="180A8BE6" w:tentative="1">
      <w:start w:val="1"/>
      <w:numFmt w:val="bullet"/>
      <w:lvlText w:val=""/>
      <w:lvlJc w:val="left"/>
      <w:pPr>
        <w:tabs>
          <w:tab w:val="num" w:pos="6480"/>
        </w:tabs>
        <w:ind w:left="6480" w:hanging="360"/>
      </w:pPr>
      <w:rPr>
        <w:rFonts w:ascii="Wingdings" w:hAnsi="Wingdings" w:hint="default"/>
      </w:rPr>
    </w:lvl>
  </w:abstractNum>
  <w:abstractNum w:abstractNumId="1">
    <w:nsid w:val="01A431A5"/>
    <w:multiLevelType w:val="singleLevel"/>
    <w:tmpl w:val="FCDAD016"/>
    <w:lvl w:ilvl="0">
      <w:start w:val="1"/>
      <w:numFmt w:val="bullet"/>
      <w:pStyle w:val="ListBullet1"/>
      <w:lvlText w:val=""/>
      <w:lvlJc w:val="left"/>
      <w:pPr>
        <w:tabs>
          <w:tab w:val="num" w:pos="360"/>
        </w:tabs>
        <w:ind w:left="360" w:hanging="360"/>
      </w:pPr>
      <w:rPr>
        <w:rFonts w:ascii="Wingdings" w:hAnsi="Wingdings" w:hint="default"/>
      </w:rPr>
    </w:lvl>
  </w:abstractNum>
  <w:abstractNum w:abstractNumId="2">
    <w:nsid w:val="061C00CF"/>
    <w:multiLevelType w:val="hybridMultilevel"/>
    <w:tmpl w:val="ABCAF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F20208"/>
    <w:multiLevelType w:val="singleLevel"/>
    <w:tmpl w:val="B5AC3962"/>
    <w:lvl w:ilvl="0">
      <w:start w:val="1"/>
      <w:numFmt w:val="bullet"/>
      <w:pStyle w:val="Bullet"/>
      <w:lvlText w:val=""/>
      <w:lvlJc w:val="left"/>
      <w:pPr>
        <w:tabs>
          <w:tab w:val="num" w:pos="360"/>
        </w:tabs>
        <w:ind w:left="360" w:hanging="360"/>
      </w:pPr>
      <w:rPr>
        <w:rFonts w:ascii="Symbol" w:hAnsi="Symbol" w:hint="default"/>
      </w:rPr>
    </w:lvl>
  </w:abstractNum>
  <w:abstractNum w:abstractNumId="4">
    <w:nsid w:val="0EA86DCF"/>
    <w:multiLevelType w:val="hybridMultilevel"/>
    <w:tmpl w:val="023E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D3773A"/>
    <w:multiLevelType w:val="singleLevel"/>
    <w:tmpl w:val="18CA76E8"/>
    <w:lvl w:ilvl="0">
      <w:start w:val="1"/>
      <w:numFmt w:val="bullet"/>
      <w:pStyle w:val="TaBult1"/>
      <w:lvlText w:val=""/>
      <w:lvlJc w:val="left"/>
      <w:pPr>
        <w:tabs>
          <w:tab w:val="num" w:pos="360"/>
        </w:tabs>
        <w:ind w:left="360" w:hanging="360"/>
      </w:pPr>
      <w:rPr>
        <w:rFonts w:ascii="Wingdings" w:hAnsi="Wingdings" w:hint="default"/>
      </w:rPr>
    </w:lvl>
  </w:abstractNum>
  <w:abstractNum w:abstractNumId="6">
    <w:nsid w:val="20231E57"/>
    <w:multiLevelType w:val="singleLevel"/>
    <w:tmpl w:val="B5E20F18"/>
    <w:lvl w:ilvl="0">
      <w:start w:val="1"/>
      <w:numFmt w:val="bullet"/>
      <w:pStyle w:val="Bullet1"/>
      <w:lvlText w:val=""/>
      <w:lvlJc w:val="left"/>
      <w:pPr>
        <w:tabs>
          <w:tab w:val="num" w:pos="360"/>
        </w:tabs>
        <w:ind w:left="360" w:hanging="360"/>
      </w:pPr>
      <w:rPr>
        <w:rFonts w:ascii="Symbol" w:hAnsi="Symbol" w:hint="default"/>
      </w:rPr>
    </w:lvl>
  </w:abstractNum>
  <w:abstractNum w:abstractNumId="7">
    <w:nsid w:val="22E44180"/>
    <w:multiLevelType w:val="multilevel"/>
    <w:tmpl w:val="6C90453A"/>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3CF01AE"/>
    <w:multiLevelType w:val="multilevel"/>
    <w:tmpl w:val="1E66B5CC"/>
    <w:lvl w:ilvl="0">
      <w:start w:val="1"/>
      <w:numFmt w:val="bullet"/>
      <w:pStyle w:val="List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B75631B"/>
    <w:multiLevelType w:val="singleLevel"/>
    <w:tmpl w:val="D1F2C4D8"/>
    <w:lvl w:ilvl="0">
      <w:start w:val="1"/>
      <w:numFmt w:val="bullet"/>
      <w:pStyle w:val="ListNumber"/>
      <w:lvlText w:val=""/>
      <w:lvlJc w:val="left"/>
      <w:pPr>
        <w:tabs>
          <w:tab w:val="num" w:pos="765"/>
        </w:tabs>
        <w:ind w:left="765" w:hanging="283"/>
      </w:pPr>
      <w:rPr>
        <w:rFonts w:ascii="Symbol" w:hAnsi="Symbol"/>
      </w:rPr>
    </w:lvl>
  </w:abstractNum>
  <w:abstractNum w:abstractNumId="10">
    <w:nsid w:val="2CD40552"/>
    <w:multiLevelType w:val="hybridMultilevel"/>
    <w:tmpl w:val="726C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144D28"/>
    <w:multiLevelType w:val="singleLevel"/>
    <w:tmpl w:val="6DC45E2C"/>
    <w:lvl w:ilvl="0">
      <w:start w:val="1"/>
      <w:numFmt w:val="bullet"/>
      <w:pStyle w:val="Bullet10"/>
      <w:lvlText w:val=""/>
      <w:lvlJc w:val="left"/>
      <w:pPr>
        <w:tabs>
          <w:tab w:val="num" w:pos="360"/>
        </w:tabs>
        <w:ind w:left="360" w:hanging="360"/>
      </w:pPr>
      <w:rPr>
        <w:rFonts w:ascii="Symbol" w:hAnsi="Symbol" w:hint="default"/>
      </w:rPr>
    </w:lvl>
  </w:abstractNum>
  <w:abstractNum w:abstractNumId="12">
    <w:nsid w:val="3C914D61"/>
    <w:multiLevelType w:val="singleLevel"/>
    <w:tmpl w:val="C2F6FA2A"/>
    <w:lvl w:ilvl="0">
      <w:start w:val="1"/>
      <w:numFmt w:val="decimal"/>
      <w:pStyle w:val="Listnumber2cm"/>
      <w:lvlText w:val="%1"/>
      <w:lvlJc w:val="left"/>
      <w:pPr>
        <w:tabs>
          <w:tab w:val="num" w:pos="1701"/>
        </w:tabs>
        <w:ind w:left="1701" w:hanging="567"/>
      </w:pPr>
      <w:rPr>
        <w:rFonts w:hint="default"/>
      </w:rPr>
    </w:lvl>
  </w:abstractNum>
  <w:abstractNum w:abstractNumId="13">
    <w:nsid w:val="3E503334"/>
    <w:multiLevelType w:val="hybridMultilevel"/>
    <w:tmpl w:val="53A41F2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4AA7DEB"/>
    <w:multiLevelType w:val="singleLevel"/>
    <w:tmpl w:val="5798E670"/>
    <w:lvl w:ilvl="0">
      <w:start w:val="1"/>
      <w:numFmt w:val="bullet"/>
      <w:pStyle w:val="Puce2"/>
      <w:lvlText w:val=""/>
      <w:lvlJc w:val="left"/>
      <w:pPr>
        <w:tabs>
          <w:tab w:val="num" w:pos="927"/>
        </w:tabs>
        <w:ind w:left="907" w:hanging="340"/>
      </w:pPr>
      <w:rPr>
        <w:rFonts w:ascii="Wingdings" w:hAnsi="Wingdings" w:hint="default"/>
      </w:rPr>
    </w:lvl>
  </w:abstractNum>
  <w:abstractNum w:abstractNumId="15">
    <w:nsid w:val="465D172F"/>
    <w:multiLevelType w:val="multilevel"/>
    <w:tmpl w:val="9CBAF6BE"/>
    <w:lvl w:ilvl="0">
      <w:start w:val="1"/>
      <w:numFmt w:val="decimal"/>
      <w:pStyle w:val="ListNumber1"/>
      <w:lvlText w:val="(%1)"/>
      <w:lvlJc w:val="left"/>
      <w:pPr>
        <w:tabs>
          <w:tab w:val="num" w:pos="1191"/>
        </w:tabs>
        <w:ind w:left="1191" w:hanging="709"/>
      </w:pPr>
      <w:rPr>
        <w:rFonts w:hint="default"/>
      </w:rPr>
    </w:lvl>
    <w:lvl w:ilvl="1">
      <w:start w:val="1"/>
      <w:numFmt w:val="lowerLetter"/>
      <w:pStyle w:val="ListNumber1Level2"/>
      <w:lvlText w:val="(%2)"/>
      <w:lvlJc w:val="left"/>
      <w:pPr>
        <w:tabs>
          <w:tab w:val="num" w:pos="1899"/>
        </w:tabs>
        <w:ind w:left="1899" w:hanging="708"/>
      </w:pPr>
      <w:rPr>
        <w:rFonts w:hint="default"/>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C3B30B9"/>
    <w:multiLevelType w:val="hybridMultilevel"/>
    <w:tmpl w:val="AD448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F12FAC"/>
    <w:multiLevelType w:val="hybridMultilevel"/>
    <w:tmpl w:val="DA3CDF7E"/>
    <w:lvl w:ilvl="0" w:tplc="E06C52E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195C26"/>
    <w:multiLevelType w:val="singleLevel"/>
    <w:tmpl w:val="2A2099E6"/>
    <w:lvl w:ilvl="0">
      <w:start w:val="1"/>
      <w:numFmt w:val="bullet"/>
      <w:pStyle w:val="Lista"/>
      <w:lvlText w:val=""/>
      <w:lvlJc w:val="left"/>
      <w:pPr>
        <w:tabs>
          <w:tab w:val="num" w:pos="360"/>
        </w:tabs>
        <w:ind w:left="360" w:hanging="360"/>
      </w:pPr>
      <w:rPr>
        <w:rFonts w:ascii="Symbol" w:hAnsi="Symbol" w:hint="default"/>
      </w:rPr>
    </w:lvl>
  </w:abstractNum>
  <w:abstractNum w:abstractNumId="19">
    <w:nsid w:val="5BB02CEE"/>
    <w:multiLevelType w:val="hybridMultilevel"/>
    <w:tmpl w:val="A478F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EA11F0"/>
    <w:multiLevelType w:val="hybridMultilevel"/>
    <w:tmpl w:val="16D07B52"/>
    <w:lvl w:ilvl="0" w:tplc="E898B9B8">
      <w:start w:val="1"/>
      <w:numFmt w:val="bullet"/>
      <w:pStyle w:val="Listbullet1cm"/>
      <w:lvlText w:val=""/>
      <w:lvlJc w:val="left"/>
      <w:pPr>
        <w:tabs>
          <w:tab w:val="num" w:pos="1647"/>
        </w:tabs>
        <w:ind w:left="1627" w:hanging="340"/>
      </w:pPr>
      <w:rPr>
        <w:rFonts w:ascii="Symbol" w:hAnsi="Symbol" w:hint="default"/>
        <w:sz w:val="20"/>
      </w:rPr>
    </w:lvl>
    <w:lvl w:ilvl="1" w:tplc="387C74FA" w:tentative="1">
      <w:start w:val="1"/>
      <w:numFmt w:val="bullet"/>
      <w:lvlText w:val="o"/>
      <w:lvlJc w:val="left"/>
      <w:pPr>
        <w:tabs>
          <w:tab w:val="num" w:pos="1440"/>
        </w:tabs>
        <w:ind w:left="1440" w:hanging="360"/>
      </w:pPr>
      <w:rPr>
        <w:rFonts w:ascii="Courier New" w:hAnsi="Courier New" w:hint="default"/>
      </w:rPr>
    </w:lvl>
    <w:lvl w:ilvl="2" w:tplc="3B7E9B3E" w:tentative="1">
      <w:start w:val="1"/>
      <w:numFmt w:val="bullet"/>
      <w:lvlText w:val=""/>
      <w:lvlJc w:val="left"/>
      <w:pPr>
        <w:tabs>
          <w:tab w:val="num" w:pos="2160"/>
        </w:tabs>
        <w:ind w:left="2160" w:hanging="360"/>
      </w:pPr>
      <w:rPr>
        <w:rFonts w:ascii="Wingdings" w:hAnsi="Wingdings" w:hint="default"/>
      </w:rPr>
    </w:lvl>
    <w:lvl w:ilvl="3" w:tplc="24345B38" w:tentative="1">
      <w:start w:val="1"/>
      <w:numFmt w:val="bullet"/>
      <w:lvlText w:val=""/>
      <w:lvlJc w:val="left"/>
      <w:pPr>
        <w:tabs>
          <w:tab w:val="num" w:pos="2880"/>
        </w:tabs>
        <w:ind w:left="2880" w:hanging="360"/>
      </w:pPr>
      <w:rPr>
        <w:rFonts w:ascii="Symbol" w:hAnsi="Symbol" w:hint="default"/>
      </w:rPr>
    </w:lvl>
    <w:lvl w:ilvl="4" w:tplc="C8B8E8CC" w:tentative="1">
      <w:start w:val="1"/>
      <w:numFmt w:val="bullet"/>
      <w:lvlText w:val="o"/>
      <w:lvlJc w:val="left"/>
      <w:pPr>
        <w:tabs>
          <w:tab w:val="num" w:pos="3600"/>
        </w:tabs>
        <w:ind w:left="3600" w:hanging="360"/>
      </w:pPr>
      <w:rPr>
        <w:rFonts w:ascii="Courier New" w:hAnsi="Courier New" w:hint="default"/>
      </w:rPr>
    </w:lvl>
    <w:lvl w:ilvl="5" w:tplc="83DABCBE" w:tentative="1">
      <w:start w:val="1"/>
      <w:numFmt w:val="bullet"/>
      <w:lvlText w:val=""/>
      <w:lvlJc w:val="left"/>
      <w:pPr>
        <w:tabs>
          <w:tab w:val="num" w:pos="4320"/>
        </w:tabs>
        <w:ind w:left="4320" w:hanging="360"/>
      </w:pPr>
      <w:rPr>
        <w:rFonts w:ascii="Wingdings" w:hAnsi="Wingdings" w:hint="default"/>
      </w:rPr>
    </w:lvl>
    <w:lvl w:ilvl="6" w:tplc="65D04D92" w:tentative="1">
      <w:start w:val="1"/>
      <w:numFmt w:val="bullet"/>
      <w:lvlText w:val=""/>
      <w:lvlJc w:val="left"/>
      <w:pPr>
        <w:tabs>
          <w:tab w:val="num" w:pos="5040"/>
        </w:tabs>
        <w:ind w:left="5040" w:hanging="360"/>
      </w:pPr>
      <w:rPr>
        <w:rFonts w:ascii="Symbol" w:hAnsi="Symbol" w:hint="default"/>
      </w:rPr>
    </w:lvl>
    <w:lvl w:ilvl="7" w:tplc="476C85D6" w:tentative="1">
      <w:start w:val="1"/>
      <w:numFmt w:val="bullet"/>
      <w:lvlText w:val="o"/>
      <w:lvlJc w:val="left"/>
      <w:pPr>
        <w:tabs>
          <w:tab w:val="num" w:pos="5760"/>
        </w:tabs>
        <w:ind w:left="5760" w:hanging="360"/>
      </w:pPr>
      <w:rPr>
        <w:rFonts w:ascii="Courier New" w:hAnsi="Courier New" w:hint="default"/>
      </w:rPr>
    </w:lvl>
    <w:lvl w:ilvl="8" w:tplc="DF8A4592" w:tentative="1">
      <w:start w:val="1"/>
      <w:numFmt w:val="bullet"/>
      <w:lvlText w:val=""/>
      <w:lvlJc w:val="left"/>
      <w:pPr>
        <w:tabs>
          <w:tab w:val="num" w:pos="6480"/>
        </w:tabs>
        <w:ind w:left="6480" w:hanging="360"/>
      </w:pPr>
      <w:rPr>
        <w:rFonts w:ascii="Wingdings" w:hAnsi="Wingdings" w:hint="default"/>
      </w:rPr>
    </w:lvl>
  </w:abstractNum>
  <w:abstractNum w:abstractNumId="21">
    <w:nsid w:val="662B5C67"/>
    <w:multiLevelType w:val="singleLevel"/>
    <w:tmpl w:val="8F10F890"/>
    <w:lvl w:ilvl="0">
      <w:start w:val="1"/>
      <w:numFmt w:val="bullet"/>
      <w:pStyle w:val="BodyTextIndent"/>
      <w:lvlText w:val="–"/>
      <w:lvlJc w:val="left"/>
      <w:pPr>
        <w:tabs>
          <w:tab w:val="num" w:pos="283"/>
        </w:tabs>
        <w:ind w:left="283" w:hanging="283"/>
      </w:pPr>
      <w:rPr>
        <w:rFonts w:ascii="Times New Roman" w:hAnsi="Times New Roman"/>
      </w:rPr>
    </w:lvl>
  </w:abstractNum>
  <w:abstractNum w:abstractNumId="22">
    <w:nsid w:val="66C02E3F"/>
    <w:multiLevelType w:val="hybridMultilevel"/>
    <w:tmpl w:val="91B0992A"/>
    <w:lvl w:ilvl="0" w:tplc="BE84792A">
      <w:start w:val="1"/>
      <w:numFmt w:val="decimal"/>
      <w:lvlText w:val="%1."/>
      <w:lvlJc w:val="left"/>
      <w:pPr>
        <w:tabs>
          <w:tab w:val="num" w:pos="720"/>
        </w:tabs>
        <w:ind w:left="720" w:hanging="360"/>
      </w:pPr>
    </w:lvl>
    <w:lvl w:ilvl="1" w:tplc="AB4ADF3A">
      <w:start w:val="1"/>
      <w:numFmt w:val="bullet"/>
      <w:pStyle w:val="TableBullet"/>
      <w:lvlText w:val=""/>
      <w:lvlJc w:val="left"/>
      <w:pPr>
        <w:tabs>
          <w:tab w:val="num" w:pos="1440"/>
        </w:tabs>
        <w:ind w:left="1420" w:hanging="340"/>
      </w:pPr>
      <w:rPr>
        <w:rFonts w:ascii="Symbol" w:hAnsi="Symbol" w:hint="default"/>
      </w:rPr>
    </w:lvl>
    <w:lvl w:ilvl="2" w:tplc="728012D0">
      <w:start w:val="1"/>
      <w:numFmt w:val="lowerRoman"/>
      <w:lvlText w:val="%3."/>
      <w:lvlJc w:val="right"/>
      <w:pPr>
        <w:tabs>
          <w:tab w:val="num" w:pos="2160"/>
        </w:tabs>
        <w:ind w:left="2160" w:hanging="180"/>
      </w:pPr>
    </w:lvl>
    <w:lvl w:ilvl="3" w:tplc="188E441A" w:tentative="1">
      <w:start w:val="1"/>
      <w:numFmt w:val="decimal"/>
      <w:lvlText w:val="%4."/>
      <w:lvlJc w:val="left"/>
      <w:pPr>
        <w:tabs>
          <w:tab w:val="num" w:pos="2880"/>
        </w:tabs>
        <w:ind w:left="2880" w:hanging="360"/>
      </w:pPr>
    </w:lvl>
    <w:lvl w:ilvl="4" w:tplc="FD262742" w:tentative="1">
      <w:start w:val="1"/>
      <w:numFmt w:val="lowerLetter"/>
      <w:lvlText w:val="%5."/>
      <w:lvlJc w:val="left"/>
      <w:pPr>
        <w:tabs>
          <w:tab w:val="num" w:pos="3600"/>
        </w:tabs>
        <w:ind w:left="3600" w:hanging="360"/>
      </w:pPr>
    </w:lvl>
    <w:lvl w:ilvl="5" w:tplc="77C2C0B4" w:tentative="1">
      <w:start w:val="1"/>
      <w:numFmt w:val="lowerRoman"/>
      <w:lvlText w:val="%6."/>
      <w:lvlJc w:val="right"/>
      <w:pPr>
        <w:tabs>
          <w:tab w:val="num" w:pos="4320"/>
        </w:tabs>
        <w:ind w:left="4320" w:hanging="180"/>
      </w:pPr>
    </w:lvl>
    <w:lvl w:ilvl="6" w:tplc="38D81E78" w:tentative="1">
      <w:start w:val="1"/>
      <w:numFmt w:val="decimal"/>
      <w:lvlText w:val="%7."/>
      <w:lvlJc w:val="left"/>
      <w:pPr>
        <w:tabs>
          <w:tab w:val="num" w:pos="5040"/>
        </w:tabs>
        <w:ind w:left="5040" w:hanging="360"/>
      </w:pPr>
    </w:lvl>
    <w:lvl w:ilvl="7" w:tplc="20EC8814" w:tentative="1">
      <w:start w:val="1"/>
      <w:numFmt w:val="lowerLetter"/>
      <w:lvlText w:val="%8."/>
      <w:lvlJc w:val="left"/>
      <w:pPr>
        <w:tabs>
          <w:tab w:val="num" w:pos="5760"/>
        </w:tabs>
        <w:ind w:left="5760" w:hanging="360"/>
      </w:pPr>
    </w:lvl>
    <w:lvl w:ilvl="8" w:tplc="EF3C8C46" w:tentative="1">
      <w:start w:val="1"/>
      <w:numFmt w:val="lowerRoman"/>
      <w:lvlText w:val="%9."/>
      <w:lvlJc w:val="right"/>
      <w:pPr>
        <w:tabs>
          <w:tab w:val="num" w:pos="6480"/>
        </w:tabs>
        <w:ind w:left="6480" w:hanging="180"/>
      </w:pPr>
    </w:lvl>
  </w:abstractNum>
  <w:abstractNum w:abstractNumId="23">
    <w:nsid w:val="67381CEE"/>
    <w:multiLevelType w:val="hybridMultilevel"/>
    <w:tmpl w:val="BAF01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858419E"/>
    <w:multiLevelType w:val="multilevel"/>
    <w:tmpl w:val="DDD0F768"/>
    <w:lvl w:ilvl="0">
      <w:start w:val="1"/>
      <w:numFmt w:val="bullet"/>
      <w:pStyle w:val="SteriaBullet"/>
      <w:lvlText w:val=""/>
      <w:lvlJc w:val="left"/>
      <w:pPr>
        <w:tabs>
          <w:tab w:val="num" w:pos="4235"/>
        </w:tabs>
        <w:ind w:left="4235" w:hanging="360"/>
      </w:pPr>
      <w:rPr>
        <w:rFonts w:ascii="Wingdings" w:hAnsi="Wingdings" w:hint="default"/>
        <w:color w:val="FF5900"/>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6AE4708B"/>
    <w:multiLevelType w:val="hybridMultilevel"/>
    <w:tmpl w:val="9654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6764EE"/>
    <w:multiLevelType w:val="multilevel"/>
    <w:tmpl w:val="590CAE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3130"/>
        </w:tabs>
        <w:ind w:left="3130" w:hanging="720"/>
      </w:pPr>
    </w:lvl>
    <w:lvl w:ilvl="3">
      <w:start w:val="1"/>
      <w:numFmt w:val="decimal"/>
      <w:pStyle w:val="Heading4"/>
      <w:lvlText w:val="%1.%2.%3.%4"/>
      <w:lvlJc w:val="left"/>
      <w:pPr>
        <w:tabs>
          <w:tab w:val="num" w:pos="3842"/>
        </w:tabs>
        <w:ind w:left="3842" w:hanging="864"/>
      </w:pPr>
    </w:lvl>
    <w:lvl w:ilvl="4">
      <w:start w:val="1"/>
      <w:numFmt w:val="decimal"/>
      <w:pStyle w:val="Heading5"/>
      <w:lvlText w:val="%1.%2.%3.%4.%5"/>
      <w:lvlJc w:val="left"/>
      <w:pPr>
        <w:tabs>
          <w:tab w:val="num" w:pos="4269"/>
        </w:tabs>
        <w:ind w:left="4269"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nsid w:val="74A06403"/>
    <w:multiLevelType w:val="hybridMultilevel"/>
    <w:tmpl w:val="9F4A8AF2"/>
    <w:lvl w:ilvl="0" w:tplc="DC7AC5D2">
      <w:start w:val="1"/>
      <w:numFmt w:val="decimal"/>
      <w:pStyle w:val="Listnumber1cm"/>
      <w:lvlText w:val="%1"/>
      <w:lvlJc w:val="left"/>
      <w:pPr>
        <w:tabs>
          <w:tab w:val="num" w:pos="927"/>
        </w:tabs>
        <w:ind w:left="851" w:hanging="284"/>
      </w:pPr>
      <w:rPr>
        <w:rFonts w:hint="default"/>
      </w:rPr>
    </w:lvl>
    <w:lvl w:ilvl="1" w:tplc="AFFCEF48" w:tentative="1">
      <w:start w:val="1"/>
      <w:numFmt w:val="lowerLetter"/>
      <w:lvlText w:val="%2."/>
      <w:lvlJc w:val="left"/>
      <w:pPr>
        <w:tabs>
          <w:tab w:val="num" w:pos="1440"/>
        </w:tabs>
        <w:ind w:left="1440" w:hanging="360"/>
      </w:pPr>
    </w:lvl>
    <w:lvl w:ilvl="2" w:tplc="279CE068" w:tentative="1">
      <w:start w:val="1"/>
      <w:numFmt w:val="lowerRoman"/>
      <w:lvlText w:val="%3."/>
      <w:lvlJc w:val="right"/>
      <w:pPr>
        <w:tabs>
          <w:tab w:val="num" w:pos="2160"/>
        </w:tabs>
        <w:ind w:left="2160" w:hanging="180"/>
      </w:pPr>
    </w:lvl>
    <w:lvl w:ilvl="3" w:tplc="BA000492" w:tentative="1">
      <w:start w:val="1"/>
      <w:numFmt w:val="decimal"/>
      <w:lvlText w:val="%4."/>
      <w:lvlJc w:val="left"/>
      <w:pPr>
        <w:tabs>
          <w:tab w:val="num" w:pos="2880"/>
        </w:tabs>
        <w:ind w:left="2880" w:hanging="360"/>
      </w:pPr>
    </w:lvl>
    <w:lvl w:ilvl="4" w:tplc="A1E8A902" w:tentative="1">
      <w:start w:val="1"/>
      <w:numFmt w:val="lowerLetter"/>
      <w:lvlText w:val="%5."/>
      <w:lvlJc w:val="left"/>
      <w:pPr>
        <w:tabs>
          <w:tab w:val="num" w:pos="3600"/>
        </w:tabs>
        <w:ind w:left="3600" w:hanging="360"/>
      </w:pPr>
    </w:lvl>
    <w:lvl w:ilvl="5" w:tplc="4D2E328A" w:tentative="1">
      <w:start w:val="1"/>
      <w:numFmt w:val="lowerRoman"/>
      <w:lvlText w:val="%6."/>
      <w:lvlJc w:val="right"/>
      <w:pPr>
        <w:tabs>
          <w:tab w:val="num" w:pos="4320"/>
        </w:tabs>
        <w:ind w:left="4320" w:hanging="180"/>
      </w:pPr>
    </w:lvl>
    <w:lvl w:ilvl="6" w:tplc="27E29162" w:tentative="1">
      <w:start w:val="1"/>
      <w:numFmt w:val="decimal"/>
      <w:lvlText w:val="%7."/>
      <w:lvlJc w:val="left"/>
      <w:pPr>
        <w:tabs>
          <w:tab w:val="num" w:pos="5040"/>
        </w:tabs>
        <w:ind w:left="5040" w:hanging="360"/>
      </w:pPr>
    </w:lvl>
    <w:lvl w:ilvl="7" w:tplc="D1B82ED0" w:tentative="1">
      <w:start w:val="1"/>
      <w:numFmt w:val="lowerLetter"/>
      <w:lvlText w:val="%8."/>
      <w:lvlJc w:val="left"/>
      <w:pPr>
        <w:tabs>
          <w:tab w:val="num" w:pos="5760"/>
        </w:tabs>
        <w:ind w:left="5760" w:hanging="360"/>
      </w:pPr>
    </w:lvl>
    <w:lvl w:ilvl="8" w:tplc="2C0A0A6A" w:tentative="1">
      <w:start w:val="1"/>
      <w:numFmt w:val="lowerRoman"/>
      <w:lvlText w:val="%9."/>
      <w:lvlJc w:val="right"/>
      <w:pPr>
        <w:tabs>
          <w:tab w:val="num" w:pos="6480"/>
        </w:tabs>
        <w:ind w:left="6480" w:hanging="180"/>
      </w:pPr>
    </w:lvl>
  </w:abstractNum>
  <w:abstractNum w:abstractNumId="28">
    <w:nsid w:val="7EE31169"/>
    <w:multiLevelType w:val="hybridMultilevel"/>
    <w:tmpl w:val="29BED7C2"/>
    <w:lvl w:ilvl="0" w:tplc="E06C52E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22"/>
  </w:num>
  <w:num w:numId="3">
    <w:abstractNumId w:val="0"/>
  </w:num>
  <w:num w:numId="4">
    <w:abstractNumId w:val="12"/>
  </w:num>
  <w:num w:numId="5">
    <w:abstractNumId w:val="20"/>
  </w:num>
  <w:num w:numId="6">
    <w:abstractNumId w:val="27"/>
  </w:num>
  <w:num w:numId="7">
    <w:abstractNumId w:val="15"/>
  </w:num>
  <w:num w:numId="8">
    <w:abstractNumId w:val="3"/>
  </w:num>
  <w:num w:numId="9">
    <w:abstractNumId w:val="6"/>
  </w:num>
  <w:num w:numId="10">
    <w:abstractNumId w:val="11"/>
  </w:num>
  <w:num w:numId="11">
    <w:abstractNumId w:val="18"/>
  </w:num>
  <w:num w:numId="12">
    <w:abstractNumId w:val="8"/>
  </w:num>
  <w:num w:numId="13">
    <w:abstractNumId w:val="1"/>
  </w:num>
  <w:num w:numId="14">
    <w:abstractNumId w:val="9"/>
  </w:num>
  <w:num w:numId="15">
    <w:abstractNumId w:val="14"/>
  </w:num>
  <w:num w:numId="16">
    <w:abstractNumId w:val="24"/>
  </w:num>
  <w:num w:numId="17">
    <w:abstractNumId w:val="5"/>
  </w:num>
  <w:num w:numId="18">
    <w:abstractNumId w:val="21"/>
  </w:num>
  <w:num w:numId="19">
    <w:abstractNumId w:val="10"/>
  </w:num>
  <w:num w:numId="20">
    <w:abstractNumId w:val="25"/>
  </w:num>
  <w:num w:numId="21">
    <w:abstractNumId w:val="7"/>
  </w:num>
  <w:num w:numId="22">
    <w:abstractNumId w:val="16"/>
  </w:num>
  <w:num w:numId="23">
    <w:abstractNumId w:val="26"/>
  </w:num>
  <w:num w:numId="24">
    <w:abstractNumId w:val="26"/>
  </w:num>
  <w:num w:numId="25">
    <w:abstractNumId w:val="26"/>
  </w:num>
  <w:num w:numId="26">
    <w:abstractNumId w:val="26"/>
  </w:num>
  <w:num w:numId="27">
    <w:abstractNumId w:val="13"/>
  </w:num>
  <w:num w:numId="28">
    <w:abstractNumId w:val="17"/>
  </w:num>
  <w:num w:numId="29">
    <w:abstractNumId w:val="28"/>
  </w:num>
  <w:num w:numId="30">
    <w:abstractNumId w:val="26"/>
  </w:num>
  <w:num w:numId="31">
    <w:abstractNumId w:val="19"/>
  </w:num>
  <w:num w:numId="32">
    <w:abstractNumId w:val="4"/>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
  </w:num>
  <w:num w:numId="42">
    <w:abstractNumId w:val="23"/>
  </w:num>
  <w:numIdMacAtCleanup w:val="2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rszula Karkowska">
    <w15:presenceInfo w15:providerId="Windows Live" w15:userId="166d648e068a8d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B940F41D19424A2AA762AD9880AAD758"/>
    <w:docVar w:name="LW_CROSSREFERENCE" w:val="{SWD(2017) 242 final}"/>
    <w:docVar w:name="LW_DocType" w:val="NORMAL"/>
    <w:docVar w:name="LW_EMISSION" w:val="29.6.2017"/>
    <w:docVar w:name="LW_EMISSION_ISODATE" w:val="2017-06-29"/>
    <w:docVar w:name="LW_EMISSION_LOCATION" w:val="BRX"/>
    <w:docVar w:name="LW_EMISSION_PREFIX" w:val="Bruksela, dnia "/>
    <w:docVar w:name="LW_EMISSION_SUFFIX" w:val=" r."/>
    <w:docVar w:name="LW_ID_DOCTYPE_NONLW" w:val="CP-006"/>
    <w:docVar w:name="LW_LANGUE" w:val="PL"/>
    <w:docVar w:name="LW_MARKING" w:val="&lt;UNUSED&g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17) 341"/>
    <w:docVar w:name="LW_REF.INTERNE" w:val="&lt;UNUSED&gt;"/>
    <w:docVar w:name="LW_SOUS.TITRE.OBJ.CP" w:val="&lt;UNUSED&gt;"/>
    <w:docVar w:name="LW_SUPERTITRE" w:val="&lt;UNUSED&gt;"/>
    <w:docVar w:name="LW_TITRE.OBJ.CP" w:val="dotycz\u261?ce wymiany informacji pochodz\u261?cych z rejestrów karnych mi\u281?dzy pa\u324?stwami cz\u322?onkowskimi za po\u347?rednictwem Europejskiego systemu przekazywania informacji z rejestrów karnych (ECRIS)"/>
    <w:docVar w:name="LW_TYPE.DOC.CP" w:val="SPRAWOZDANIE KOMISJI DLA PARLAMENTU EUROPEJSKIEGO I RADY"/>
  </w:docVar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pl-PL" w:eastAsia="pl-PL" w:bidi="pl-PL"/>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style>
  <w:style w:type="paragraph" w:styleId="Heading1">
    <w:name w:val="heading 1"/>
    <w:aliases w:val="t1,TITRE1,heading 1,Titre 11,t1.T1.Titre 1,Titre 1ed,t1.T1.Titre 1Annexe,H1,t1.T1,h1,l1,H,GSA1,Titre 1:,T1,Chapitre 1,1,Level 1,Heading 1 Colored,Chapter title,ch,MIGHeading 1,ch1,Bold 18,CMG H1,NCS-H1,überschrift1,überschrift11,überschrift12"/>
    <w:basedOn w:val="Normal"/>
    <w:next w:val="Normal"/>
    <w:uiPriority w:val="9"/>
    <w:qFormat/>
    <w:pPr>
      <w:keepNext/>
      <w:pageBreakBefore/>
      <w:numPr>
        <w:numId w:val="1"/>
      </w:numPr>
      <w:pBdr>
        <w:bottom w:val="single" w:sz="12" w:space="1" w:color="FF6600"/>
      </w:pBdr>
      <w:spacing w:before="120" w:after="240"/>
      <w:outlineLvl w:val="0"/>
    </w:pPr>
    <w:rPr>
      <w:b/>
      <w:smallCaps/>
      <w:color w:val="000080"/>
      <w:kern w:val="28"/>
      <w:sz w:val="36"/>
    </w:rPr>
  </w:style>
  <w:style w:type="paragraph" w:styleId="Heading2">
    <w:name w:val="heading 2"/>
    <w:aliases w:val="T2,h2,L2,H2,Punt 2,l2,2,Titre 21,t2.T2,t2,Contrat 2,Ctt,t2.T2.Titre 2,TITRE 2,Titre 2ed,Heading 2 Hidden,heading 2,Chapter Number/Appendix Letter,chn,Titre niveau 2,Level 2,Chapitre 2,paragraphe,Titre 2 - RAO,Specf Titre 2,Heading 2a,Header 2"/>
    <w:basedOn w:val="Normal"/>
    <w:next w:val="Normal"/>
    <w:link w:val="Heading2Char"/>
    <w:qFormat/>
    <w:pPr>
      <w:keepNext/>
      <w:numPr>
        <w:ilvl w:val="1"/>
        <w:numId w:val="1"/>
      </w:numPr>
      <w:pBdr>
        <w:bottom w:val="single" w:sz="12" w:space="1" w:color="000080"/>
      </w:pBdr>
      <w:spacing w:before="120"/>
      <w:outlineLvl w:val="1"/>
    </w:pPr>
    <w:rPr>
      <w:b/>
      <w:bCs/>
      <w:smallCaps/>
      <w:color w:val="000080"/>
      <w:sz w:val="32"/>
    </w:rPr>
  </w:style>
  <w:style w:type="paragraph" w:styleId="Heading3">
    <w:name w:val="heading 3"/>
    <w:aliases w:val="3,Titre 31,t3.T3,heading 3,Titre 3+,H3,Titre niveau 3,Titre3,t3,Contrat 3,Titre 3 SQ,Titre 3 SQ1,Titre 3 SQ2,Titre 3 SQ3,Titre 3 SQ4,Titre 3 SQ5,Titre 3 SQ6,Titre 3 SQ7,h3,3rd level,l3,CT,Heading 3 - old,Titre 3 .3,Titre 311,Titre 3 .31,1.2.3."/>
    <w:basedOn w:val="Normal"/>
    <w:next w:val="Normal"/>
    <w:qFormat/>
    <w:pPr>
      <w:keepNext/>
      <w:numPr>
        <w:ilvl w:val="2"/>
        <w:numId w:val="1"/>
      </w:numPr>
      <w:spacing w:before="240" w:after="60"/>
      <w:outlineLvl w:val="2"/>
    </w:pPr>
    <w:rPr>
      <w:b/>
      <w:bCs/>
      <w:smallCaps/>
      <w:color w:val="000080"/>
      <w:sz w:val="28"/>
    </w:rPr>
  </w:style>
  <w:style w:type="paragraph" w:styleId="Heading4">
    <w:name w:val="heading 4"/>
    <w:aliases w:val="4,H4,Titre 41,t4.T4,t4,Chapitre 1.1.1.,Alinéa,dash,h4,Ref Heading 1,rh1,First Subheading,T4,t4.T4.Titre 4,heading 4,l4,I4,(Shift Ctrl 4),Schedules,Heading 4 CFMU"/>
    <w:basedOn w:val="Normal"/>
    <w:next w:val="Normal"/>
    <w:link w:val="Heading4Char"/>
    <w:qFormat/>
    <w:pPr>
      <w:keepNext/>
      <w:numPr>
        <w:ilvl w:val="3"/>
        <w:numId w:val="1"/>
      </w:numPr>
      <w:spacing w:before="240" w:after="60"/>
      <w:outlineLvl w:val="3"/>
    </w:pPr>
    <w:rPr>
      <w:b/>
      <w:smallCaps/>
      <w:color w:val="000080"/>
      <w:sz w:val="24"/>
    </w:rPr>
  </w:style>
  <w:style w:type="paragraph" w:styleId="Heading5">
    <w:name w:val="heading 5"/>
    <w:aliases w:val="H5,Chapitre 1.1.1.1.,Ref Heading 2,rh2,h5,Second Subheading,heading 5,Heading 5 CFMU,Para 5,(Shift Ctrl 5),Appendix A to X,Heading 5   Appendix A to X"/>
    <w:basedOn w:val="Normal"/>
    <w:next w:val="Normal"/>
    <w:qFormat/>
    <w:pPr>
      <w:numPr>
        <w:ilvl w:val="4"/>
        <w:numId w:val="1"/>
      </w:numPr>
      <w:spacing w:before="240" w:after="60"/>
      <w:outlineLvl w:val="4"/>
    </w:pPr>
    <w:rPr>
      <w:b/>
      <w:bCs/>
      <w:smallCaps/>
      <w:color w:val="000080"/>
    </w:rPr>
  </w:style>
  <w:style w:type="paragraph" w:styleId="Heading6">
    <w:name w:val="heading 6"/>
    <w:aliases w:val="6,Heading 6  Appendix Y &amp; Z,h6,Heading 6 CFMU"/>
    <w:basedOn w:val="Normal"/>
    <w:next w:val="Normal"/>
    <w:qFormat/>
    <w:pPr>
      <w:numPr>
        <w:ilvl w:val="5"/>
        <w:numId w:val="1"/>
      </w:numPr>
      <w:spacing w:before="240" w:after="60"/>
      <w:outlineLvl w:val="5"/>
    </w:pPr>
    <w:rPr>
      <w:i/>
      <w:sz w:val="22"/>
    </w:rPr>
  </w:style>
  <w:style w:type="paragraph" w:styleId="Heading7">
    <w:name w:val="heading 7"/>
    <w:aliases w:val="H7,(Shift Ctrl 7),Heading 7 CFMU"/>
    <w:basedOn w:val="Normal"/>
    <w:next w:val="Normal"/>
    <w:qFormat/>
    <w:pPr>
      <w:numPr>
        <w:ilvl w:val="6"/>
        <w:numId w:val="1"/>
      </w:numPr>
      <w:spacing w:before="240" w:after="60"/>
      <w:outlineLvl w:val="6"/>
    </w:pPr>
  </w:style>
  <w:style w:type="paragraph" w:styleId="Heading8">
    <w:name w:val="heading 8"/>
    <w:aliases w:val="Heading 8 CFMU"/>
    <w:basedOn w:val="Normal"/>
    <w:next w:val="Normal"/>
    <w:qFormat/>
    <w:pPr>
      <w:numPr>
        <w:ilvl w:val="7"/>
        <w:numId w:val="1"/>
      </w:numPr>
      <w:spacing w:before="240" w:after="60"/>
      <w:outlineLvl w:val="7"/>
    </w:pPr>
    <w:rPr>
      <w:i/>
    </w:rPr>
  </w:style>
  <w:style w:type="paragraph" w:styleId="Heading9">
    <w:name w:val="heading 9"/>
    <w:aliases w:val="App Heading,Heading 9 CFMU"/>
    <w:basedOn w:val="Normal"/>
    <w:next w:val="Normal"/>
    <w:qFormat/>
    <w:pPr>
      <w:numPr>
        <w:ilvl w:val="8"/>
        <w:numId w:val="1"/>
      </w:numPr>
      <w:spacing w:before="240" w:after="60"/>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FMU"/>
    <w:basedOn w:val="Normal"/>
    <w:pPr>
      <w:tabs>
        <w:tab w:val="center" w:pos="4320"/>
        <w:tab w:val="right" w:pos="8640"/>
      </w:tabs>
      <w:spacing w:after="0"/>
      <w:jc w:val="center"/>
    </w:pPr>
    <w:rPr>
      <w:color w:val="000080"/>
    </w:rPr>
  </w:style>
  <w:style w:type="paragraph" w:customStyle="1" w:styleId="Bullet1">
    <w:name w:val="Bullet 1"/>
    <w:basedOn w:val="Normal"/>
    <w:pPr>
      <w:numPr>
        <w:numId w:val="9"/>
      </w:numPr>
      <w:tabs>
        <w:tab w:val="clear" w:pos="360"/>
        <w:tab w:val="num" w:pos="900"/>
      </w:tabs>
      <w:spacing w:after="0"/>
      <w:ind w:left="900"/>
      <w:jc w:val="both"/>
    </w:pPr>
    <w:rPr>
      <w:sz w:val="22"/>
    </w:rPr>
  </w:style>
  <w:style w:type="paragraph" w:customStyle="1" w:styleId="Listnumber1cm">
    <w:name w:val="List number 1cm"/>
    <w:basedOn w:val="Normal"/>
    <w:pPr>
      <w:numPr>
        <w:numId w:val="6"/>
      </w:numPr>
      <w:tabs>
        <w:tab w:val="clear" w:pos="927"/>
        <w:tab w:val="left" w:pos="851"/>
      </w:tabs>
    </w:pPr>
  </w:style>
  <w:style w:type="paragraph" w:customStyle="1" w:styleId="Tableheading">
    <w:name w:val="Table heading"/>
    <w:basedOn w:val="Normal"/>
    <w:pPr>
      <w:spacing w:before="120"/>
      <w:jc w:val="center"/>
    </w:pPr>
    <w:rPr>
      <w:b/>
      <w:color w:val="000080"/>
    </w:rPr>
  </w:style>
  <w:style w:type="paragraph" w:customStyle="1" w:styleId="Tabletext">
    <w:name w:val="Table text"/>
    <w:basedOn w:val="Normal"/>
    <w:pPr>
      <w:spacing w:before="60" w:after="60"/>
    </w:pPr>
  </w:style>
  <w:style w:type="paragraph" w:styleId="TOC1">
    <w:name w:val="toc 1"/>
    <w:basedOn w:val="Normal"/>
    <w:next w:val="Normal"/>
    <w:autoRedefine/>
    <w:uiPriority w:val="39"/>
    <w:pPr>
      <w:spacing w:before="120"/>
    </w:pPr>
    <w:rPr>
      <w:b/>
      <w:bCs/>
      <w:caps/>
      <w:szCs w:val="24"/>
    </w:rPr>
  </w:style>
  <w:style w:type="character" w:styleId="Hyperlink">
    <w:name w:val="Hyperlink"/>
    <w:uiPriority w:val="99"/>
    <w:rPr>
      <w:color w:val="0000FF"/>
      <w:u w:val="single"/>
    </w:rPr>
  </w:style>
  <w:style w:type="paragraph" w:styleId="Footer">
    <w:name w:val="footer"/>
    <w:aliases w:val="Footer CFMU"/>
    <w:basedOn w:val="Normal"/>
    <w:link w:val="FooterChar"/>
    <w:uiPriority w:val="99"/>
    <w:pPr>
      <w:tabs>
        <w:tab w:val="center" w:pos="4320"/>
        <w:tab w:val="right" w:pos="8640"/>
      </w:tabs>
      <w:spacing w:before="60" w:after="60"/>
      <w:jc w:val="center"/>
    </w:pPr>
    <w:rPr>
      <w:b/>
      <w:bCs/>
      <w:color w:val="000080"/>
      <w:sz w:val="16"/>
    </w:rPr>
  </w:style>
  <w:style w:type="paragraph" w:styleId="Title">
    <w:name w:val="Title"/>
    <w:basedOn w:val="Normal"/>
    <w:next w:val="Normal"/>
    <w:link w:val="TitleChar"/>
    <w:qFormat/>
    <w:pPr>
      <w:keepLines/>
      <w:spacing w:before="480" w:after="480"/>
      <w:jc w:val="center"/>
    </w:pPr>
    <w:rPr>
      <w:b/>
      <w:caps/>
      <w:color w:val="000080"/>
      <w:sz w:val="32"/>
    </w:rPr>
  </w:style>
  <w:style w:type="paragraph" w:styleId="TOC2">
    <w:name w:val="toc 2"/>
    <w:basedOn w:val="Normal"/>
    <w:next w:val="Normal"/>
    <w:autoRedefine/>
    <w:uiPriority w:val="39"/>
    <w:pPr>
      <w:ind w:left="200"/>
    </w:pPr>
    <w:rPr>
      <w:smallCaps/>
      <w:szCs w:val="24"/>
    </w:rPr>
  </w:style>
  <w:style w:type="paragraph" w:styleId="TOC3">
    <w:name w:val="toc 3"/>
    <w:basedOn w:val="Normal"/>
    <w:next w:val="Normal"/>
    <w:autoRedefine/>
    <w:uiPriority w:val="39"/>
    <w:pPr>
      <w:ind w:left="400"/>
    </w:pPr>
    <w:rPr>
      <w:i/>
      <w:iCs/>
      <w:szCs w:val="24"/>
    </w:rPr>
  </w:style>
  <w:style w:type="paragraph" w:styleId="TOC4">
    <w:name w:val="toc 4"/>
    <w:basedOn w:val="Normal"/>
    <w:next w:val="Normal"/>
    <w:autoRedefine/>
    <w:uiPriority w:val="39"/>
    <w:pPr>
      <w:ind w:left="600"/>
    </w:pPr>
    <w:rPr>
      <w:szCs w:val="21"/>
    </w:rPr>
  </w:style>
  <w:style w:type="paragraph" w:styleId="TOC5">
    <w:name w:val="toc 5"/>
    <w:basedOn w:val="Normal"/>
    <w:next w:val="Normal"/>
    <w:autoRedefine/>
    <w:semiHidden/>
    <w:pPr>
      <w:ind w:left="800"/>
    </w:pPr>
    <w:rPr>
      <w:szCs w:val="21"/>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semiHidden/>
    <w:pPr>
      <w:ind w:left="1400"/>
    </w:pPr>
    <w:rPr>
      <w:szCs w:val="21"/>
    </w:rPr>
  </w:style>
  <w:style w:type="paragraph" w:styleId="TOC9">
    <w:name w:val="toc 9"/>
    <w:basedOn w:val="Normal"/>
    <w:next w:val="Normal"/>
    <w:autoRedefine/>
    <w:semiHidden/>
    <w:pPr>
      <w:ind w:left="1600"/>
    </w:pPr>
    <w:rPr>
      <w:szCs w:val="21"/>
    </w:rPr>
  </w:style>
  <w:style w:type="paragraph" w:customStyle="1" w:styleId="TableBullet">
    <w:name w:val="Table Bullet"/>
    <w:basedOn w:val="Normal"/>
    <w:pPr>
      <w:numPr>
        <w:ilvl w:val="1"/>
        <w:numId w:val="2"/>
      </w:numPr>
      <w:tabs>
        <w:tab w:val="clear" w:pos="1440"/>
        <w:tab w:val="num" w:pos="128"/>
      </w:tabs>
      <w:ind w:left="128" w:hanging="128"/>
    </w:pPr>
  </w:style>
  <w:style w:type="character" w:styleId="FollowedHyperlink">
    <w:name w:val="FollowedHyperlink"/>
    <w:rPr>
      <w:color w:val="800080"/>
      <w:u w:val="single"/>
    </w:rPr>
  </w:style>
  <w:style w:type="paragraph" w:customStyle="1" w:styleId="Listbullet1cm">
    <w:name w:val="List bullet 1cm"/>
    <w:basedOn w:val="Normal"/>
    <w:pPr>
      <w:numPr>
        <w:numId w:val="5"/>
      </w:numPr>
      <w:tabs>
        <w:tab w:val="clear" w:pos="1647"/>
        <w:tab w:val="num" w:pos="851"/>
      </w:tabs>
      <w:ind w:left="851" w:hanging="284"/>
    </w:pPr>
    <w:rPr>
      <w:rFonts w:eastAsia="MS Mincho"/>
    </w:rPr>
  </w:style>
  <w:style w:type="paragraph" w:customStyle="1" w:styleId="Listbullet2cm">
    <w:name w:val="List bullet 2cm"/>
    <w:basedOn w:val="Normal"/>
    <w:pPr>
      <w:numPr>
        <w:numId w:val="3"/>
      </w:numPr>
    </w:pPr>
  </w:style>
  <w:style w:type="paragraph" w:styleId="FootnoteText">
    <w:name w:val="footnote text"/>
    <w:basedOn w:val="Normal"/>
    <w:link w:val="FootnoteTextChar"/>
    <w:semiHidden/>
    <w:rPr>
      <w:sz w:val="16"/>
    </w:rPr>
  </w:style>
  <w:style w:type="character" w:styleId="FootnoteReference">
    <w:name w:val="footnote reference"/>
    <w:semiHidden/>
    <w:rPr>
      <w:vertAlign w:val="superscript"/>
    </w:rPr>
  </w:style>
  <w:style w:type="paragraph" w:customStyle="1" w:styleId="Listnumber2cm">
    <w:name w:val="List number 2cm"/>
    <w:basedOn w:val="Listbullet2cm"/>
    <w:pPr>
      <w:numPr>
        <w:numId w:val="4"/>
      </w:numPr>
      <w:tabs>
        <w:tab w:val="clear" w:pos="1701"/>
        <w:tab w:val="num" w:pos="1418"/>
      </w:tabs>
      <w:ind w:left="1418" w:hanging="284"/>
    </w:pPr>
  </w:style>
  <w:style w:type="paragraph" w:customStyle="1" w:styleId="ListNumber1">
    <w:name w:val="List Number 1"/>
    <w:basedOn w:val="Normal"/>
    <w:pPr>
      <w:numPr>
        <w:numId w:val="7"/>
      </w:numPr>
      <w:spacing w:before="240" w:after="240"/>
      <w:jc w:val="both"/>
    </w:pPr>
    <w:rPr>
      <w:sz w:val="22"/>
    </w:rPr>
  </w:style>
  <w:style w:type="paragraph" w:customStyle="1" w:styleId="ListNumber1Level2">
    <w:name w:val="List Number 1 (Level 2)"/>
    <w:basedOn w:val="Normal"/>
    <w:pPr>
      <w:numPr>
        <w:ilvl w:val="1"/>
        <w:numId w:val="7"/>
      </w:numPr>
      <w:spacing w:after="240"/>
      <w:jc w:val="both"/>
    </w:pPr>
    <w:rPr>
      <w:sz w:val="22"/>
    </w:rPr>
  </w:style>
  <w:style w:type="paragraph" w:customStyle="1" w:styleId="ListNumber1Level3">
    <w:name w:val="List Number 1 (Level 3)"/>
    <w:basedOn w:val="Normal"/>
    <w:pPr>
      <w:numPr>
        <w:ilvl w:val="2"/>
        <w:numId w:val="7"/>
      </w:numPr>
      <w:spacing w:after="240"/>
      <w:jc w:val="both"/>
    </w:pPr>
    <w:rPr>
      <w:sz w:val="22"/>
    </w:rPr>
  </w:style>
  <w:style w:type="paragraph" w:customStyle="1" w:styleId="ListNumber1Level4">
    <w:name w:val="List Number 1 (Level 4)"/>
    <w:basedOn w:val="Normal"/>
    <w:pPr>
      <w:numPr>
        <w:ilvl w:val="3"/>
        <w:numId w:val="7"/>
      </w:numPr>
      <w:spacing w:after="240"/>
      <w:jc w:val="both"/>
    </w:pPr>
    <w:rPr>
      <w:sz w:val="22"/>
    </w:rPr>
  </w:style>
  <w:style w:type="paragraph" w:customStyle="1" w:styleId="Bullet">
    <w:name w:val="Bullet"/>
    <w:basedOn w:val="Normal"/>
    <w:pPr>
      <w:numPr>
        <w:numId w:val="8"/>
      </w:numPr>
      <w:ind w:left="357" w:hanging="357"/>
      <w:jc w:val="both"/>
    </w:pPr>
    <w:rPr>
      <w:snapToGrid w:val="0"/>
      <w:color w:val="000000"/>
      <w:sz w:val="22"/>
    </w:rPr>
  </w:style>
  <w:style w:type="paragraph" w:customStyle="1" w:styleId="Bullet10">
    <w:name w:val="Bullet1"/>
    <w:basedOn w:val="Normal"/>
    <w:pPr>
      <w:numPr>
        <w:numId w:val="10"/>
      </w:numPr>
      <w:spacing w:before="40" w:after="0"/>
    </w:pPr>
    <w:rPr>
      <w:rFonts w:ascii="Times New Roman" w:hAnsi="Times New Roman"/>
      <w:snapToGrid w:val="0"/>
    </w:rPr>
  </w:style>
  <w:style w:type="paragraph" w:customStyle="1" w:styleId="Bullet2">
    <w:name w:val="Bullet2"/>
    <w:basedOn w:val="Bullet10"/>
    <w:pPr>
      <w:numPr>
        <w:numId w:val="0"/>
      </w:numPr>
      <w:tabs>
        <w:tab w:val="num" w:pos="720"/>
      </w:tabs>
      <w:ind w:left="720" w:hanging="360"/>
    </w:pPr>
  </w:style>
  <w:style w:type="paragraph" w:customStyle="1" w:styleId="Heading1t1TITRE1Titre11t1T1Titre1Titre1edt1T1Titre1AnnexeH1t1T1h1l1HGSA1Titre1T1Chapitre11Level1Heading1ColoredChaptertitlechMIGHeading1ch1Bold18CMGH1NCS-H1berschrift1berschrift11">
    <w:name w:val="Heading 1.t1.TITRE1.Titre 11.t1.T1.Titre 1.Titre 1ed.t1.T1.Titre 1Annexe.H1.t1.T1.h1.l1.H.GSA1.Titre 1:.T1.Chapitre 1.1.Level 1.Heading 1 Colored.Chapter title.ch.MIGHeading 1.ch1.Bold 18.CMG H1.NCS-H1.überschrift1.überschrift11"/>
    <w:basedOn w:val="Normal"/>
    <w:next w:val="Normal"/>
    <w:pPr>
      <w:keepNext/>
      <w:tabs>
        <w:tab w:val="num" w:pos="432"/>
      </w:tabs>
      <w:spacing w:before="240" w:after="60"/>
      <w:ind w:left="432" w:hanging="432"/>
      <w:outlineLvl w:val="0"/>
    </w:pPr>
    <w:rPr>
      <w:b/>
      <w:kern w:val="28"/>
      <w:sz w:val="28"/>
    </w:rPr>
  </w:style>
  <w:style w:type="paragraph" w:customStyle="1" w:styleId="Lista">
    <w:name w:val="List a)"/>
    <w:basedOn w:val="Normal"/>
    <w:pPr>
      <w:numPr>
        <w:numId w:val="11"/>
      </w:numPr>
      <w:spacing w:before="60" w:after="0"/>
      <w:jc w:val="both"/>
    </w:pPr>
    <w:rPr>
      <w:snapToGrid w:val="0"/>
      <w:color w:val="000000"/>
      <w:sz w:val="22"/>
    </w:rPr>
  </w:style>
  <w:style w:type="paragraph" w:styleId="ListBullet">
    <w:name w:val="List Bullet"/>
    <w:basedOn w:val="Normal"/>
    <w:autoRedefine/>
    <w:pPr>
      <w:numPr>
        <w:numId w:val="12"/>
      </w:numPr>
      <w:tabs>
        <w:tab w:val="clear" w:pos="720"/>
        <w:tab w:val="num" w:pos="1260"/>
      </w:tabs>
      <w:spacing w:after="0"/>
      <w:ind w:left="1260"/>
      <w:jc w:val="both"/>
    </w:pPr>
    <w:rPr>
      <w:noProof/>
      <w:snapToGrid w:val="0"/>
      <w:color w:val="000000"/>
      <w:sz w:val="22"/>
    </w:rPr>
  </w:style>
  <w:style w:type="paragraph" w:customStyle="1" w:styleId="ListBullet1">
    <w:name w:val="List Bullet 1"/>
    <w:basedOn w:val="Normal"/>
    <w:pPr>
      <w:numPr>
        <w:numId w:val="13"/>
      </w:numPr>
      <w:spacing w:before="120" w:after="0"/>
      <w:ind w:left="1276" w:hanging="284"/>
    </w:pPr>
    <w:rPr>
      <w:rFonts w:ascii="Times New Roman" w:hAnsi="Times New Roman"/>
      <w:sz w:val="22"/>
    </w:rPr>
  </w:style>
  <w:style w:type="paragraph" w:styleId="ListNumber">
    <w:name w:val="List Number"/>
    <w:basedOn w:val="Normal"/>
    <w:pPr>
      <w:numPr>
        <w:numId w:val="14"/>
      </w:numPr>
      <w:spacing w:after="240"/>
      <w:jc w:val="both"/>
    </w:pPr>
    <w:rPr>
      <w:sz w:val="22"/>
    </w:rPr>
  </w:style>
  <w:style w:type="paragraph" w:customStyle="1" w:styleId="perso1">
    <w:name w:val="perso1"/>
    <w:pPr>
      <w:tabs>
        <w:tab w:val="num" w:pos="432"/>
      </w:tabs>
      <w:ind w:left="432" w:hanging="432"/>
    </w:pPr>
    <w:rPr>
      <w:b/>
      <w:sz w:val="24"/>
      <w:u w:val="single"/>
    </w:rPr>
  </w:style>
  <w:style w:type="paragraph" w:customStyle="1" w:styleId="Puce2">
    <w:name w:val="Puce2"/>
    <w:basedOn w:val="Normal"/>
    <w:pPr>
      <w:numPr>
        <w:numId w:val="15"/>
      </w:numPr>
      <w:spacing w:after="0"/>
      <w:jc w:val="both"/>
    </w:pPr>
    <w:rPr>
      <w:snapToGrid w:val="0"/>
      <w:color w:val="000000"/>
      <w:sz w:val="22"/>
    </w:rPr>
  </w:style>
  <w:style w:type="paragraph" w:customStyle="1" w:styleId="SteriaBullet">
    <w:name w:val="Steria Bullet"/>
    <w:basedOn w:val="SteriaResponse"/>
    <w:pPr>
      <w:numPr>
        <w:numId w:val="16"/>
      </w:numPr>
      <w:tabs>
        <w:tab w:val="clear" w:pos="4235"/>
      </w:tabs>
      <w:ind w:left="357" w:hanging="357"/>
    </w:pPr>
  </w:style>
  <w:style w:type="paragraph" w:customStyle="1" w:styleId="SteriaResponse">
    <w:name w:val="Steria Response"/>
    <w:pPr>
      <w:spacing w:after="240" w:line="260" w:lineRule="exact"/>
    </w:pPr>
    <w:rPr>
      <w:color w:val="000080"/>
      <w:sz w:val="22"/>
    </w:rPr>
  </w:style>
  <w:style w:type="paragraph" w:customStyle="1" w:styleId="TaBult1">
    <w:name w:val="TaBult 1"/>
    <w:basedOn w:val="Normal"/>
    <w:pPr>
      <w:numPr>
        <w:numId w:val="17"/>
      </w:numPr>
      <w:spacing w:before="60" w:after="60"/>
      <w:ind w:left="426" w:hanging="284"/>
      <w:jc w:val="both"/>
    </w:pPr>
    <w:rPr>
      <w:rFonts w:ascii="Times New Roman" w:hAnsi="Times New Roman"/>
      <w:sz w:val="22"/>
    </w:rPr>
  </w:style>
  <w:style w:type="paragraph" w:customStyle="1" w:styleId="Bullet20">
    <w:name w:val="Bullet 2"/>
    <w:basedOn w:val="Normal"/>
    <w:pPr>
      <w:tabs>
        <w:tab w:val="num" w:pos="1260"/>
      </w:tabs>
      <w:spacing w:after="0"/>
      <w:ind w:left="1260" w:hanging="360"/>
      <w:jc w:val="both"/>
    </w:pPr>
    <w:rPr>
      <w:sz w:val="22"/>
    </w:rPr>
  </w:style>
  <w:style w:type="paragraph" w:customStyle="1" w:styleId="bp">
    <w:name w:val="bp"/>
    <w:basedOn w:val="Normal"/>
    <w:pPr>
      <w:spacing w:before="100" w:after="100"/>
    </w:pPr>
    <w:rPr>
      <w:rFonts w:ascii="Arial Unicode MS" w:eastAsia="Arial Unicode MS" w:hAnsi="Arial Unicode MS"/>
      <w:sz w:val="24"/>
    </w:rPr>
  </w:style>
  <w:style w:type="paragraph" w:styleId="List2">
    <w:name w:val="List 2"/>
    <w:basedOn w:val="Normal"/>
    <w:pPr>
      <w:tabs>
        <w:tab w:val="num" w:pos="360"/>
      </w:tabs>
      <w:spacing w:before="60" w:after="0"/>
      <w:ind w:left="360" w:hanging="360"/>
      <w:jc w:val="both"/>
    </w:pPr>
    <w:rPr>
      <w:snapToGrid w:val="0"/>
      <w:color w:val="000000"/>
      <w:sz w:val="22"/>
    </w:rPr>
  </w:style>
  <w:style w:type="paragraph" w:customStyle="1" w:styleId="BodySingle">
    <w:name w:val="*Body Single"/>
    <w:basedOn w:val="Normal"/>
    <w:pPr>
      <w:spacing w:after="0" w:line="220" w:lineRule="atLeast"/>
      <w:ind w:left="2304"/>
    </w:pPr>
    <w:rPr>
      <w:sz w:val="22"/>
      <w:szCs w:val="24"/>
    </w:rPr>
  </w:style>
  <w:style w:type="paragraph" w:customStyle="1" w:styleId="Text2">
    <w:name w:val="Text 2"/>
    <w:basedOn w:val="Default"/>
    <w:next w:val="Default"/>
    <w:link w:val="Text2Char"/>
    <w:pPr>
      <w:autoSpaceDE/>
      <w:autoSpaceDN/>
      <w:adjustRightInd/>
      <w:spacing w:before="120" w:after="120"/>
    </w:pPr>
  </w:style>
  <w:style w:type="paragraph" w:customStyle="1" w:styleId="Default">
    <w:name w:val="Default"/>
    <w:pPr>
      <w:autoSpaceDE w:val="0"/>
      <w:autoSpaceDN w:val="0"/>
      <w:adjustRightInd w:val="0"/>
    </w:pPr>
    <w:rPr>
      <w:rFonts w:ascii="TimesNewRoman" w:hAnsi="TimesNewRoman"/>
    </w:rPr>
  </w:style>
  <w:style w:type="paragraph" w:styleId="BodyText">
    <w:name w:val="Body Text"/>
    <w:aliases w:val="EDS Question Text"/>
    <w:basedOn w:val="Normal"/>
    <w:pPr>
      <w:spacing w:after="0"/>
      <w:ind w:right="-1054"/>
    </w:pPr>
    <w:rPr>
      <w:noProof/>
    </w:rPr>
  </w:style>
  <w:style w:type="paragraph" w:styleId="BodyText2">
    <w:name w:val="Body Text 2"/>
    <w:basedOn w:val="Normal"/>
    <w:pPr>
      <w:spacing w:after="0"/>
    </w:pPr>
    <w:rPr>
      <w:color w:val="000000"/>
      <w:sz w:val="22"/>
    </w:rPr>
  </w:style>
  <w:style w:type="paragraph" w:styleId="BodyText3">
    <w:name w:val="Body Text 3"/>
    <w:basedOn w:val="Normal"/>
    <w:pPr>
      <w:spacing w:after="0"/>
      <w:jc w:val="both"/>
    </w:pPr>
    <w:rPr>
      <w:snapToGrid w:val="0"/>
      <w:color w:val="000000"/>
      <w:sz w:val="22"/>
    </w:rPr>
  </w:style>
  <w:style w:type="paragraph" w:styleId="BlockText">
    <w:name w:val="Block Text"/>
    <w:basedOn w:val="Normal"/>
    <w:pPr>
      <w:pBdr>
        <w:top w:val="single" w:sz="4" w:space="1" w:color="auto"/>
        <w:left w:val="single" w:sz="4" w:space="4" w:color="auto"/>
        <w:bottom w:val="single" w:sz="4" w:space="1" w:color="auto"/>
        <w:right w:val="single" w:sz="4" w:space="4" w:color="auto"/>
      </w:pBdr>
      <w:spacing w:after="0"/>
      <w:ind w:left="720" w:right="720"/>
    </w:pPr>
    <w:rPr>
      <w:rFonts w:ascii="Times New Roman" w:hAnsi="Times New Roman"/>
      <w:b/>
      <w:bCs/>
      <w:color w:val="FF0000"/>
      <w:sz w:val="24"/>
      <w:szCs w:val="24"/>
    </w:rPr>
  </w:style>
  <w:style w:type="paragraph" w:customStyle="1" w:styleId="cellheading">
    <w:name w:val="cellheading"/>
    <w:basedOn w:val="Normal"/>
    <w:pPr>
      <w:spacing w:after="144"/>
    </w:pPr>
    <w:rPr>
      <w:rFonts w:ascii="Verdana" w:eastAsia="Arial Unicode MS" w:hAnsi="Verdana"/>
      <w:b/>
      <w:color w:val="000000"/>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table" w:styleId="TableGrid">
    <w:name w:val="Table Grid"/>
    <w:basedOn w:val="TableNormal"/>
    <w:uiPriority w:val="59"/>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Heading2Char">
    <w:name w:val="Heading 2 Char"/>
    <w:aliases w:val="T2 Char,h2 Char,L2 Char,H2 Char,Punt 2 Char,l2 Char,2 Char,Titre 21 Char,t2.T2 Char,t2 Char,Contrat 2 Char,Ctt Char,t2.T2.Titre 2 Char,TITRE 2 Char,Titre 2ed Char,Heading 2 Hidden Char,heading 2 Char,Chapter Number/Appendix Letter Char"/>
    <w:link w:val="Heading2"/>
    <w:rPr>
      <w:b/>
      <w:bCs/>
      <w:smallCaps/>
      <w:color w:val="000080"/>
      <w:sz w:val="32"/>
    </w:rPr>
  </w:style>
  <w:style w:type="character" w:customStyle="1" w:styleId="Heading4Char">
    <w:name w:val="Heading 4 Char"/>
    <w:aliases w:val="4 Char,H4 Char,Titre 41 Char,t4.T4 Char,t4 Char,Chapitre 1.1.1. Char,Alinéa Char,dash Char,h4 Char,Ref Heading 1 Char,rh1 Char,First Subheading Char,T4 Char,t4.T4.Titre 4 Char,heading 4 Char,l4 Char,I4 Char,(Shift Ctrl 4) Char"/>
    <w:link w:val="Heading4"/>
    <w:rPr>
      <w:b/>
      <w:smallCaps/>
      <w:color w:val="000080"/>
      <w:sz w:val="24"/>
    </w:rPr>
  </w:style>
  <w:style w:type="paragraph" w:styleId="BodyTextIndent">
    <w:name w:val="Body Text Indent"/>
    <w:basedOn w:val="Normal"/>
    <w:pPr>
      <w:numPr>
        <w:numId w:val="18"/>
      </w:numPr>
      <w:tabs>
        <w:tab w:val="clear" w:pos="283"/>
      </w:tabs>
      <w:ind w:firstLine="0"/>
      <w:jc w:val="both"/>
    </w:pPr>
    <w:rPr>
      <w:rFonts w:ascii="Times New Roman" w:hAnsi="Times New Roman"/>
      <w:sz w:val="22"/>
    </w:rPr>
  </w:style>
  <w:style w:type="character" w:customStyle="1" w:styleId="Text2Char">
    <w:name w:val="Text 2 Char"/>
    <w:link w:val="Text2"/>
    <w:rPr>
      <w:rFonts w:ascii="TimesNewRoman" w:hAnsi="TimesNewRoman"/>
      <w:lang w:val="pl-PL" w:eastAsia="pl-PL" w:bidi="pl-PL"/>
    </w:rPr>
  </w:style>
  <w:style w:type="character" w:styleId="HTMLCode">
    <w:name w:val="HTML Code"/>
    <w:semiHidden/>
    <w:unhideWhenUsed/>
    <w:rPr>
      <w:rFonts w:ascii="Courier New" w:eastAsia="Times New Roman" w:hAnsi="Courier New" w:cs="Courier New"/>
      <w:sz w:val="20"/>
      <w:szCs w:val="20"/>
    </w:rPr>
  </w:style>
  <w:style w:type="character" w:customStyle="1" w:styleId="Heading2Char2">
    <w:name w:val="Heading 2 Char2"/>
    <w:aliases w:val="Heading 2 Char1 Char,Heading 2 Char Char Char,Heading 2 Char Char1"/>
    <w:locked/>
    <w:rPr>
      <w:b/>
      <w:sz w:val="24"/>
      <w:lang w:val="pl-PL" w:eastAsia="pl-PL" w:bidi="pl-PL"/>
    </w:rPr>
  </w:style>
  <w:style w:type="paragraph" w:customStyle="1" w:styleId="NumPar1">
    <w:name w:val="NumPar 1"/>
    <w:basedOn w:val="Normal"/>
    <w:next w:val="Normal"/>
    <w:pPr>
      <w:numPr>
        <w:numId w:val="21"/>
      </w:numPr>
      <w:spacing w:before="120"/>
      <w:jc w:val="both"/>
    </w:pPr>
    <w:rPr>
      <w:rFonts w:ascii="Times New Roman" w:hAnsi="Times New Roman"/>
      <w:sz w:val="24"/>
      <w:szCs w:val="24"/>
    </w:rPr>
  </w:style>
  <w:style w:type="paragraph" w:customStyle="1" w:styleId="NumPar2">
    <w:name w:val="NumPar 2"/>
    <w:basedOn w:val="Normal"/>
    <w:next w:val="Normal"/>
    <w:pPr>
      <w:numPr>
        <w:ilvl w:val="1"/>
        <w:numId w:val="21"/>
      </w:numPr>
      <w:spacing w:before="120"/>
      <w:jc w:val="both"/>
    </w:pPr>
    <w:rPr>
      <w:rFonts w:ascii="Times New Roman" w:hAnsi="Times New Roman"/>
      <w:sz w:val="24"/>
      <w:szCs w:val="24"/>
    </w:rPr>
  </w:style>
  <w:style w:type="paragraph" w:customStyle="1" w:styleId="NumPar3">
    <w:name w:val="NumPar 3"/>
    <w:basedOn w:val="Normal"/>
    <w:next w:val="Normal"/>
    <w:pPr>
      <w:numPr>
        <w:ilvl w:val="2"/>
        <w:numId w:val="21"/>
      </w:numPr>
      <w:spacing w:before="120"/>
      <w:jc w:val="both"/>
    </w:pPr>
    <w:rPr>
      <w:rFonts w:ascii="Times New Roman" w:hAnsi="Times New Roman"/>
      <w:sz w:val="24"/>
      <w:szCs w:val="24"/>
    </w:rPr>
  </w:style>
  <w:style w:type="paragraph" w:customStyle="1" w:styleId="NumPar4">
    <w:name w:val="NumPar 4"/>
    <w:basedOn w:val="Normal"/>
    <w:next w:val="Normal"/>
    <w:pPr>
      <w:numPr>
        <w:ilvl w:val="3"/>
        <w:numId w:val="21"/>
      </w:numPr>
      <w:spacing w:before="120"/>
      <w:jc w:val="both"/>
    </w:pPr>
    <w:rPr>
      <w:rFonts w:ascii="Times New Roman" w:hAnsi="Times New Roman"/>
      <w:sz w:val="24"/>
      <w:szCs w:val="24"/>
    </w:rPr>
  </w:style>
  <w:style w:type="paragraph" w:styleId="ListParagraph">
    <w:name w:val="List Paragraph"/>
    <w:basedOn w:val="Normal"/>
    <w:uiPriority w:val="34"/>
    <w:qFormat/>
    <w:pPr>
      <w:spacing w:after="0"/>
      <w:ind w:left="720"/>
    </w:pPr>
    <w:rPr>
      <w:rFonts w:ascii="Calibri" w:hAnsi="Calibri"/>
      <w:sz w:val="22"/>
      <w:szCs w:val="22"/>
    </w:rPr>
  </w:style>
  <w:style w:type="character" w:customStyle="1" w:styleId="CommentTextChar">
    <w:name w:val="Comment Text Char"/>
    <w:basedOn w:val="DefaultParagraphFont"/>
    <w:link w:val="CommentText"/>
    <w:semiHidden/>
    <w:rPr>
      <w:rFonts w:ascii="Arial" w:hAnsi="Arial"/>
      <w:lang w:eastAsia="pl-PL"/>
    </w:rPr>
  </w:style>
  <w:style w:type="paragraph" w:styleId="Revision">
    <w:name w:val="Revision"/>
    <w:hidden/>
    <w:uiPriority w:val="99"/>
    <w:semiHidden/>
    <w:rPr>
      <w:sz w:val="18"/>
    </w:rPr>
  </w:style>
  <w:style w:type="character" w:customStyle="1" w:styleId="FootnoteTextChar">
    <w:name w:val="Footnote Text Char"/>
    <w:basedOn w:val="DefaultParagraphFont"/>
    <w:link w:val="FootnoteText"/>
    <w:semiHidden/>
    <w:rPr>
      <w:rFonts w:ascii="Arial" w:hAnsi="Arial"/>
      <w:sz w:val="16"/>
      <w:lang w:eastAsia="pl-PL"/>
    </w:rPr>
  </w:style>
  <w:style w:type="paragraph" w:styleId="EndnoteText">
    <w:name w:val="endnote text"/>
    <w:basedOn w:val="Normal"/>
    <w:link w:val="EndnoteTextChar"/>
    <w:semiHidden/>
    <w:unhideWhenUsed/>
    <w:pPr>
      <w:spacing w:after="0"/>
    </w:p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eastAsiaTheme="minorHAnsi" w:hAnsi="Times New Roman" w:cs="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color w:val="000080"/>
      <w:sz w:val="24"/>
    </w:rPr>
  </w:style>
  <w:style w:type="character" w:customStyle="1" w:styleId="TitleChar">
    <w:name w:val="Title Char"/>
    <w:basedOn w:val="DefaultParagraphFont"/>
    <w:link w:val="Title"/>
    <w:rPr>
      <w:b/>
      <w:caps/>
      <w:color w:val="000080"/>
      <w:sz w:val="32"/>
    </w:rPr>
  </w:style>
  <w:style w:type="character" w:customStyle="1" w:styleId="FooterCoverPageChar">
    <w:name w:val="Footer Cover Page Char"/>
    <w:basedOn w:val="TitleChar"/>
    <w:link w:val="FooterCoverPage"/>
    <w:rPr>
      <w:rFonts w:ascii="Times New Roman" w:hAnsi="Times New Roman" w:cs="Times New Roman"/>
      <w:b w:val="0"/>
      <w:caps w:val="0"/>
      <w:color w:val="000080"/>
      <w:sz w:val="24"/>
    </w:rPr>
  </w:style>
  <w:style w:type="paragraph" w:customStyle="1" w:styleId="HeaderCoverPage">
    <w:name w:val="Header Cover Page"/>
    <w:basedOn w:val="Normal"/>
    <w:link w:val="HeaderCoverPageChar"/>
    <w:pPr>
      <w:tabs>
        <w:tab w:val="center" w:pos="4535"/>
        <w:tab w:val="right" w:pos="9071"/>
      </w:tabs>
      <w:jc w:val="both"/>
    </w:pPr>
    <w:rPr>
      <w:rFonts w:ascii="Times New Roman" w:hAnsi="Times New Roman" w:cs="Times New Roman"/>
      <w:color w:val="000080"/>
      <w:sz w:val="24"/>
    </w:rPr>
  </w:style>
  <w:style w:type="character" w:customStyle="1" w:styleId="HeaderCoverPageChar">
    <w:name w:val="Header Cover Page Char"/>
    <w:basedOn w:val="TitleChar"/>
    <w:link w:val="HeaderCoverPage"/>
    <w:rPr>
      <w:rFonts w:ascii="Times New Roman" w:hAnsi="Times New Roman" w:cs="Times New Roman"/>
      <w:b w:val="0"/>
      <w:caps w:val="0"/>
      <w:color w:val="000080"/>
      <w:sz w:val="24"/>
    </w:rPr>
  </w:style>
  <w:style w:type="character" w:customStyle="1" w:styleId="FooterChar">
    <w:name w:val="Footer Char"/>
    <w:aliases w:val="Footer CFMU Char"/>
    <w:basedOn w:val="DefaultParagraphFont"/>
    <w:link w:val="Footer"/>
    <w:uiPriority w:val="99"/>
    <w:rPr>
      <w:b/>
      <w:bCs/>
      <w:color w:val="000080"/>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pl-PL" w:eastAsia="pl-PL" w:bidi="pl-PL"/>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style>
  <w:style w:type="paragraph" w:styleId="Heading1">
    <w:name w:val="heading 1"/>
    <w:aliases w:val="t1,TITRE1,heading 1,Titre 11,t1.T1.Titre 1,Titre 1ed,t1.T1.Titre 1Annexe,H1,t1.T1,h1,l1,H,GSA1,Titre 1:,T1,Chapitre 1,1,Level 1,Heading 1 Colored,Chapter title,ch,MIGHeading 1,ch1,Bold 18,CMG H1,NCS-H1,überschrift1,überschrift11,überschrift12"/>
    <w:basedOn w:val="Normal"/>
    <w:next w:val="Normal"/>
    <w:uiPriority w:val="9"/>
    <w:qFormat/>
    <w:pPr>
      <w:keepNext/>
      <w:pageBreakBefore/>
      <w:numPr>
        <w:numId w:val="1"/>
      </w:numPr>
      <w:pBdr>
        <w:bottom w:val="single" w:sz="12" w:space="1" w:color="FF6600"/>
      </w:pBdr>
      <w:spacing w:before="120" w:after="240"/>
      <w:outlineLvl w:val="0"/>
    </w:pPr>
    <w:rPr>
      <w:b/>
      <w:smallCaps/>
      <w:color w:val="000080"/>
      <w:kern w:val="28"/>
      <w:sz w:val="36"/>
    </w:rPr>
  </w:style>
  <w:style w:type="paragraph" w:styleId="Heading2">
    <w:name w:val="heading 2"/>
    <w:aliases w:val="T2,h2,L2,H2,Punt 2,l2,2,Titre 21,t2.T2,t2,Contrat 2,Ctt,t2.T2.Titre 2,TITRE 2,Titre 2ed,Heading 2 Hidden,heading 2,Chapter Number/Appendix Letter,chn,Titre niveau 2,Level 2,Chapitre 2,paragraphe,Titre 2 - RAO,Specf Titre 2,Heading 2a,Header 2"/>
    <w:basedOn w:val="Normal"/>
    <w:next w:val="Normal"/>
    <w:link w:val="Heading2Char"/>
    <w:qFormat/>
    <w:pPr>
      <w:keepNext/>
      <w:numPr>
        <w:ilvl w:val="1"/>
        <w:numId w:val="1"/>
      </w:numPr>
      <w:pBdr>
        <w:bottom w:val="single" w:sz="12" w:space="1" w:color="000080"/>
      </w:pBdr>
      <w:spacing w:before="120"/>
      <w:outlineLvl w:val="1"/>
    </w:pPr>
    <w:rPr>
      <w:b/>
      <w:bCs/>
      <w:smallCaps/>
      <w:color w:val="000080"/>
      <w:sz w:val="32"/>
    </w:rPr>
  </w:style>
  <w:style w:type="paragraph" w:styleId="Heading3">
    <w:name w:val="heading 3"/>
    <w:aliases w:val="3,Titre 31,t3.T3,heading 3,Titre 3+,H3,Titre niveau 3,Titre3,t3,Contrat 3,Titre 3 SQ,Titre 3 SQ1,Titre 3 SQ2,Titre 3 SQ3,Titre 3 SQ4,Titre 3 SQ5,Titre 3 SQ6,Titre 3 SQ7,h3,3rd level,l3,CT,Heading 3 - old,Titre 3 .3,Titre 311,Titre 3 .31,1.2.3."/>
    <w:basedOn w:val="Normal"/>
    <w:next w:val="Normal"/>
    <w:qFormat/>
    <w:pPr>
      <w:keepNext/>
      <w:numPr>
        <w:ilvl w:val="2"/>
        <w:numId w:val="1"/>
      </w:numPr>
      <w:spacing w:before="240" w:after="60"/>
      <w:outlineLvl w:val="2"/>
    </w:pPr>
    <w:rPr>
      <w:b/>
      <w:bCs/>
      <w:smallCaps/>
      <w:color w:val="000080"/>
      <w:sz w:val="28"/>
    </w:rPr>
  </w:style>
  <w:style w:type="paragraph" w:styleId="Heading4">
    <w:name w:val="heading 4"/>
    <w:aliases w:val="4,H4,Titre 41,t4.T4,t4,Chapitre 1.1.1.,Alinéa,dash,h4,Ref Heading 1,rh1,First Subheading,T4,t4.T4.Titre 4,heading 4,l4,I4,(Shift Ctrl 4),Schedules,Heading 4 CFMU"/>
    <w:basedOn w:val="Normal"/>
    <w:next w:val="Normal"/>
    <w:link w:val="Heading4Char"/>
    <w:qFormat/>
    <w:pPr>
      <w:keepNext/>
      <w:numPr>
        <w:ilvl w:val="3"/>
        <w:numId w:val="1"/>
      </w:numPr>
      <w:spacing w:before="240" w:after="60"/>
      <w:outlineLvl w:val="3"/>
    </w:pPr>
    <w:rPr>
      <w:b/>
      <w:smallCaps/>
      <w:color w:val="000080"/>
      <w:sz w:val="24"/>
    </w:rPr>
  </w:style>
  <w:style w:type="paragraph" w:styleId="Heading5">
    <w:name w:val="heading 5"/>
    <w:aliases w:val="H5,Chapitre 1.1.1.1.,Ref Heading 2,rh2,h5,Second Subheading,heading 5,Heading 5 CFMU,Para 5,(Shift Ctrl 5),Appendix A to X,Heading 5   Appendix A to X"/>
    <w:basedOn w:val="Normal"/>
    <w:next w:val="Normal"/>
    <w:qFormat/>
    <w:pPr>
      <w:numPr>
        <w:ilvl w:val="4"/>
        <w:numId w:val="1"/>
      </w:numPr>
      <w:spacing w:before="240" w:after="60"/>
      <w:outlineLvl w:val="4"/>
    </w:pPr>
    <w:rPr>
      <w:b/>
      <w:bCs/>
      <w:smallCaps/>
      <w:color w:val="000080"/>
    </w:rPr>
  </w:style>
  <w:style w:type="paragraph" w:styleId="Heading6">
    <w:name w:val="heading 6"/>
    <w:aliases w:val="6,Heading 6  Appendix Y &amp; Z,h6,Heading 6 CFMU"/>
    <w:basedOn w:val="Normal"/>
    <w:next w:val="Normal"/>
    <w:qFormat/>
    <w:pPr>
      <w:numPr>
        <w:ilvl w:val="5"/>
        <w:numId w:val="1"/>
      </w:numPr>
      <w:spacing w:before="240" w:after="60"/>
      <w:outlineLvl w:val="5"/>
    </w:pPr>
    <w:rPr>
      <w:i/>
      <w:sz w:val="22"/>
    </w:rPr>
  </w:style>
  <w:style w:type="paragraph" w:styleId="Heading7">
    <w:name w:val="heading 7"/>
    <w:aliases w:val="H7,(Shift Ctrl 7),Heading 7 CFMU"/>
    <w:basedOn w:val="Normal"/>
    <w:next w:val="Normal"/>
    <w:qFormat/>
    <w:pPr>
      <w:numPr>
        <w:ilvl w:val="6"/>
        <w:numId w:val="1"/>
      </w:numPr>
      <w:spacing w:before="240" w:after="60"/>
      <w:outlineLvl w:val="6"/>
    </w:pPr>
  </w:style>
  <w:style w:type="paragraph" w:styleId="Heading8">
    <w:name w:val="heading 8"/>
    <w:aliases w:val="Heading 8 CFMU"/>
    <w:basedOn w:val="Normal"/>
    <w:next w:val="Normal"/>
    <w:qFormat/>
    <w:pPr>
      <w:numPr>
        <w:ilvl w:val="7"/>
        <w:numId w:val="1"/>
      </w:numPr>
      <w:spacing w:before="240" w:after="60"/>
      <w:outlineLvl w:val="7"/>
    </w:pPr>
    <w:rPr>
      <w:i/>
    </w:rPr>
  </w:style>
  <w:style w:type="paragraph" w:styleId="Heading9">
    <w:name w:val="heading 9"/>
    <w:aliases w:val="App Heading,Heading 9 CFMU"/>
    <w:basedOn w:val="Normal"/>
    <w:next w:val="Normal"/>
    <w:qFormat/>
    <w:pPr>
      <w:numPr>
        <w:ilvl w:val="8"/>
        <w:numId w:val="1"/>
      </w:numPr>
      <w:spacing w:before="240" w:after="60"/>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FMU"/>
    <w:basedOn w:val="Normal"/>
    <w:pPr>
      <w:tabs>
        <w:tab w:val="center" w:pos="4320"/>
        <w:tab w:val="right" w:pos="8640"/>
      </w:tabs>
      <w:spacing w:after="0"/>
      <w:jc w:val="center"/>
    </w:pPr>
    <w:rPr>
      <w:color w:val="000080"/>
    </w:rPr>
  </w:style>
  <w:style w:type="paragraph" w:customStyle="1" w:styleId="Bullet1">
    <w:name w:val="Bullet 1"/>
    <w:basedOn w:val="Normal"/>
    <w:pPr>
      <w:numPr>
        <w:numId w:val="9"/>
      </w:numPr>
      <w:tabs>
        <w:tab w:val="clear" w:pos="360"/>
        <w:tab w:val="num" w:pos="900"/>
      </w:tabs>
      <w:spacing w:after="0"/>
      <w:ind w:left="900"/>
      <w:jc w:val="both"/>
    </w:pPr>
    <w:rPr>
      <w:sz w:val="22"/>
    </w:rPr>
  </w:style>
  <w:style w:type="paragraph" w:customStyle="1" w:styleId="Listnumber1cm">
    <w:name w:val="List number 1cm"/>
    <w:basedOn w:val="Normal"/>
    <w:pPr>
      <w:numPr>
        <w:numId w:val="6"/>
      </w:numPr>
      <w:tabs>
        <w:tab w:val="clear" w:pos="927"/>
        <w:tab w:val="left" w:pos="851"/>
      </w:tabs>
    </w:pPr>
  </w:style>
  <w:style w:type="paragraph" w:customStyle="1" w:styleId="Tableheading">
    <w:name w:val="Table heading"/>
    <w:basedOn w:val="Normal"/>
    <w:pPr>
      <w:spacing w:before="120"/>
      <w:jc w:val="center"/>
    </w:pPr>
    <w:rPr>
      <w:b/>
      <w:color w:val="000080"/>
    </w:rPr>
  </w:style>
  <w:style w:type="paragraph" w:customStyle="1" w:styleId="Tabletext">
    <w:name w:val="Table text"/>
    <w:basedOn w:val="Normal"/>
    <w:pPr>
      <w:spacing w:before="60" w:after="60"/>
    </w:pPr>
  </w:style>
  <w:style w:type="paragraph" w:styleId="TOC1">
    <w:name w:val="toc 1"/>
    <w:basedOn w:val="Normal"/>
    <w:next w:val="Normal"/>
    <w:autoRedefine/>
    <w:uiPriority w:val="39"/>
    <w:pPr>
      <w:spacing w:before="120"/>
    </w:pPr>
    <w:rPr>
      <w:b/>
      <w:bCs/>
      <w:caps/>
      <w:szCs w:val="24"/>
    </w:rPr>
  </w:style>
  <w:style w:type="character" w:styleId="Hyperlink">
    <w:name w:val="Hyperlink"/>
    <w:uiPriority w:val="99"/>
    <w:rPr>
      <w:color w:val="0000FF"/>
      <w:u w:val="single"/>
    </w:rPr>
  </w:style>
  <w:style w:type="paragraph" w:styleId="Footer">
    <w:name w:val="footer"/>
    <w:aliases w:val="Footer CFMU"/>
    <w:basedOn w:val="Normal"/>
    <w:link w:val="FooterChar"/>
    <w:uiPriority w:val="99"/>
    <w:pPr>
      <w:tabs>
        <w:tab w:val="center" w:pos="4320"/>
        <w:tab w:val="right" w:pos="8640"/>
      </w:tabs>
      <w:spacing w:before="60" w:after="60"/>
      <w:jc w:val="center"/>
    </w:pPr>
    <w:rPr>
      <w:b/>
      <w:bCs/>
      <w:color w:val="000080"/>
      <w:sz w:val="16"/>
    </w:rPr>
  </w:style>
  <w:style w:type="paragraph" w:styleId="Title">
    <w:name w:val="Title"/>
    <w:basedOn w:val="Normal"/>
    <w:next w:val="Normal"/>
    <w:link w:val="TitleChar"/>
    <w:qFormat/>
    <w:pPr>
      <w:keepLines/>
      <w:spacing w:before="480" w:after="480"/>
      <w:jc w:val="center"/>
    </w:pPr>
    <w:rPr>
      <w:b/>
      <w:caps/>
      <w:color w:val="000080"/>
      <w:sz w:val="32"/>
    </w:rPr>
  </w:style>
  <w:style w:type="paragraph" w:styleId="TOC2">
    <w:name w:val="toc 2"/>
    <w:basedOn w:val="Normal"/>
    <w:next w:val="Normal"/>
    <w:autoRedefine/>
    <w:uiPriority w:val="39"/>
    <w:pPr>
      <w:ind w:left="200"/>
    </w:pPr>
    <w:rPr>
      <w:smallCaps/>
      <w:szCs w:val="24"/>
    </w:rPr>
  </w:style>
  <w:style w:type="paragraph" w:styleId="TOC3">
    <w:name w:val="toc 3"/>
    <w:basedOn w:val="Normal"/>
    <w:next w:val="Normal"/>
    <w:autoRedefine/>
    <w:uiPriority w:val="39"/>
    <w:pPr>
      <w:ind w:left="400"/>
    </w:pPr>
    <w:rPr>
      <w:i/>
      <w:iCs/>
      <w:szCs w:val="24"/>
    </w:rPr>
  </w:style>
  <w:style w:type="paragraph" w:styleId="TOC4">
    <w:name w:val="toc 4"/>
    <w:basedOn w:val="Normal"/>
    <w:next w:val="Normal"/>
    <w:autoRedefine/>
    <w:uiPriority w:val="39"/>
    <w:pPr>
      <w:ind w:left="600"/>
    </w:pPr>
    <w:rPr>
      <w:szCs w:val="21"/>
    </w:rPr>
  </w:style>
  <w:style w:type="paragraph" w:styleId="TOC5">
    <w:name w:val="toc 5"/>
    <w:basedOn w:val="Normal"/>
    <w:next w:val="Normal"/>
    <w:autoRedefine/>
    <w:semiHidden/>
    <w:pPr>
      <w:ind w:left="800"/>
    </w:pPr>
    <w:rPr>
      <w:szCs w:val="21"/>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semiHidden/>
    <w:pPr>
      <w:ind w:left="1400"/>
    </w:pPr>
    <w:rPr>
      <w:szCs w:val="21"/>
    </w:rPr>
  </w:style>
  <w:style w:type="paragraph" w:styleId="TOC9">
    <w:name w:val="toc 9"/>
    <w:basedOn w:val="Normal"/>
    <w:next w:val="Normal"/>
    <w:autoRedefine/>
    <w:semiHidden/>
    <w:pPr>
      <w:ind w:left="1600"/>
    </w:pPr>
    <w:rPr>
      <w:szCs w:val="21"/>
    </w:rPr>
  </w:style>
  <w:style w:type="paragraph" w:customStyle="1" w:styleId="TableBullet">
    <w:name w:val="Table Bullet"/>
    <w:basedOn w:val="Normal"/>
    <w:pPr>
      <w:numPr>
        <w:ilvl w:val="1"/>
        <w:numId w:val="2"/>
      </w:numPr>
      <w:tabs>
        <w:tab w:val="clear" w:pos="1440"/>
        <w:tab w:val="num" w:pos="128"/>
      </w:tabs>
      <w:ind w:left="128" w:hanging="128"/>
    </w:pPr>
  </w:style>
  <w:style w:type="character" w:styleId="FollowedHyperlink">
    <w:name w:val="FollowedHyperlink"/>
    <w:rPr>
      <w:color w:val="800080"/>
      <w:u w:val="single"/>
    </w:rPr>
  </w:style>
  <w:style w:type="paragraph" w:customStyle="1" w:styleId="Listbullet1cm">
    <w:name w:val="List bullet 1cm"/>
    <w:basedOn w:val="Normal"/>
    <w:pPr>
      <w:numPr>
        <w:numId w:val="5"/>
      </w:numPr>
      <w:tabs>
        <w:tab w:val="clear" w:pos="1647"/>
        <w:tab w:val="num" w:pos="851"/>
      </w:tabs>
      <w:ind w:left="851" w:hanging="284"/>
    </w:pPr>
    <w:rPr>
      <w:rFonts w:eastAsia="MS Mincho"/>
    </w:rPr>
  </w:style>
  <w:style w:type="paragraph" w:customStyle="1" w:styleId="Listbullet2cm">
    <w:name w:val="List bullet 2cm"/>
    <w:basedOn w:val="Normal"/>
    <w:pPr>
      <w:numPr>
        <w:numId w:val="3"/>
      </w:numPr>
    </w:pPr>
  </w:style>
  <w:style w:type="paragraph" w:styleId="FootnoteText">
    <w:name w:val="footnote text"/>
    <w:basedOn w:val="Normal"/>
    <w:link w:val="FootnoteTextChar"/>
    <w:semiHidden/>
    <w:rPr>
      <w:sz w:val="16"/>
    </w:rPr>
  </w:style>
  <w:style w:type="character" w:styleId="FootnoteReference">
    <w:name w:val="footnote reference"/>
    <w:semiHidden/>
    <w:rPr>
      <w:vertAlign w:val="superscript"/>
    </w:rPr>
  </w:style>
  <w:style w:type="paragraph" w:customStyle="1" w:styleId="Listnumber2cm">
    <w:name w:val="List number 2cm"/>
    <w:basedOn w:val="Listbullet2cm"/>
    <w:pPr>
      <w:numPr>
        <w:numId w:val="4"/>
      </w:numPr>
      <w:tabs>
        <w:tab w:val="clear" w:pos="1701"/>
        <w:tab w:val="num" w:pos="1418"/>
      </w:tabs>
      <w:ind w:left="1418" w:hanging="284"/>
    </w:pPr>
  </w:style>
  <w:style w:type="paragraph" w:customStyle="1" w:styleId="ListNumber1">
    <w:name w:val="List Number 1"/>
    <w:basedOn w:val="Normal"/>
    <w:pPr>
      <w:numPr>
        <w:numId w:val="7"/>
      </w:numPr>
      <w:spacing w:before="240" w:after="240"/>
      <w:jc w:val="both"/>
    </w:pPr>
    <w:rPr>
      <w:sz w:val="22"/>
    </w:rPr>
  </w:style>
  <w:style w:type="paragraph" w:customStyle="1" w:styleId="ListNumber1Level2">
    <w:name w:val="List Number 1 (Level 2)"/>
    <w:basedOn w:val="Normal"/>
    <w:pPr>
      <w:numPr>
        <w:ilvl w:val="1"/>
        <w:numId w:val="7"/>
      </w:numPr>
      <w:spacing w:after="240"/>
      <w:jc w:val="both"/>
    </w:pPr>
    <w:rPr>
      <w:sz w:val="22"/>
    </w:rPr>
  </w:style>
  <w:style w:type="paragraph" w:customStyle="1" w:styleId="ListNumber1Level3">
    <w:name w:val="List Number 1 (Level 3)"/>
    <w:basedOn w:val="Normal"/>
    <w:pPr>
      <w:numPr>
        <w:ilvl w:val="2"/>
        <w:numId w:val="7"/>
      </w:numPr>
      <w:spacing w:after="240"/>
      <w:jc w:val="both"/>
    </w:pPr>
    <w:rPr>
      <w:sz w:val="22"/>
    </w:rPr>
  </w:style>
  <w:style w:type="paragraph" w:customStyle="1" w:styleId="ListNumber1Level4">
    <w:name w:val="List Number 1 (Level 4)"/>
    <w:basedOn w:val="Normal"/>
    <w:pPr>
      <w:numPr>
        <w:ilvl w:val="3"/>
        <w:numId w:val="7"/>
      </w:numPr>
      <w:spacing w:after="240"/>
      <w:jc w:val="both"/>
    </w:pPr>
    <w:rPr>
      <w:sz w:val="22"/>
    </w:rPr>
  </w:style>
  <w:style w:type="paragraph" w:customStyle="1" w:styleId="Bullet">
    <w:name w:val="Bullet"/>
    <w:basedOn w:val="Normal"/>
    <w:pPr>
      <w:numPr>
        <w:numId w:val="8"/>
      </w:numPr>
      <w:ind w:left="357" w:hanging="357"/>
      <w:jc w:val="both"/>
    </w:pPr>
    <w:rPr>
      <w:snapToGrid w:val="0"/>
      <w:color w:val="000000"/>
      <w:sz w:val="22"/>
    </w:rPr>
  </w:style>
  <w:style w:type="paragraph" w:customStyle="1" w:styleId="Bullet10">
    <w:name w:val="Bullet1"/>
    <w:basedOn w:val="Normal"/>
    <w:pPr>
      <w:numPr>
        <w:numId w:val="10"/>
      </w:numPr>
      <w:spacing w:before="40" w:after="0"/>
    </w:pPr>
    <w:rPr>
      <w:rFonts w:ascii="Times New Roman" w:hAnsi="Times New Roman"/>
      <w:snapToGrid w:val="0"/>
    </w:rPr>
  </w:style>
  <w:style w:type="paragraph" w:customStyle="1" w:styleId="Bullet2">
    <w:name w:val="Bullet2"/>
    <w:basedOn w:val="Bullet10"/>
    <w:pPr>
      <w:numPr>
        <w:numId w:val="0"/>
      </w:numPr>
      <w:tabs>
        <w:tab w:val="num" w:pos="720"/>
      </w:tabs>
      <w:ind w:left="720" w:hanging="360"/>
    </w:pPr>
  </w:style>
  <w:style w:type="paragraph" w:customStyle="1" w:styleId="Heading1t1TITRE1Titre11t1T1Titre1Titre1edt1T1Titre1AnnexeH1t1T1h1l1HGSA1Titre1T1Chapitre11Level1Heading1ColoredChaptertitlechMIGHeading1ch1Bold18CMGH1NCS-H1berschrift1berschrift11">
    <w:name w:val="Heading 1.t1.TITRE1.Titre 11.t1.T1.Titre 1.Titre 1ed.t1.T1.Titre 1Annexe.H1.t1.T1.h1.l1.H.GSA1.Titre 1:.T1.Chapitre 1.1.Level 1.Heading 1 Colored.Chapter title.ch.MIGHeading 1.ch1.Bold 18.CMG H1.NCS-H1.überschrift1.überschrift11"/>
    <w:basedOn w:val="Normal"/>
    <w:next w:val="Normal"/>
    <w:pPr>
      <w:keepNext/>
      <w:tabs>
        <w:tab w:val="num" w:pos="432"/>
      </w:tabs>
      <w:spacing w:before="240" w:after="60"/>
      <w:ind w:left="432" w:hanging="432"/>
      <w:outlineLvl w:val="0"/>
    </w:pPr>
    <w:rPr>
      <w:b/>
      <w:kern w:val="28"/>
      <w:sz w:val="28"/>
    </w:rPr>
  </w:style>
  <w:style w:type="paragraph" w:customStyle="1" w:styleId="Lista">
    <w:name w:val="List a)"/>
    <w:basedOn w:val="Normal"/>
    <w:pPr>
      <w:numPr>
        <w:numId w:val="11"/>
      </w:numPr>
      <w:spacing w:before="60" w:after="0"/>
      <w:jc w:val="both"/>
    </w:pPr>
    <w:rPr>
      <w:snapToGrid w:val="0"/>
      <w:color w:val="000000"/>
      <w:sz w:val="22"/>
    </w:rPr>
  </w:style>
  <w:style w:type="paragraph" w:styleId="ListBullet">
    <w:name w:val="List Bullet"/>
    <w:basedOn w:val="Normal"/>
    <w:autoRedefine/>
    <w:pPr>
      <w:numPr>
        <w:numId w:val="12"/>
      </w:numPr>
      <w:tabs>
        <w:tab w:val="clear" w:pos="720"/>
        <w:tab w:val="num" w:pos="1260"/>
      </w:tabs>
      <w:spacing w:after="0"/>
      <w:ind w:left="1260"/>
      <w:jc w:val="both"/>
    </w:pPr>
    <w:rPr>
      <w:noProof/>
      <w:snapToGrid w:val="0"/>
      <w:color w:val="000000"/>
      <w:sz w:val="22"/>
    </w:rPr>
  </w:style>
  <w:style w:type="paragraph" w:customStyle="1" w:styleId="ListBullet1">
    <w:name w:val="List Bullet 1"/>
    <w:basedOn w:val="Normal"/>
    <w:pPr>
      <w:numPr>
        <w:numId w:val="13"/>
      </w:numPr>
      <w:spacing w:before="120" w:after="0"/>
      <w:ind w:left="1276" w:hanging="284"/>
    </w:pPr>
    <w:rPr>
      <w:rFonts w:ascii="Times New Roman" w:hAnsi="Times New Roman"/>
      <w:sz w:val="22"/>
    </w:rPr>
  </w:style>
  <w:style w:type="paragraph" w:styleId="ListNumber">
    <w:name w:val="List Number"/>
    <w:basedOn w:val="Normal"/>
    <w:pPr>
      <w:numPr>
        <w:numId w:val="14"/>
      </w:numPr>
      <w:spacing w:after="240"/>
      <w:jc w:val="both"/>
    </w:pPr>
    <w:rPr>
      <w:sz w:val="22"/>
    </w:rPr>
  </w:style>
  <w:style w:type="paragraph" w:customStyle="1" w:styleId="perso1">
    <w:name w:val="perso1"/>
    <w:pPr>
      <w:tabs>
        <w:tab w:val="num" w:pos="432"/>
      </w:tabs>
      <w:ind w:left="432" w:hanging="432"/>
    </w:pPr>
    <w:rPr>
      <w:b/>
      <w:sz w:val="24"/>
      <w:u w:val="single"/>
    </w:rPr>
  </w:style>
  <w:style w:type="paragraph" w:customStyle="1" w:styleId="Puce2">
    <w:name w:val="Puce2"/>
    <w:basedOn w:val="Normal"/>
    <w:pPr>
      <w:numPr>
        <w:numId w:val="15"/>
      </w:numPr>
      <w:spacing w:after="0"/>
      <w:jc w:val="both"/>
    </w:pPr>
    <w:rPr>
      <w:snapToGrid w:val="0"/>
      <w:color w:val="000000"/>
      <w:sz w:val="22"/>
    </w:rPr>
  </w:style>
  <w:style w:type="paragraph" w:customStyle="1" w:styleId="SteriaBullet">
    <w:name w:val="Steria Bullet"/>
    <w:basedOn w:val="SteriaResponse"/>
    <w:pPr>
      <w:numPr>
        <w:numId w:val="16"/>
      </w:numPr>
      <w:tabs>
        <w:tab w:val="clear" w:pos="4235"/>
      </w:tabs>
      <w:ind w:left="357" w:hanging="357"/>
    </w:pPr>
  </w:style>
  <w:style w:type="paragraph" w:customStyle="1" w:styleId="SteriaResponse">
    <w:name w:val="Steria Response"/>
    <w:pPr>
      <w:spacing w:after="240" w:line="260" w:lineRule="exact"/>
    </w:pPr>
    <w:rPr>
      <w:color w:val="000080"/>
      <w:sz w:val="22"/>
    </w:rPr>
  </w:style>
  <w:style w:type="paragraph" w:customStyle="1" w:styleId="TaBult1">
    <w:name w:val="TaBult 1"/>
    <w:basedOn w:val="Normal"/>
    <w:pPr>
      <w:numPr>
        <w:numId w:val="17"/>
      </w:numPr>
      <w:spacing w:before="60" w:after="60"/>
      <w:ind w:left="426" w:hanging="284"/>
      <w:jc w:val="both"/>
    </w:pPr>
    <w:rPr>
      <w:rFonts w:ascii="Times New Roman" w:hAnsi="Times New Roman"/>
      <w:sz w:val="22"/>
    </w:rPr>
  </w:style>
  <w:style w:type="paragraph" w:customStyle="1" w:styleId="Bullet20">
    <w:name w:val="Bullet 2"/>
    <w:basedOn w:val="Normal"/>
    <w:pPr>
      <w:tabs>
        <w:tab w:val="num" w:pos="1260"/>
      </w:tabs>
      <w:spacing w:after="0"/>
      <w:ind w:left="1260" w:hanging="360"/>
      <w:jc w:val="both"/>
    </w:pPr>
    <w:rPr>
      <w:sz w:val="22"/>
    </w:rPr>
  </w:style>
  <w:style w:type="paragraph" w:customStyle="1" w:styleId="bp">
    <w:name w:val="bp"/>
    <w:basedOn w:val="Normal"/>
    <w:pPr>
      <w:spacing w:before="100" w:after="100"/>
    </w:pPr>
    <w:rPr>
      <w:rFonts w:ascii="Arial Unicode MS" w:eastAsia="Arial Unicode MS" w:hAnsi="Arial Unicode MS"/>
      <w:sz w:val="24"/>
    </w:rPr>
  </w:style>
  <w:style w:type="paragraph" w:styleId="List2">
    <w:name w:val="List 2"/>
    <w:basedOn w:val="Normal"/>
    <w:pPr>
      <w:tabs>
        <w:tab w:val="num" w:pos="360"/>
      </w:tabs>
      <w:spacing w:before="60" w:after="0"/>
      <w:ind w:left="360" w:hanging="360"/>
      <w:jc w:val="both"/>
    </w:pPr>
    <w:rPr>
      <w:snapToGrid w:val="0"/>
      <w:color w:val="000000"/>
      <w:sz w:val="22"/>
    </w:rPr>
  </w:style>
  <w:style w:type="paragraph" w:customStyle="1" w:styleId="BodySingle">
    <w:name w:val="*Body Single"/>
    <w:basedOn w:val="Normal"/>
    <w:pPr>
      <w:spacing w:after="0" w:line="220" w:lineRule="atLeast"/>
      <w:ind w:left="2304"/>
    </w:pPr>
    <w:rPr>
      <w:sz w:val="22"/>
      <w:szCs w:val="24"/>
    </w:rPr>
  </w:style>
  <w:style w:type="paragraph" w:customStyle="1" w:styleId="Text2">
    <w:name w:val="Text 2"/>
    <w:basedOn w:val="Default"/>
    <w:next w:val="Default"/>
    <w:link w:val="Text2Char"/>
    <w:pPr>
      <w:autoSpaceDE/>
      <w:autoSpaceDN/>
      <w:adjustRightInd/>
      <w:spacing w:before="120" w:after="120"/>
    </w:pPr>
  </w:style>
  <w:style w:type="paragraph" w:customStyle="1" w:styleId="Default">
    <w:name w:val="Default"/>
    <w:pPr>
      <w:autoSpaceDE w:val="0"/>
      <w:autoSpaceDN w:val="0"/>
      <w:adjustRightInd w:val="0"/>
    </w:pPr>
    <w:rPr>
      <w:rFonts w:ascii="TimesNewRoman" w:hAnsi="TimesNewRoman"/>
    </w:rPr>
  </w:style>
  <w:style w:type="paragraph" w:styleId="BodyText">
    <w:name w:val="Body Text"/>
    <w:aliases w:val="EDS Question Text"/>
    <w:basedOn w:val="Normal"/>
    <w:pPr>
      <w:spacing w:after="0"/>
      <w:ind w:right="-1054"/>
    </w:pPr>
    <w:rPr>
      <w:noProof/>
    </w:rPr>
  </w:style>
  <w:style w:type="paragraph" w:styleId="BodyText2">
    <w:name w:val="Body Text 2"/>
    <w:basedOn w:val="Normal"/>
    <w:pPr>
      <w:spacing w:after="0"/>
    </w:pPr>
    <w:rPr>
      <w:color w:val="000000"/>
      <w:sz w:val="22"/>
    </w:rPr>
  </w:style>
  <w:style w:type="paragraph" w:styleId="BodyText3">
    <w:name w:val="Body Text 3"/>
    <w:basedOn w:val="Normal"/>
    <w:pPr>
      <w:spacing w:after="0"/>
      <w:jc w:val="both"/>
    </w:pPr>
    <w:rPr>
      <w:snapToGrid w:val="0"/>
      <w:color w:val="000000"/>
      <w:sz w:val="22"/>
    </w:rPr>
  </w:style>
  <w:style w:type="paragraph" w:styleId="BlockText">
    <w:name w:val="Block Text"/>
    <w:basedOn w:val="Normal"/>
    <w:pPr>
      <w:pBdr>
        <w:top w:val="single" w:sz="4" w:space="1" w:color="auto"/>
        <w:left w:val="single" w:sz="4" w:space="4" w:color="auto"/>
        <w:bottom w:val="single" w:sz="4" w:space="1" w:color="auto"/>
        <w:right w:val="single" w:sz="4" w:space="4" w:color="auto"/>
      </w:pBdr>
      <w:spacing w:after="0"/>
      <w:ind w:left="720" w:right="720"/>
    </w:pPr>
    <w:rPr>
      <w:rFonts w:ascii="Times New Roman" w:hAnsi="Times New Roman"/>
      <w:b/>
      <w:bCs/>
      <w:color w:val="FF0000"/>
      <w:sz w:val="24"/>
      <w:szCs w:val="24"/>
    </w:rPr>
  </w:style>
  <w:style w:type="paragraph" w:customStyle="1" w:styleId="cellheading">
    <w:name w:val="cellheading"/>
    <w:basedOn w:val="Normal"/>
    <w:pPr>
      <w:spacing w:after="144"/>
    </w:pPr>
    <w:rPr>
      <w:rFonts w:ascii="Verdana" w:eastAsia="Arial Unicode MS" w:hAnsi="Verdana"/>
      <w:b/>
      <w:color w:val="000000"/>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table" w:styleId="TableGrid">
    <w:name w:val="Table Grid"/>
    <w:basedOn w:val="TableNormal"/>
    <w:uiPriority w:val="59"/>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Heading2Char">
    <w:name w:val="Heading 2 Char"/>
    <w:aliases w:val="T2 Char,h2 Char,L2 Char,H2 Char,Punt 2 Char,l2 Char,2 Char,Titre 21 Char,t2.T2 Char,t2 Char,Contrat 2 Char,Ctt Char,t2.T2.Titre 2 Char,TITRE 2 Char,Titre 2ed Char,Heading 2 Hidden Char,heading 2 Char,Chapter Number/Appendix Letter Char"/>
    <w:link w:val="Heading2"/>
    <w:rPr>
      <w:b/>
      <w:bCs/>
      <w:smallCaps/>
      <w:color w:val="000080"/>
      <w:sz w:val="32"/>
    </w:rPr>
  </w:style>
  <w:style w:type="character" w:customStyle="1" w:styleId="Heading4Char">
    <w:name w:val="Heading 4 Char"/>
    <w:aliases w:val="4 Char,H4 Char,Titre 41 Char,t4.T4 Char,t4 Char,Chapitre 1.1.1. Char,Alinéa Char,dash Char,h4 Char,Ref Heading 1 Char,rh1 Char,First Subheading Char,T4 Char,t4.T4.Titre 4 Char,heading 4 Char,l4 Char,I4 Char,(Shift Ctrl 4) Char"/>
    <w:link w:val="Heading4"/>
    <w:rPr>
      <w:b/>
      <w:smallCaps/>
      <w:color w:val="000080"/>
      <w:sz w:val="24"/>
    </w:rPr>
  </w:style>
  <w:style w:type="paragraph" w:styleId="BodyTextIndent">
    <w:name w:val="Body Text Indent"/>
    <w:basedOn w:val="Normal"/>
    <w:pPr>
      <w:numPr>
        <w:numId w:val="18"/>
      </w:numPr>
      <w:tabs>
        <w:tab w:val="clear" w:pos="283"/>
      </w:tabs>
      <w:ind w:firstLine="0"/>
      <w:jc w:val="both"/>
    </w:pPr>
    <w:rPr>
      <w:rFonts w:ascii="Times New Roman" w:hAnsi="Times New Roman"/>
      <w:sz w:val="22"/>
    </w:rPr>
  </w:style>
  <w:style w:type="character" w:customStyle="1" w:styleId="Text2Char">
    <w:name w:val="Text 2 Char"/>
    <w:link w:val="Text2"/>
    <w:rPr>
      <w:rFonts w:ascii="TimesNewRoman" w:hAnsi="TimesNewRoman"/>
      <w:lang w:val="pl-PL" w:eastAsia="pl-PL" w:bidi="pl-PL"/>
    </w:rPr>
  </w:style>
  <w:style w:type="character" w:styleId="HTMLCode">
    <w:name w:val="HTML Code"/>
    <w:semiHidden/>
    <w:unhideWhenUsed/>
    <w:rPr>
      <w:rFonts w:ascii="Courier New" w:eastAsia="Times New Roman" w:hAnsi="Courier New" w:cs="Courier New"/>
      <w:sz w:val="20"/>
      <w:szCs w:val="20"/>
    </w:rPr>
  </w:style>
  <w:style w:type="character" w:customStyle="1" w:styleId="Heading2Char2">
    <w:name w:val="Heading 2 Char2"/>
    <w:aliases w:val="Heading 2 Char1 Char,Heading 2 Char Char Char,Heading 2 Char Char1"/>
    <w:locked/>
    <w:rPr>
      <w:b/>
      <w:sz w:val="24"/>
      <w:lang w:val="pl-PL" w:eastAsia="pl-PL" w:bidi="pl-PL"/>
    </w:rPr>
  </w:style>
  <w:style w:type="paragraph" w:customStyle="1" w:styleId="NumPar1">
    <w:name w:val="NumPar 1"/>
    <w:basedOn w:val="Normal"/>
    <w:next w:val="Normal"/>
    <w:pPr>
      <w:numPr>
        <w:numId w:val="21"/>
      </w:numPr>
      <w:spacing w:before="120"/>
      <w:jc w:val="both"/>
    </w:pPr>
    <w:rPr>
      <w:rFonts w:ascii="Times New Roman" w:hAnsi="Times New Roman"/>
      <w:sz w:val="24"/>
      <w:szCs w:val="24"/>
    </w:rPr>
  </w:style>
  <w:style w:type="paragraph" w:customStyle="1" w:styleId="NumPar2">
    <w:name w:val="NumPar 2"/>
    <w:basedOn w:val="Normal"/>
    <w:next w:val="Normal"/>
    <w:pPr>
      <w:numPr>
        <w:ilvl w:val="1"/>
        <w:numId w:val="21"/>
      </w:numPr>
      <w:spacing w:before="120"/>
      <w:jc w:val="both"/>
    </w:pPr>
    <w:rPr>
      <w:rFonts w:ascii="Times New Roman" w:hAnsi="Times New Roman"/>
      <w:sz w:val="24"/>
      <w:szCs w:val="24"/>
    </w:rPr>
  </w:style>
  <w:style w:type="paragraph" w:customStyle="1" w:styleId="NumPar3">
    <w:name w:val="NumPar 3"/>
    <w:basedOn w:val="Normal"/>
    <w:next w:val="Normal"/>
    <w:pPr>
      <w:numPr>
        <w:ilvl w:val="2"/>
        <w:numId w:val="21"/>
      </w:numPr>
      <w:spacing w:before="120"/>
      <w:jc w:val="both"/>
    </w:pPr>
    <w:rPr>
      <w:rFonts w:ascii="Times New Roman" w:hAnsi="Times New Roman"/>
      <w:sz w:val="24"/>
      <w:szCs w:val="24"/>
    </w:rPr>
  </w:style>
  <w:style w:type="paragraph" w:customStyle="1" w:styleId="NumPar4">
    <w:name w:val="NumPar 4"/>
    <w:basedOn w:val="Normal"/>
    <w:next w:val="Normal"/>
    <w:pPr>
      <w:numPr>
        <w:ilvl w:val="3"/>
        <w:numId w:val="21"/>
      </w:numPr>
      <w:spacing w:before="120"/>
      <w:jc w:val="both"/>
    </w:pPr>
    <w:rPr>
      <w:rFonts w:ascii="Times New Roman" w:hAnsi="Times New Roman"/>
      <w:sz w:val="24"/>
      <w:szCs w:val="24"/>
    </w:rPr>
  </w:style>
  <w:style w:type="paragraph" w:styleId="ListParagraph">
    <w:name w:val="List Paragraph"/>
    <w:basedOn w:val="Normal"/>
    <w:uiPriority w:val="34"/>
    <w:qFormat/>
    <w:pPr>
      <w:spacing w:after="0"/>
      <w:ind w:left="720"/>
    </w:pPr>
    <w:rPr>
      <w:rFonts w:ascii="Calibri" w:hAnsi="Calibri"/>
      <w:sz w:val="22"/>
      <w:szCs w:val="22"/>
    </w:rPr>
  </w:style>
  <w:style w:type="character" w:customStyle="1" w:styleId="CommentTextChar">
    <w:name w:val="Comment Text Char"/>
    <w:basedOn w:val="DefaultParagraphFont"/>
    <w:link w:val="CommentText"/>
    <w:semiHidden/>
    <w:rPr>
      <w:rFonts w:ascii="Arial" w:hAnsi="Arial"/>
      <w:lang w:eastAsia="pl-PL"/>
    </w:rPr>
  </w:style>
  <w:style w:type="paragraph" w:styleId="Revision">
    <w:name w:val="Revision"/>
    <w:hidden/>
    <w:uiPriority w:val="99"/>
    <w:semiHidden/>
    <w:rPr>
      <w:sz w:val="18"/>
    </w:rPr>
  </w:style>
  <w:style w:type="character" w:customStyle="1" w:styleId="FootnoteTextChar">
    <w:name w:val="Footnote Text Char"/>
    <w:basedOn w:val="DefaultParagraphFont"/>
    <w:link w:val="FootnoteText"/>
    <w:semiHidden/>
    <w:rPr>
      <w:rFonts w:ascii="Arial" w:hAnsi="Arial"/>
      <w:sz w:val="16"/>
      <w:lang w:eastAsia="pl-PL"/>
    </w:rPr>
  </w:style>
  <w:style w:type="paragraph" w:styleId="EndnoteText">
    <w:name w:val="endnote text"/>
    <w:basedOn w:val="Normal"/>
    <w:link w:val="EndnoteTextChar"/>
    <w:semiHidden/>
    <w:unhideWhenUsed/>
    <w:pPr>
      <w:spacing w:after="0"/>
    </w:p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eastAsiaTheme="minorHAnsi" w:hAnsi="Times New Roman" w:cs="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color w:val="000080"/>
      <w:sz w:val="24"/>
    </w:rPr>
  </w:style>
  <w:style w:type="character" w:customStyle="1" w:styleId="TitleChar">
    <w:name w:val="Title Char"/>
    <w:basedOn w:val="DefaultParagraphFont"/>
    <w:link w:val="Title"/>
    <w:rPr>
      <w:b/>
      <w:caps/>
      <w:color w:val="000080"/>
      <w:sz w:val="32"/>
    </w:rPr>
  </w:style>
  <w:style w:type="character" w:customStyle="1" w:styleId="FooterCoverPageChar">
    <w:name w:val="Footer Cover Page Char"/>
    <w:basedOn w:val="TitleChar"/>
    <w:link w:val="FooterCoverPage"/>
    <w:rPr>
      <w:rFonts w:ascii="Times New Roman" w:hAnsi="Times New Roman" w:cs="Times New Roman"/>
      <w:b w:val="0"/>
      <w:caps w:val="0"/>
      <w:color w:val="000080"/>
      <w:sz w:val="24"/>
    </w:rPr>
  </w:style>
  <w:style w:type="paragraph" w:customStyle="1" w:styleId="HeaderCoverPage">
    <w:name w:val="Header Cover Page"/>
    <w:basedOn w:val="Normal"/>
    <w:link w:val="HeaderCoverPageChar"/>
    <w:pPr>
      <w:tabs>
        <w:tab w:val="center" w:pos="4535"/>
        <w:tab w:val="right" w:pos="9071"/>
      </w:tabs>
      <w:jc w:val="both"/>
    </w:pPr>
    <w:rPr>
      <w:rFonts w:ascii="Times New Roman" w:hAnsi="Times New Roman" w:cs="Times New Roman"/>
      <w:color w:val="000080"/>
      <w:sz w:val="24"/>
    </w:rPr>
  </w:style>
  <w:style w:type="character" w:customStyle="1" w:styleId="HeaderCoverPageChar">
    <w:name w:val="Header Cover Page Char"/>
    <w:basedOn w:val="TitleChar"/>
    <w:link w:val="HeaderCoverPage"/>
    <w:rPr>
      <w:rFonts w:ascii="Times New Roman" w:hAnsi="Times New Roman" w:cs="Times New Roman"/>
      <w:b w:val="0"/>
      <w:caps w:val="0"/>
      <w:color w:val="000080"/>
      <w:sz w:val="24"/>
    </w:rPr>
  </w:style>
  <w:style w:type="character" w:customStyle="1" w:styleId="FooterChar">
    <w:name w:val="Footer Char"/>
    <w:aliases w:val="Footer CFMU Char"/>
    <w:basedOn w:val="DefaultParagraphFont"/>
    <w:link w:val="Footer"/>
    <w:uiPriority w:val="99"/>
    <w:rPr>
      <w:b/>
      <w:bCs/>
      <w:color w:val="00008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76491">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452403425">
      <w:bodyDiv w:val="1"/>
      <w:marLeft w:val="0"/>
      <w:marRight w:val="0"/>
      <w:marTop w:val="0"/>
      <w:marBottom w:val="0"/>
      <w:divBdr>
        <w:top w:val="none" w:sz="0" w:space="0" w:color="auto"/>
        <w:left w:val="none" w:sz="0" w:space="0" w:color="auto"/>
        <w:bottom w:val="none" w:sz="0" w:space="0" w:color="auto"/>
        <w:right w:val="none" w:sz="0" w:space="0" w:color="auto"/>
      </w:divBdr>
    </w:div>
    <w:div w:id="662397485">
      <w:bodyDiv w:val="1"/>
      <w:marLeft w:val="0"/>
      <w:marRight w:val="0"/>
      <w:marTop w:val="0"/>
      <w:marBottom w:val="0"/>
      <w:divBdr>
        <w:top w:val="none" w:sz="0" w:space="0" w:color="auto"/>
        <w:left w:val="none" w:sz="0" w:space="0" w:color="auto"/>
        <w:bottom w:val="none" w:sz="0" w:space="0" w:color="auto"/>
        <w:right w:val="none" w:sz="0" w:space="0" w:color="auto"/>
      </w:divBdr>
    </w:div>
    <w:div w:id="814957810">
      <w:bodyDiv w:val="1"/>
      <w:marLeft w:val="0"/>
      <w:marRight w:val="0"/>
      <w:marTop w:val="0"/>
      <w:marBottom w:val="0"/>
      <w:divBdr>
        <w:top w:val="none" w:sz="0" w:space="0" w:color="auto"/>
        <w:left w:val="none" w:sz="0" w:space="0" w:color="auto"/>
        <w:bottom w:val="none" w:sz="0" w:space="0" w:color="auto"/>
        <w:right w:val="none" w:sz="0" w:space="0" w:color="auto"/>
      </w:divBdr>
    </w:div>
    <w:div w:id="852457057">
      <w:bodyDiv w:val="1"/>
      <w:marLeft w:val="0"/>
      <w:marRight w:val="0"/>
      <w:marTop w:val="0"/>
      <w:marBottom w:val="0"/>
      <w:divBdr>
        <w:top w:val="none" w:sz="0" w:space="0" w:color="auto"/>
        <w:left w:val="none" w:sz="0" w:space="0" w:color="auto"/>
        <w:bottom w:val="none" w:sz="0" w:space="0" w:color="auto"/>
        <w:right w:val="none" w:sz="0" w:space="0" w:color="auto"/>
      </w:divBdr>
    </w:div>
    <w:div w:id="937715902">
      <w:bodyDiv w:val="1"/>
      <w:marLeft w:val="0"/>
      <w:marRight w:val="0"/>
      <w:marTop w:val="0"/>
      <w:marBottom w:val="0"/>
      <w:divBdr>
        <w:top w:val="none" w:sz="0" w:space="0" w:color="auto"/>
        <w:left w:val="none" w:sz="0" w:space="0" w:color="auto"/>
        <w:bottom w:val="none" w:sz="0" w:space="0" w:color="auto"/>
        <w:right w:val="none" w:sz="0" w:space="0" w:color="auto"/>
      </w:divBdr>
    </w:div>
    <w:div w:id="976498224">
      <w:bodyDiv w:val="1"/>
      <w:marLeft w:val="0"/>
      <w:marRight w:val="0"/>
      <w:marTop w:val="0"/>
      <w:marBottom w:val="0"/>
      <w:divBdr>
        <w:top w:val="none" w:sz="0" w:space="0" w:color="auto"/>
        <w:left w:val="none" w:sz="0" w:space="0" w:color="auto"/>
        <w:bottom w:val="none" w:sz="0" w:space="0" w:color="auto"/>
        <w:right w:val="none" w:sz="0" w:space="0" w:color="auto"/>
      </w:divBdr>
    </w:div>
    <w:div w:id="1193766090">
      <w:bodyDiv w:val="1"/>
      <w:marLeft w:val="0"/>
      <w:marRight w:val="0"/>
      <w:marTop w:val="0"/>
      <w:marBottom w:val="0"/>
      <w:divBdr>
        <w:top w:val="none" w:sz="0" w:space="0" w:color="auto"/>
        <w:left w:val="none" w:sz="0" w:space="0" w:color="auto"/>
        <w:bottom w:val="none" w:sz="0" w:space="0" w:color="auto"/>
        <w:right w:val="none" w:sz="0" w:space="0" w:color="auto"/>
      </w:divBdr>
    </w:div>
    <w:div w:id="1221405828">
      <w:bodyDiv w:val="1"/>
      <w:marLeft w:val="0"/>
      <w:marRight w:val="0"/>
      <w:marTop w:val="0"/>
      <w:marBottom w:val="0"/>
      <w:divBdr>
        <w:top w:val="none" w:sz="0" w:space="0" w:color="auto"/>
        <w:left w:val="none" w:sz="0" w:space="0" w:color="auto"/>
        <w:bottom w:val="none" w:sz="0" w:space="0" w:color="auto"/>
        <w:right w:val="none" w:sz="0" w:space="0" w:color="auto"/>
      </w:divBdr>
    </w:div>
    <w:div w:id="1259944273">
      <w:bodyDiv w:val="1"/>
      <w:marLeft w:val="0"/>
      <w:marRight w:val="0"/>
      <w:marTop w:val="0"/>
      <w:marBottom w:val="0"/>
      <w:divBdr>
        <w:top w:val="none" w:sz="0" w:space="0" w:color="auto"/>
        <w:left w:val="none" w:sz="0" w:space="0" w:color="auto"/>
        <w:bottom w:val="none" w:sz="0" w:space="0" w:color="auto"/>
        <w:right w:val="none" w:sz="0" w:space="0" w:color="auto"/>
      </w:divBdr>
    </w:div>
    <w:div w:id="1512455331">
      <w:bodyDiv w:val="1"/>
      <w:marLeft w:val="0"/>
      <w:marRight w:val="0"/>
      <w:marTop w:val="0"/>
      <w:marBottom w:val="0"/>
      <w:divBdr>
        <w:top w:val="none" w:sz="0" w:space="0" w:color="auto"/>
        <w:left w:val="none" w:sz="0" w:space="0" w:color="auto"/>
        <w:bottom w:val="none" w:sz="0" w:space="0" w:color="auto"/>
        <w:right w:val="none" w:sz="0" w:space="0" w:color="auto"/>
      </w:divBdr>
    </w:div>
    <w:div w:id="1895656447">
      <w:bodyDiv w:val="1"/>
      <w:marLeft w:val="0"/>
      <w:marRight w:val="0"/>
      <w:marTop w:val="0"/>
      <w:marBottom w:val="0"/>
      <w:divBdr>
        <w:top w:val="none" w:sz="0" w:space="0" w:color="auto"/>
        <w:left w:val="none" w:sz="0" w:space="0" w:color="auto"/>
        <w:bottom w:val="none" w:sz="0" w:space="0" w:color="auto"/>
        <w:right w:val="none" w:sz="0" w:space="0" w:color="auto"/>
      </w:divBdr>
    </w:div>
    <w:div w:id="2029091440">
      <w:bodyDiv w:val="1"/>
      <w:marLeft w:val="0"/>
      <w:marRight w:val="0"/>
      <w:marTop w:val="0"/>
      <w:marBottom w:val="0"/>
      <w:divBdr>
        <w:top w:val="none" w:sz="0" w:space="0" w:color="auto"/>
        <w:left w:val="none" w:sz="0" w:space="0" w:color="auto"/>
        <w:bottom w:val="none" w:sz="0" w:space="0" w:color="auto"/>
        <w:right w:val="none" w:sz="0" w:space="0" w:color="auto"/>
      </w:divBdr>
    </w:div>
    <w:div w:id="210580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footer" Target="footer5.xml"/><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footer" Target="footer4.xml"/><Relationship Id="rId48"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stat/statistics-explained/index.php/File:N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Status xmlns="c731397e-20a8-4749-99e2-8e0275fdae34">Not Started</EC_Collab_Status>
    <_Status xmlns="http://schemas.microsoft.com/sharepoint/v3/fields">Not Started</_Status>
    <EC_Collab_DocumentLanguage xmlns="c731397e-20a8-4749-99e2-8e0275fdae34">EN</EC_Collab_DocumentLanguage>
    <EC_Collab_Reference xmlns="c731397e-20a8-4749-99e2-8e0275fdae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4C9A93EAE6201546A21F3528A97E5D9A" ma:contentTypeVersion="0" ma:contentTypeDescription="Create a new document in this library." ma:contentTypeScope="" ma:versionID="e3ee652806b97ecd207b74e02fedf038">
  <xsd:schema xmlns:xsd="http://www.w3.org/2001/XMLSchema" xmlns:xs="http://www.w3.org/2001/XMLSchema" xmlns:p="http://schemas.microsoft.com/office/2006/metadata/properties" xmlns:ns2="http://schemas.microsoft.com/sharepoint/v3/fields" xmlns:ns3="c731397e-20a8-4749-99e2-8e0275fdae34" targetNamespace="http://schemas.microsoft.com/office/2006/metadata/properties" ma:root="true" ma:fieldsID="d0c39f83f2caef7c0b04dec737714a5a" ns2:_="" ns3:_="">
    <xsd:import namespace="http://schemas.microsoft.com/sharepoint/v3/fields"/>
    <xsd:import namespace="c731397e-20a8-4749-99e2-8e0275fdae34"/>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731397e-20a8-4749-99e2-8e0275fdae3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D5847-6273-4868-8914-C1002BC9BC05}">
  <ds:schemaRefs>
    <ds:schemaRef ds:uri="http://purl.org/dc/dcmitype/"/>
    <ds:schemaRef ds:uri="http://schemas.microsoft.com/office/2006/documentManagement/types"/>
    <ds:schemaRef ds:uri="http://purl.org/dc/elements/1.1/"/>
    <ds:schemaRef ds:uri="c731397e-20a8-4749-99e2-8e0275fdae34"/>
    <ds:schemaRef ds:uri="http://schemas.openxmlformats.org/package/2006/metadata/core-properties"/>
    <ds:schemaRef ds:uri="http://schemas.microsoft.com/sharepoint/v3/fields"/>
    <ds:schemaRef ds:uri="http://www.w3.org/XML/1998/namespace"/>
    <ds:schemaRef ds:uri="http://schemas.microsoft.com/office/2006/metadata/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2AC61043-B00C-4724-A2D2-D46177033599}">
  <ds:schemaRefs>
    <ds:schemaRef ds:uri="http://schemas.microsoft.com/sharepoint/v3/contenttype/forms"/>
  </ds:schemaRefs>
</ds:datastoreItem>
</file>

<file path=customXml/itemProps3.xml><?xml version="1.0" encoding="utf-8"?>
<ds:datastoreItem xmlns:ds="http://schemas.openxmlformats.org/officeDocument/2006/customXml" ds:itemID="{8119DD89-53A6-4A33-B723-C5C47D311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731397e-20a8-4749-99e2-8e0275fda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EE95B9-289E-4EBB-8658-7361F4FE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19</Pages>
  <Words>5023</Words>
  <Characters>30190</Characters>
  <Application>Microsoft Office Word</Application>
  <DocSecurity>0</DocSecurity>
  <Lines>503</Lines>
  <Paragraphs>146</Paragraphs>
  <ScaleCrop>false</ScaleCrop>
  <HeadingPairs>
    <vt:vector size="2" baseType="variant">
      <vt:variant>
        <vt:lpstr>Title</vt:lpstr>
      </vt:variant>
      <vt:variant>
        <vt:i4>1</vt:i4>
      </vt:variant>
    </vt:vector>
  </HeadingPairs>
  <TitlesOfParts>
    <vt:vector size="1" baseType="lpstr">
      <vt:lpstr>ECRIS Statistics on the eJustice Portal 130624</vt:lpstr>
    </vt:vector>
  </TitlesOfParts>
  <Manager/>
  <Company/>
  <LinksUpToDate>false</LinksUpToDate>
  <CharactersWithSpaces>35067</CharactersWithSpaces>
  <SharedDoc>false</SharedDoc>
  <HLinks>
    <vt:vector size="198" baseType="variant">
      <vt:variant>
        <vt:i4>3604575</vt:i4>
      </vt:variant>
      <vt:variant>
        <vt:i4>204</vt:i4>
      </vt:variant>
      <vt:variant>
        <vt:i4>0</vt:i4>
      </vt:variant>
      <vt:variant>
        <vt:i4>5</vt:i4>
      </vt:variant>
      <vt:variant>
        <vt:lpwstr>mailto:JUST-CRIMINAL-RECORD@ec.europa.eu</vt:lpwstr>
      </vt:variant>
      <vt:variant>
        <vt:lpwstr/>
      </vt:variant>
      <vt:variant>
        <vt:i4>786523</vt:i4>
      </vt:variant>
      <vt:variant>
        <vt:i4>201</vt:i4>
      </vt:variant>
      <vt:variant>
        <vt:i4>0</vt:i4>
      </vt:variant>
      <vt:variant>
        <vt:i4>5</vt:i4>
      </vt:variant>
      <vt:variant>
        <vt:lpwstr>http://www.statistics.be/</vt:lpwstr>
      </vt:variant>
      <vt:variant>
        <vt:lpwstr/>
      </vt:variant>
      <vt:variant>
        <vt:i4>1376314</vt:i4>
      </vt:variant>
      <vt:variant>
        <vt:i4>191</vt:i4>
      </vt:variant>
      <vt:variant>
        <vt:i4>0</vt:i4>
      </vt:variant>
      <vt:variant>
        <vt:i4>5</vt:i4>
      </vt:variant>
      <vt:variant>
        <vt:lpwstr/>
      </vt:variant>
      <vt:variant>
        <vt:lpwstr>_Toc366161943</vt:lpwstr>
      </vt:variant>
      <vt:variant>
        <vt:i4>1376314</vt:i4>
      </vt:variant>
      <vt:variant>
        <vt:i4>185</vt:i4>
      </vt:variant>
      <vt:variant>
        <vt:i4>0</vt:i4>
      </vt:variant>
      <vt:variant>
        <vt:i4>5</vt:i4>
      </vt:variant>
      <vt:variant>
        <vt:lpwstr/>
      </vt:variant>
      <vt:variant>
        <vt:lpwstr>_Toc366161943</vt:lpwstr>
      </vt:variant>
      <vt:variant>
        <vt:i4>1376314</vt:i4>
      </vt:variant>
      <vt:variant>
        <vt:i4>179</vt:i4>
      </vt:variant>
      <vt:variant>
        <vt:i4>0</vt:i4>
      </vt:variant>
      <vt:variant>
        <vt:i4>5</vt:i4>
      </vt:variant>
      <vt:variant>
        <vt:lpwstr/>
      </vt:variant>
      <vt:variant>
        <vt:lpwstr>_Toc366161942</vt:lpwstr>
      </vt:variant>
      <vt:variant>
        <vt:i4>1376314</vt:i4>
      </vt:variant>
      <vt:variant>
        <vt:i4>173</vt:i4>
      </vt:variant>
      <vt:variant>
        <vt:i4>0</vt:i4>
      </vt:variant>
      <vt:variant>
        <vt:i4>5</vt:i4>
      </vt:variant>
      <vt:variant>
        <vt:lpwstr/>
      </vt:variant>
      <vt:variant>
        <vt:lpwstr>_Toc366161941</vt:lpwstr>
      </vt:variant>
      <vt:variant>
        <vt:i4>1376314</vt:i4>
      </vt:variant>
      <vt:variant>
        <vt:i4>167</vt:i4>
      </vt:variant>
      <vt:variant>
        <vt:i4>0</vt:i4>
      </vt:variant>
      <vt:variant>
        <vt:i4>5</vt:i4>
      </vt:variant>
      <vt:variant>
        <vt:lpwstr/>
      </vt:variant>
      <vt:variant>
        <vt:lpwstr>_Toc366161940</vt:lpwstr>
      </vt:variant>
      <vt:variant>
        <vt:i4>1179706</vt:i4>
      </vt:variant>
      <vt:variant>
        <vt:i4>161</vt:i4>
      </vt:variant>
      <vt:variant>
        <vt:i4>0</vt:i4>
      </vt:variant>
      <vt:variant>
        <vt:i4>5</vt:i4>
      </vt:variant>
      <vt:variant>
        <vt:lpwstr/>
      </vt:variant>
      <vt:variant>
        <vt:lpwstr>_Toc366161939</vt:lpwstr>
      </vt:variant>
      <vt:variant>
        <vt:i4>1179706</vt:i4>
      </vt:variant>
      <vt:variant>
        <vt:i4>155</vt:i4>
      </vt:variant>
      <vt:variant>
        <vt:i4>0</vt:i4>
      </vt:variant>
      <vt:variant>
        <vt:i4>5</vt:i4>
      </vt:variant>
      <vt:variant>
        <vt:lpwstr/>
      </vt:variant>
      <vt:variant>
        <vt:lpwstr>_Toc366161938</vt:lpwstr>
      </vt:variant>
      <vt:variant>
        <vt:i4>1179706</vt:i4>
      </vt:variant>
      <vt:variant>
        <vt:i4>149</vt:i4>
      </vt:variant>
      <vt:variant>
        <vt:i4>0</vt:i4>
      </vt:variant>
      <vt:variant>
        <vt:i4>5</vt:i4>
      </vt:variant>
      <vt:variant>
        <vt:lpwstr/>
      </vt:variant>
      <vt:variant>
        <vt:lpwstr>_Toc366161937</vt:lpwstr>
      </vt:variant>
      <vt:variant>
        <vt:i4>1179706</vt:i4>
      </vt:variant>
      <vt:variant>
        <vt:i4>143</vt:i4>
      </vt:variant>
      <vt:variant>
        <vt:i4>0</vt:i4>
      </vt:variant>
      <vt:variant>
        <vt:i4>5</vt:i4>
      </vt:variant>
      <vt:variant>
        <vt:lpwstr/>
      </vt:variant>
      <vt:variant>
        <vt:lpwstr>_Toc366161936</vt:lpwstr>
      </vt:variant>
      <vt:variant>
        <vt:i4>1179706</vt:i4>
      </vt:variant>
      <vt:variant>
        <vt:i4>137</vt:i4>
      </vt:variant>
      <vt:variant>
        <vt:i4>0</vt:i4>
      </vt:variant>
      <vt:variant>
        <vt:i4>5</vt:i4>
      </vt:variant>
      <vt:variant>
        <vt:lpwstr/>
      </vt:variant>
      <vt:variant>
        <vt:lpwstr>_Toc366161935</vt:lpwstr>
      </vt:variant>
      <vt:variant>
        <vt:i4>1179706</vt:i4>
      </vt:variant>
      <vt:variant>
        <vt:i4>131</vt:i4>
      </vt:variant>
      <vt:variant>
        <vt:i4>0</vt:i4>
      </vt:variant>
      <vt:variant>
        <vt:i4>5</vt:i4>
      </vt:variant>
      <vt:variant>
        <vt:lpwstr/>
      </vt:variant>
      <vt:variant>
        <vt:lpwstr>_Toc366161934</vt:lpwstr>
      </vt:variant>
      <vt:variant>
        <vt:i4>1179706</vt:i4>
      </vt:variant>
      <vt:variant>
        <vt:i4>125</vt:i4>
      </vt:variant>
      <vt:variant>
        <vt:i4>0</vt:i4>
      </vt:variant>
      <vt:variant>
        <vt:i4>5</vt:i4>
      </vt:variant>
      <vt:variant>
        <vt:lpwstr/>
      </vt:variant>
      <vt:variant>
        <vt:lpwstr>_Toc366161933</vt:lpwstr>
      </vt:variant>
      <vt:variant>
        <vt:i4>1179706</vt:i4>
      </vt:variant>
      <vt:variant>
        <vt:i4>119</vt:i4>
      </vt:variant>
      <vt:variant>
        <vt:i4>0</vt:i4>
      </vt:variant>
      <vt:variant>
        <vt:i4>5</vt:i4>
      </vt:variant>
      <vt:variant>
        <vt:lpwstr/>
      </vt:variant>
      <vt:variant>
        <vt:lpwstr>_Toc366161932</vt:lpwstr>
      </vt:variant>
      <vt:variant>
        <vt:i4>1179706</vt:i4>
      </vt:variant>
      <vt:variant>
        <vt:i4>113</vt:i4>
      </vt:variant>
      <vt:variant>
        <vt:i4>0</vt:i4>
      </vt:variant>
      <vt:variant>
        <vt:i4>5</vt:i4>
      </vt:variant>
      <vt:variant>
        <vt:lpwstr/>
      </vt:variant>
      <vt:variant>
        <vt:lpwstr>_Toc366161931</vt:lpwstr>
      </vt:variant>
      <vt:variant>
        <vt:i4>1179706</vt:i4>
      </vt:variant>
      <vt:variant>
        <vt:i4>107</vt:i4>
      </vt:variant>
      <vt:variant>
        <vt:i4>0</vt:i4>
      </vt:variant>
      <vt:variant>
        <vt:i4>5</vt:i4>
      </vt:variant>
      <vt:variant>
        <vt:lpwstr/>
      </vt:variant>
      <vt:variant>
        <vt:lpwstr>_Toc366161930</vt:lpwstr>
      </vt:variant>
      <vt:variant>
        <vt:i4>1245242</vt:i4>
      </vt:variant>
      <vt:variant>
        <vt:i4>101</vt:i4>
      </vt:variant>
      <vt:variant>
        <vt:i4>0</vt:i4>
      </vt:variant>
      <vt:variant>
        <vt:i4>5</vt:i4>
      </vt:variant>
      <vt:variant>
        <vt:lpwstr/>
      </vt:variant>
      <vt:variant>
        <vt:lpwstr>_Toc366161929</vt:lpwstr>
      </vt:variant>
      <vt:variant>
        <vt:i4>1245242</vt:i4>
      </vt:variant>
      <vt:variant>
        <vt:i4>95</vt:i4>
      </vt:variant>
      <vt:variant>
        <vt:i4>0</vt:i4>
      </vt:variant>
      <vt:variant>
        <vt:i4>5</vt:i4>
      </vt:variant>
      <vt:variant>
        <vt:lpwstr/>
      </vt:variant>
      <vt:variant>
        <vt:lpwstr>_Toc366161928</vt:lpwstr>
      </vt:variant>
      <vt:variant>
        <vt:i4>1245242</vt:i4>
      </vt:variant>
      <vt:variant>
        <vt:i4>89</vt:i4>
      </vt:variant>
      <vt:variant>
        <vt:i4>0</vt:i4>
      </vt:variant>
      <vt:variant>
        <vt:i4>5</vt:i4>
      </vt:variant>
      <vt:variant>
        <vt:lpwstr/>
      </vt:variant>
      <vt:variant>
        <vt:lpwstr>_Toc366161927</vt:lpwstr>
      </vt:variant>
      <vt:variant>
        <vt:i4>1245242</vt:i4>
      </vt:variant>
      <vt:variant>
        <vt:i4>83</vt:i4>
      </vt:variant>
      <vt:variant>
        <vt:i4>0</vt:i4>
      </vt:variant>
      <vt:variant>
        <vt:i4>5</vt:i4>
      </vt:variant>
      <vt:variant>
        <vt:lpwstr/>
      </vt:variant>
      <vt:variant>
        <vt:lpwstr>_Toc366161926</vt:lpwstr>
      </vt:variant>
      <vt:variant>
        <vt:i4>1245242</vt:i4>
      </vt:variant>
      <vt:variant>
        <vt:i4>77</vt:i4>
      </vt:variant>
      <vt:variant>
        <vt:i4>0</vt:i4>
      </vt:variant>
      <vt:variant>
        <vt:i4>5</vt:i4>
      </vt:variant>
      <vt:variant>
        <vt:lpwstr/>
      </vt:variant>
      <vt:variant>
        <vt:lpwstr>_Toc366161925</vt:lpwstr>
      </vt:variant>
      <vt:variant>
        <vt:i4>1245242</vt:i4>
      </vt:variant>
      <vt:variant>
        <vt:i4>71</vt:i4>
      </vt:variant>
      <vt:variant>
        <vt:i4>0</vt:i4>
      </vt:variant>
      <vt:variant>
        <vt:i4>5</vt:i4>
      </vt:variant>
      <vt:variant>
        <vt:lpwstr/>
      </vt:variant>
      <vt:variant>
        <vt:lpwstr>_Toc366161924</vt:lpwstr>
      </vt:variant>
      <vt:variant>
        <vt:i4>1245242</vt:i4>
      </vt:variant>
      <vt:variant>
        <vt:i4>65</vt:i4>
      </vt:variant>
      <vt:variant>
        <vt:i4>0</vt:i4>
      </vt:variant>
      <vt:variant>
        <vt:i4>5</vt:i4>
      </vt:variant>
      <vt:variant>
        <vt:lpwstr/>
      </vt:variant>
      <vt:variant>
        <vt:lpwstr>_Toc366161923</vt:lpwstr>
      </vt:variant>
      <vt:variant>
        <vt:i4>1245242</vt:i4>
      </vt:variant>
      <vt:variant>
        <vt:i4>59</vt:i4>
      </vt:variant>
      <vt:variant>
        <vt:i4>0</vt:i4>
      </vt:variant>
      <vt:variant>
        <vt:i4>5</vt:i4>
      </vt:variant>
      <vt:variant>
        <vt:lpwstr/>
      </vt:variant>
      <vt:variant>
        <vt:lpwstr>_Toc366161922</vt:lpwstr>
      </vt:variant>
      <vt:variant>
        <vt:i4>1245242</vt:i4>
      </vt:variant>
      <vt:variant>
        <vt:i4>53</vt:i4>
      </vt:variant>
      <vt:variant>
        <vt:i4>0</vt:i4>
      </vt:variant>
      <vt:variant>
        <vt:i4>5</vt:i4>
      </vt:variant>
      <vt:variant>
        <vt:lpwstr/>
      </vt:variant>
      <vt:variant>
        <vt:lpwstr>_Toc366161921</vt:lpwstr>
      </vt:variant>
      <vt:variant>
        <vt:i4>1245242</vt:i4>
      </vt:variant>
      <vt:variant>
        <vt:i4>47</vt:i4>
      </vt:variant>
      <vt:variant>
        <vt:i4>0</vt:i4>
      </vt:variant>
      <vt:variant>
        <vt:i4>5</vt:i4>
      </vt:variant>
      <vt:variant>
        <vt:lpwstr/>
      </vt:variant>
      <vt:variant>
        <vt:lpwstr>_Toc366161920</vt:lpwstr>
      </vt:variant>
      <vt:variant>
        <vt:i4>1048634</vt:i4>
      </vt:variant>
      <vt:variant>
        <vt:i4>41</vt:i4>
      </vt:variant>
      <vt:variant>
        <vt:i4>0</vt:i4>
      </vt:variant>
      <vt:variant>
        <vt:i4>5</vt:i4>
      </vt:variant>
      <vt:variant>
        <vt:lpwstr/>
      </vt:variant>
      <vt:variant>
        <vt:lpwstr>_Toc366161919</vt:lpwstr>
      </vt:variant>
      <vt:variant>
        <vt:i4>1048634</vt:i4>
      </vt:variant>
      <vt:variant>
        <vt:i4>35</vt:i4>
      </vt:variant>
      <vt:variant>
        <vt:i4>0</vt:i4>
      </vt:variant>
      <vt:variant>
        <vt:i4>5</vt:i4>
      </vt:variant>
      <vt:variant>
        <vt:lpwstr/>
      </vt:variant>
      <vt:variant>
        <vt:lpwstr>_Toc366161918</vt:lpwstr>
      </vt:variant>
      <vt:variant>
        <vt:i4>1048634</vt:i4>
      </vt:variant>
      <vt:variant>
        <vt:i4>29</vt:i4>
      </vt:variant>
      <vt:variant>
        <vt:i4>0</vt:i4>
      </vt:variant>
      <vt:variant>
        <vt:i4>5</vt:i4>
      </vt:variant>
      <vt:variant>
        <vt:lpwstr/>
      </vt:variant>
      <vt:variant>
        <vt:lpwstr>_Toc366161917</vt:lpwstr>
      </vt:variant>
      <vt:variant>
        <vt:i4>1048634</vt:i4>
      </vt:variant>
      <vt:variant>
        <vt:i4>23</vt:i4>
      </vt:variant>
      <vt:variant>
        <vt:i4>0</vt:i4>
      </vt:variant>
      <vt:variant>
        <vt:i4>5</vt:i4>
      </vt:variant>
      <vt:variant>
        <vt:lpwstr/>
      </vt:variant>
      <vt:variant>
        <vt:lpwstr>_Toc366161916</vt:lpwstr>
      </vt:variant>
      <vt:variant>
        <vt:i4>1048634</vt:i4>
      </vt:variant>
      <vt:variant>
        <vt:i4>17</vt:i4>
      </vt:variant>
      <vt:variant>
        <vt:i4>0</vt:i4>
      </vt:variant>
      <vt:variant>
        <vt:i4>5</vt:i4>
      </vt:variant>
      <vt:variant>
        <vt:lpwstr/>
      </vt:variant>
      <vt:variant>
        <vt:lpwstr>_Toc366161915</vt:lpwstr>
      </vt:variant>
      <vt:variant>
        <vt:i4>1048634</vt:i4>
      </vt:variant>
      <vt:variant>
        <vt:i4>11</vt:i4>
      </vt:variant>
      <vt:variant>
        <vt:i4>0</vt:i4>
      </vt:variant>
      <vt:variant>
        <vt:i4>5</vt:i4>
      </vt:variant>
      <vt:variant>
        <vt:lpwstr/>
      </vt:variant>
      <vt:variant>
        <vt:lpwstr>_Toc366161914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ECRIS Statistics on the eJustice Portal 130624</dc:title>
  <dc:subject>ECRIS Statistics on the eJustice Portal</dc:subject>
  <dc:creator/>
  <cp:lastModifiedBy>DIGIT/A3</cp:lastModifiedBy>
  <cp:revision>23</cp:revision>
  <cp:lastPrinted>2017-05-10T12:22:00Z</cp:lastPrinted>
  <dcterms:created xsi:type="dcterms:W3CDTF">2017-07-18T09:31:00Z</dcterms:created>
  <dcterms:modified xsi:type="dcterms:W3CDTF">2017-07-25T15:10:00Z</dcterms:modified>
  <cp:contentStatus>Issued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0.2</vt:lpwstr>
  </property>
  <property fmtid="{D5CDD505-2E9C-101B-9397-08002B2CF9AE}" pid="3" name="Date completed">
    <vt:lpwstr>X/09/2013</vt:lpwstr>
  </property>
  <property fmtid="{D5CDD505-2E9C-101B-9397-08002B2CF9AE}" pid="4" name="Status">
    <vt:lpwstr>Issued</vt:lpwstr>
  </property>
  <property fmtid="{D5CDD505-2E9C-101B-9397-08002B2CF9AE}" pid="5" name="Document">
    <vt:lpwstr>01_ECRIS Statistics on the Ejustice Portalv0.1</vt:lpwstr>
  </property>
  <property fmtid="{D5CDD505-2E9C-101B-9397-08002B2CF9AE}" pid="6" name="_DocHome">
    <vt:i4>-683753521</vt:i4>
  </property>
  <property fmtid="{D5CDD505-2E9C-101B-9397-08002B2CF9AE}" pid="7" name="ContentTypeId">
    <vt:lpwstr>0x010100258AA79CEB83498886A3A08681123250004C9A93EAE6201546A21F3528A97E5D9A</vt:lpwstr>
  </property>
  <property fmtid="{D5CDD505-2E9C-101B-9397-08002B2CF9AE}" pid="8" name="Part">
    <vt:lpwstr>1</vt:lpwstr>
  </property>
  <property fmtid="{D5CDD505-2E9C-101B-9397-08002B2CF9AE}" pid="9" name="Total parts">
    <vt:lpwstr>1</vt:lpwstr>
  </property>
  <property fmtid="{D5CDD505-2E9C-101B-9397-08002B2CF9AE}" pid="10" name="Classification">
    <vt:lpwstr> </vt:lpwstr>
  </property>
  <property fmtid="{D5CDD505-2E9C-101B-9397-08002B2CF9AE}" pid="11" name="DocStatus">
    <vt:lpwstr>Green</vt:lpwstr>
  </property>
</Properties>
</file>