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522323CEB864758A36358F10DEDEE65"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ANHANG</w:t>
      </w:r>
    </w:p>
    <w:p>
      <w:pPr>
        <w:pStyle w:val="Accompagnant"/>
        <w:rPr>
          <w:noProof/>
        </w:rPr>
      </w:pPr>
      <w:r>
        <w:rPr>
          <w:noProof/>
        </w:rPr>
        <w:t>zu dem</w:t>
      </w:r>
    </w:p>
    <w:p>
      <w:pPr>
        <w:pStyle w:val="Typeacteprincipal"/>
        <w:rPr>
          <w:noProof/>
        </w:rPr>
      </w:pPr>
      <w:r>
        <w:rPr>
          <w:noProof/>
        </w:rPr>
        <w:t>Vorschlag für einen Beschluss des Rates</w:t>
      </w:r>
    </w:p>
    <w:p>
      <w:pPr>
        <w:pStyle w:val="Objetacteprincipal"/>
        <w:rPr>
          <w:noProof/>
        </w:rPr>
      </w:pPr>
      <w:r>
        <w:rPr>
          <w:noProof/>
        </w:rPr>
        <w:t>über die Unterzeichnung des Abkommens zwischen der Europäischen Union und Barbados zur Änderung des Abkommens zwischen der Europäischen Gemeinschaft und Barbados über die Befreiung von der Visumpflicht für Kurzaufenthalte</w:t>
      </w:r>
    </w:p>
    <w:p>
      <w:pPr>
        <w:rPr>
          <w:noProof/>
        </w:rPr>
      </w:pPr>
      <w:r>
        <w:rPr>
          <w:noProof/>
        </w:rPr>
        <w:br w:type="page"/>
      </w:r>
    </w:p>
    <w:p>
      <w:pPr>
        <w:jc w:val="center"/>
        <w:rPr>
          <w:b/>
          <w:noProof/>
          <w:szCs w:val="24"/>
        </w:rPr>
      </w:pPr>
      <w:r>
        <w:rPr>
          <w:b/>
          <w:noProof/>
        </w:rPr>
        <w:lastRenderedPageBreak/>
        <w:t>ABKOMMEN</w:t>
      </w:r>
    </w:p>
    <w:p>
      <w:pPr>
        <w:jc w:val="center"/>
        <w:rPr>
          <w:b/>
          <w:noProof/>
          <w:szCs w:val="24"/>
        </w:rPr>
      </w:pPr>
      <w:r>
        <w:rPr>
          <w:b/>
          <w:noProof/>
        </w:rPr>
        <w:t xml:space="preserve">zwischen der Europäischen Union und </w:t>
      </w:r>
      <w:r>
        <w:rPr>
          <w:rStyle w:val="Strong"/>
          <w:noProof/>
        </w:rPr>
        <w:t xml:space="preserve">Barbados </w:t>
      </w:r>
      <w:r>
        <w:rPr>
          <w:b/>
          <w:noProof/>
        </w:rPr>
        <w:t xml:space="preserve">zur Änderung des Abkommens zwischen der Europäischen Gemeinschaft und </w:t>
      </w:r>
      <w:r>
        <w:rPr>
          <w:rStyle w:val="Strong"/>
          <w:noProof/>
        </w:rPr>
        <w:t xml:space="preserve">Barbados </w:t>
      </w:r>
      <w:r>
        <w:rPr>
          <w:b/>
          <w:noProof/>
        </w:rPr>
        <w:t>über die Befreiung von der Visumpflicht für Kurzaufenthalte</w:t>
      </w:r>
    </w:p>
    <w:p>
      <w:pPr>
        <w:rPr>
          <w:noProof/>
          <w:szCs w:val="24"/>
        </w:rPr>
      </w:pPr>
      <w:r>
        <w:rPr>
          <w:noProof/>
        </w:rPr>
        <w:t>DIE EUROPÄISCHE UNION</w:t>
      </w:r>
    </w:p>
    <w:p>
      <w:pPr>
        <w:rPr>
          <w:noProof/>
          <w:szCs w:val="24"/>
        </w:rPr>
      </w:pPr>
      <w:r>
        <w:rPr>
          <w:noProof/>
        </w:rPr>
        <w:t xml:space="preserve">einerseits und </w:t>
      </w:r>
    </w:p>
    <w:p>
      <w:pPr>
        <w:rPr>
          <w:noProof/>
          <w:szCs w:val="24"/>
        </w:rPr>
      </w:pPr>
      <w:r>
        <w:rPr>
          <w:noProof/>
        </w:rPr>
        <w:t>BARBADOS</w:t>
      </w:r>
    </w:p>
    <w:p>
      <w:pPr>
        <w:rPr>
          <w:noProof/>
          <w:szCs w:val="24"/>
        </w:rPr>
      </w:pPr>
      <w:r>
        <w:rPr>
          <w:noProof/>
        </w:rPr>
        <w:t xml:space="preserve">andererseits, </w:t>
      </w:r>
    </w:p>
    <w:p>
      <w:pPr>
        <w:rPr>
          <w:noProof/>
          <w:szCs w:val="24"/>
        </w:rPr>
      </w:pPr>
      <w:r>
        <w:rPr>
          <w:noProof/>
        </w:rPr>
        <w:t>im Folgenden gemeinsam die „Vertragsparteien“ —</w:t>
      </w:r>
    </w:p>
    <w:p>
      <w:pPr>
        <w:rPr>
          <w:noProof/>
          <w:szCs w:val="24"/>
        </w:rPr>
      </w:pPr>
      <w:r>
        <w:rPr>
          <w:noProof/>
        </w:rPr>
        <w:t xml:space="preserve">GESTÜTZT auf das Abkommen zwischen der Europäischen Gemeinschaft und </w:t>
      </w:r>
      <w:r>
        <w:rPr>
          <w:rStyle w:val="Strong"/>
          <w:b w:val="0"/>
          <w:noProof/>
        </w:rPr>
        <w:t>Barbados</w:t>
      </w:r>
      <w:r>
        <w:rPr>
          <w:noProof/>
        </w:rPr>
        <w:t xml:space="preserve"> über die Befreiung von der Visumpflicht für Kurzaufenthalte (im Folgenden das „Abkommen“), das am 1. März 2010 in Kraft trat,</w:t>
      </w:r>
    </w:p>
    <w:p>
      <w:pPr>
        <w:rPr>
          <w:noProof/>
        </w:rPr>
      </w:pPr>
      <w:r>
        <w:rPr>
          <w:noProof/>
        </w:rPr>
        <w:t xml:space="preserve">IN BEKRÄFTIGUNG der Bedeutung, die der Erleichterung persönlicher Kontakte zukommt, </w:t>
      </w:r>
    </w:p>
    <w:p>
      <w:pPr>
        <w:rPr>
          <w:noProof/>
          <w:szCs w:val="24"/>
        </w:rPr>
      </w:pPr>
      <w:r>
        <w:rPr>
          <w:noProof/>
          <w:szCs w:val="24"/>
        </w:rPr>
        <w:t>IN KENNTNIS des Umstands, dass das Abkommen zur Zufriedenheit der Bürger der Vertragsparteien funktioniert,</w:t>
      </w:r>
    </w:p>
    <w:p>
      <w:pPr>
        <w:rPr>
          <w:noProof/>
          <w:szCs w:val="24"/>
        </w:rPr>
      </w:pPr>
      <w:r>
        <w:rPr>
          <w:noProof/>
        </w:rPr>
        <w:t xml:space="preserve">EINGEDENK DER TATSACHE, dass die in dem Abkommen enthaltene Definition des Kurzaufenthalts (drei Monate innerhalb eines Sechs-Monats-Zeitraums nach dem Zeitpunkt der ersten Einreise) nicht präzise genug ist und insbesondere die Formulierung „Zeitpunkt der ersten Einreise“ Unsicherheiten und Fragen auslösen kann, </w:t>
      </w:r>
    </w:p>
    <w:p>
      <w:pPr>
        <w:rPr>
          <w:noProof/>
          <w:szCs w:val="24"/>
        </w:rPr>
      </w:pPr>
      <w:r>
        <w:rPr>
          <w:noProof/>
        </w:rPr>
        <w:t xml:space="preserve">IN ANBETRACHT DESSEN, dass mit der Verordnung (EU) Nr. 610/2013 vom 26. Juni 2013 horizontale Änderungen am „internen“ Besitzstand der EU im Bereich Visa und Grenzen vorgenommen wurden und ein Kurzaufenthalt als Aufenthalt mit einer Dauer von höchstens „90 Tagen je Zeitraum von 180 Tagen“ definiert wurde, </w:t>
      </w:r>
    </w:p>
    <w:p>
      <w:pPr>
        <w:rPr>
          <w:noProof/>
          <w:szCs w:val="24"/>
        </w:rPr>
      </w:pPr>
      <w:r>
        <w:rPr>
          <w:noProof/>
        </w:rPr>
        <w:t>EINGEDENK DER TATSACHE, dass das von der Europäischen Union einzurichtende Einreise-/Ausreisesystem eine einheitliche und eindeutige Definition des Kurzaufenthalts erfordert, die für alle Drittstaatsangehörigen gilt,</w:t>
      </w:r>
    </w:p>
    <w:p>
      <w:pPr>
        <w:rPr>
          <w:noProof/>
          <w:szCs w:val="24"/>
        </w:rPr>
      </w:pPr>
      <w:r>
        <w:rPr>
          <w:noProof/>
        </w:rPr>
        <w:t>IN DEM WUNSCH, eine zügige Abfertigung der Reisenden an den Grenzübergangsstellen der Vertragsparteien sicherzustellen,</w:t>
      </w:r>
    </w:p>
    <w:p>
      <w:pPr>
        <w:rPr>
          <w:noProof/>
          <w:szCs w:val="24"/>
        </w:rPr>
      </w:pPr>
      <w:r>
        <w:rPr>
          <w:noProof/>
        </w:rPr>
        <w:t>IN BEKRÄFTIGUNG, dass das Abkommen für die Bürger aller Mitgliedstaaten der Europäischen Union mit Ausnahme des Vereinigten Königreichs und Irlands gilt,</w:t>
      </w:r>
    </w:p>
    <w:p>
      <w:pPr>
        <w:rPr>
          <w:noProof/>
          <w:szCs w:val="24"/>
        </w:rPr>
      </w:pPr>
      <w:r>
        <w:rPr>
          <w:noProof/>
        </w:rPr>
        <w:t xml:space="preserve">UNTER BERÜCKSICHTIGUNG des Protokolls über die Position des Vereinigten Königreichs und Irlands hinsichtlich des Raums der Freiheit, der Sicherheit und des Rechts und des Protokolls über den in den Rahmen der Europäischen Union einbezogenen Schengen-Besitzstand, die dem Vertrag über die Europäische Union und dem Vertrag über die Arbeitsweise der Europäischen Union beigefügt sind, und in Bestätigung, dass die Bestimmungen dieses Abkommens nicht für das Vereinigte Königreich und Irland gelten — </w:t>
      </w:r>
    </w:p>
    <w:p>
      <w:pPr>
        <w:rPr>
          <w:noProof/>
          <w:szCs w:val="24"/>
        </w:rPr>
      </w:pPr>
      <w:r>
        <w:rPr>
          <w:noProof/>
        </w:rPr>
        <w:t>SIND WIE FOLGT ÜBEREINGEKOMMEN:</w:t>
      </w:r>
    </w:p>
    <w:p>
      <w:pPr>
        <w:pStyle w:val="Titrearticle"/>
        <w:rPr>
          <w:noProof/>
        </w:rPr>
      </w:pPr>
      <w:r>
        <w:rPr>
          <w:noProof/>
        </w:rPr>
        <w:t>Artikel 1</w:t>
      </w:r>
    </w:p>
    <w:p>
      <w:pPr>
        <w:rPr>
          <w:noProof/>
          <w:szCs w:val="24"/>
        </w:rPr>
      </w:pPr>
      <w:r>
        <w:rPr>
          <w:noProof/>
        </w:rPr>
        <w:t>Das Abkommen wird nach Maßgabe dieses Artikels geändert:</w:t>
      </w:r>
    </w:p>
    <w:p>
      <w:pPr>
        <w:pStyle w:val="Point0number"/>
        <w:numPr>
          <w:ilvl w:val="0"/>
          <w:numId w:val="8"/>
        </w:numPr>
        <w:ind w:left="851" w:hanging="851"/>
        <w:rPr>
          <w:noProof/>
        </w:rPr>
      </w:pPr>
      <w:r>
        <w:rPr>
          <w:noProof/>
        </w:rPr>
        <w:lastRenderedPageBreak/>
        <w:t>Im Titel und in Artikel 6 Absatz 1 und Artikel 8 Absatz 7 wird das Wort „Gemeinschaft“ durch das Wort „Union“ und in Artikel 3 Absatz 5 das Wort „Gemeinschaftsrecht“ durch das Wort „Unionsrecht“ ersetzt.</w:t>
      </w:r>
    </w:p>
    <w:p>
      <w:pPr>
        <w:pStyle w:val="Point0number"/>
        <w:numPr>
          <w:ilvl w:val="0"/>
          <w:numId w:val="7"/>
        </w:numPr>
        <w:ind w:left="851" w:hanging="851"/>
        <w:rPr>
          <w:noProof/>
        </w:rPr>
      </w:pPr>
      <w:r>
        <w:rPr>
          <w:noProof/>
        </w:rPr>
        <w:t>In Artikel 1 werden die Wörter „innerhalb eines Sechs-Monats-Zeitraums für höchstens drei Monate“ durch die Wörter „für höchstens 90 Tage in einem Zeitraum von 180 Tagen“ ersetzt.</w:t>
      </w:r>
    </w:p>
    <w:p>
      <w:pPr>
        <w:pStyle w:val="Point0number"/>
        <w:numPr>
          <w:ilvl w:val="0"/>
          <w:numId w:val="7"/>
        </w:numPr>
        <w:rPr>
          <w:noProof/>
        </w:rPr>
      </w:pPr>
      <w:r>
        <w:rPr>
          <w:noProof/>
        </w:rPr>
        <w:t>Artikel 4 Absatz 1 erhält folgende Fassung:</w:t>
      </w:r>
    </w:p>
    <w:p>
      <w:pPr>
        <w:ind w:left="850"/>
        <w:rPr>
          <w:noProof/>
          <w:szCs w:val="24"/>
        </w:rPr>
      </w:pPr>
      <w:r>
        <w:rPr>
          <w:noProof/>
        </w:rPr>
        <w:t>„Die Bürger der Europäischen Union dürfen sich höchstens 90 Tage in einem Zeitraum von 180 Tagen im Hoheitsgebiet von Barbados aufhalten.“</w:t>
      </w:r>
    </w:p>
    <w:p>
      <w:pPr>
        <w:pStyle w:val="Point0number"/>
        <w:numPr>
          <w:ilvl w:val="0"/>
          <w:numId w:val="7"/>
        </w:numPr>
        <w:rPr>
          <w:noProof/>
        </w:rPr>
      </w:pPr>
      <w:r>
        <w:rPr>
          <w:noProof/>
        </w:rPr>
        <w:t>Artikel 4 Absatz 2 erhält folgende Fassung:</w:t>
      </w:r>
    </w:p>
    <w:p>
      <w:pPr>
        <w:pStyle w:val="CM4"/>
        <w:spacing w:before="60" w:after="60"/>
        <w:ind w:left="850"/>
        <w:jc w:val="both"/>
        <w:rPr>
          <w:rFonts w:ascii="Times New Roman" w:hAnsi="Times New Roman"/>
          <w:noProof/>
          <w:color w:val="000000"/>
        </w:rPr>
      </w:pPr>
      <w:r>
        <w:rPr>
          <w:rFonts w:ascii="Times New Roman" w:hAnsi="Times New Roman"/>
          <w:noProof/>
          <w:color w:val="000000"/>
        </w:rPr>
        <w:t xml:space="preserve">„Die Bürger von Barbados dürfen sich höchstens 90 Tage in einem Zeitraum von 180 Tagen im Hoheitsgebiet der Mitgliedstaaten, die den Schengen-Besitzstand vollständig anwenden, aufhalten. Dieser Zeitraum wird unabhängig von einem etwaigen Aufenthalt in einem Mitgliedstaat berechnet, der den Schengen-Besitzstand noch nicht vollständig anwendet. </w:t>
      </w:r>
    </w:p>
    <w:p>
      <w:pPr>
        <w:ind w:left="850"/>
        <w:rPr>
          <w:noProof/>
          <w:szCs w:val="24"/>
        </w:rPr>
      </w:pPr>
      <w:r>
        <w:rPr>
          <w:noProof/>
        </w:rPr>
        <w:t>Unabhängig von der für das Hoheitsgebiet der den Schengen-Besitzstand vollständig anwendenden Mitgliedstaaten berechneten Aufenthaltsdauer dürfen sich die Bürger von Barbados im Hoheitsgebiet eines Mitgliedstaats, der den Schengen-Besitzstand noch nicht vollständig anwendet, jeweils höchstens 90 Tage in einem Zeitraum von 180 Tagen aufhalten.“</w:t>
      </w:r>
    </w:p>
    <w:p>
      <w:pPr>
        <w:pStyle w:val="Point0number"/>
        <w:numPr>
          <w:ilvl w:val="0"/>
          <w:numId w:val="7"/>
        </w:numPr>
        <w:rPr>
          <w:noProof/>
        </w:rPr>
      </w:pPr>
      <w:r>
        <w:rPr>
          <w:noProof/>
        </w:rPr>
        <w:t>In Artikel 4 Absatz 3 wird das Wort „Gemeinschaftsrecht“ durch die grammatikalisch korrekte Form des Wortes „Unionsrecht“ ersetzt und vor den Wörtern „zu verlängern“ werden die Wörter „über 90 Tage hinaus“ eingefügt.</w:t>
      </w:r>
    </w:p>
    <w:p>
      <w:pPr>
        <w:pStyle w:val="Point0number"/>
        <w:numPr>
          <w:ilvl w:val="0"/>
          <w:numId w:val="7"/>
        </w:numPr>
        <w:rPr>
          <w:noProof/>
        </w:rPr>
      </w:pPr>
      <w:r>
        <w:rPr>
          <w:noProof/>
        </w:rPr>
        <w:t>Artikel 8 Absatz 4 letzter Satz erhält folgende Fassung:</w:t>
      </w:r>
    </w:p>
    <w:p>
      <w:pPr>
        <w:pStyle w:val="CM4"/>
        <w:spacing w:before="60" w:after="60"/>
        <w:ind w:left="850"/>
        <w:jc w:val="both"/>
        <w:rPr>
          <w:rFonts w:ascii="Times New Roman" w:hAnsi="Times New Roman"/>
          <w:noProof/>
          <w:color w:val="000000"/>
        </w:rPr>
      </w:pPr>
      <w:r>
        <w:rPr>
          <w:rFonts w:ascii="Times New Roman" w:hAnsi="Times New Roman"/>
          <w:noProof/>
          <w:color w:val="000000"/>
        </w:rPr>
        <w:t>„Eine Vertragspartei, die die Anwendung des Abkommens ausgesetzt hat, unterrichtet unverzüglich die andere Vertragspartei, sobald die für die Aussetzung ausschlaggebenden Gründe nicht mehr bestehen, und hebt die Aussetzung auf.“</w:t>
      </w:r>
    </w:p>
    <w:p>
      <w:pPr>
        <w:pStyle w:val="Titrearticle"/>
        <w:rPr>
          <w:noProof/>
        </w:rPr>
      </w:pPr>
      <w:r>
        <w:rPr>
          <w:noProof/>
        </w:rPr>
        <w:t>Artikel 2</w:t>
      </w:r>
    </w:p>
    <w:p>
      <w:pPr>
        <w:rPr>
          <w:noProof/>
          <w:szCs w:val="24"/>
        </w:rPr>
      </w:pPr>
      <w:r>
        <w:rPr>
          <w:noProof/>
        </w:rPr>
        <w:t>Dieses Abkommen wird von den Vertragsparteien nach deren Verfahren ratifiziert oder genehmigt und tritt am ersten Tag des sechsten Monats in Kraft, der auf den Tag folgt, an dem die letzte Vertragspartei der anderen den Abschluss der hierfür erforderlichen Verfahren mitgeteilt hat.</w:t>
      </w:r>
    </w:p>
    <w:p>
      <w:pPr>
        <w:rPr>
          <w:noProof/>
          <w:sz w:val="22"/>
          <w:szCs w:val="24"/>
        </w:rPr>
      </w:pPr>
    </w:p>
    <w:p>
      <w:pPr>
        <w:rPr>
          <w:noProof/>
          <w:szCs w:val="24"/>
        </w:rPr>
      </w:pPr>
      <w:r>
        <w:rPr>
          <w:noProof/>
        </w:rPr>
        <w:t>Geschehen zu [</w:t>
      </w:r>
      <w:r>
        <w:rPr>
          <w:noProof/>
          <w:highlight w:val="yellow"/>
        </w:rPr>
        <w:t>…</w:t>
      </w:r>
      <w:r>
        <w:rPr>
          <w:noProof/>
        </w:rPr>
        <w:t>] am [</w:t>
      </w:r>
      <w:r>
        <w:rPr>
          <w:noProof/>
          <w:highlight w:val="yellow"/>
        </w:rPr>
        <w:t>…</w:t>
      </w:r>
      <w:r>
        <w:rPr>
          <w:noProof/>
        </w:rPr>
        <w:t>] [</w:t>
      </w:r>
      <w:r>
        <w:rPr>
          <w:noProof/>
          <w:highlight w:val="yellow"/>
        </w:rPr>
        <w:t>…</w:t>
      </w:r>
      <w:r>
        <w:rPr>
          <w:noProof/>
        </w:rPr>
        <w:t>] zweitausendsiebzehn in zwei Urschriften in bulgarischer, dänischer, deutscher, englischer, estnischer, finnischer, französischer, griechischer, italienischer, kroatischer, lettischer, litauischer, maltesischer, niederländischer, polnischer, portugiesischer, rumänischer, schwedischer, slowakischer, slowenischer, spanischer, tschechischer und ungarischer Sprache, wobei jeder Wortlaut gleichermaßen verbindlich ist.</w:t>
      </w:r>
    </w:p>
    <w:p>
      <w:pPr>
        <w:rPr>
          <w:noProof/>
          <w:sz w:val="22"/>
          <w:szCs w:val="24"/>
        </w:rPr>
      </w:pPr>
    </w:p>
    <w:p>
      <w:pPr>
        <w:rPr>
          <w:noProof/>
          <w:szCs w:val="24"/>
        </w:rPr>
      </w:pPr>
      <w:r>
        <w:rPr>
          <w:noProof/>
        </w:rPr>
        <w:t>Für die Europäische Union</w:t>
      </w:r>
    </w:p>
    <w:p>
      <w:pPr>
        <w:rPr>
          <w:noProof/>
          <w:sz w:val="22"/>
          <w:szCs w:val="24"/>
        </w:rPr>
      </w:pPr>
    </w:p>
    <w:p>
      <w:pPr>
        <w:ind w:left="851" w:hanging="851"/>
        <w:rPr>
          <w:noProof/>
          <w:szCs w:val="24"/>
        </w:rPr>
      </w:pPr>
      <w:r>
        <w:rPr>
          <w:noProof/>
        </w:rPr>
        <w:lastRenderedPageBreak/>
        <w:t>Für Barbados</w:t>
      </w:r>
    </w:p>
    <w:p>
      <w:pPr>
        <w:rPr>
          <w:b/>
          <w:noProof/>
          <w:szCs w:val="24"/>
        </w:rPr>
      </w:pPr>
      <w:r>
        <w:rPr>
          <w:b/>
          <w:noProof/>
        </w:rPr>
        <w:t>GEMEINSAME ERKLÄRUNG ZU ISLAND, NORWEGEN, DER SCHWEIZ UND LIECHTENSTEIN</w:t>
      </w:r>
    </w:p>
    <w:p>
      <w:pPr>
        <w:rPr>
          <w:noProof/>
          <w:color w:val="000000"/>
          <w:szCs w:val="24"/>
        </w:rPr>
      </w:pPr>
      <w:r>
        <w:rPr>
          <w:noProof/>
        </w:rPr>
        <w:t>Es ist wünschenswert, dass Island, Norwegen, die Schweiz und Liechtenstein einerseits und Barbados andererseits unverzüglich die bestehenden bilateralen Abkommen über die Befreiung von der Visumpflicht für Kurzaufenthalte im Einklang mit den Bestimmungen dieses Abkommens ändern.</w:t>
      </w:r>
    </w:p>
    <w:p>
      <w:pPr>
        <w:rPr>
          <w:b/>
          <w:caps/>
          <w:noProof/>
          <w:szCs w:val="24"/>
        </w:rPr>
      </w:pPr>
      <w:r>
        <w:rPr>
          <w:b/>
          <w:caps/>
          <w:noProof/>
        </w:rPr>
        <w:t>Gemeinsame Erklärung zur Abgrenzung des Zeitraums von 90 Tagen in einem Zeitraum von 180 Tagen</w:t>
      </w:r>
    </w:p>
    <w:p>
      <w:pPr>
        <w:rPr>
          <w:noProof/>
        </w:rPr>
      </w:pPr>
      <w:r>
        <w:rPr>
          <w:noProof/>
        </w:rPr>
        <w:t>Die Vertragsparteien vereinbaren, dass der Zeitraum von höchstens 90 Tagen in einem Zeitraum von 180 Tagen gemäß Artikel 4 des Abkommens entweder einen ununterbrochenen Aufenthalt oder mehrere aufeinanderfolgende Aufenthalte bezeichnet, deren Gesamtdauer in einem Zeitraum von 180 Tagen 90 Tage nicht übersteigt.</w:t>
      </w:r>
    </w:p>
    <w:p>
      <w:pPr>
        <w:pStyle w:val="Default"/>
        <w:jc w:val="both"/>
        <w:rPr>
          <w:noProof/>
          <w:lang w:val="de-DE"/>
        </w:rPr>
      </w:pPr>
      <w:r>
        <w:rPr>
          <w:noProof/>
          <w:lang w:val="de-DE"/>
        </w:rPr>
        <w:t>Zugrunde gelegt wird ein „gleitender“ Zeitraum von 180 Tagen, wobei rückblickend geprüft wird, ob die Vorgabe von 90 Tagen in einem Zeitraum von 180 Tagen weiterhin an jedem einzelnen Aufenthaltstag im letzten Zeitraum von 180 Tagen erfüllt ist. Unter anderem bedeutet dies, dass die Abwesenheit während eines ununterbrochenen Zeitraums von 90 Tagen zu einem neuen Aufenthalt bis zu 90 Tagen berechtigt.</w:t>
      </w:r>
    </w:p>
    <w:p>
      <w:pPr>
        <w:jc w:val="center"/>
        <w:rPr>
          <w:b/>
          <w:noProof/>
          <w:szCs w:val="24"/>
        </w:rPr>
      </w:pPr>
      <w:r>
        <w:rPr>
          <w:b/>
          <w:noProof/>
        </w:rPr>
        <w:t>________</w:t>
      </w:r>
    </w:p>
    <w:p>
      <w:pPr>
        <w:spacing w:after="100" w:afterAutospacing="1"/>
        <w:ind w:left="-284"/>
        <w:rPr>
          <w:noProof/>
        </w:rPr>
      </w:pPr>
    </w:p>
    <w:p>
      <w:pPr>
        <w:pStyle w:val="Objetacteprincipal"/>
        <w:rPr>
          <w:noProof/>
        </w:rPr>
      </w:pPr>
    </w:p>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6: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3"/>
    <w:docVar w:name="DQCStatus" w:val="Green"/>
    <w:docVar w:name="DQCVersion" w:val="3"/>
    <w:docVar w:name="DQCWithWarnings" w:val="0"/>
    <w:docVar w:name="LW_ACCOMPAGNANT.CP" w:val="zu dem"/>
    <w:docVar w:name="LW_ANNEX_NBR_FIRST" w:val="1"/>
    <w:docVar w:name="LW_ANNEX_NBR_LAST" w:val="1"/>
    <w:docVar w:name="LW_CONFIDENCE" w:val=" "/>
    <w:docVar w:name="LW_CONST_RESTREINT_UE" w:val="RESTREINT UE"/>
    <w:docVar w:name="LW_CORRIGENDUM" w:val="&lt;UNUSED&gt;"/>
    <w:docVar w:name="LW_COVERPAGE_GUID" w:val="D522323CEB864758A36358F10DEDEE65"/>
    <w:docVar w:name="LW_CROSSREFERENCE" w:val="&lt;UNUSED&gt;"/>
    <w:docVar w:name="LW_DocType" w:val="ANNEX"/>
    <w:docVar w:name="LW_EMISSION" w:val="27.7.2017"/>
    <w:docVar w:name="LW_EMISSION_ISODATE" w:val="2017-07-27"/>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CP" w:val="über die Unterzeichnung des Abkommens zwischen der Europäischen Union und Barbados zur Änderung des Abkommens zwischen der Europäischen Gemeinschaft und Barbados über die Befreiung von der Visumpflicht für Kurzaufenthalte"/>
    <w:docVar w:name="LW_PART_NBR" w:val="1"/>
    <w:docVar w:name="LW_PART_NBR_TOTAL" w:val="1"/>
    <w:docVar w:name="LW_REF.INST.NEW" w:val="COM"/>
    <w:docVar w:name="LW_REF.INST.NEW_ADOPTED" w:val="final"/>
    <w:docVar w:name="LW_REF.INST.NEW_TEXT" w:val="(2017) 403"/>
    <w:docVar w:name="LW_REF.INTERNE" w:val="&lt;UNUSED&gt;"/>
    <w:docVar w:name="LW_SUPERTITRE" w:val="&lt;UNUSED&gt;"/>
    <w:docVar w:name="LW_TITRE.OBJ.CP" w:val="&lt;UNUSED&gt;"/>
    <w:docVar w:name="LW_TYPE.DOC.CP" w:val="ANHANG"/>
    <w:docVar w:name="LW_TYPEACTEPRINCIPAL.CP" w:val="Vorschlag für einen 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5AD9-A893-4F56-8DF6-759AB564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872</Words>
  <Characters>5583</Characters>
  <Application>Microsoft Office Word</Application>
  <DocSecurity>0</DocSecurity>
  <Lines>111</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2017-07-11T10:43:00Z</dcterms:created>
  <dcterms:modified xsi:type="dcterms:W3CDTF">2017-07-26T14:46:00Z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