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47ED9A2B8624B21BFBBFDAAE80168A2" style="width:450.8pt;height:378.8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ΑΙΤΙΟΛΟΓΙΚΗ ΕΚΘΕΣΗ</w:t>
      </w:r>
    </w:p>
    <w:p>
      <w:pPr>
        <w:pStyle w:val="ManualHeading1"/>
        <w:rPr>
          <w:noProof/>
        </w:rPr>
      </w:pPr>
      <w:r>
        <w:rPr>
          <w:noProof/>
        </w:rPr>
        <w:t>1.</w:t>
      </w:r>
      <w:r>
        <w:rPr>
          <w:noProof/>
        </w:rPr>
        <w:tab/>
        <w:t>ΠΛΑΙΣΙΟ ΤΗΣ ΠΡΟΤΑΣΗΣ</w:t>
      </w:r>
    </w:p>
    <w:p>
      <w:pPr>
        <w:rPr>
          <w:noProof/>
          <w:szCs w:val="24"/>
        </w:rPr>
      </w:pPr>
      <w:r>
        <w:rPr>
          <w:noProof/>
        </w:rPr>
        <w:t>Ο κανονισμός (ΕΕ) αριθ. 610/2013, της 26ης Ιουνίου 2013,</w:t>
      </w:r>
      <w:r>
        <w:rPr>
          <w:rStyle w:val="FootnoteReference"/>
          <w:noProof/>
        </w:rPr>
        <w:footnoteReference w:id="2"/>
      </w:r>
      <w:r>
        <w:rPr>
          <w:noProof/>
        </w:rPr>
        <w:t xml:space="preserve"> (εφεξής: η τροποποίηση του κώδικα συνόρων του Σένγκεν), τροποποίησε τη Σύμβαση για την εφαρμογή της Συμφωνίας του Σένγκεν</w:t>
      </w:r>
      <w:r>
        <w:rPr>
          <w:rStyle w:val="FootnoteReference"/>
          <w:noProof/>
        </w:rPr>
        <w:footnoteReference w:id="3"/>
      </w:r>
      <w:r>
        <w:rPr>
          <w:noProof/>
        </w:rPr>
        <w:t xml:space="preserve"> (ΣΕΣ), </w:t>
      </w:r>
      <w:r>
        <w:rPr>
          <w:rStyle w:val="Strong"/>
          <w:b w:val="0"/>
          <w:noProof/>
        </w:rPr>
        <w:t>τον κανονισμό (ΕΚ) αριθ. 562/2006</w:t>
      </w:r>
      <w:r>
        <w:rPr>
          <w:rStyle w:val="FootnoteReference"/>
          <w:noProof/>
        </w:rPr>
        <w:footnoteReference w:id="4"/>
      </w:r>
      <w:r>
        <w:rPr>
          <w:rStyle w:val="Strong"/>
          <w:noProof/>
          <w:sz w:val="20"/>
        </w:rPr>
        <w:t xml:space="preserve"> </w:t>
      </w:r>
      <w:r>
        <w:rPr>
          <w:noProof/>
        </w:rPr>
        <w:t>(τον κώδικα συνόρων του Σένγκεν) και τον κανονισμό (ΕΚ) αριθ. 810/2009</w:t>
      </w:r>
      <w:r>
        <w:rPr>
          <w:rStyle w:val="FootnoteReference"/>
          <w:noProof/>
        </w:rPr>
        <w:footnoteReference w:id="5"/>
      </w:r>
      <w:r>
        <w:rPr>
          <w:noProof/>
        </w:rPr>
        <w:t xml:space="preserve"> (τον κώδικα θεωρήσεων) και — μεταξύ άλλων — όρισε εκ νέου την έννοια της «βραχείας διαμονής» για τους υπηκόους τρίτων χωρών στον χώρο Σένγκεν. Από τις 18 Οκτωβρίου 2013, για τους υπηκόους τρίτων χωρών — ανεξαρτήτως αν υπόκεινται σε υποχρέωση θεώρησης ή απαλλάσσονται από αυτή — οι οποίοι σκοπεύουν να ταξιδέψουν στον χώρο Σένγκεν για βραχεία διαμονή, η ανώτατη διάρκεια επιτρεπόμενης διαμονής ορίζεται ως «90 ημέρες εντός οιασδήποτε περιόδου 180 ημερών».</w:t>
      </w:r>
      <w:r>
        <w:rPr>
          <w:b/>
          <w:i/>
          <w:noProof/>
        </w:rPr>
        <w:t xml:space="preserve"> </w:t>
      </w:r>
      <w:r>
        <w:rPr>
          <w:noProof/>
        </w:rPr>
        <w:t>Σε αντίθεση με τον ορισμό που ίσχυε έως τις 18 Οκτωβρίου 2013 (τρεις μήνες κατά τη διάρκεια εξάμηνης περιόδου από την ημερομηνία της πρώτης εισόδου), η νέα προσέγγιση είναι ακριβέστερη, καθορίζοντας τη διάρκεια σε ημέρες αντί για μήνες. Επιπλέον, η φράση «από την ημερομηνία της πρώτης εισόδου», που δημιούργησε πολλές αμφιβολίες και ερωτήματα, καταργήθηκε από τον ορισμό.</w:t>
      </w:r>
    </w:p>
    <w:p>
      <w:pPr>
        <w:rPr>
          <w:noProof/>
        </w:rPr>
      </w:pPr>
      <w:r>
        <w:rPr>
          <w:noProof/>
        </w:rPr>
        <w:t>Με την τροποποίηση του κώδικα συνόρων του Σένγκεν θεσπίστηκαν όλες οι απαραίτητες αλλαγές στο κεκτημένο της ΕΕ στους τομείς των θεωρήσεων και των συνόρων, δηλ. στη ΣΕΣ, στον κώδικα συνόρων του Σένγκεν, τον κώδικα θεωρήσεων και τον κανονισμό (ΕΚ) αριθ. 539/2001</w:t>
      </w:r>
      <w:r>
        <w:rPr>
          <w:rStyle w:val="FootnoteReference"/>
          <w:noProof/>
        </w:rPr>
        <w:footnoteReference w:id="6"/>
      </w:r>
      <w:r>
        <w:rPr>
          <w:noProof/>
        </w:rPr>
        <w:t>. Ωστόσο, η έννοια της βραχείας διαμονής κατοχυρώνεται και σε διεθνείς συμφωνίες που έχει συνάψει η Ευρωπαϊκή Ένωση. Οι συμφωνίες απαλλαγής από την υποχρέωση θεώρησης που έχουν συναφθεί με την Αντίγκουα και Μπαρμπούντα</w:t>
      </w:r>
      <w:r>
        <w:rPr>
          <w:rStyle w:val="FootnoteReference"/>
          <w:noProof/>
        </w:rPr>
        <w:footnoteReference w:id="7"/>
      </w:r>
      <w:r>
        <w:rPr>
          <w:noProof/>
        </w:rPr>
        <w:t>, τις Μπαχάμες</w:t>
      </w:r>
      <w:r>
        <w:rPr>
          <w:rStyle w:val="FootnoteReference"/>
          <w:noProof/>
        </w:rPr>
        <w:footnoteReference w:id="8"/>
      </w:r>
      <w:r>
        <w:rPr>
          <w:noProof/>
        </w:rPr>
        <w:t>, τα Μπαρμπάντος</w:t>
      </w:r>
      <w:r>
        <w:rPr>
          <w:rStyle w:val="FootnoteReference"/>
          <w:noProof/>
        </w:rPr>
        <w:footnoteReference w:id="9"/>
      </w:r>
      <w:r>
        <w:rPr>
          <w:noProof/>
        </w:rPr>
        <w:t>, τη Βραζιλία</w:t>
      </w:r>
      <w:r>
        <w:rPr>
          <w:rStyle w:val="FootnoteReference"/>
          <w:noProof/>
        </w:rPr>
        <w:footnoteReference w:id="10"/>
      </w:r>
      <w:r>
        <w:rPr>
          <w:noProof/>
        </w:rPr>
        <w:t>, τον Μαυρίκιο</w:t>
      </w:r>
      <w:r>
        <w:rPr>
          <w:rStyle w:val="FootnoteReference"/>
          <w:noProof/>
        </w:rPr>
        <w:footnoteReference w:id="11"/>
      </w:r>
      <w:r>
        <w:rPr>
          <w:noProof/>
        </w:rPr>
        <w:t>, τον Άγιο Χριστόφορο και Νέβις</w:t>
      </w:r>
      <w:r>
        <w:rPr>
          <w:rStyle w:val="FootnoteReference"/>
          <w:noProof/>
        </w:rPr>
        <w:footnoteReference w:id="12"/>
      </w:r>
      <w:r>
        <w:rPr>
          <w:noProof/>
        </w:rPr>
        <w:t xml:space="preserve"> και τις Σεϋχέλλες</w:t>
      </w:r>
      <w:r>
        <w:rPr>
          <w:rStyle w:val="FootnoteReference"/>
          <w:noProof/>
        </w:rPr>
        <w:footnoteReference w:id="13"/>
      </w:r>
      <w:r>
        <w:rPr>
          <w:noProof/>
        </w:rPr>
        <w:t xml:space="preserve"> εξακολουθούν να παραπέμπουν στον παλαιό ορισμό («τρεις μήνες ανά εξάμηνο από την ημερομηνία της πρώτης εισόδου»</w:t>
      </w:r>
      <w:r>
        <w:rPr>
          <w:rStyle w:val="FootnoteReference"/>
          <w:noProof/>
        </w:rPr>
        <w:footnoteReference w:id="14"/>
      </w:r>
      <w:r>
        <w:rPr>
          <w:noProof/>
        </w:rPr>
        <w:t xml:space="preserve">) κατά τον καθορισμό της διάρκειας της διαμονής χωρίς υποχρέωση θεώρησης. </w:t>
      </w:r>
    </w:p>
    <w:p>
      <w:pPr>
        <w:pStyle w:val="Text1"/>
        <w:ind w:left="0"/>
        <w:rPr>
          <w:noProof/>
        </w:rPr>
      </w:pPr>
      <w:r>
        <w:rPr>
          <w:noProof/>
        </w:rPr>
        <w:t>Στις 16 Ιουλίου 2014, η Επιτροπή εξέδωσε σύσταση για απόφαση του Συμβουλίου που εγκρίνει την έναρξη διαπραγματεύσεων για την τροποποίηση της συμφωνίας απαλλαγής από την υποχρέωση θεώρησης για βραχεία διαμονή μεταξύ της Ευρωπαϊκής Ένωσης και των προαναφερόμενων χωρών</w:t>
      </w:r>
      <w:r>
        <w:rPr>
          <w:rStyle w:val="FootnoteReference"/>
          <w:noProof/>
        </w:rPr>
        <w:footnoteReference w:id="15"/>
      </w:r>
      <w:r>
        <w:rPr>
          <w:noProof/>
        </w:rPr>
        <w:t>, η οποία εγκρίθηκε από το Συμβούλιο στις 9 Οκτωβρίου 2014</w:t>
      </w:r>
      <w:r>
        <w:rPr>
          <w:rStyle w:val="FootnoteReference"/>
          <w:noProof/>
        </w:rPr>
        <w:footnoteReference w:id="16"/>
      </w:r>
      <w:r>
        <w:rPr>
          <w:noProof/>
        </w:rPr>
        <w:t xml:space="preserve">. Σκοπός ήταν να εφαρμοστεί έναντι των εν λόγω επτά χωρών ο νέος ορισμός της βραχείας διαμονής, όπως προβλέπεται από την τροποποίηση του κώδικα συνόρων του Σένγκεν. Επιπλέον, ο ορισμός της «βραχείας διαμονής» στις συμφωνίες απαλλαγής από την υποχρέωση θεώρησης σε </w:t>
      </w:r>
      <w:r>
        <w:rPr>
          <w:i/>
          <w:noProof/>
        </w:rPr>
        <w:t>ημέρες</w:t>
      </w:r>
      <w:r>
        <w:rPr>
          <w:noProof/>
        </w:rPr>
        <w:t xml:space="preserve">, και όχι σε </w:t>
      </w:r>
      <w:r>
        <w:rPr>
          <w:i/>
          <w:noProof/>
        </w:rPr>
        <w:t>μήνες</w:t>
      </w:r>
      <w:r>
        <w:rPr>
          <w:noProof/>
        </w:rPr>
        <w:t>, είναι λιγότερο περίπλοκο να ελεγχθεί και να υπολογιστεί με ηλεκτρονικά μέσα/μέσα ΤΠ, και, ως εκ τούτου, καταλληλότερος για τα κεντρικά συστήματα διαχείρισης των συνόρων, όπως το προτεινόμενο σύστημα εισόδου/εξόδου (ΣΕΕ)</w:t>
      </w:r>
      <w:r>
        <w:rPr>
          <w:rStyle w:val="FootnoteReference"/>
          <w:noProof/>
        </w:rPr>
        <w:footnoteReference w:id="17"/>
      </w:r>
      <w:r>
        <w:rPr>
          <w:noProof/>
        </w:rPr>
        <w:t>.</w:t>
      </w:r>
    </w:p>
    <w:p>
      <w:pPr>
        <w:pStyle w:val="Text1"/>
        <w:ind w:left="0"/>
        <w:rPr>
          <w:noProof/>
        </w:rPr>
      </w:pPr>
      <w:r>
        <w:rPr>
          <w:noProof/>
        </w:rPr>
        <w:t xml:space="preserve">Μετά την έγκριση του Συμβουλίου, η Επιτροπή άρχισε διαπραγματεύσεις για την τροποποίηση των συμφωνιών απαλλαγής από την υποχρέωση θεώρησης με τις επτά χώρες (Αντίγκουα και Μπαρμπούντα, Μπαχάμες, Μπαρμπάντος, Βραζιλία, Μαυρίκιος, Άγιος Χριστόφορος και Νέβις και Σεϋχέλλες). </w:t>
      </w:r>
    </w:p>
    <w:p>
      <w:pPr>
        <w:pStyle w:val="Text1"/>
        <w:ind w:left="0"/>
        <w:rPr>
          <w:noProof/>
          <w:szCs w:val="24"/>
        </w:rPr>
      </w:pPr>
      <w:r>
        <w:rPr>
          <w:noProof/>
        </w:rPr>
        <w:t xml:space="preserve">Οι διαπραγματεύσεις με τη Δημοκρατία των Σεϋχελλών ολοκληρώθηκαν επιτυχώς με τη μονογράφηση της τροποποιητικής συμφωνίας στις 15 Ιουλίου 2016. Αμφότερα τα συμβαλλόμενα μέρη συμφώνησαν να εγκρίνουν τον νέο ορισμό της «βραχείας διαμονής» σε ολόκληρη τη συμφωνία απαλλαγής από την υποχρέωση θεώρησης μεταξύ της ΕΕ και της Δημοκρατίας των Σεϋχελλών. Επιπλέον, η συμφωνία συνεπάγεται την τροποποίηση λίγων τεχνικών λεπτομερειών (βλ. κατωτέρω), αλλά όλες οι τροποποιήσεις είναι ασήμαντες για τους ταξιδιώτες. </w:t>
      </w:r>
    </w:p>
    <w:p>
      <w:pPr>
        <w:pBdr>
          <w:top w:val="nil"/>
          <w:left w:val="nil"/>
          <w:bottom w:val="nil"/>
          <w:right w:val="nil"/>
          <w:between w:val="nil"/>
          <w:bar w:val="nil"/>
        </w:pBdr>
        <w:spacing w:before="0" w:after="240"/>
        <w:rPr>
          <w:noProof/>
        </w:rPr>
      </w:pPr>
      <w:r>
        <w:rPr>
          <w:noProof/>
        </w:rPr>
        <w:t xml:space="preserve">Η ειδική κατάσταση του Ηνωμένου Βασιλείου και της Ιρλανδίας αποτυπώνεται στο προοίμιο της συμφωνίας. </w:t>
      </w:r>
    </w:p>
    <w:p>
      <w:pPr>
        <w:pStyle w:val="ManualHeading1"/>
        <w:rPr>
          <w:noProof/>
        </w:rPr>
      </w:pPr>
      <w:r>
        <w:rPr>
          <w:noProof/>
        </w:rPr>
        <w:t>2.</w:t>
      </w:r>
      <w:r>
        <w:rPr>
          <w:noProof/>
        </w:rPr>
        <w:tab/>
        <w:t>ΝΟΜΙΚΗ ΒΑΣΗ, ΕΠΙΚΟΥΡΙΚΟΤΗΤΑ ΚΑΙ ΑΝΑΛΟΓΙΚΟΤΗΤΑ</w:t>
      </w:r>
    </w:p>
    <w:p>
      <w:pPr>
        <w:pStyle w:val="ManualHeading2"/>
        <w:rPr>
          <w:rFonts w:eastAsia="Arial Unicode MS"/>
          <w:noProof/>
          <w:u w:color="000000"/>
          <w:bdr w:val="nil"/>
        </w:rPr>
      </w:pPr>
      <w:r>
        <w:rPr>
          <w:noProof/>
        </w:rPr>
        <w:t>•</w:t>
      </w:r>
      <w:r>
        <w:rPr>
          <w:noProof/>
        </w:rPr>
        <w:tab/>
        <w:t>Νομική βάση</w:t>
      </w:r>
    </w:p>
    <w:p>
      <w:pPr>
        <w:pStyle w:val="Text1"/>
        <w:ind w:left="0"/>
        <w:rPr>
          <w:noProof/>
        </w:rPr>
      </w:pPr>
      <w:r>
        <w:rPr>
          <w:noProof/>
        </w:rPr>
        <w:t>Η συμφωνία απαιτεί την έγκριση αμφότερων των συμβαλλόμενων μερών σύμφωνα με τις αντίστοιχες διαδικασίες τους. Από την πλευρά της Ένωσης, απαιτείται η έκδοση αποφάσεων του Συμβουλίου σχετικά με την υπογραφή και τη σύναψη της συμφωνίας.</w:t>
      </w:r>
    </w:p>
    <w:p>
      <w:pPr>
        <w:rPr>
          <w:noProof/>
        </w:rPr>
      </w:pPr>
      <w:r>
        <w:rPr>
          <w:noProof/>
        </w:rPr>
        <w:t xml:space="preserve">Η παρούσα πρόταση υποβάλλεται στο Συμβούλιο προκειμένου να εγκριθεί η υπογραφή της συμφωνίας για την τροποποίηση της συμφωνίας μεταξύ της Ευρωπαϊκής Κοινότητας και της Δημοκρατίας των Σεϋχελλών σχετικά με την απαλλαγή από την υποχρέωση θεώρησης για βραχεία διαμονή. </w:t>
      </w:r>
    </w:p>
    <w:p>
      <w:pPr>
        <w:rPr>
          <w:noProof/>
          <w:szCs w:val="24"/>
        </w:rPr>
      </w:pPr>
      <w:r>
        <w:rPr>
          <w:noProof/>
        </w:rPr>
        <w:t xml:space="preserve">Η συμφωνία διασφαλίζει τη νομική συνοχή, καθώς και την εναρμόνιση μεταξύ των κρατών μελών, ακολουθώντας τον νέο ορισμό της βραχείας διαμονής, όπως προβλέπεται από την τροποποίηση του κώδικα συνόρων του Σένγκεν, η οποία παρέχει σαφή ερμηνεία της «βραχείας διαμονής». </w:t>
      </w:r>
    </w:p>
    <w:p>
      <w:pPr>
        <w:pStyle w:val="Text1"/>
        <w:ind w:left="0"/>
        <w:rPr>
          <w:noProof/>
        </w:rPr>
      </w:pPr>
      <w:r>
        <w:rPr>
          <w:noProof/>
        </w:rPr>
        <w:t xml:space="preserve">Η νομική βάση για την παρούσα συμφωνία είναι το άρθρο 77 παράγραφος 2 στοιχείο α) της Συνθήκης για τη λειτουργία της Ευρωπαϊκής Ένωσης (ΣΛΕΕ), σε συνδυασμό με το άρθρο 218. </w:t>
      </w:r>
    </w:p>
    <w:p>
      <w:pPr>
        <w:rPr>
          <w:noProof/>
        </w:rPr>
      </w:pPr>
      <w:r>
        <w:rPr>
          <w:noProof/>
        </w:rPr>
        <w:t>Η Ένωση δεν έχει αρμοδιότητα να τροποποιεί συμφωνίες απαλλαγής από την υποχρέωση θεώρησης που θα δέσμευαν τις τέσσερις χώρες που είναι συνδεδεμένες με την υλοποίηση του κεκτημένου του Σένγκεν, συμπεριλαμβανομένης της κοινής πολιτικής στον τομέα των θεωρήσεων. Προκειμένου να εξασφαλιστεί εναρμονισμένη προσέγγιση και εφαρμογή των διατάξεων σχετικά με τη διάρκεια της επιτρεπόμενης διαμονής εντός του χώρου Σένγκεν, στη συμφωνία περιλαμβάνεται κοινή δήλωση, στην οποία δηλώνεται από τη Δημοκρατία των Σεϋχελλών, αφενός, και την Ισλανδία, το Λιχτενστάιν, τη Νορβηγία και την Ελβετία, αφετέρου, η επιθυμία να τροποποιήσουν αναλόγως τις υφιστάμενες οικείες διμερείς συμφωνίες απαλλαγής από την υποχρέωση θεώρησης.</w:t>
      </w:r>
    </w:p>
    <w:p>
      <w:pPr>
        <w:pStyle w:val="ManualHeading2"/>
        <w:rPr>
          <w:rFonts w:eastAsia="Arial Unicode MS"/>
          <w:noProof/>
          <w:u w:color="000000"/>
          <w:bdr w:val="nil"/>
        </w:rPr>
      </w:pPr>
      <w:r>
        <w:rPr>
          <w:noProof/>
        </w:rPr>
        <w:t>•</w:t>
      </w:r>
      <w:r>
        <w:rPr>
          <w:noProof/>
        </w:rPr>
        <w:tab/>
        <w:t xml:space="preserve">Επικουρικότητα (σε περίπτωση μη αποκλειστικής αρμοδιότητας) </w:t>
      </w:r>
    </w:p>
    <w:p>
      <w:pPr>
        <w:rPr>
          <w:noProof/>
          <w:u w:color="000000"/>
          <w:bdr w:val="nil"/>
        </w:rPr>
      </w:pPr>
      <w:r>
        <w:rPr>
          <w:noProof/>
        </w:rPr>
        <w:t>Αν ένα από τα συμβαλλόμενα μέρη σε διεθνή συμφωνία είναι η Ευρωπαϊκή Ένωση, τότε τυχόν τροποποίηση της εν λόγω συμφωνίας δεν μπορεί να πραγματοποιηθεί νομικά από τα ίδια τα κράτη μέλη. Η συμφωνία απαλλαγής από την υποχρέωση θεώρησης με τη Δημοκρατία των Σεϋχελλών έχει συναφθεί από την Ευρωπαϊκή Ένωση. Ως εκ τούτου, απαιτείται δράση σε ενωσιακό επίπεδο.</w:t>
      </w:r>
    </w:p>
    <w:p>
      <w:pPr>
        <w:rPr>
          <w:noProof/>
          <w:u w:color="000000"/>
          <w:bdr w:val="nil"/>
        </w:rPr>
      </w:pPr>
      <w:r>
        <w:rPr>
          <w:noProof/>
        </w:rPr>
        <w:t>Επιπλέον, η σύναψη των συμφωνιών απαλλαγής από την υποχρέωση θεώρησης με τα κράτη μέλη θα επηρέαζε το ενωσιακό</w:t>
      </w:r>
      <w:r>
        <w:rPr>
          <w:i/>
          <w:noProof/>
          <w:u w:color="000000"/>
          <w:bdr w:val="nil"/>
        </w:rPr>
        <w:t xml:space="preserve"> </w:t>
      </w:r>
      <w:r>
        <w:rPr>
          <w:noProof/>
        </w:rPr>
        <w:t>κεκτημένο στον τομέα των θεωρήσεων (άρθρο 3 παράγραφος 2 της ΣΛΕΕ).</w:t>
      </w:r>
    </w:p>
    <w:p>
      <w:pPr>
        <w:pStyle w:val="ManualHeading2"/>
        <w:rPr>
          <w:rFonts w:eastAsia="Arial Unicode MS"/>
          <w:noProof/>
          <w:u w:color="000000"/>
          <w:bdr w:val="nil"/>
        </w:rPr>
      </w:pPr>
      <w:r>
        <w:rPr>
          <w:noProof/>
        </w:rPr>
        <w:t>•</w:t>
      </w:r>
      <w:r>
        <w:rPr>
          <w:noProof/>
        </w:rPr>
        <w:tab/>
        <w:t>Αναλογικότητα</w:t>
      </w:r>
    </w:p>
    <w:p>
      <w:pPr>
        <w:pStyle w:val="Text1"/>
        <w:ind w:left="0"/>
        <w:rPr>
          <w:noProof/>
          <w:u w:color="000000"/>
          <w:bdr w:val="nil"/>
        </w:rPr>
      </w:pPr>
      <w:r>
        <w:rPr>
          <w:noProof/>
        </w:rPr>
        <w:t>Η παρούσα πρόταση δεν υπερβαίνει τα αναγκαία όρια για την επίτευξη του επιδιωκόμενου στόχου, δηλαδή την τροποποίηση της υφιστάμενης συμφωνίας απαλλαγής από την υποχρέωση θεώρησης μεταξύ των Σεϋχελλών και της Ένωσης.</w:t>
      </w:r>
    </w:p>
    <w:p>
      <w:pPr>
        <w:pStyle w:val="ManualHeading1"/>
        <w:rPr>
          <w:noProof/>
        </w:rPr>
      </w:pPr>
      <w:r>
        <w:rPr>
          <w:noProof/>
        </w:rPr>
        <w:t>3.</w:t>
      </w:r>
      <w:r>
        <w:rPr>
          <w:noProof/>
        </w:rPr>
        <w:tab/>
        <w:t>ΔΗΜΟΣΙΟΝΟΜΙΚΕΣ ΕΠΙΠΤΩΣΕΙΣ</w:t>
      </w:r>
    </w:p>
    <w:p>
      <w:pPr>
        <w:pStyle w:val="Text1"/>
        <w:ind w:left="0"/>
        <w:rPr>
          <w:noProof/>
        </w:rPr>
      </w:pPr>
      <w:r>
        <w:rPr>
          <w:noProof/>
        </w:rPr>
        <w:t>Η πρόταση δεν συνεπάγεται πρόσθετο κόστος για τον προϋπολογισμό της ΕΕ.</w:t>
      </w:r>
    </w:p>
    <w:p>
      <w:pPr>
        <w:pStyle w:val="ManualHeading1"/>
        <w:rPr>
          <w:noProof/>
        </w:rPr>
      </w:pPr>
      <w:r>
        <w:rPr>
          <w:noProof/>
        </w:rPr>
        <w:t xml:space="preserve">4. </w:t>
      </w:r>
      <w:r>
        <w:rPr>
          <w:noProof/>
        </w:rPr>
        <w:tab/>
        <w:t xml:space="preserve">ΑΠΟΤΕΛΕΣΜΑΤΑ ΕΚ ΤΩΝ ΥΣΤΕΡΩΝ ΑΞΙΟΛΟΓΗΣΕΩΝ, ΔΙΑΒΟΥΛΕΥΣΕΩΝ ΜΕ ΤΑ ΕΝΔΙΑΦΕΡΟΜΕΝΑ ΜΕΡΗ ΚΑΙ ΕΚΤΙΜΗΣΕΩΝ ΤΩΝ ΕΠΙΠΤΩΣΕΩΝ </w:t>
      </w:r>
    </w:p>
    <w:p>
      <w:pPr>
        <w:pStyle w:val="ManualHeading2"/>
        <w:rPr>
          <w:rFonts w:eastAsia="Arial Unicode MS"/>
          <w:noProof/>
          <w:u w:color="000000"/>
          <w:bdr w:val="nil"/>
        </w:rPr>
      </w:pPr>
      <w:r>
        <w:rPr>
          <w:noProof/>
        </w:rPr>
        <w:t>•</w:t>
      </w:r>
      <w:r>
        <w:rPr>
          <w:noProof/>
        </w:rPr>
        <w:tab/>
        <w:t>Διαβουλεύσεις με τα ενδιαφερόμενα μέρη</w:t>
      </w:r>
    </w:p>
    <w:p>
      <w:pPr>
        <w:pStyle w:val="Text1"/>
        <w:ind w:left="0"/>
        <w:rPr>
          <w:noProof/>
        </w:rPr>
      </w:pPr>
      <w:r>
        <w:rPr>
          <w:noProof/>
        </w:rPr>
        <w:t>Στις 9 Οκτωβρίου 2014, το Συμβούλιο εξέδωσε οδηγίες διαπραγμάτευσης, με τις οποίες εξουσιοδότησε την Επιτροπή να αρχίσει διαπραγματεύσεις με τη Δημοκρατία των Σεϋχελλών για την τροποποίηση της συμφωνίας απαλλαγής από την υποχρέωση θεώρησης μεταξύ των δύο μερών. Τα κράτη μέλη ενημερώθηκαν για την πρόοδο των διαπραγματεύσεων κατά τις συνεδριάσεις της ομάδας «Θεωρήσεις».</w:t>
      </w:r>
    </w:p>
    <w:p>
      <w:pPr>
        <w:pStyle w:val="ManualHeading1"/>
        <w:rPr>
          <w:noProof/>
        </w:rPr>
      </w:pPr>
      <w:r>
        <w:rPr>
          <w:noProof/>
        </w:rPr>
        <w:t>5.</w:t>
      </w:r>
      <w:r>
        <w:rPr>
          <w:noProof/>
        </w:rPr>
        <w:tab/>
        <w:t xml:space="preserve">ΛΟΙΠΑ ΣΤΟΙΧΕΙΑ </w:t>
      </w:r>
    </w:p>
    <w:p>
      <w:pPr>
        <w:pStyle w:val="ManualHeading2"/>
        <w:rPr>
          <w:rFonts w:eastAsia="Arial Unicode MS"/>
          <w:noProof/>
          <w:u w:color="000000"/>
          <w:bdr w:val="nil"/>
        </w:rPr>
      </w:pPr>
      <w:r>
        <w:rPr>
          <w:noProof/>
        </w:rPr>
        <w:t>•</w:t>
      </w:r>
      <w:r>
        <w:rPr>
          <w:noProof/>
        </w:rPr>
        <w:tab/>
        <w:t>Έκβαση των διαπραγματεύσεων</w:t>
      </w:r>
    </w:p>
    <w:p>
      <w:pPr>
        <w:pBdr>
          <w:top w:val="nil"/>
          <w:left w:val="nil"/>
          <w:bottom w:val="nil"/>
          <w:right w:val="nil"/>
          <w:between w:val="nil"/>
          <w:bar w:val="nil"/>
        </w:pBdr>
        <w:spacing w:before="0" w:after="240"/>
        <w:rPr>
          <w:noProof/>
        </w:rPr>
      </w:pPr>
      <w:r>
        <w:rPr>
          <w:noProof/>
        </w:rPr>
        <w:t xml:space="preserve">Η Επιτροπή θεωρεί ότι οι στόχοι που έθεσε το Συμβούλιο στις οδηγίες διαπραγμάτευσης έχουν επιτευχθεί και ότι το σχέδιο συμφωνίας είναι αποδεκτό για την Ένωση. </w:t>
      </w:r>
    </w:p>
    <w:p>
      <w:pPr>
        <w:pBdr>
          <w:top w:val="nil"/>
          <w:left w:val="nil"/>
          <w:bottom w:val="nil"/>
          <w:right w:val="nil"/>
          <w:between w:val="nil"/>
          <w:bar w:val="nil"/>
        </w:pBdr>
        <w:spacing w:before="0" w:after="240"/>
        <w:rPr>
          <w:noProof/>
        </w:rPr>
      </w:pPr>
      <w:r>
        <w:rPr>
          <w:noProof/>
        </w:rPr>
        <w:t>Το τελικό περιεχόμενο του σχεδίου συμφωνίας συνοψίζεται ως εξής:</w:t>
      </w:r>
    </w:p>
    <w:p>
      <w:pPr>
        <w:pBdr>
          <w:top w:val="nil"/>
          <w:left w:val="nil"/>
          <w:bottom w:val="nil"/>
          <w:right w:val="nil"/>
          <w:between w:val="nil"/>
          <w:bar w:val="nil"/>
        </w:pBdr>
        <w:spacing w:before="0" w:after="240"/>
        <w:rPr>
          <w:noProof/>
        </w:rPr>
      </w:pPr>
      <w:r>
        <w:rPr>
          <w:noProof/>
        </w:rPr>
        <w:t xml:space="preserve">α. Διάρκεια διαμονής </w:t>
      </w:r>
    </w:p>
    <w:p>
      <w:pPr>
        <w:pBdr>
          <w:top w:val="nil"/>
          <w:left w:val="nil"/>
          <w:bottom w:val="nil"/>
          <w:right w:val="nil"/>
          <w:between w:val="nil"/>
          <w:bar w:val="nil"/>
        </w:pBdr>
        <w:spacing w:before="0" w:after="240"/>
        <w:rPr>
          <w:noProof/>
        </w:rPr>
      </w:pPr>
      <w:r>
        <w:rPr>
          <w:noProof/>
        </w:rPr>
        <w:t xml:space="preserve">Η συμφωνία προβλέπει δυνατότητα μετάβασης χωρίς θεώρηση για τους πολίτες της Ευρωπαϊκής Ένωσης και για τους πολίτες της Δημοκρατίας των Σεϋχελλών όταν μεταβαίνουν στην επικράτεια του άλλου συμβαλλόμενου μέρους για χρονική περίοδο που δεν υπερβαίνει τις 90 ημέρες εντός οιασδήποτε περιόδου 180 ημερών (αντί για μέγιστη περίοδο τριών μηνών κατά τη διάρκεια περιόδου έξι μηνών από την ημερομηνία της πρώτης εισόδου). Ο νέος ορισμός εφαρμόζεται σε ολόκληρη τη συμφωνία μεταξύ της Ευρωπαϊκής Ένωσης και της Δημοκρατίας των Σεϋχελλών σχετικά με την απαλλαγή από την υποχρέωση θεώρησης για βραχεία διαμονή. </w:t>
      </w:r>
    </w:p>
    <w:p>
      <w:pPr>
        <w:pBdr>
          <w:top w:val="nil"/>
          <w:left w:val="nil"/>
          <w:bottom w:val="nil"/>
          <w:right w:val="nil"/>
          <w:between w:val="nil"/>
          <w:bar w:val="nil"/>
        </w:pBdr>
        <w:spacing w:before="0" w:after="240"/>
        <w:rPr>
          <w:noProof/>
        </w:rPr>
      </w:pPr>
      <w:r>
        <w:rPr>
          <w:noProof/>
        </w:rPr>
        <w:t>β. Τελική διάταξη — αναστολή της συμφωνίας (άρθρο 8 παράγραφος 4)</w:t>
      </w:r>
    </w:p>
    <w:p>
      <w:pPr>
        <w:spacing w:before="0" w:after="240"/>
        <w:rPr>
          <w:noProof/>
        </w:rPr>
      </w:pPr>
      <w:r>
        <w:rPr>
          <w:noProof/>
        </w:rPr>
        <w:t>Τροποποιείται η τελευταία φράση του άρθρου 8 παράγραφος 4 της συμφωνίας, ως εξής: «Το συμβαλλόμενο μέρος που ανέστειλε την εφαρμογή της παρούσας συμφωνίας ενημερώνει αμέσως το άλλο συμβαλλόμενο μέρος μόλις εκλείψουν οι λόγοι της αναστολής και προβαίνει σε άρση της αναστολής.» Με την προσθήκη των λέξεων «προβαίνει σε άρση της αναστολής» στο ισχύον κείμενο, η τροποποιημένη συμφωνία διευκρινίζει ότι η αναστολή της απαλλαγής από την υποχρέωση θεώρησης αίρεται στην πράξη, αν οι λόγοι που οδήγησαν στην αναστολή εκλείψουν. Ως προς το σημείο αυτό, η τροποποίηση ευθυγραμμίζει τη διατύπωση της συμφωνίας απαλλαγής από την υποχρέωση θεώρησης με τη Δημοκρατία των Σεϋχελλών με εκείνη όλων των άλλων συμφωνιών απαλλαγής από την υποχρέωση θεώρησης που υπογράφηκαν από την Ένωση το 2015 και το 2016. Στις 14 Ιουνίου 2016, η Ομάδα «Θεωρήσεις» κλήθηκε να γνωμοδοτήσει σχετικά με την εν λόγω τροποποίηση και κανένα κράτος μέλος δεν διατύπωσε αντιρρήσεις.</w:t>
      </w:r>
    </w:p>
    <w:p>
      <w:pPr>
        <w:pBdr>
          <w:top w:val="nil"/>
          <w:left w:val="nil"/>
          <w:bottom w:val="nil"/>
          <w:right w:val="nil"/>
          <w:between w:val="nil"/>
          <w:bar w:val="nil"/>
        </w:pBdr>
        <w:spacing w:before="0" w:after="240"/>
        <w:rPr>
          <w:noProof/>
        </w:rPr>
      </w:pPr>
      <w:r>
        <w:rPr>
          <w:noProof/>
        </w:rPr>
        <w:t>γ. Αντικατάσταση του όρου «</w:t>
      </w:r>
      <w:r>
        <w:rPr>
          <w:i/>
          <w:noProof/>
        </w:rPr>
        <w:t>Κοινότητα</w:t>
      </w:r>
      <w:r>
        <w:rPr>
          <w:noProof/>
        </w:rPr>
        <w:t>» από τον όρο «</w:t>
      </w:r>
      <w:r>
        <w:rPr>
          <w:i/>
          <w:noProof/>
        </w:rPr>
        <w:t>Ένωση</w:t>
      </w:r>
      <w:r>
        <w:rPr>
          <w:noProof/>
        </w:rPr>
        <w:t>»</w:t>
      </w:r>
    </w:p>
    <w:p>
      <w:pPr>
        <w:pBdr>
          <w:top w:val="nil"/>
          <w:left w:val="nil"/>
          <w:bottom w:val="nil"/>
          <w:right w:val="nil"/>
          <w:between w:val="nil"/>
          <w:bar w:val="nil"/>
        </w:pBdr>
        <w:spacing w:before="0" w:after="240"/>
        <w:rPr>
          <w:noProof/>
        </w:rPr>
      </w:pPr>
      <w:r>
        <w:rPr>
          <w:noProof/>
        </w:rPr>
        <w:t>Από την έναρξη ισχύος της Συνθήκης της Λισαβόνας, την 1η Δεκεμβρίου 2009, μόνο η Ευρωπαϊκή Ένωση έχει αποκτήσει ενιαία νομική προσωπικότητα. Ωστόσο, η «Ευρωπαϊκή Κοινότητα» εξακολουθεί να κατοχυρώνεται στις διεθνείς συμφωνίες που τέθηκαν σε ισχύ πριν από τη Συνθήκη της Λισαβόνας, όπως στην περίπτωση της συμφωνίας μεταξύ της Ευρωπαϊκής Κοινότητας και της Δημοκρατίας των Σεϋχελλών σχετικά με την απαλλαγή από την υποχρέωση θεώρησης για βραχεία διαμονή. Ως εκ τούτου, η τροποποιητική συμφωνία αντικαθιστά τον όρο «</w:t>
      </w:r>
      <w:r>
        <w:rPr>
          <w:i/>
          <w:noProof/>
        </w:rPr>
        <w:t>Κοινότητα</w:t>
      </w:r>
      <w:r>
        <w:rPr>
          <w:noProof/>
        </w:rPr>
        <w:t>» με τον όρο «</w:t>
      </w:r>
      <w:r>
        <w:rPr>
          <w:i/>
          <w:noProof/>
        </w:rPr>
        <w:t>Ένωση</w:t>
      </w:r>
      <w:r>
        <w:rPr>
          <w:noProof/>
        </w:rPr>
        <w:t xml:space="preserve">» σε ολόκληρη τη συμφωνία απαλλαγής από την υποχρέωση θεώρησης. </w:t>
      </w:r>
    </w:p>
    <w:p>
      <w:pPr>
        <w:pBdr>
          <w:top w:val="nil"/>
          <w:left w:val="nil"/>
          <w:bottom w:val="nil"/>
          <w:right w:val="nil"/>
          <w:between w:val="nil"/>
          <w:bar w:val="nil"/>
        </w:pBdr>
        <w:spacing w:before="0" w:after="240"/>
        <w:rPr>
          <w:noProof/>
        </w:rPr>
      </w:pPr>
      <w:r>
        <w:rPr>
          <w:noProof/>
        </w:rPr>
        <w:t>δ. Κοινές δηλώσεις</w:t>
      </w:r>
    </w:p>
    <w:p>
      <w:pPr>
        <w:pBdr>
          <w:top w:val="nil"/>
          <w:left w:val="nil"/>
          <w:bottom w:val="nil"/>
          <w:right w:val="nil"/>
          <w:between w:val="nil"/>
          <w:bar w:val="nil"/>
        </w:pBdr>
        <w:spacing w:before="0" w:after="240"/>
        <w:rPr>
          <w:noProof/>
        </w:rPr>
      </w:pPr>
      <w:r>
        <w:rPr>
          <w:noProof/>
        </w:rPr>
        <w:t>Στη συμφωνία επισυνάπτονται δύο κοινές δηλώσεις:</w:t>
      </w:r>
    </w:p>
    <w:p>
      <w:pPr>
        <w:pBdr>
          <w:top w:val="nil"/>
          <w:left w:val="nil"/>
          <w:bottom w:val="nil"/>
          <w:right w:val="nil"/>
          <w:between w:val="nil"/>
          <w:bar w:val="nil"/>
        </w:pBdr>
        <w:spacing w:before="0" w:after="240"/>
        <w:ind w:firstLine="720"/>
        <w:rPr>
          <w:noProof/>
        </w:rPr>
      </w:pPr>
      <w:r>
        <w:rPr>
          <w:noProof/>
        </w:rPr>
        <w:t>- Για την ερμηνεία των 90 ημερών εντός οιασδήποτε περιόδου 180 ημερών και·</w:t>
      </w:r>
    </w:p>
    <w:p>
      <w:pPr>
        <w:pBdr>
          <w:top w:val="nil"/>
          <w:left w:val="nil"/>
          <w:bottom w:val="nil"/>
          <w:right w:val="nil"/>
          <w:between w:val="nil"/>
          <w:bar w:val="nil"/>
        </w:pBdr>
        <w:spacing w:before="0" w:after="240"/>
        <w:ind w:firstLine="720"/>
        <w:rPr>
          <w:noProof/>
        </w:rPr>
      </w:pPr>
      <w:r>
        <w:rPr>
          <w:noProof/>
        </w:rPr>
        <w:t>- σχετικά με την Ισλανδία, τη Νορβηγία, την Ελβετία και το Λιχτενστάιν.</w:t>
      </w:r>
    </w:p>
    <w:p>
      <w:pPr>
        <w:pBdr>
          <w:top w:val="nil"/>
          <w:left w:val="nil"/>
          <w:bottom w:val="nil"/>
          <w:right w:val="nil"/>
          <w:between w:val="nil"/>
          <w:bar w:val="nil"/>
        </w:pBdr>
        <w:spacing w:before="0" w:after="240"/>
        <w:rPr>
          <w:noProof/>
        </w:rPr>
      </w:pPr>
      <w:r>
        <w:rPr>
          <w:noProof/>
        </w:rPr>
        <w:t>ε. Έναρξη ισχύος</w:t>
      </w:r>
    </w:p>
    <w:p>
      <w:pPr>
        <w:pBdr>
          <w:top w:val="nil"/>
          <w:left w:val="nil"/>
          <w:bottom w:val="nil"/>
          <w:right w:val="nil"/>
          <w:between w:val="nil"/>
          <w:bar w:val="nil"/>
        </w:pBdr>
        <w:spacing w:before="0" w:after="240"/>
        <w:rPr>
          <w:noProof/>
        </w:rPr>
      </w:pPr>
      <w:r>
        <w:rPr>
          <w:noProof/>
        </w:rPr>
        <w:t>Η συμφωνία θα αρχίσει να ισχύει την πρώτη ημέρα του έκτου μήνα που έπεται της ημερομηνίας κατά την οποία το τελευταίο συμβαλλόμενο μέρος κοινοποιεί στο άλλο ότι έχουν ολοκληρωθεί οι διαδικασίες κύρωσης. Προκειμένου να κατοχυρωθεί η ασφάλεια δικαίου και να δοθεί στους ταξιδιώτες η δυνατότητα να κατανοούν τη νομοθεσία και να συμμορφώνονται με αυτήν, είναι αναγκαία μια επαρκής μεταβατική περίοδος. Μόλις ολοκληρωθεί η κύρωση της συμφωνίας, η εξάμηνη περίοδος θα επιτρέπει στους ταξιδιώτες να ολοκληρώνουν διαστήματα βραχείας διαμονής που εξακολουθούν να υπολογίζονται πλήρως με τον παλαιό ορισμό, πριν από την έναρξη ισχύος του νέου ορισμού για τη βραχεία διαμονή και της περιόδου αναφοράς 180 ημερών με αναδρομή στο παρελθόν.</w:t>
      </w:r>
    </w:p>
    <w:p>
      <w:pPr>
        <w:pBdr>
          <w:top w:val="nil"/>
          <w:left w:val="nil"/>
          <w:bottom w:val="nil"/>
          <w:right w:val="nil"/>
          <w:between w:val="nil"/>
          <w:bar w:val="nil"/>
        </w:pBdr>
        <w:spacing w:before="0" w:after="240"/>
        <w:rPr>
          <w:noProof/>
        </w:rPr>
      </w:pPr>
      <w:r>
        <w:rPr>
          <w:noProof/>
        </w:rPr>
        <w:t xml:space="preserve">Όλες οι υπόλοιπες διατάξεις της ισχύουσας συμφωνίας μεταξύ της Ευρωπαϊκής Κοινότητας και της Δημοκρατίας των Σεϋχελλών σχετικά με την απαλλαγή από την υποχρέωση θεώρησης για βραχεία διαμονή δεν επηρεάζονται από την τροποποιητική συμφωνία, συμπεριλαμβανομένου του εδαφικού πεδίου εφαρμογής. </w:t>
      </w:r>
    </w:p>
    <w:p>
      <w:pPr>
        <w:pStyle w:val="ManualHeading1"/>
        <w:rPr>
          <w:noProof/>
        </w:rPr>
      </w:pPr>
      <w:r>
        <w:rPr>
          <w:noProof/>
        </w:rPr>
        <w:t>6.</w:t>
      </w:r>
      <w:r>
        <w:rPr>
          <w:noProof/>
        </w:rPr>
        <w:tab/>
        <w:t>ΣΥΜΠΕΡΑΣΜΑ</w:t>
      </w:r>
    </w:p>
    <w:p>
      <w:pPr>
        <w:pStyle w:val="Text1"/>
        <w:ind w:left="0"/>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Με βάση τα προαναφερθέντα αποτελέσματα, η Επιτροπή προτείνει στο Συμβούλιο να αποφασίσει την υπογραφή της συμφωνίας εξ ονόματος της Ένωσης και να εξουσιοδοτήσει τον Πρόεδρο του Συμβουλίου να ορίσει το(τα) πρόσωπο(-α) που είναι αρμόδιο(-α) να υπογράψει(-ουν) τη συμφωνία εξ ονόματος της Ένωσης.</w:t>
      </w:r>
    </w:p>
    <w:p>
      <w:pPr>
        <w:pStyle w:val="Rfrenceinterinstitutionnelle"/>
        <w:rPr>
          <w:noProof/>
        </w:rPr>
      </w:pPr>
      <w:r>
        <w:rPr>
          <w:noProof/>
        </w:rPr>
        <w:t>2017/0173 (NLE)</w:t>
      </w:r>
    </w:p>
    <w:p>
      <w:pPr>
        <w:pStyle w:val="Statut"/>
        <w:rPr>
          <w:noProof/>
        </w:rPr>
      </w:pPr>
      <w:r>
        <w:rPr>
          <w:noProof/>
        </w:rPr>
        <w:t>Πρόταση</w:t>
      </w:r>
    </w:p>
    <w:p>
      <w:pPr>
        <w:pStyle w:val="Typedudocument"/>
        <w:rPr>
          <w:noProof/>
        </w:rPr>
      </w:pPr>
      <w:r>
        <w:rPr>
          <w:noProof/>
        </w:rPr>
        <w:t>ΑΠΟΦΑΣΗ ΤΟΥ ΣΥΜΒΟΥΛΙΟΥ</w:t>
      </w:r>
    </w:p>
    <w:p>
      <w:pPr>
        <w:pStyle w:val="Titreobjet"/>
        <w:rPr>
          <w:noProof/>
        </w:rPr>
      </w:pPr>
      <w:r>
        <w:rPr>
          <w:noProof/>
        </w:rPr>
        <w:t>για την υπογραφή της συμφωνίας μεταξύ της Ευρωπαϊκής Ένωσης και της Δημοκρατίας των Σεϋχελλών για την τροποποίηση της συμφωνίας μεταξύ της Ευρωπαϊκής Κοινότητας και της Δημοκρατίας των Σεϋχελλών σχετικά με την απαλλαγή από την υποχρέωση θεώρησης για βραχεία διαμονή</w:t>
      </w:r>
    </w:p>
    <w:p>
      <w:pPr>
        <w:pStyle w:val="Institutionquiagit"/>
        <w:rPr>
          <w:noProof/>
        </w:rPr>
      </w:pPr>
      <w:r>
        <w:rPr>
          <w:noProof/>
        </w:rPr>
        <w:t>ΤΟ ΣΥΜΒΟΥΛΙΟ ΤΗΣ ΕΥΡΩΠΑΪΚΗΣ ΕΝΩΣΗΣ,</w:t>
      </w:r>
    </w:p>
    <w:p>
      <w:pPr>
        <w:rPr>
          <w:noProof/>
        </w:rPr>
      </w:pPr>
      <w:r>
        <w:rPr>
          <w:noProof/>
        </w:rPr>
        <w:t>Έχοντας υπόψη τη Συνθήκη για τη λειτουργία της Ευρωπαϊκής Ένωσης, και ιδίως το άρθρο 77 παράγραφος 2 στοιχείο α), σε συνδυασμό με το άρθρο 218 παράγραφος 5,</w:t>
      </w:r>
    </w:p>
    <w:p>
      <w:pPr>
        <w:rPr>
          <w:noProof/>
        </w:rPr>
      </w:pPr>
      <w:r>
        <w:rPr>
          <w:noProof/>
        </w:rPr>
        <w:t>Έχοντας υπόψη την πρόταση της Ευρωπαϊκής Επιτροπής,</w:t>
      </w:r>
    </w:p>
    <w:p>
      <w:pPr>
        <w:rPr>
          <w:noProof/>
        </w:rPr>
      </w:pPr>
      <w:r>
        <w:rPr>
          <w:noProof/>
        </w:rPr>
        <w:t>Εκτιμώντας τα ακόλουθα:</w:t>
      </w:r>
    </w:p>
    <w:p>
      <w:pPr>
        <w:pStyle w:val="ManualConsidrant"/>
        <w:rPr>
          <w:noProof/>
        </w:rPr>
      </w:pPr>
      <w:r>
        <w:t>(1)</w:t>
      </w:r>
      <w:r>
        <w:tab/>
      </w:r>
      <w:r>
        <w:rPr>
          <w:noProof/>
        </w:rPr>
        <w:t>Το Συμβούλιο, με την απόφαση της 30ής Απριλίου 2009, συνήψε τη συμφωνία μεταξύ της Ευρωπαϊκής Κοινότητας και της Δημοκρατίας των Σεϋχελλών σχετικά με την απαλλαγή από την υποχρέωση θεώρησης για βραχεία διαμονή. Η συμφωνία προβλέπει μετάβαση χωρίς υποχρέωση θεώρησης για τους πολίτες της Ευρωπαϊκής Ένωσης και για τους πολίτες της Δημοκρατίας των Σεϋχελλών όταν μεταβαίνουν στην επικράτεια του άλλου συμβαλλόμενου μέρους «για τρεις μήνες ανά εξάμηνο κατ’ανώτατο όριο».</w:t>
      </w:r>
    </w:p>
    <w:p>
      <w:pPr>
        <w:pStyle w:val="ManualConsidrant"/>
        <w:rPr>
          <w:noProof/>
        </w:rPr>
      </w:pPr>
      <w:r>
        <w:t>(2)</w:t>
      </w:r>
      <w:r>
        <w:tab/>
      </w:r>
      <w:r>
        <w:rPr>
          <w:noProof/>
        </w:rPr>
        <w:t>Με τον κανονισμό (ΕΕ) αριθ. 610/2013 του Ευρωπαϊκού Κοινοβουλίου και του Συμβουλίου</w:t>
      </w:r>
      <w:r>
        <w:rPr>
          <w:rStyle w:val="FootnoteReference"/>
          <w:noProof/>
        </w:rPr>
        <w:footnoteReference w:id="18"/>
      </w:r>
      <w:r>
        <w:rPr>
          <w:noProof/>
        </w:rPr>
        <w:t xml:space="preserve"> θεσπίστηκαν οριζόντιες αλλαγές στο κεκτημένο της Ένωσης για τις θεωρήσεις και τα σύνορα και ορίστηκε η βραχεία διαμονή ως μέγιστο χρονικό διάστημα 90 ημερών εντός οποιασδήποτε περιόδου 180 ημερών. </w:t>
      </w:r>
    </w:p>
    <w:p>
      <w:pPr>
        <w:pStyle w:val="ManualConsidrant"/>
        <w:rPr>
          <w:noProof/>
        </w:rPr>
      </w:pPr>
      <w:r>
        <w:t>(3)</w:t>
      </w:r>
      <w:r>
        <w:tab/>
      </w:r>
      <w:r>
        <w:rPr>
          <w:noProof/>
        </w:rPr>
        <w:t>Είναι απαραίτητο ο νέος αυτός ορισμός να ενσωματωθεί στη συμφωνία μεταξύ της Ένωσης και της Δημοκρατίας των Σεϋχελλών σχετικά με την απαλλαγή από την υποχρέωση θεώρησης για βραχεία διαμονή, προκειμένου να εναρμονιστεί πλήρως το καθεστώς της Ένωσης για τη βραχεία διαμονή.</w:t>
      </w:r>
    </w:p>
    <w:p>
      <w:pPr>
        <w:pStyle w:val="ManualConsidrant"/>
        <w:rPr>
          <w:noProof/>
        </w:rPr>
      </w:pPr>
      <w:r>
        <w:t>(4)</w:t>
      </w:r>
      <w:r>
        <w:tab/>
      </w:r>
      <w:r>
        <w:rPr>
          <w:noProof/>
        </w:rPr>
        <w:t xml:space="preserve">Στις 9 Οκτωβρίου 2014, το Συμβούλιο εξέδωσε απόφαση με την οποία εξουσιοδοτούσε την Επιτροπή να αρχίσει διαπραγματεύσεις για την τροποποίηση της συμφωνίας μεταξύ της Ευρωπαϊκής Κοινότητας και της Δημοκρατίας των Σεϋχελλών σχετικά με την απαλλαγή από την υποχρέωση θεώρησης για βραχεία διαμονή (εφεξής η «συμφωνία»). </w:t>
      </w:r>
    </w:p>
    <w:p>
      <w:pPr>
        <w:pStyle w:val="ManualConsidrant"/>
        <w:rPr>
          <w:noProof/>
        </w:rPr>
      </w:pPr>
      <w:r>
        <w:t>(5)</w:t>
      </w:r>
      <w:r>
        <w:tab/>
      </w:r>
      <w:r>
        <w:rPr>
          <w:noProof/>
        </w:rPr>
        <w:t>Οι διαπραγματεύσεις με τη Δημοκρατία των Σεϋχελλών για τη συμφωνία ολοκληρώθηκαν επιτυχώς με τη μονογράφησή της στις 15 Ιουλίου 2016, μέσω ανταλλαγής επιστολών, από τους επικεφαλής διαπραγματευτές της Ένωσης και της Δημοκρατίας των Σεϋχελλών.</w:t>
      </w:r>
    </w:p>
    <w:p>
      <w:pPr>
        <w:pStyle w:val="ManualConsidrant"/>
        <w:rPr>
          <w:noProof/>
        </w:rPr>
      </w:pPr>
      <w:r>
        <w:t>(6)</w:t>
      </w:r>
      <w:r>
        <w:tab/>
      </w:r>
      <w:r>
        <w:rPr>
          <w:noProof/>
        </w:rPr>
        <w:t>Η συμφωνία θα πρέπει να υπογραφεί και οι επισυναπτόμενες στη συμφωνία δηλώσεις να εγκριθούν εξ ονόματος της Ένωσης.</w:t>
      </w:r>
    </w:p>
    <w:p>
      <w:pPr>
        <w:pStyle w:val="ManualConsidrant"/>
        <w:rPr>
          <w:noProof/>
        </w:rPr>
      </w:pPr>
      <w:r>
        <w:t>(7)</w:t>
      </w:r>
      <w:r>
        <w:tab/>
      </w:r>
      <w:r>
        <w:rPr>
          <w:noProof/>
        </w:rPr>
        <w:t>Η παρούσα απόφαση αποτελεί ανάπτυξη των διατάξεων του κεκτημένου του Σένγκεν, στις οποίες δεν συμμετέχει το Ηνωμένο Βασίλειο, σύμφωνα με την απόφαση 2000/365/ΕΚ του Συμβουλίου</w:t>
      </w:r>
      <w:r>
        <w:rPr>
          <w:rStyle w:val="FootnoteReference"/>
          <w:noProof/>
        </w:rPr>
        <w:footnoteReference w:id="19"/>
      </w:r>
      <w:r>
        <w:rPr>
          <w:noProof/>
        </w:rPr>
        <w:t>. Συνεπώς, το Ηνωμένο Βασίλειο δεν συμμετέχει στην έκδοση της παρούσας απόφασης και δεν δεσμεύεται από αυτήν ούτε υπόκειται στην εφαρμογή της.</w:t>
      </w:r>
    </w:p>
    <w:p>
      <w:pPr>
        <w:pStyle w:val="ManualConsidrant"/>
        <w:rPr>
          <w:noProof/>
        </w:rPr>
      </w:pPr>
      <w:r>
        <w:t>(8)</w:t>
      </w:r>
      <w:r>
        <w:tab/>
      </w:r>
      <w:r>
        <w:rPr>
          <w:noProof/>
        </w:rPr>
        <w:t>Η παρούσα απόφαση αποτελεί ανάπτυξη των διατάξεων του κεκτημένου του Σένγκεν, στις οποίες δεν συμμετέχει η Ιρλανδία, σύμφωνα με την απόφαση 2002/192/ΕΚ του Συμβουλίου</w:t>
      </w:r>
      <w:r>
        <w:rPr>
          <w:rStyle w:val="FootnoteReference"/>
          <w:noProof/>
        </w:rPr>
        <w:footnoteReference w:id="20"/>
      </w:r>
      <w:r>
        <w:rPr>
          <w:noProof/>
        </w:rPr>
        <w:t>. Ως εκ τούτου, η Ιρλανδία δεν συμμετέχει στην έκδοση της παρούσας απόφασης και δεν δεσμεύεται από αυτήν ούτε υπόκειται στην εφαρμογή της.</w:t>
      </w:r>
    </w:p>
    <w:p>
      <w:pPr>
        <w:pStyle w:val="Formuledadoption"/>
        <w:rPr>
          <w:noProof/>
        </w:rPr>
      </w:pPr>
      <w:r>
        <w:rPr>
          <w:noProof/>
        </w:rPr>
        <w:t xml:space="preserve">ΕΞΕΔΩΣΕ ΤΗΝ ΠΑΡΟΥΣΑ ΑΠΟΦΑΣΗ: </w:t>
      </w:r>
    </w:p>
    <w:p>
      <w:pPr>
        <w:pStyle w:val="Titrearticle"/>
        <w:rPr>
          <w:noProof/>
        </w:rPr>
      </w:pPr>
      <w:r>
        <w:rPr>
          <w:noProof/>
        </w:rPr>
        <w:t>Άρθρο 1</w:t>
      </w:r>
    </w:p>
    <w:p>
      <w:pPr>
        <w:rPr>
          <w:noProof/>
        </w:rPr>
      </w:pPr>
      <w:r>
        <w:rPr>
          <w:noProof/>
        </w:rPr>
        <w:t>Η υπογραφή, εξ ονόματος της Ένωσης, της συμφωνίας μεταξύ της Ευρωπαϊκής Ένωσης και της Δημοκρατίας των Σεϋχελλών για την τροποποίηση της συμφωνίας μεταξύ της Ευρωπαϊκής Κοινότητας και της Δημοκρατίας των Σεϋχελλών για την απαλλαγή από την υποχρέωση θεώρησης για βραχεία διαμονή (η «συμφωνία») εγκρίνεται με την επιφύλαξη της σύναψης της εν λόγω συμφωνίας.</w:t>
      </w:r>
    </w:p>
    <w:p>
      <w:pPr>
        <w:rPr>
          <w:noProof/>
        </w:rPr>
      </w:pPr>
      <w:r>
        <w:rPr>
          <w:noProof/>
        </w:rPr>
        <w:t>Το κείμενο της συμφωνίας επισυνάπτεται στην παρούσα απόφαση.</w:t>
      </w:r>
    </w:p>
    <w:p>
      <w:pPr>
        <w:pStyle w:val="Titrearticle"/>
        <w:keepNext w:val="0"/>
        <w:rPr>
          <w:noProof/>
          <w:color w:val="0000FF"/>
        </w:rPr>
      </w:pPr>
      <w:r>
        <w:rPr>
          <w:noProof/>
        </w:rPr>
        <w:t xml:space="preserve">Άρθρο 2 </w:t>
      </w:r>
    </w:p>
    <w:p>
      <w:pPr>
        <w:keepLines/>
        <w:rPr>
          <w:noProof/>
        </w:rPr>
      </w:pPr>
      <w:r>
        <w:rPr>
          <w:noProof/>
        </w:rPr>
        <w:t>Οι δηλώσεις που επισυνάπτονται στην παρούσα απόφαση εγκρίνονται εξ ονόματος της Ένωσης.</w:t>
      </w:r>
    </w:p>
    <w:p>
      <w:pPr>
        <w:pStyle w:val="Titrearticle"/>
        <w:keepNext w:val="0"/>
        <w:rPr>
          <w:noProof/>
          <w:color w:val="0000FF"/>
        </w:rPr>
      </w:pPr>
      <w:r>
        <w:rPr>
          <w:noProof/>
        </w:rPr>
        <w:t>Άρθρο 3</w:t>
      </w:r>
    </w:p>
    <w:p>
      <w:pPr>
        <w:keepLines/>
        <w:rPr>
          <w:noProof/>
        </w:rPr>
      </w:pPr>
      <w:r>
        <w:rPr>
          <w:noProof/>
        </w:rPr>
        <w:t>Ο Πρόεδρος του Συμβουλίου εξουσιοδοτείται να ορίσει το ή τα πρόσωπα που είναι αρμόδια να υπογράψουν τη συμφωνία εξ ονόματος της Ένωσης.</w:t>
      </w:r>
    </w:p>
    <w:p>
      <w:pPr>
        <w:pStyle w:val="Titrearticle"/>
        <w:rPr>
          <w:noProof/>
          <w:color w:val="0000FF"/>
        </w:rPr>
      </w:pPr>
      <w:r>
        <w:rPr>
          <w:noProof/>
        </w:rPr>
        <w:t>Άρθρο 4</w:t>
      </w:r>
    </w:p>
    <w:p>
      <w:pPr>
        <w:keepNext/>
        <w:keepLines/>
        <w:rPr>
          <w:noProof/>
        </w:rPr>
      </w:pPr>
      <w:r>
        <w:rPr>
          <w:noProof/>
        </w:rPr>
        <w:t xml:space="preserve">Η παρούσα απόφαση αρχίζει να ισχύει την ημέρα της έκδοσής της. </w:t>
      </w:r>
    </w:p>
    <w:p>
      <w:pPr>
        <w:pStyle w:val="Fait"/>
        <w:rPr>
          <w:noProof/>
        </w:rPr>
      </w:pPr>
      <w:r>
        <w:rPr>
          <w:noProof/>
        </w:rPr>
        <w:t>Βρυξέλλες,</w:t>
      </w:r>
    </w:p>
    <w:p>
      <w:pPr>
        <w:pStyle w:val="Institutionquisigne"/>
        <w:rPr>
          <w:noProof/>
        </w:rPr>
      </w:pPr>
      <w:r>
        <w:rPr>
          <w:noProof/>
        </w:rPr>
        <w:tab/>
        <w:t>Για το Συμβούλιο</w:t>
      </w:r>
    </w:p>
    <w:p>
      <w:pPr>
        <w:pStyle w:val="Personnequisigne"/>
        <w:rPr>
          <w:noProof/>
        </w:rPr>
      </w:pPr>
      <w:r>
        <w:rPr>
          <w:noProof/>
        </w:rPr>
        <w:tab/>
        <w:t>Ο Πρόεδρος</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rPr>
      </w:pPr>
      <w:r>
        <w:rPr>
          <w:rStyle w:val="FootnoteReference"/>
        </w:rPr>
        <w:footnoteRef/>
      </w:r>
      <w:r>
        <w:tab/>
        <w:t>ΕΕ L 182 της 29.6.2013, σ. 1.</w:t>
      </w:r>
    </w:p>
  </w:footnote>
  <w:footnote w:id="3">
    <w:p>
      <w:pPr>
        <w:pStyle w:val="FootnoteText"/>
      </w:pPr>
      <w:r>
        <w:rPr>
          <w:rStyle w:val="FootnoteReference"/>
        </w:rPr>
        <w:footnoteRef/>
      </w:r>
      <w:r>
        <w:tab/>
        <w:t>ΕΕ L 239 της 22.9.2000, σ. 19.</w:t>
      </w:r>
    </w:p>
  </w:footnote>
  <w:footnote w:id="4">
    <w:p>
      <w:pPr>
        <w:pStyle w:val="FootnoteText"/>
      </w:pPr>
      <w:r>
        <w:rPr>
          <w:rStyle w:val="FootnoteReference"/>
        </w:rPr>
        <w:footnoteRef/>
      </w:r>
      <w:r>
        <w:tab/>
        <w:t>ΕΕ L 105 της 13.4.2006, σ. 1.</w:t>
      </w:r>
    </w:p>
  </w:footnote>
  <w:footnote w:id="5">
    <w:p>
      <w:pPr>
        <w:pStyle w:val="FootnoteText"/>
      </w:pPr>
      <w:r>
        <w:rPr>
          <w:rStyle w:val="FootnoteReference"/>
        </w:rPr>
        <w:footnoteRef/>
      </w:r>
      <w:r>
        <w:tab/>
        <w:t>ΕΕ L 243 της 15.9.2009, σ. 1.</w:t>
      </w:r>
    </w:p>
  </w:footnote>
  <w:footnote w:id="6">
    <w:p>
      <w:pPr>
        <w:pStyle w:val="FootnoteText"/>
      </w:pPr>
      <w:r>
        <w:rPr>
          <w:rStyle w:val="FootnoteReference"/>
        </w:rPr>
        <w:footnoteRef/>
      </w:r>
      <w:r>
        <w:tab/>
        <w:t>ΕΕ L 081 της 21.3.2001, σ. 1.</w:t>
      </w:r>
    </w:p>
  </w:footnote>
  <w:footnote w:id="7">
    <w:p>
      <w:pPr>
        <w:pStyle w:val="FootnoteText"/>
      </w:pPr>
      <w:r>
        <w:rPr>
          <w:rStyle w:val="FootnoteReference"/>
        </w:rPr>
        <w:footnoteRef/>
      </w:r>
      <w:r>
        <w:tab/>
        <w:t>ΕΕ L 169 της 30.6.2009, σ. 3.</w:t>
      </w:r>
    </w:p>
  </w:footnote>
  <w:footnote w:id="8">
    <w:p>
      <w:pPr>
        <w:pStyle w:val="FootnoteText"/>
      </w:pPr>
      <w:r>
        <w:rPr>
          <w:rStyle w:val="FootnoteReference"/>
        </w:rPr>
        <w:footnoteRef/>
      </w:r>
      <w:r>
        <w:tab/>
        <w:t>ΕΕ L 169 της 30.6.2009, σ. 24.</w:t>
      </w:r>
    </w:p>
  </w:footnote>
  <w:footnote w:id="9">
    <w:p>
      <w:pPr>
        <w:pStyle w:val="FootnoteText"/>
      </w:pPr>
      <w:r>
        <w:rPr>
          <w:rStyle w:val="FootnoteReference"/>
        </w:rPr>
        <w:footnoteRef/>
      </w:r>
      <w:r>
        <w:tab/>
        <w:t>ΕΕ L 169 της 30.6.2009, σ. 10.</w:t>
      </w:r>
    </w:p>
  </w:footnote>
  <w:footnote w:id="10">
    <w:p>
      <w:pPr>
        <w:pStyle w:val="FootnoteText"/>
      </w:pPr>
      <w:r>
        <w:rPr>
          <w:rStyle w:val="FootnoteReference"/>
        </w:rPr>
        <w:footnoteRef/>
      </w:r>
      <w:r>
        <w:tab/>
        <w:t>Με τη Βραζιλία η ΕΕ έχει συνάψει δύο συμφωνίες. Μία για τους κατόχους κοινών διαβατηρίων (ΕΕ L 255 της 21.9.2012, σ. 4) και μία χωριστή για τους κατόχους διπλωματικών, υπηρεσιακών και επίσημων διαβατηρίων (ΕΕ L 66 της 12.3.2011, σ. 2).</w:t>
      </w:r>
    </w:p>
  </w:footnote>
  <w:footnote w:id="11">
    <w:p>
      <w:pPr>
        <w:pStyle w:val="FootnoteText"/>
      </w:pPr>
      <w:r>
        <w:rPr>
          <w:rStyle w:val="FootnoteReference"/>
        </w:rPr>
        <w:footnoteRef/>
      </w:r>
      <w:r>
        <w:tab/>
        <w:t>ΕΕ L 169 της 30.6.2009, σ. 17.</w:t>
      </w:r>
    </w:p>
  </w:footnote>
  <w:footnote w:id="12">
    <w:p>
      <w:pPr>
        <w:pStyle w:val="FootnoteText"/>
      </w:pPr>
      <w:r>
        <w:rPr>
          <w:rStyle w:val="FootnoteReference"/>
        </w:rPr>
        <w:footnoteRef/>
      </w:r>
      <w:r>
        <w:tab/>
        <w:t>ΕΕ L 169 της 30.6.2009, σ. 38.</w:t>
      </w:r>
    </w:p>
  </w:footnote>
  <w:footnote w:id="13">
    <w:p>
      <w:pPr>
        <w:pStyle w:val="FootnoteText"/>
      </w:pPr>
      <w:r>
        <w:rPr>
          <w:rStyle w:val="FootnoteReference"/>
        </w:rPr>
        <w:footnoteRef/>
      </w:r>
      <w:r>
        <w:tab/>
        <w:t>ΕΕ L 169 της 30.6.2009, σ. 31.</w:t>
      </w:r>
    </w:p>
  </w:footnote>
  <w:footnote w:id="14">
    <w:p>
      <w:pPr>
        <w:pStyle w:val="FootnoteText"/>
      </w:pPr>
      <w:r>
        <w:rPr>
          <w:rStyle w:val="FootnoteReference"/>
        </w:rPr>
        <w:footnoteRef/>
      </w:r>
      <w:r>
        <w:tab/>
        <w:t>Πβλ. «Σκοπός» και «Διάρκεια της παραμονής» στις συμφωνίες.</w:t>
      </w:r>
    </w:p>
  </w:footnote>
  <w:footnote w:id="15">
    <w:p>
      <w:pPr>
        <w:pStyle w:val="FootnoteText"/>
      </w:pPr>
      <w:r>
        <w:rPr>
          <w:rStyle w:val="FootnoteReference"/>
        </w:rPr>
        <w:footnoteRef/>
      </w:r>
      <w:r>
        <w:tab/>
        <w:t xml:space="preserve">COM(2014) 468 final. </w:t>
      </w:r>
    </w:p>
  </w:footnote>
  <w:footnote w:id="16">
    <w:p>
      <w:pPr>
        <w:pStyle w:val="FootnoteText"/>
      </w:pPr>
      <w:r>
        <w:rPr>
          <w:rStyle w:val="FootnoteReference"/>
        </w:rPr>
        <w:footnoteRef/>
      </w:r>
      <w:r>
        <w:tab/>
        <w:t>Απόφαση του Συμβουλίου με την οποία εξουσιοδοτείται η Επιτροπή να αρχίσει διαπραγματεύσεις για την τροποποίηση των συμφωνιών απαλλαγής από την υποχρέωση θεώρησης για βραχεία διαμονή που έχουν συναφθεί μεταξύ της Ευρωπαϊκής Ένωσης/Κοινότητας και της Αντίγκουα και Μπαρμπούντα, της Κοινοπολιτείας των Μπαχαμών, των Μπαρμπάντος, της Ομοσπονδιακής Δημοκρατίας της Βραζιλίας, της Δημοκρατίας του Μαυρίκιου, της Ομοσπονδίας Αγίου Χριστοφόρου και Νέβις και της Δημοκρατίας των Σεϋχελλών, που εγκρίθηκε από το Συμβούλιο στις 9.10.2014.</w:t>
      </w:r>
    </w:p>
  </w:footnote>
  <w:footnote w:id="17">
    <w:p>
      <w:pPr>
        <w:pStyle w:val="FootnoteText"/>
      </w:pPr>
      <w:r>
        <w:rPr>
          <w:rStyle w:val="FootnoteReference"/>
        </w:rPr>
        <w:footnoteRef/>
      </w:r>
      <w:r>
        <w:tab/>
        <w:t>COM(2016)194 final.</w:t>
      </w:r>
    </w:p>
  </w:footnote>
  <w:footnote w:id="18">
    <w:p>
      <w:pPr>
        <w:pStyle w:val="FootnoteText"/>
        <w:rPr>
          <w:rStyle w:val="FootnoteReference"/>
          <w:b/>
        </w:rPr>
      </w:pPr>
      <w:r>
        <w:rPr>
          <w:rStyle w:val="FootnoteReference"/>
        </w:rPr>
        <w:footnoteRef/>
      </w:r>
      <w:r>
        <w:tab/>
        <w:t>Κανονισμός (ΕΕ) αριθ. 610/2013 του Ευρωπαϊκού Κοινοβουλίου και του Συμβουλίου, της 26ης Ιουνίου 2013, για την τροποποίηση του κανονισμού (ΕΚ) αριθ. 562/2006 του Ευρωπαϊκού Κοινοβουλίου και του Συμβουλίου, της 15ης Μαρτίου 2006, για τη θέσπιση του κοινοτικού κώδικα σχετικά με το καθεστώς διέλευσης προσώπων από τα σύνορα (κώδικας συνόρων του Σένγκεν), της σύμβασης για την εφαρμογή της συμφωνίας του Σένγκεν, των κανονισμών (ΕΚ) αριθ. 1683/95 και (ΕΚ) αριθ. 539/2001 του Συμβουλίου και των κανονισμών (ΕΚ) αριθ. 767/2008, (ΕΚ) αριθ. 810/2009 του Ευρωπαϊκού Κοινοβουλίου και του Συμβουλίου, ΕΕ L 182 της 29.6.2013, σ. 1.</w:t>
      </w:r>
    </w:p>
  </w:footnote>
  <w:footnote w:id="19">
    <w:p>
      <w:pPr>
        <w:pStyle w:val="FootnoteText"/>
      </w:pPr>
      <w:r>
        <w:rPr>
          <w:rStyle w:val="FootnoteReference"/>
        </w:rPr>
        <w:footnoteRef/>
      </w:r>
      <w:r>
        <w:tab/>
        <w:t>Απόφαση 2000/365/ΕΚ του Συμβουλίου, της 29ης Μαΐου 2000, σχετικά με το αίτημα του Ηνωμένου Βασιλείου της Μεγάλης Βρετανίας και Βορείου Ιρλανδίας να συμμετέχει σε ορισμένες από τις διατάξεις του κεκτημένου του Σένγκεν (ΕΕ L 131 της 1.6.2000, σ. 43).</w:t>
      </w:r>
    </w:p>
  </w:footnote>
  <w:footnote w:id="20">
    <w:p>
      <w:pPr>
        <w:pStyle w:val="FootnoteText"/>
      </w:pPr>
      <w:r>
        <w:rPr>
          <w:rStyle w:val="FootnoteReference"/>
        </w:rPr>
        <w:footnoteRef/>
      </w:r>
      <w:r>
        <w:tab/>
        <w:t>Απόφαση 2002/192/ΕΚ του Συμβουλίου, της 28ης Φεβρουαρίου 2002, σχετικά με το αίτημα της Ιρλανδίας να συμμετέχει σε ορισμένες από τις διατάξεις του κεκτημένου του Σένγκεν (ΕΕ L 64 της 7.3.2002, σ.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3:14: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47ED9A2B8624B21BFBBFDAAE80168A2"/>
    <w:docVar w:name="LW_CROSSREFERENCE" w:val="&lt;UNUSED&gt;"/>
    <w:docVar w:name="LW_DocType" w:val="COM"/>
    <w:docVar w:name="LW_EMISSION" w:val="27.7.2017"/>
    <w:docVar w:name="LW_EMISSION_ISODATE" w:val="2017-07-27"/>
    <w:docVar w:name="LW_EMISSION_LOCATION" w:val="BRX"/>
    <w:docVar w:name="LW_EMISSION_PREFIX" w:val="Βρυξέλλες,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I.NEW.CP" w:val="NLE"/>
    <w:docVar w:name="LW_REF.II.NEW.CP_NUMBER" w:val="0173"/>
    <w:docVar w:name="LW_REF.II.NEW.CP_YEAR" w:val="2017"/>
    <w:docVar w:name="LW_REF.INST.NEW" w:val="COM"/>
    <w:docVar w:name="LW_REF.INST.NEW_ADOPTED" w:val="final"/>
    <w:docVar w:name="LW_REF.INST.NEW_TEXT" w:val="(2017) 391"/>
    <w:docVar w:name="LW_REF.INTERNE" w:val="&lt;UNUSED&gt;"/>
    <w:docVar w:name="LW_SOUS.TITRE.OBJ.CP" w:val="&lt;UNUSED&gt;"/>
    <w:docVar w:name="LW_STATUT.CP" w:val="\u928?\u961?\u972?\u964?\u945?\u963?\u951?"/>
    <w:docVar w:name="LW_SUPERTITRE" w:val="&lt;UNUSED&gt;"/>
    <w:docVar w:name="LW_TITRE.OBJ.CP" w:val="\u947?\u953?\u945? \u964?\u951?\u957? \u965?\u960?\u959?\u947?\u961?\u945?\u966?\u942? \u964?\u951?\u962? \u963?\u965?\u956?\u966?\u969?\u957?\u943?\u945?\u962? \u956?\u949?\u964?\u945?\u958?\u973? \u964?\u951?\u962? \u917?\u965?\u961?\u969?\u960?\u945?\u970?\u954?\u942?\u962? \u904?\u957?\u969?\u963?\u951?\u962? \u954?\u945?\u953? \u964?\u951?\u962? \u916?\u951?\u956?\u959?\u954?\u961?\u945?\u964?\u943?\u945?\u962? \u964?\u969?\u957? \u931?\u949?\u971?\u967?\u949?\u955?\u955?\u974?\u957? \u947?\u953?\u945? \u964?\u951?\u957? \u964?\u961?\u959?\u960?\u959?\u960?\u959?\u943?\u951?\u963?\u951? \u964?\u951?\u962? \u963?\u965?\u956?\u966?\u969?\u957?\u943?\u945?\u962? \u956?\u949?\u964?\u945?\u958?\u973? \u964?\u951?\u962? \u917?\u965?\u961?\u969?\u960?\u945?\u970?\u954?\u942?\u962? \u922?\u959?\u953?\u957?\u972?\u964?\u951?\u964?\u945?\u962? \u954?\u945?\u953? \u964?\u951?\u962? \u916?\u951?\u956?\u959?\u954?\u961?\u945?\u964?\u943?\u945?\u962? \u964?\u969?\u957? \u931?\u949?\u971?\u967?\u949?\u955?\u955?\u974?\u957? \u963?\u967?\u949?\u964?\u953?\u954?\u940? \u956?\u949? \u964?\u951?\u957? \u945?\u960?\u945?\u955?\u955?\u945?\u947?\u942? \u945?\u960?\u972? \u964?\u951?\u957? \u965?\u960?\u959?\u967?\u961?\u941?\u969?\u963?\u951? \u952?\u949?\u974?\u961?\u951?\u963?\u951?\u962? \u947?\u953?\u945? \u946?\u961?\u945?\u967?\u949?\u943?\u945? \u948?\u953?\u945?\u956?\u959?\u957?\u942?"/>
    <w:docVar w:name="LW_TYPE.DOC.CP" w:val="\u913?\u928?\u927?\u934?\u913?\u931?\u919? \u932?\u927?\u933? \u931?\u933?\u924?\u914?\u927?\u933?\u923?\u921?\u927?\u933?"/>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2174</Words>
  <Characters>12544</Characters>
  <Application>Microsoft Office Word</Application>
  <DocSecurity>0</DocSecurity>
  <Lines>228</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2017-07-11T13:31:00Z</dcterms:created>
  <dcterms:modified xsi:type="dcterms:W3CDTF">2017-07-19T11:14:00Z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