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B1BDE32B3A7E42D8A3E6BE26B9A7B4A5" style="width:450.8pt;height:364.4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Typedudocument"/>
        <w:rPr>
          <w:noProof/>
        </w:rPr>
      </w:pPr>
      <w:bookmarkStart w:id="0" w:name="_GoBack"/>
      <w:bookmarkEnd w:id="0"/>
      <w:r>
        <w:rPr>
          <w:noProof/>
        </w:rPr>
        <w:lastRenderedPageBreak/>
        <w:t>LISA</w:t>
      </w:r>
    </w:p>
    <w:p>
      <w:pPr>
        <w:pStyle w:val="Titreobjet"/>
        <w:rPr>
          <w:noProof/>
        </w:rPr>
      </w:pPr>
      <w:r>
        <w:rPr>
          <w:noProof/>
        </w:rPr>
        <w:t>Ettepanek:</w:t>
      </w:r>
      <w:r>
        <w:rPr>
          <w:noProof/>
        </w:rPr>
        <w:br/>
      </w:r>
      <w:r>
        <w:rPr>
          <w:noProof/>
        </w:rPr>
        <w:br/>
        <w:t>EUROOPA PARLAMENDI JA NÕUKOGU MÄÄRUS,</w:t>
      </w:r>
      <w:r>
        <w:rPr>
          <w:noProof/>
        </w:rPr>
        <w:br/>
      </w:r>
      <w:r>
        <w:rPr>
          <w:noProof/>
        </w:rPr>
        <w:br/>
        <w:t>millega asendatakse määruse (EL) 2015/848 (maksejõuetusmenetluse kohta) A lisa</w:t>
      </w:r>
    </w:p>
    <w:p>
      <w:pPr>
        <w:rPr>
          <w:noProof/>
        </w:rPr>
      </w:pPr>
    </w:p>
    <w:p>
      <w:pPr>
        <w:jc w:val="center"/>
        <w:rPr>
          <w:b/>
          <w:noProof/>
        </w:rPr>
      </w:pPr>
      <w:r>
        <w:rPr>
          <w:b/>
          <w:noProof/>
        </w:rPr>
        <w:t>„A LISA</w:t>
      </w:r>
    </w:p>
    <w:p>
      <w:pPr>
        <w:rPr>
          <w:b/>
          <w:noProof/>
        </w:rPr>
      </w:pPr>
    </w:p>
    <w:p>
      <w:pPr>
        <w:rPr>
          <w:b/>
          <w:noProof/>
        </w:rPr>
      </w:pPr>
      <w:r>
        <w:rPr>
          <w:b/>
          <w:noProof/>
        </w:rPr>
        <w:t xml:space="preserve">Artikli 2 punktis 4 osutatud maksejõuetusmenetlused </w:t>
      </w:r>
    </w:p>
    <w:p>
      <w:pPr>
        <w:rPr>
          <w:noProof/>
        </w:rPr>
      </w:pPr>
    </w:p>
    <w:p>
      <w:pPr>
        <w:rPr>
          <w:b/>
          <w:noProof/>
        </w:rPr>
      </w:pPr>
      <w:r>
        <w:rPr>
          <w:b/>
          <w:noProof/>
        </w:rPr>
        <w:t>BELGIQUE/BELGIË</w:t>
      </w:r>
    </w:p>
    <w:p>
      <w:pPr>
        <w:ind w:left="284" w:hanging="284"/>
        <w:rPr>
          <w:noProof/>
        </w:rPr>
      </w:pPr>
      <w:r>
        <w:rPr>
          <w:noProof/>
        </w:rPr>
        <w:t>— Het faillissement/La faillite,</w:t>
      </w:r>
    </w:p>
    <w:p>
      <w:pPr>
        <w:ind w:left="284" w:hanging="284"/>
        <w:rPr>
          <w:noProof/>
        </w:rPr>
      </w:pPr>
      <w:r>
        <w:rPr>
          <w:noProof/>
        </w:rPr>
        <w:t>— De gerechtelijke reorganisatie door een collectief akkoord/La réorganisation judiciaire par accord collectif,</w:t>
      </w:r>
    </w:p>
    <w:p>
      <w:pPr>
        <w:ind w:left="284" w:hanging="284"/>
        <w:rPr>
          <w:noProof/>
        </w:rPr>
      </w:pPr>
      <w:r>
        <w:rPr>
          <w:noProof/>
        </w:rPr>
        <w:t>— De gerechtelijke reorganisatie door een minnelijk akkoord/La réorganisation judiciaire par accord amiable,</w:t>
      </w:r>
    </w:p>
    <w:p>
      <w:pPr>
        <w:ind w:left="284" w:hanging="284"/>
        <w:rPr>
          <w:noProof/>
        </w:rPr>
      </w:pPr>
      <w:r>
        <w:rPr>
          <w:noProof/>
        </w:rPr>
        <w:t>— De gerechtelijke reorganisatie door overdracht onder gerechtelijk gezag/La réorganisation judiciaire par transfert sous autorité de justice,</w:t>
      </w:r>
    </w:p>
    <w:p>
      <w:pPr>
        <w:ind w:left="284" w:hanging="284"/>
        <w:rPr>
          <w:noProof/>
        </w:rPr>
      </w:pPr>
      <w:r>
        <w:rPr>
          <w:noProof/>
        </w:rPr>
        <w:t>— De collectieve schuldenregeling/Le règlement collectif de dettes,</w:t>
      </w:r>
    </w:p>
    <w:p>
      <w:pPr>
        <w:ind w:left="284" w:hanging="284"/>
        <w:rPr>
          <w:noProof/>
        </w:rPr>
      </w:pPr>
      <w:r>
        <w:rPr>
          <w:noProof/>
        </w:rPr>
        <w:t>— De vrijwillige vereffening/La liquidation volontaire,</w:t>
      </w:r>
    </w:p>
    <w:p>
      <w:pPr>
        <w:ind w:left="284" w:hanging="284"/>
        <w:rPr>
          <w:noProof/>
        </w:rPr>
      </w:pPr>
      <w:r>
        <w:rPr>
          <w:noProof/>
        </w:rPr>
        <w:t>— De gerechtelijke vereffening/La liquidation judiciaire,</w:t>
      </w:r>
    </w:p>
    <w:p>
      <w:pPr>
        <w:ind w:left="284" w:hanging="284"/>
        <w:rPr>
          <w:noProof/>
        </w:rPr>
      </w:pPr>
      <w:r>
        <w:rPr>
          <w:noProof/>
        </w:rPr>
        <w:t>— De voorlopige ontneming van beheer, bepaald in artikel 8 van de faillissementswet/Le dessaisissement provisoire, visé à l'article 8 de la loi sur les faillites,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БЪЛГАРИЯ</w:t>
      </w:r>
    </w:p>
    <w:p>
      <w:pPr>
        <w:ind w:left="284" w:hanging="284"/>
        <w:rPr>
          <w:noProof/>
        </w:rPr>
      </w:pPr>
      <w:r>
        <w:rPr>
          <w:noProof/>
        </w:rPr>
        <w:t>— Производство по несъстоятелност,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ČESKÁ REPUBLIKA</w:t>
      </w:r>
    </w:p>
    <w:p>
      <w:pPr>
        <w:ind w:left="284" w:hanging="284"/>
        <w:rPr>
          <w:noProof/>
        </w:rPr>
      </w:pPr>
      <w:r>
        <w:rPr>
          <w:noProof/>
        </w:rPr>
        <w:t>— Konkurs,</w:t>
      </w:r>
    </w:p>
    <w:p>
      <w:pPr>
        <w:ind w:left="284" w:hanging="284"/>
        <w:rPr>
          <w:noProof/>
        </w:rPr>
      </w:pPr>
      <w:r>
        <w:rPr>
          <w:noProof/>
        </w:rPr>
        <w:t>— Reorganizace,</w:t>
      </w:r>
    </w:p>
    <w:p>
      <w:pPr>
        <w:ind w:left="284" w:hanging="284"/>
        <w:rPr>
          <w:noProof/>
        </w:rPr>
      </w:pPr>
      <w:r>
        <w:rPr>
          <w:noProof/>
        </w:rPr>
        <w:t>— Oddlužení,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DEUTSCHLAND</w:t>
      </w:r>
    </w:p>
    <w:p>
      <w:pPr>
        <w:ind w:left="284" w:hanging="284"/>
        <w:rPr>
          <w:noProof/>
        </w:rPr>
      </w:pPr>
      <w:r>
        <w:rPr>
          <w:noProof/>
        </w:rPr>
        <w:t>— Das Konkursverfahren,</w:t>
      </w:r>
    </w:p>
    <w:p>
      <w:pPr>
        <w:ind w:left="284" w:hanging="284"/>
        <w:rPr>
          <w:noProof/>
        </w:rPr>
      </w:pPr>
      <w:r>
        <w:rPr>
          <w:noProof/>
        </w:rPr>
        <w:t>— Das gerichtliche Vergleichsverfahren,</w:t>
      </w:r>
    </w:p>
    <w:p>
      <w:pPr>
        <w:ind w:left="284" w:hanging="284"/>
        <w:rPr>
          <w:noProof/>
        </w:rPr>
      </w:pPr>
      <w:r>
        <w:rPr>
          <w:noProof/>
        </w:rPr>
        <w:t>— Das Gesamtvollstreckungsverfahren,</w:t>
      </w:r>
    </w:p>
    <w:p>
      <w:pPr>
        <w:ind w:left="284" w:hanging="284"/>
        <w:rPr>
          <w:noProof/>
        </w:rPr>
      </w:pPr>
      <w:r>
        <w:rPr>
          <w:noProof/>
        </w:rPr>
        <w:t>— Das Insolvenzverfahren,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lastRenderedPageBreak/>
        <w:t>EESTI</w:t>
      </w:r>
    </w:p>
    <w:p>
      <w:pPr>
        <w:ind w:left="284" w:hanging="284"/>
        <w:rPr>
          <w:noProof/>
        </w:rPr>
      </w:pPr>
      <w:r>
        <w:rPr>
          <w:noProof/>
        </w:rPr>
        <w:t>— Pankrotimenetlus,</w:t>
      </w:r>
    </w:p>
    <w:p>
      <w:pPr>
        <w:ind w:left="284" w:hanging="284"/>
        <w:rPr>
          <w:noProof/>
        </w:rPr>
      </w:pPr>
      <w:r>
        <w:rPr>
          <w:noProof/>
        </w:rPr>
        <w:t>— Võlgade ümberkujundamise menetlus,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ÉIRE/IRELAND</w:t>
      </w:r>
    </w:p>
    <w:p>
      <w:pPr>
        <w:ind w:left="284" w:hanging="284"/>
        <w:rPr>
          <w:noProof/>
        </w:rPr>
      </w:pPr>
      <w:r>
        <w:rPr>
          <w:noProof/>
        </w:rPr>
        <w:t>— Compulsory winding-up by the court,</w:t>
      </w:r>
    </w:p>
    <w:p>
      <w:pPr>
        <w:ind w:left="284" w:hanging="284"/>
        <w:rPr>
          <w:noProof/>
        </w:rPr>
      </w:pPr>
      <w:r>
        <w:rPr>
          <w:noProof/>
        </w:rPr>
        <w:t>— Bankruptcy,</w:t>
      </w:r>
    </w:p>
    <w:p>
      <w:pPr>
        <w:ind w:left="284" w:hanging="284"/>
        <w:rPr>
          <w:noProof/>
        </w:rPr>
      </w:pPr>
      <w:r>
        <w:rPr>
          <w:noProof/>
        </w:rPr>
        <w:t>— The administration in bankruptcy of the estate of persons dying insolvent,</w:t>
      </w:r>
    </w:p>
    <w:p>
      <w:pPr>
        <w:ind w:left="284" w:hanging="284"/>
        <w:rPr>
          <w:noProof/>
        </w:rPr>
      </w:pPr>
      <w:r>
        <w:rPr>
          <w:noProof/>
        </w:rPr>
        <w:t>— Winding-up in bankruptcy of partnerships,</w:t>
      </w:r>
    </w:p>
    <w:p>
      <w:pPr>
        <w:ind w:left="284" w:hanging="284"/>
        <w:rPr>
          <w:noProof/>
        </w:rPr>
      </w:pPr>
      <w:r>
        <w:rPr>
          <w:noProof/>
        </w:rPr>
        <w:t>— Creditors’ voluntary winding-up (with confirmation of a court),</w:t>
      </w:r>
    </w:p>
    <w:p>
      <w:pPr>
        <w:ind w:left="284" w:hanging="284"/>
        <w:rPr>
          <w:noProof/>
        </w:rPr>
      </w:pPr>
      <w:r>
        <w:rPr>
          <w:noProof/>
        </w:rPr>
        <w:t>— Arrangements under the control of the court which involve the vesting of all or part of the property of the debtor in the Official Assignee for realisation and distribution,</w:t>
      </w:r>
    </w:p>
    <w:p>
      <w:pPr>
        <w:ind w:left="284" w:hanging="284"/>
        <w:rPr>
          <w:noProof/>
        </w:rPr>
      </w:pPr>
      <w:r>
        <w:rPr>
          <w:noProof/>
        </w:rPr>
        <w:t>— Examinership,</w:t>
      </w:r>
    </w:p>
    <w:p>
      <w:pPr>
        <w:ind w:left="284" w:hanging="284"/>
        <w:rPr>
          <w:noProof/>
        </w:rPr>
      </w:pPr>
      <w:r>
        <w:rPr>
          <w:noProof/>
        </w:rPr>
        <w:t>— Debt Relief Notice,</w:t>
      </w:r>
    </w:p>
    <w:p>
      <w:pPr>
        <w:ind w:left="284" w:hanging="284"/>
        <w:rPr>
          <w:noProof/>
        </w:rPr>
      </w:pPr>
      <w:r>
        <w:rPr>
          <w:noProof/>
        </w:rPr>
        <w:t>— Debt Settlement Arrangement,</w:t>
      </w:r>
    </w:p>
    <w:p>
      <w:pPr>
        <w:ind w:left="284" w:hanging="284"/>
        <w:rPr>
          <w:noProof/>
        </w:rPr>
      </w:pPr>
      <w:r>
        <w:rPr>
          <w:noProof/>
        </w:rPr>
        <w:t>— Personal Insolvency Arrangement,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ΕΛΛΑΔΑ</w:t>
      </w:r>
    </w:p>
    <w:p>
      <w:pPr>
        <w:ind w:left="284" w:hanging="284"/>
        <w:rPr>
          <w:noProof/>
        </w:rPr>
      </w:pPr>
      <w:r>
        <w:rPr>
          <w:noProof/>
        </w:rPr>
        <w:t>— Η πτώχευση,</w:t>
      </w:r>
    </w:p>
    <w:p>
      <w:pPr>
        <w:ind w:left="284" w:hanging="284"/>
        <w:rPr>
          <w:noProof/>
        </w:rPr>
      </w:pPr>
      <w:r>
        <w:rPr>
          <w:noProof/>
        </w:rPr>
        <w:t>— Η ειδική εκκαθάριση εν λειτουργία,</w:t>
      </w:r>
    </w:p>
    <w:p>
      <w:pPr>
        <w:ind w:left="284" w:hanging="284"/>
        <w:rPr>
          <w:noProof/>
        </w:rPr>
      </w:pPr>
      <w:r>
        <w:rPr>
          <w:noProof/>
        </w:rPr>
        <w:t>— Σχέδιο αναδιοργάνωσης,</w:t>
      </w:r>
    </w:p>
    <w:p>
      <w:pPr>
        <w:ind w:left="284" w:hanging="284"/>
        <w:rPr>
          <w:noProof/>
        </w:rPr>
      </w:pPr>
      <w:r>
        <w:rPr>
          <w:noProof/>
        </w:rPr>
        <w:t>— Απλοποιημένη διαδικασία επί πτωχεύσεων μικρού αντικειμένου,</w:t>
      </w:r>
    </w:p>
    <w:p>
      <w:pPr>
        <w:ind w:left="284" w:hanging="284"/>
        <w:rPr>
          <w:noProof/>
        </w:rPr>
      </w:pPr>
      <w:r>
        <w:rPr>
          <w:noProof/>
        </w:rPr>
        <w:t>— Διαδικασία εξυγίανσης,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ESPAÑA</w:t>
      </w:r>
    </w:p>
    <w:p>
      <w:pPr>
        <w:ind w:left="284" w:hanging="284"/>
        <w:rPr>
          <w:noProof/>
        </w:rPr>
      </w:pPr>
      <w:r>
        <w:rPr>
          <w:noProof/>
        </w:rPr>
        <w:t>— Concurso,</w:t>
      </w:r>
    </w:p>
    <w:p>
      <w:pPr>
        <w:ind w:left="284" w:hanging="284"/>
        <w:rPr>
          <w:noProof/>
        </w:rPr>
      </w:pPr>
      <w:r>
        <w:rPr>
          <w:noProof/>
        </w:rPr>
        <w:t>— Procedimiento de homologación de acuerdos de refinanciación,</w:t>
      </w:r>
    </w:p>
    <w:p>
      <w:pPr>
        <w:ind w:left="284" w:hanging="284"/>
        <w:rPr>
          <w:noProof/>
        </w:rPr>
      </w:pPr>
      <w:r>
        <w:rPr>
          <w:noProof/>
        </w:rPr>
        <w:t>— Procedimiento de acuerdos extrajudiciales de pago,</w:t>
      </w:r>
    </w:p>
    <w:p>
      <w:pPr>
        <w:ind w:left="284" w:hanging="284"/>
        <w:rPr>
          <w:noProof/>
        </w:rPr>
      </w:pPr>
      <w:r>
        <w:rPr>
          <w:noProof/>
        </w:rPr>
        <w:t>— Procedimiento de negociación pública para la consecución de acuerdos de refinanciación colectivos, acuerdos de refinanciación homologados y propuestas anticipadas de convenio,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FRANCE</w:t>
      </w:r>
    </w:p>
    <w:p>
      <w:pPr>
        <w:ind w:left="284" w:hanging="284"/>
        <w:rPr>
          <w:noProof/>
        </w:rPr>
      </w:pPr>
      <w:r>
        <w:rPr>
          <w:noProof/>
        </w:rPr>
        <w:t>— Sauvegarde,</w:t>
      </w:r>
    </w:p>
    <w:p>
      <w:pPr>
        <w:ind w:left="284" w:hanging="284"/>
        <w:rPr>
          <w:noProof/>
        </w:rPr>
      </w:pPr>
      <w:r>
        <w:rPr>
          <w:noProof/>
        </w:rPr>
        <w:t>— Sauvegarde accélérée,</w:t>
      </w:r>
    </w:p>
    <w:p>
      <w:pPr>
        <w:ind w:left="284" w:hanging="284"/>
        <w:rPr>
          <w:noProof/>
        </w:rPr>
      </w:pPr>
      <w:r>
        <w:rPr>
          <w:noProof/>
        </w:rPr>
        <w:t>— Sauvegarde financière accélérée,</w:t>
      </w:r>
    </w:p>
    <w:p>
      <w:pPr>
        <w:ind w:left="284" w:hanging="284"/>
        <w:rPr>
          <w:noProof/>
        </w:rPr>
      </w:pPr>
      <w:r>
        <w:rPr>
          <w:noProof/>
        </w:rPr>
        <w:t>— Redressement judiciaire,</w:t>
      </w:r>
    </w:p>
    <w:p>
      <w:pPr>
        <w:ind w:left="284" w:hanging="284"/>
        <w:rPr>
          <w:noProof/>
        </w:rPr>
      </w:pPr>
      <w:r>
        <w:rPr>
          <w:noProof/>
        </w:rPr>
        <w:t>— Liquidation judiciaire,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HRVATSKA</w:t>
      </w:r>
    </w:p>
    <w:p>
      <w:pPr>
        <w:ind w:left="284" w:hanging="284"/>
        <w:rPr>
          <w:noProof/>
        </w:rPr>
      </w:pPr>
      <w:r>
        <w:rPr>
          <w:noProof/>
        </w:rPr>
        <w:t>— Stečajni postupak,</w:t>
      </w:r>
    </w:p>
    <w:p>
      <w:pPr>
        <w:ind w:left="284" w:hanging="284"/>
        <w:rPr>
          <w:noProof/>
        </w:rPr>
      </w:pPr>
      <w:r>
        <w:rPr>
          <w:noProof/>
        </w:rPr>
        <w:lastRenderedPageBreak/>
        <w:t xml:space="preserve">— Predstečajni postupak, </w:t>
      </w:r>
    </w:p>
    <w:p>
      <w:pPr>
        <w:ind w:left="284" w:hanging="284"/>
        <w:rPr>
          <w:noProof/>
        </w:rPr>
      </w:pPr>
      <w:r>
        <w:rPr>
          <w:noProof/>
        </w:rPr>
        <w:t>—  Postupak stečaja potrošača,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ITALIA</w:t>
      </w:r>
    </w:p>
    <w:p>
      <w:pPr>
        <w:ind w:left="284" w:hanging="284"/>
        <w:rPr>
          <w:noProof/>
        </w:rPr>
      </w:pPr>
      <w:r>
        <w:rPr>
          <w:noProof/>
        </w:rPr>
        <w:t>— Fallimento,</w:t>
      </w:r>
    </w:p>
    <w:p>
      <w:pPr>
        <w:ind w:left="284" w:hanging="284"/>
        <w:rPr>
          <w:noProof/>
        </w:rPr>
      </w:pPr>
      <w:r>
        <w:rPr>
          <w:noProof/>
        </w:rPr>
        <w:t>— Concordato preventivo,</w:t>
      </w:r>
    </w:p>
    <w:p>
      <w:pPr>
        <w:ind w:left="284" w:hanging="284"/>
        <w:rPr>
          <w:noProof/>
        </w:rPr>
      </w:pPr>
      <w:r>
        <w:rPr>
          <w:noProof/>
        </w:rPr>
        <w:t>— Liquidazione coatta amministrativa,</w:t>
      </w:r>
    </w:p>
    <w:p>
      <w:pPr>
        <w:ind w:left="284" w:hanging="284"/>
        <w:rPr>
          <w:noProof/>
        </w:rPr>
      </w:pPr>
      <w:r>
        <w:rPr>
          <w:noProof/>
        </w:rPr>
        <w:t>— Amministrazione straordinaria,</w:t>
      </w:r>
    </w:p>
    <w:p>
      <w:pPr>
        <w:ind w:left="284" w:hanging="284"/>
        <w:rPr>
          <w:noProof/>
        </w:rPr>
      </w:pPr>
      <w:r>
        <w:rPr>
          <w:noProof/>
        </w:rPr>
        <w:t>— Accordi di ristrutturazione,</w:t>
      </w:r>
    </w:p>
    <w:p>
      <w:pPr>
        <w:ind w:left="284" w:hanging="284"/>
        <w:rPr>
          <w:noProof/>
        </w:rPr>
      </w:pPr>
      <w:r>
        <w:rPr>
          <w:noProof/>
        </w:rPr>
        <w:t>— Procedure di composizione della crisi da sovraindebitamento del consumatore (accordo o piano),</w:t>
      </w:r>
    </w:p>
    <w:p>
      <w:pPr>
        <w:ind w:left="284" w:hanging="284"/>
        <w:rPr>
          <w:noProof/>
        </w:rPr>
      </w:pPr>
      <w:r>
        <w:rPr>
          <w:noProof/>
        </w:rPr>
        <w:t>— Liquidazione dei beni,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ΚΥΠΡΟΣ</w:t>
      </w:r>
    </w:p>
    <w:p>
      <w:pPr>
        <w:ind w:left="284" w:hanging="284"/>
        <w:rPr>
          <w:noProof/>
        </w:rPr>
      </w:pPr>
      <w:r>
        <w:rPr>
          <w:noProof/>
        </w:rPr>
        <w:t>— Υποχρεωτική εκκαθάριση από το Δικαστήριο,</w:t>
      </w:r>
    </w:p>
    <w:p>
      <w:pPr>
        <w:ind w:left="284" w:hanging="284"/>
        <w:rPr>
          <w:noProof/>
        </w:rPr>
      </w:pPr>
      <w:r>
        <w:rPr>
          <w:noProof/>
        </w:rPr>
        <w:t>— Εκούσια εκκαθάριση από μέλη,</w:t>
      </w:r>
    </w:p>
    <w:p>
      <w:pPr>
        <w:ind w:left="284" w:hanging="284"/>
        <w:rPr>
          <w:noProof/>
        </w:rPr>
      </w:pPr>
      <w:r>
        <w:rPr>
          <w:noProof/>
        </w:rPr>
        <w:t>— Εκούσια εκκαθάριση από πιστωτές</w:t>
      </w:r>
    </w:p>
    <w:p>
      <w:pPr>
        <w:ind w:left="284" w:hanging="284"/>
        <w:rPr>
          <w:noProof/>
        </w:rPr>
      </w:pPr>
      <w:r>
        <w:rPr>
          <w:noProof/>
        </w:rPr>
        <w:t>— Εκκαθάριση με την εποπτεία του Δικαστηρίου,</w:t>
      </w:r>
    </w:p>
    <w:p>
      <w:pPr>
        <w:ind w:left="284" w:hanging="284"/>
        <w:rPr>
          <w:noProof/>
        </w:rPr>
      </w:pPr>
      <w:r>
        <w:rPr>
          <w:noProof/>
        </w:rPr>
        <w:t>— Διάταγμα παραλαβής και πτώχευσης κατόπιν Δικαστικού Διατάγματος,</w:t>
      </w:r>
    </w:p>
    <w:p>
      <w:pPr>
        <w:ind w:left="284" w:hanging="284"/>
        <w:rPr>
          <w:noProof/>
        </w:rPr>
      </w:pPr>
      <w:r>
        <w:rPr>
          <w:noProof/>
        </w:rPr>
        <w:t>— Διαχείριση της περιουσίας προσώπων που απεβίωσαν αφερέγγυα,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LATVIJA</w:t>
      </w:r>
    </w:p>
    <w:p>
      <w:pPr>
        <w:ind w:left="284" w:hanging="284"/>
        <w:rPr>
          <w:noProof/>
        </w:rPr>
      </w:pPr>
      <w:r>
        <w:rPr>
          <w:noProof/>
        </w:rPr>
        <w:t>— Tiesiskās aizsardzības process,</w:t>
      </w:r>
    </w:p>
    <w:p>
      <w:pPr>
        <w:ind w:left="284" w:hanging="284"/>
        <w:rPr>
          <w:noProof/>
        </w:rPr>
      </w:pPr>
      <w:r>
        <w:rPr>
          <w:noProof/>
        </w:rPr>
        <w:t>— Juridiskās personas maksātnespējas process,</w:t>
      </w:r>
    </w:p>
    <w:p>
      <w:pPr>
        <w:ind w:left="284" w:hanging="284"/>
        <w:rPr>
          <w:noProof/>
        </w:rPr>
      </w:pPr>
      <w:r>
        <w:rPr>
          <w:noProof/>
        </w:rPr>
        <w:t>— Fiziskās personas maksātnespējas process,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LIETUVA</w:t>
      </w:r>
    </w:p>
    <w:p>
      <w:pPr>
        <w:ind w:left="284" w:hanging="284"/>
        <w:rPr>
          <w:noProof/>
        </w:rPr>
      </w:pPr>
      <w:r>
        <w:rPr>
          <w:noProof/>
        </w:rPr>
        <w:t>— Įmonės restruktūrizavimo byla,</w:t>
      </w:r>
    </w:p>
    <w:p>
      <w:pPr>
        <w:ind w:left="284" w:hanging="284"/>
        <w:rPr>
          <w:noProof/>
        </w:rPr>
      </w:pPr>
      <w:r>
        <w:rPr>
          <w:noProof/>
        </w:rPr>
        <w:t>— Įmonės bankroto byla,</w:t>
      </w:r>
    </w:p>
    <w:p>
      <w:pPr>
        <w:ind w:left="284" w:hanging="284"/>
        <w:rPr>
          <w:noProof/>
        </w:rPr>
      </w:pPr>
      <w:r>
        <w:rPr>
          <w:noProof/>
        </w:rPr>
        <w:t>— Įmonės bankroto procesas ne teismo tvarka,</w:t>
      </w:r>
    </w:p>
    <w:p>
      <w:pPr>
        <w:ind w:left="284" w:hanging="284"/>
        <w:rPr>
          <w:noProof/>
        </w:rPr>
      </w:pPr>
      <w:r>
        <w:rPr>
          <w:noProof/>
        </w:rPr>
        <w:t>— Fizinio asmens bankroto procesas,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LUXEMBOURG</w:t>
      </w:r>
    </w:p>
    <w:p>
      <w:pPr>
        <w:ind w:left="284" w:hanging="284"/>
        <w:rPr>
          <w:noProof/>
        </w:rPr>
      </w:pPr>
      <w:r>
        <w:rPr>
          <w:noProof/>
        </w:rPr>
        <w:t>— Faillite,</w:t>
      </w:r>
    </w:p>
    <w:p>
      <w:pPr>
        <w:ind w:left="284" w:hanging="284"/>
        <w:rPr>
          <w:noProof/>
        </w:rPr>
      </w:pPr>
      <w:r>
        <w:rPr>
          <w:noProof/>
        </w:rPr>
        <w:t>— Gestion contrôlée,</w:t>
      </w:r>
    </w:p>
    <w:p>
      <w:pPr>
        <w:ind w:left="284" w:hanging="284"/>
        <w:rPr>
          <w:noProof/>
        </w:rPr>
      </w:pPr>
      <w:r>
        <w:rPr>
          <w:noProof/>
        </w:rPr>
        <w:t>— Concordat préventif de faillite (par abandon d'actif),</w:t>
      </w:r>
    </w:p>
    <w:p>
      <w:pPr>
        <w:ind w:left="284" w:hanging="284"/>
        <w:rPr>
          <w:noProof/>
        </w:rPr>
      </w:pPr>
      <w:r>
        <w:rPr>
          <w:noProof/>
        </w:rPr>
        <w:t>— Régime spécial de liquidation du notariat,</w:t>
      </w:r>
    </w:p>
    <w:p>
      <w:pPr>
        <w:ind w:left="284" w:hanging="284"/>
        <w:rPr>
          <w:noProof/>
        </w:rPr>
      </w:pPr>
      <w:r>
        <w:rPr>
          <w:noProof/>
        </w:rPr>
        <w:t>— Procédure de règlement collectif des dettes dans le cadre du surendettement,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MAGYARORSZÁG</w:t>
      </w:r>
    </w:p>
    <w:p>
      <w:pPr>
        <w:ind w:left="284" w:hanging="284"/>
        <w:rPr>
          <w:noProof/>
        </w:rPr>
      </w:pPr>
      <w:r>
        <w:rPr>
          <w:noProof/>
        </w:rPr>
        <w:t>— Csődeljárás,</w:t>
      </w:r>
    </w:p>
    <w:p>
      <w:pPr>
        <w:ind w:left="284" w:hanging="284"/>
        <w:rPr>
          <w:noProof/>
        </w:rPr>
      </w:pPr>
      <w:r>
        <w:rPr>
          <w:noProof/>
        </w:rPr>
        <w:t>— Felszámolási eljárás,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MALTA</w:t>
      </w:r>
    </w:p>
    <w:p>
      <w:pPr>
        <w:ind w:left="284" w:hanging="284"/>
        <w:rPr>
          <w:noProof/>
        </w:rPr>
      </w:pPr>
      <w:r>
        <w:rPr>
          <w:noProof/>
        </w:rPr>
        <w:t>— Xoljiment,</w:t>
      </w:r>
    </w:p>
    <w:p>
      <w:pPr>
        <w:ind w:left="284" w:hanging="284"/>
        <w:rPr>
          <w:noProof/>
        </w:rPr>
      </w:pPr>
      <w:r>
        <w:rPr>
          <w:noProof/>
        </w:rPr>
        <w:t>— Amministrazzjoni,</w:t>
      </w:r>
    </w:p>
    <w:p>
      <w:pPr>
        <w:ind w:left="284" w:hanging="284"/>
        <w:rPr>
          <w:noProof/>
        </w:rPr>
      </w:pPr>
      <w:r>
        <w:rPr>
          <w:noProof/>
        </w:rPr>
        <w:t>— Stralċ volontarju mill-membri jew mill-kredituri,</w:t>
      </w:r>
    </w:p>
    <w:p>
      <w:pPr>
        <w:ind w:left="284" w:hanging="284"/>
        <w:rPr>
          <w:noProof/>
        </w:rPr>
      </w:pPr>
      <w:r>
        <w:rPr>
          <w:noProof/>
        </w:rPr>
        <w:t>— Stralċ mill-Qorti,</w:t>
      </w:r>
    </w:p>
    <w:p>
      <w:pPr>
        <w:ind w:left="284" w:hanging="284"/>
        <w:rPr>
          <w:noProof/>
        </w:rPr>
      </w:pPr>
      <w:r>
        <w:rPr>
          <w:noProof/>
        </w:rPr>
        <w:t>— Falliment f’każ ta’ kummerċjant,</w:t>
      </w:r>
    </w:p>
    <w:p>
      <w:pPr>
        <w:ind w:left="284" w:hanging="284"/>
        <w:rPr>
          <w:noProof/>
        </w:rPr>
      </w:pPr>
      <w:r>
        <w:rPr>
          <w:noProof/>
        </w:rPr>
        <w:t>— Proċedura biex kumpanija tirkupra,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NEDERLAND</w:t>
      </w:r>
    </w:p>
    <w:p>
      <w:pPr>
        <w:ind w:left="284" w:hanging="284"/>
        <w:rPr>
          <w:noProof/>
        </w:rPr>
      </w:pPr>
      <w:r>
        <w:rPr>
          <w:noProof/>
        </w:rPr>
        <w:t>— Het faillissement,</w:t>
      </w:r>
    </w:p>
    <w:p>
      <w:pPr>
        <w:ind w:left="284" w:hanging="284"/>
        <w:rPr>
          <w:noProof/>
        </w:rPr>
      </w:pPr>
      <w:r>
        <w:rPr>
          <w:noProof/>
        </w:rPr>
        <w:t>— De surséance van betaling,</w:t>
      </w:r>
    </w:p>
    <w:p>
      <w:pPr>
        <w:ind w:left="284" w:hanging="284"/>
        <w:rPr>
          <w:noProof/>
        </w:rPr>
      </w:pPr>
      <w:r>
        <w:rPr>
          <w:noProof/>
        </w:rPr>
        <w:t>— De schuldsaneringsregeling natuurlijke personen,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ÖSTERREICH</w:t>
      </w:r>
    </w:p>
    <w:p>
      <w:pPr>
        <w:ind w:left="284" w:hanging="284"/>
        <w:rPr>
          <w:noProof/>
        </w:rPr>
      </w:pPr>
      <w:r>
        <w:rPr>
          <w:noProof/>
        </w:rPr>
        <w:t>— Das Konkursverfahren (Insolvenzverfahren),</w:t>
      </w:r>
    </w:p>
    <w:p>
      <w:pPr>
        <w:ind w:left="284" w:hanging="284"/>
        <w:rPr>
          <w:noProof/>
        </w:rPr>
      </w:pPr>
      <w:r>
        <w:rPr>
          <w:noProof/>
        </w:rPr>
        <w:t>— Das Sanierungsverfahren ohne Eigenverwaltung (Insolvenzverfahren),</w:t>
      </w:r>
    </w:p>
    <w:p>
      <w:pPr>
        <w:ind w:left="284" w:hanging="284"/>
        <w:rPr>
          <w:noProof/>
        </w:rPr>
      </w:pPr>
      <w:r>
        <w:rPr>
          <w:noProof/>
        </w:rPr>
        <w:t>— Das Sanierungsverfahren mit Eigenverwaltung (Insolvenzverfahren),</w:t>
      </w:r>
    </w:p>
    <w:p>
      <w:pPr>
        <w:ind w:left="284" w:hanging="284"/>
        <w:rPr>
          <w:noProof/>
        </w:rPr>
      </w:pPr>
      <w:r>
        <w:rPr>
          <w:noProof/>
        </w:rPr>
        <w:t>— Das Schuldenregulierungsverfahren,</w:t>
      </w:r>
    </w:p>
    <w:p>
      <w:pPr>
        <w:ind w:left="284" w:hanging="284"/>
        <w:rPr>
          <w:noProof/>
        </w:rPr>
      </w:pPr>
      <w:r>
        <w:rPr>
          <w:noProof/>
        </w:rPr>
        <w:t>— Das Abschöpfungsverfahren,</w:t>
      </w:r>
    </w:p>
    <w:p>
      <w:pPr>
        <w:ind w:left="284" w:hanging="284"/>
        <w:rPr>
          <w:noProof/>
        </w:rPr>
      </w:pPr>
      <w:r>
        <w:rPr>
          <w:noProof/>
        </w:rPr>
        <w:t>— Das Ausgleichsverfahren,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POLSKA</w:t>
      </w:r>
    </w:p>
    <w:p>
      <w:pPr>
        <w:ind w:left="284" w:hanging="284"/>
        <w:rPr>
          <w:noProof/>
        </w:rPr>
      </w:pPr>
      <w:r>
        <w:rPr>
          <w:noProof/>
        </w:rPr>
        <w:t>— Upadłość,</w:t>
      </w:r>
    </w:p>
    <w:p>
      <w:pPr>
        <w:ind w:left="284" w:hanging="284"/>
        <w:rPr>
          <w:noProof/>
        </w:rPr>
      </w:pPr>
      <w:r>
        <w:rPr>
          <w:noProof/>
        </w:rPr>
        <w:t>— Postępowanie o zatwierdzenie układu,</w:t>
      </w:r>
    </w:p>
    <w:p>
      <w:pPr>
        <w:ind w:left="284" w:hanging="284"/>
        <w:rPr>
          <w:noProof/>
        </w:rPr>
      </w:pPr>
      <w:r>
        <w:rPr>
          <w:noProof/>
        </w:rPr>
        <w:t>— Przyspieszone postępowanie układowe,</w:t>
      </w:r>
    </w:p>
    <w:p>
      <w:pPr>
        <w:ind w:left="284" w:hanging="284"/>
        <w:rPr>
          <w:noProof/>
        </w:rPr>
      </w:pPr>
      <w:r>
        <w:rPr>
          <w:noProof/>
        </w:rPr>
        <w:t>— Postępowanie układowe,</w:t>
      </w:r>
    </w:p>
    <w:p>
      <w:pPr>
        <w:ind w:left="284" w:hanging="284"/>
        <w:rPr>
          <w:noProof/>
        </w:rPr>
      </w:pPr>
      <w:r>
        <w:rPr>
          <w:noProof/>
        </w:rPr>
        <w:t>— Postępowanie sanacyjne,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PORTUGAL</w:t>
      </w:r>
    </w:p>
    <w:p>
      <w:pPr>
        <w:ind w:left="284" w:hanging="284"/>
        <w:rPr>
          <w:noProof/>
        </w:rPr>
      </w:pPr>
      <w:r>
        <w:rPr>
          <w:noProof/>
        </w:rPr>
        <w:t>— Processo de insolvência,</w:t>
      </w:r>
    </w:p>
    <w:p>
      <w:pPr>
        <w:ind w:left="284" w:hanging="284"/>
        <w:rPr>
          <w:noProof/>
        </w:rPr>
      </w:pPr>
      <w:r>
        <w:rPr>
          <w:noProof/>
        </w:rPr>
        <w:t>— Processo especial de revitalização,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ROMÂNIA</w:t>
      </w:r>
    </w:p>
    <w:p>
      <w:pPr>
        <w:ind w:left="284" w:hanging="284"/>
        <w:rPr>
          <w:noProof/>
        </w:rPr>
      </w:pPr>
      <w:r>
        <w:rPr>
          <w:noProof/>
        </w:rPr>
        <w:t>— Procedura insolvenței,</w:t>
      </w:r>
    </w:p>
    <w:p>
      <w:pPr>
        <w:ind w:left="284" w:hanging="284"/>
        <w:rPr>
          <w:noProof/>
        </w:rPr>
      </w:pPr>
      <w:r>
        <w:rPr>
          <w:noProof/>
        </w:rPr>
        <w:t>— Reorganizarea judiciară,</w:t>
      </w:r>
    </w:p>
    <w:p>
      <w:pPr>
        <w:ind w:left="284" w:hanging="284"/>
        <w:rPr>
          <w:noProof/>
        </w:rPr>
      </w:pPr>
      <w:r>
        <w:rPr>
          <w:noProof/>
        </w:rPr>
        <w:t>— Procedura falimentului,</w:t>
      </w:r>
    </w:p>
    <w:p>
      <w:pPr>
        <w:ind w:left="284" w:hanging="284"/>
        <w:rPr>
          <w:noProof/>
        </w:rPr>
      </w:pPr>
      <w:r>
        <w:rPr>
          <w:noProof/>
        </w:rPr>
        <w:t>— Concordatul preventiv,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SLOVENIJA</w:t>
      </w:r>
    </w:p>
    <w:p>
      <w:pPr>
        <w:ind w:left="284" w:hanging="284"/>
        <w:rPr>
          <w:noProof/>
        </w:rPr>
      </w:pPr>
      <w:r>
        <w:rPr>
          <w:noProof/>
        </w:rPr>
        <w:t>— Postopek preventivnega prestrukturiranja,</w:t>
      </w:r>
    </w:p>
    <w:p>
      <w:pPr>
        <w:ind w:left="284" w:hanging="284"/>
        <w:rPr>
          <w:noProof/>
        </w:rPr>
      </w:pPr>
      <w:r>
        <w:rPr>
          <w:noProof/>
        </w:rPr>
        <w:t>— Postopek prisilne poravnave,</w:t>
      </w:r>
    </w:p>
    <w:p>
      <w:pPr>
        <w:ind w:left="284" w:hanging="284"/>
        <w:rPr>
          <w:noProof/>
        </w:rPr>
      </w:pPr>
      <w:r>
        <w:rPr>
          <w:noProof/>
        </w:rPr>
        <w:t>— Postopek poenostavljene prisilne poravnave,</w:t>
      </w:r>
    </w:p>
    <w:p>
      <w:pPr>
        <w:ind w:left="284" w:hanging="284"/>
        <w:rPr>
          <w:noProof/>
        </w:rPr>
      </w:pPr>
      <w:r>
        <w:rPr>
          <w:noProof/>
        </w:rPr>
        <w:t>— Stečajni postopek: stečajni postopek nad pravno osebo, postopek osebnega stečaja in postopek stečaja zapuščine,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SLOVENSKO</w:t>
      </w:r>
    </w:p>
    <w:p>
      <w:pPr>
        <w:ind w:left="284" w:hanging="284"/>
        <w:rPr>
          <w:noProof/>
        </w:rPr>
      </w:pPr>
      <w:r>
        <w:rPr>
          <w:noProof/>
        </w:rPr>
        <w:t>— Konkurzné konanie,</w:t>
      </w:r>
    </w:p>
    <w:p>
      <w:pPr>
        <w:ind w:left="284" w:hanging="284"/>
        <w:rPr>
          <w:noProof/>
        </w:rPr>
      </w:pPr>
      <w:r>
        <w:rPr>
          <w:noProof/>
        </w:rPr>
        <w:t>— Reštrukturalizačné konanie,</w:t>
      </w:r>
    </w:p>
    <w:p>
      <w:pPr>
        <w:ind w:left="284" w:hanging="284"/>
        <w:rPr>
          <w:noProof/>
        </w:rPr>
      </w:pPr>
      <w:r>
        <w:rPr>
          <w:noProof/>
        </w:rPr>
        <w:t>— Oddlženie,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SUOMI/FINLAND</w:t>
      </w:r>
    </w:p>
    <w:p>
      <w:pPr>
        <w:ind w:left="284" w:hanging="284"/>
        <w:rPr>
          <w:noProof/>
        </w:rPr>
      </w:pPr>
      <w:r>
        <w:rPr>
          <w:noProof/>
        </w:rPr>
        <w:t>— Konkurssi/konkurs,</w:t>
      </w:r>
    </w:p>
    <w:p>
      <w:pPr>
        <w:ind w:left="284" w:hanging="284"/>
        <w:rPr>
          <w:noProof/>
        </w:rPr>
      </w:pPr>
      <w:r>
        <w:rPr>
          <w:noProof/>
        </w:rPr>
        <w:t>— Yrityssaneeraus/företagssanering,</w:t>
      </w:r>
    </w:p>
    <w:p>
      <w:pPr>
        <w:ind w:left="284" w:hanging="284"/>
        <w:rPr>
          <w:noProof/>
        </w:rPr>
      </w:pPr>
      <w:r>
        <w:rPr>
          <w:noProof/>
        </w:rPr>
        <w:t>— Yksityishenkilön velkajärjestely/skuldsanering för privatpersoner,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SVERIGE</w:t>
      </w:r>
    </w:p>
    <w:p>
      <w:pPr>
        <w:ind w:left="284" w:hanging="284"/>
        <w:rPr>
          <w:noProof/>
        </w:rPr>
      </w:pPr>
      <w:r>
        <w:rPr>
          <w:noProof/>
        </w:rPr>
        <w:t>— Konkurs,</w:t>
      </w:r>
    </w:p>
    <w:p>
      <w:pPr>
        <w:ind w:left="284" w:hanging="284"/>
        <w:rPr>
          <w:noProof/>
        </w:rPr>
      </w:pPr>
      <w:r>
        <w:rPr>
          <w:noProof/>
        </w:rPr>
        <w:t>— Företagsrekonstruktion,</w:t>
      </w:r>
    </w:p>
    <w:p>
      <w:pPr>
        <w:ind w:left="284" w:hanging="284"/>
        <w:rPr>
          <w:noProof/>
        </w:rPr>
      </w:pPr>
      <w:r>
        <w:rPr>
          <w:noProof/>
        </w:rPr>
        <w:t>— Skuldsanering,</w:t>
      </w:r>
    </w:p>
    <w:p>
      <w:pPr>
        <w:ind w:left="284" w:hanging="284"/>
        <w:rPr>
          <w:b/>
          <w:noProof/>
        </w:rPr>
      </w:pPr>
      <w:r>
        <w:rPr>
          <w:b/>
          <w:noProof/>
        </w:rPr>
        <w:t>UNITED KINGDOM</w:t>
      </w:r>
    </w:p>
    <w:p>
      <w:pPr>
        <w:ind w:left="284" w:hanging="284"/>
        <w:rPr>
          <w:noProof/>
        </w:rPr>
      </w:pPr>
      <w:r>
        <w:rPr>
          <w:noProof/>
        </w:rPr>
        <w:t>— Winding-up by or subject to the supervision of the court,</w:t>
      </w:r>
    </w:p>
    <w:p>
      <w:pPr>
        <w:ind w:left="284" w:hanging="284"/>
        <w:rPr>
          <w:noProof/>
        </w:rPr>
      </w:pPr>
      <w:r>
        <w:rPr>
          <w:noProof/>
        </w:rPr>
        <w:t>— Creditors’ voluntary winding-up (with confirmation by the court),</w:t>
      </w:r>
    </w:p>
    <w:p>
      <w:pPr>
        <w:ind w:left="284" w:hanging="284"/>
        <w:rPr>
          <w:noProof/>
        </w:rPr>
      </w:pPr>
      <w:r>
        <w:rPr>
          <w:noProof/>
        </w:rPr>
        <w:t>— Administration, including appointments made by filing prescribed documents with the court,</w:t>
      </w:r>
    </w:p>
    <w:p>
      <w:pPr>
        <w:ind w:left="284" w:hanging="284"/>
        <w:rPr>
          <w:noProof/>
        </w:rPr>
      </w:pPr>
      <w:r>
        <w:rPr>
          <w:noProof/>
        </w:rPr>
        <w:t>— Voluntary arrangements under insolvency legislation,</w:t>
      </w:r>
    </w:p>
    <w:p>
      <w:pPr>
        <w:ind w:left="284" w:hanging="284"/>
        <w:rPr>
          <w:noProof/>
        </w:rPr>
      </w:pPr>
      <w:r>
        <w:rPr>
          <w:noProof/>
        </w:rPr>
        <w:t>— Bankruptcy or sequestration.“</w:t>
      </w: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ET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1ECD2F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8AEF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A5638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DD2A16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D86E7B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C4261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BF603F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E14258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isplayBackgroundShape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7-08-02 10:05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142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4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&lt;UNUSED&gt;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B1BDE32B3A7E42D8A3E6BE26B9A7B4A5"/>
    <w:docVar w:name="LW_CROSSREFERENCE" w:val="&lt;UNUSED&gt;"/>
    <w:docVar w:name="LW_DocType" w:val="ANNEX"/>
    <w:docVar w:name="LW_EMISSION" w:val="9.8.2017"/>
    <w:docVar w:name="LW_EMISSION_ISODATE" w:val="2017-08-09"/>
    <w:docVar w:name="LW_EMISSION_LOCATION" w:val="BRX"/>
    <w:docVar w:name="LW_EMISSION_PREFIX" w:val="Brüssel,"/>
    <w:docVar w:name="LW_EMISSION_SUFFIX" w:val=" "/>
    <w:docVar w:name="LW_ID_DOCSTRUCTURE" w:val="COM/ANNEX"/>
    <w:docVar w:name="LW_ID_DOCTYPE" w:val="SG-017"/>
    <w:docVar w:name="LW_LANGUE" w:val="ET"/>
    <w:docVar w:name="LW_MARKING" w:val="&lt;UNUSED&gt;"/>
    <w:docVar w:name="LW_NOM.INST" w:val="EUROOPA KOMISJON"/>
    <w:docVar w:name="LW_NOM.INST_JOINTDOC" w:val="&lt;EMPTY&gt;"/>
    <w:docVar w:name="LW_OBJETACTEPRINCIPAL.CP" w:val="&lt;UNUSED&gt;"/>
    <w:docVar w:name="LW_PART_NBR" w:val="1"/>
    <w:docVar w:name="LW_PART_NBR_TOTAL" w:val="1"/>
    <w:docVar w:name="LW_REF.INST.NEW" w:val="COM"/>
    <w:docVar w:name="LW_REF.INST.NEW_ADOPTED" w:val="final"/>
    <w:docVar w:name="LW_REF.INST.NEW_TEXT" w:val="(2017) 422"/>
    <w:docVar w:name="LW_REF.INTERNE" w:val="&lt;UNUSED&gt;"/>
    <w:docVar w:name="LW_SUPERTITRE" w:val="&lt;UNUSED&gt;"/>
    <w:docVar w:name="LW_TITRE.OBJ.CP" w:val="Ettepanek:_x000b__x000b_EUROOPA PARLAMENDI JA NÕUKOGU MÄÄRUS,_x000b__x000b_millega asendatakse määruse (EL) 2015/848 (maksejõuetusmenetluse kohta) A lisa"/>
    <w:docVar w:name="LW_TYPE.DOC.CP" w:val="LISA"/>
    <w:docVar w:name="LW_TYPEACTEPRINCIPAL.CP" w:val="&lt;UNUSED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t-EE" w:bidi="et-E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et-E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t-EE" w:bidi="et-E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et-E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9771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54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8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4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32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4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31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3021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487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306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4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8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5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54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9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4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53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6</Pages>
  <Words>571</Words>
  <Characters>4800</Characters>
  <Application>Microsoft Office Word</Application>
  <DocSecurity>0</DocSecurity>
  <Lines>171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SZIRANYI Pal Lajos (JUST)</dc:creator>
  <cp:lastModifiedBy>DIGIT/A3</cp:lastModifiedBy>
  <cp:revision>7</cp:revision>
  <dcterms:created xsi:type="dcterms:W3CDTF">2017-07-27T09:26:00Z</dcterms:created>
  <dcterms:modified xsi:type="dcterms:W3CDTF">2017-08-02T08:05:00Z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