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10.xml" ContentType="application/vnd.openxmlformats-officedocument.drawingml.chart+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charts/chart11.xml" ContentType="application/vnd.openxmlformats-officedocument.drawingml.chart+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charts/chart12.xml" ContentType="application/vnd.openxmlformats-officedocument.drawingml.chart+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0D4" w:rsidRDefault="003A3835">
      <w:pPr>
        <w:pStyle w:val="Pagedecouverture"/>
        <w:rPr>
          <w:noProof/>
          <w:lang w:val="et-EE"/>
        </w:rPr>
      </w:pPr>
      <w:bookmarkStart w:id="0" w:name="LW_BM_COVERPAGE"/>
      <w:r>
        <w:rPr>
          <w:noProof/>
          <w:lang w:val="et-EE"/>
        </w:rPr>
        <w:pict>
          <v:shape id="_x0000_i1025" type="#_x0000_t75" alt="1712A4F9D11E4008AFACC3C2C83D66EB" style="width:450.75pt;height:321pt">
            <v:imagedata r:id="rId13" o:title=""/>
          </v:shape>
        </w:pict>
      </w:r>
    </w:p>
    <w:bookmarkEnd w:id="0"/>
    <w:p w:rsidR="00BE70D4" w:rsidRDefault="00BE70D4">
      <w:pPr>
        <w:rPr>
          <w:noProof/>
          <w:lang w:val="et-EE"/>
        </w:rPr>
        <w:sectPr w:rsidR="00BE70D4">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1"/>
          <w:cols w:space="720"/>
          <w:docGrid w:linePitch="360"/>
        </w:sectPr>
      </w:pPr>
    </w:p>
    <w:p w:rsidR="00BE70D4" w:rsidRDefault="003A3835">
      <w:pPr>
        <w:pStyle w:val="TOCHeading"/>
        <w:jc w:val="center"/>
        <w:rPr>
          <w:noProof/>
          <w:lang w:val="et-EE"/>
        </w:rPr>
      </w:pPr>
      <w:r>
        <w:rPr>
          <w:noProof/>
          <w:lang w:val="et-EE"/>
        </w:rPr>
        <w:lastRenderedPageBreak/>
        <w:t>Sisukord</w:t>
      </w:r>
    </w:p>
    <w:p w:rsidR="00BE70D4" w:rsidRDefault="003A3835">
      <w:pPr>
        <w:pStyle w:val="TOC2"/>
        <w:tabs>
          <w:tab w:val="left" w:pos="720"/>
          <w:tab w:val="right" w:leader="dot" w:pos="9062"/>
        </w:tabs>
        <w:rPr>
          <w:rFonts w:asciiTheme="minorHAnsi" w:eastAsiaTheme="minorEastAsia" w:hAnsiTheme="minorHAnsi" w:cstheme="minorBidi"/>
          <w:noProof/>
          <w:sz w:val="22"/>
          <w:lang w:val="et-EE" w:eastAsia="en-GB"/>
        </w:rPr>
      </w:pPr>
      <w:r>
        <w:rPr>
          <w:noProof/>
          <w:lang w:val="et-EE"/>
        </w:rPr>
        <w:fldChar w:fldCharType="begin"/>
      </w:r>
      <w:r>
        <w:rPr>
          <w:noProof/>
          <w:lang w:val="et-EE"/>
        </w:rPr>
        <w:instrText xml:space="preserve"> TOC \o "1-3" \h \z \u </w:instrText>
      </w:r>
      <w:r>
        <w:rPr>
          <w:noProof/>
          <w:lang w:val="et-EE"/>
        </w:rPr>
        <w:fldChar w:fldCharType="separate"/>
      </w:r>
      <w:hyperlink w:anchor="_Toc493257115" w:history="1">
        <w:r>
          <w:rPr>
            <w:rStyle w:val="Hyperlink"/>
            <w:noProof/>
            <w:lang w:val="et-EE"/>
          </w:rPr>
          <w:t>1.</w:t>
        </w:r>
        <w:r>
          <w:rPr>
            <w:rFonts w:asciiTheme="minorHAnsi" w:eastAsiaTheme="minorEastAsia" w:hAnsiTheme="minorHAnsi" w:cstheme="minorBidi"/>
            <w:noProof/>
            <w:sz w:val="22"/>
            <w:lang w:val="et-EE" w:eastAsia="en-GB"/>
          </w:rPr>
          <w:tab/>
        </w:r>
        <w:r>
          <w:rPr>
            <w:rStyle w:val="Hyperlink"/>
            <w:noProof/>
            <w:lang w:val="et-EE"/>
          </w:rPr>
          <w:t>SISSEJUHATUS</w:t>
        </w:r>
        <w:r>
          <w:rPr>
            <w:noProof/>
            <w:webHidden/>
            <w:lang w:val="et-EE"/>
          </w:rPr>
          <w:tab/>
        </w:r>
        <w:r>
          <w:rPr>
            <w:noProof/>
            <w:webHidden/>
            <w:lang w:val="et-EE"/>
          </w:rPr>
          <w:fldChar w:fldCharType="begin"/>
        </w:r>
        <w:r>
          <w:rPr>
            <w:noProof/>
            <w:webHidden/>
            <w:lang w:val="et-EE"/>
          </w:rPr>
          <w:instrText xml:space="preserve"> PAGEREF _Toc493257115 \h </w:instrText>
        </w:r>
        <w:r>
          <w:rPr>
            <w:noProof/>
            <w:webHidden/>
            <w:lang w:val="et-EE"/>
          </w:rPr>
        </w:r>
        <w:r>
          <w:rPr>
            <w:noProof/>
            <w:webHidden/>
            <w:lang w:val="et-EE"/>
          </w:rPr>
          <w:fldChar w:fldCharType="separate"/>
        </w:r>
        <w:r w:rsidR="003B3C5D">
          <w:rPr>
            <w:noProof/>
            <w:webHidden/>
            <w:lang w:val="et-EE"/>
          </w:rPr>
          <w:t>3</w:t>
        </w:r>
        <w:r>
          <w:rPr>
            <w:noProof/>
            <w:webHidden/>
            <w:lang w:val="et-EE"/>
          </w:rPr>
          <w:fldChar w:fldCharType="end"/>
        </w:r>
      </w:hyperlink>
    </w:p>
    <w:p w:rsidR="00BE70D4" w:rsidRDefault="003A3835">
      <w:pPr>
        <w:pStyle w:val="TOC2"/>
        <w:tabs>
          <w:tab w:val="left" w:pos="720"/>
          <w:tab w:val="right" w:leader="dot" w:pos="9062"/>
        </w:tabs>
        <w:rPr>
          <w:rFonts w:asciiTheme="minorHAnsi" w:eastAsiaTheme="minorEastAsia" w:hAnsiTheme="minorHAnsi" w:cstheme="minorBidi"/>
          <w:noProof/>
          <w:sz w:val="22"/>
          <w:lang w:val="et-EE" w:eastAsia="en-GB"/>
        </w:rPr>
      </w:pPr>
      <w:hyperlink w:anchor="_Toc493257116" w:history="1">
        <w:r>
          <w:rPr>
            <w:rStyle w:val="Hyperlink"/>
            <w:noProof/>
            <w:lang w:val="et-EE"/>
          </w:rPr>
          <w:t>2.</w:t>
        </w:r>
        <w:r>
          <w:rPr>
            <w:rFonts w:asciiTheme="minorHAnsi" w:eastAsiaTheme="minorEastAsia" w:hAnsiTheme="minorHAnsi" w:cstheme="minorBidi"/>
            <w:noProof/>
            <w:sz w:val="22"/>
            <w:lang w:val="et-EE" w:eastAsia="en-GB"/>
          </w:rPr>
          <w:tab/>
        </w:r>
        <w:r>
          <w:rPr>
            <w:rStyle w:val="Hyperlink"/>
            <w:noProof/>
            <w:lang w:val="et-EE"/>
          </w:rPr>
          <w:t>RAHASTAM</w:t>
        </w:r>
        <w:bookmarkStart w:id="1" w:name="_GoBack"/>
        <w:bookmarkEnd w:id="1"/>
        <w:r>
          <w:rPr>
            <w:rStyle w:val="Hyperlink"/>
            <w:noProof/>
            <w:lang w:val="et-EE"/>
          </w:rPr>
          <w:t>ISVAHENDITE ÜLEVAADE</w:t>
        </w:r>
        <w:r>
          <w:rPr>
            <w:noProof/>
            <w:webHidden/>
            <w:lang w:val="et-EE"/>
          </w:rPr>
          <w:tab/>
        </w:r>
        <w:r>
          <w:rPr>
            <w:noProof/>
            <w:webHidden/>
            <w:lang w:val="et-EE"/>
          </w:rPr>
          <w:fldChar w:fldCharType="begin"/>
        </w:r>
        <w:r>
          <w:rPr>
            <w:noProof/>
            <w:webHidden/>
            <w:lang w:val="et-EE"/>
          </w:rPr>
          <w:instrText xml:space="preserve"> PAGEREF _Toc493257116 \h </w:instrText>
        </w:r>
        <w:r>
          <w:rPr>
            <w:noProof/>
            <w:webHidden/>
            <w:lang w:val="et-EE"/>
          </w:rPr>
        </w:r>
        <w:r>
          <w:rPr>
            <w:noProof/>
            <w:webHidden/>
            <w:lang w:val="et-EE"/>
          </w:rPr>
          <w:fldChar w:fldCharType="separate"/>
        </w:r>
        <w:r w:rsidR="003B3C5D">
          <w:rPr>
            <w:noProof/>
            <w:webHidden/>
            <w:lang w:val="et-EE"/>
          </w:rPr>
          <w:t>4</w:t>
        </w:r>
        <w:r>
          <w:rPr>
            <w:noProof/>
            <w:webHidden/>
            <w:lang w:val="et-EE"/>
          </w:rPr>
          <w:fldChar w:fldCharType="end"/>
        </w:r>
      </w:hyperlink>
    </w:p>
    <w:p w:rsidR="00BE70D4" w:rsidRDefault="003A3835">
      <w:pPr>
        <w:pStyle w:val="TOC2"/>
        <w:tabs>
          <w:tab w:val="left" w:pos="720"/>
          <w:tab w:val="right" w:leader="dot" w:pos="9062"/>
        </w:tabs>
        <w:rPr>
          <w:rFonts w:asciiTheme="minorHAnsi" w:eastAsiaTheme="minorEastAsia" w:hAnsiTheme="minorHAnsi" w:cstheme="minorBidi"/>
          <w:noProof/>
          <w:sz w:val="22"/>
          <w:lang w:val="et-EE" w:eastAsia="en-GB"/>
        </w:rPr>
      </w:pPr>
      <w:hyperlink w:anchor="_Toc493257117" w:history="1">
        <w:r>
          <w:rPr>
            <w:rStyle w:val="Hyperlink"/>
            <w:noProof/>
            <w:lang w:val="et-EE"/>
          </w:rPr>
          <w:t>3.</w:t>
        </w:r>
        <w:r>
          <w:rPr>
            <w:rFonts w:asciiTheme="minorHAnsi" w:eastAsiaTheme="minorEastAsia" w:hAnsiTheme="minorHAnsi" w:cstheme="minorBidi"/>
            <w:noProof/>
            <w:sz w:val="22"/>
            <w:lang w:val="et-EE" w:eastAsia="en-GB"/>
          </w:rPr>
          <w:tab/>
        </w:r>
        <w:r>
          <w:rPr>
            <w:rStyle w:val="Hyperlink"/>
            <w:noProof/>
            <w:lang w:val="et-EE"/>
          </w:rPr>
          <w:t>RAHASTAMISVAHENDITE KASUTAMISE PÕHJUSED</w:t>
        </w:r>
        <w:r>
          <w:rPr>
            <w:noProof/>
            <w:webHidden/>
            <w:lang w:val="et-EE"/>
          </w:rPr>
          <w:tab/>
        </w:r>
        <w:r>
          <w:rPr>
            <w:noProof/>
            <w:webHidden/>
            <w:lang w:val="et-EE"/>
          </w:rPr>
          <w:fldChar w:fldCharType="begin"/>
        </w:r>
        <w:r>
          <w:rPr>
            <w:noProof/>
            <w:webHidden/>
            <w:lang w:val="et-EE"/>
          </w:rPr>
          <w:instrText xml:space="preserve"> PAGEREF _Toc493257117 \h </w:instrText>
        </w:r>
        <w:r>
          <w:rPr>
            <w:noProof/>
            <w:webHidden/>
            <w:lang w:val="et-EE"/>
          </w:rPr>
        </w:r>
        <w:r>
          <w:rPr>
            <w:noProof/>
            <w:webHidden/>
            <w:lang w:val="et-EE"/>
          </w:rPr>
          <w:fldChar w:fldCharType="separate"/>
        </w:r>
        <w:r w:rsidR="003B3C5D">
          <w:rPr>
            <w:noProof/>
            <w:webHidden/>
            <w:lang w:val="et-EE"/>
          </w:rPr>
          <w:t>6</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18" w:history="1">
        <w:r>
          <w:rPr>
            <w:rStyle w:val="Hyperlink"/>
            <w:noProof/>
            <w:lang w:val="et-EE"/>
          </w:rPr>
          <w:t>3.1.</w:t>
        </w:r>
        <w:r>
          <w:rPr>
            <w:rFonts w:asciiTheme="minorHAnsi" w:eastAsiaTheme="minorEastAsia" w:hAnsiTheme="minorHAnsi" w:cstheme="minorBidi"/>
            <w:noProof/>
            <w:sz w:val="22"/>
            <w:lang w:val="et-EE" w:eastAsia="en-GB"/>
          </w:rPr>
          <w:tab/>
        </w:r>
        <w:r>
          <w:rPr>
            <w:rStyle w:val="Hyperlink"/>
            <w:noProof/>
            <w:lang w:val="et-EE"/>
          </w:rPr>
          <w:t>Majanduslik olukord</w:t>
        </w:r>
        <w:r>
          <w:rPr>
            <w:noProof/>
            <w:webHidden/>
            <w:lang w:val="et-EE"/>
          </w:rPr>
          <w:tab/>
        </w:r>
        <w:r>
          <w:rPr>
            <w:noProof/>
            <w:webHidden/>
            <w:lang w:val="et-EE"/>
          </w:rPr>
          <w:fldChar w:fldCharType="begin"/>
        </w:r>
        <w:r>
          <w:rPr>
            <w:noProof/>
            <w:webHidden/>
            <w:lang w:val="et-EE"/>
          </w:rPr>
          <w:instrText xml:space="preserve"> PAGEREF _Toc493257118 \h </w:instrText>
        </w:r>
        <w:r>
          <w:rPr>
            <w:noProof/>
            <w:webHidden/>
            <w:lang w:val="et-EE"/>
          </w:rPr>
        </w:r>
        <w:r>
          <w:rPr>
            <w:noProof/>
            <w:webHidden/>
            <w:lang w:val="et-EE"/>
          </w:rPr>
          <w:fldChar w:fldCharType="separate"/>
        </w:r>
        <w:r w:rsidR="003B3C5D">
          <w:rPr>
            <w:noProof/>
            <w:webHidden/>
            <w:lang w:val="et-EE"/>
          </w:rPr>
          <w:t>6</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19" w:history="1">
        <w:r>
          <w:rPr>
            <w:rStyle w:val="Hyperlink"/>
            <w:noProof/>
            <w:lang w:val="et-EE"/>
          </w:rPr>
          <w:t>3.2.</w:t>
        </w:r>
        <w:r>
          <w:rPr>
            <w:rFonts w:asciiTheme="minorHAnsi" w:eastAsiaTheme="minorEastAsia" w:hAnsiTheme="minorHAnsi" w:cstheme="minorBidi"/>
            <w:noProof/>
            <w:sz w:val="22"/>
            <w:lang w:val="et-EE" w:eastAsia="en-GB"/>
          </w:rPr>
          <w:tab/>
        </w:r>
        <w:r>
          <w:rPr>
            <w:rStyle w:val="Hyperlink"/>
            <w:noProof/>
            <w:lang w:val="et-EE"/>
          </w:rPr>
          <w:t>Rahastamisvahendid võimaldavad vähemaga rohkem ära teha</w:t>
        </w:r>
        <w:r>
          <w:rPr>
            <w:noProof/>
            <w:webHidden/>
            <w:lang w:val="et-EE"/>
          </w:rPr>
          <w:tab/>
        </w:r>
        <w:r>
          <w:rPr>
            <w:noProof/>
            <w:webHidden/>
            <w:lang w:val="et-EE"/>
          </w:rPr>
          <w:fldChar w:fldCharType="begin"/>
        </w:r>
        <w:r>
          <w:rPr>
            <w:noProof/>
            <w:webHidden/>
            <w:lang w:val="et-EE"/>
          </w:rPr>
          <w:instrText xml:space="preserve"> PAGEREF _Toc493257119 \h </w:instrText>
        </w:r>
        <w:r>
          <w:rPr>
            <w:noProof/>
            <w:webHidden/>
            <w:lang w:val="et-EE"/>
          </w:rPr>
        </w:r>
        <w:r>
          <w:rPr>
            <w:noProof/>
            <w:webHidden/>
            <w:lang w:val="et-EE"/>
          </w:rPr>
          <w:fldChar w:fldCharType="separate"/>
        </w:r>
        <w:r w:rsidR="003B3C5D">
          <w:rPr>
            <w:noProof/>
            <w:webHidden/>
            <w:lang w:val="et-EE"/>
          </w:rPr>
          <w:t>6</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20" w:history="1">
        <w:r>
          <w:rPr>
            <w:rStyle w:val="Hyperlink"/>
            <w:noProof/>
            <w:lang w:val="et-EE"/>
          </w:rPr>
          <w:t>3.3.</w:t>
        </w:r>
        <w:r>
          <w:rPr>
            <w:rFonts w:asciiTheme="minorHAnsi" w:eastAsiaTheme="minorEastAsia" w:hAnsiTheme="minorHAnsi" w:cstheme="minorBidi"/>
            <w:noProof/>
            <w:sz w:val="22"/>
            <w:lang w:val="et-EE" w:eastAsia="en-GB"/>
          </w:rPr>
          <w:tab/>
        </w:r>
        <w:r>
          <w:rPr>
            <w:rStyle w:val="Hyperlink"/>
            <w:noProof/>
            <w:lang w:val="et-EE"/>
          </w:rPr>
          <w:t>Rahastamisvahenditega saavutatav mõju on suurem, kui need kombine</w:t>
        </w:r>
        <w:r>
          <w:rPr>
            <w:rStyle w:val="Hyperlink"/>
            <w:noProof/>
            <w:lang w:val="et-EE"/>
          </w:rPr>
          <w:t>eritakse ja ühendatakse muude vahenditega</w:t>
        </w:r>
        <w:r>
          <w:rPr>
            <w:noProof/>
            <w:webHidden/>
            <w:lang w:val="et-EE"/>
          </w:rPr>
          <w:tab/>
        </w:r>
        <w:r>
          <w:rPr>
            <w:noProof/>
            <w:webHidden/>
            <w:lang w:val="et-EE"/>
          </w:rPr>
          <w:fldChar w:fldCharType="begin"/>
        </w:r>
        <w:r>
          <w:rPr>
            <w:noProof/>
            <w:webHidden/>
            <w:lang w:val="et-EE"/>
          </w:rPr>
          <w:instrText xml:space="preserve"> PAGEREF _Toc493257120 \h </w:instrText>
        </w:r>
        <w:r>
          <w:rPr>
            <w:noProof/>
            <w:webHidden/>
            <w:lang w:val="et-EE"/>
          </w:rPr>
        </w:r>
        <w:r>
          <w:rPr>
            <w:noProof/>
            <w:webHidden/>
            <w:lang w:val="et-EE"/>
          </w:rPr>
          <w:fldChar w:fldCharType="separate"/>
        </w:r>
        <w:r w:rsidR="003B3C5D">
          <w:rPr>
            <w:noProof/>
            <w:webHidden/>
            <w:lang w:val="et-EE"/>
          </w:rPr>
          <w:t>7</w:t>
        </w:r>
        <w:r>
          <w:rPr>
            <w:noProof/>
            <w:webHidden/>
            <w:lang w:val="et-EE"/>
          </w:rPr>
          <w:fldChar w:fldCharType="end"/>
        </w:r>
      </w:hyperlink>
    </w:p>
    <w:p w:rsidR="00BE70D4" w:rsidRDefault="003A3835">
      <w:pPr>
        <w:pStyle w:val="TOC2"/>
        <w:tabs>
          <w:tab w:val="left" w:pos="720"/>
          <w:tab w:val="right" w:leader="dot" w:pos="9062"/>
        </w:tabs>
        <w:rPr>
          <w:rFonts w:asciiTheme="minorHAnsi" w:eastAsiaTheme="minorEastAsia" w:hAnsiTheme="minorHAnsi" w:cstheme="minorBidi"/>
          <w:noProof/>
          <w:sz w:val="22"/>
          <w:lang w:val="et-EE" w:eastAsia="en-GB"/>
        </w:rPr>
      </w:pPr>
      <w:hyperlink w:anchor="_Toc493257121" w:history="1">
        <w:r>
          <w:rPr>
            <w:rStyle w:val="Hyperlink"/>
            <w:noProof/>
            <w:lang w:val="et-EE"/>
          </w:rPr>
          <w:t>4.</w:t>
        </w:r>
        <w:r>
          <w:rPr>
            <w:rFonts w:asciiTheme="minorHAnsi" w:eastAsiaTheme="minorEastAsia" w:hAnsiTheme="minorHAnsi" w:cstheme="minorBidi"/>
            <w:noProof/>
            <w:sz w:val="22"/>
            <w:lang w:val="et-EE" w:eastAsia="en-GB"/>
          </w:rPr>
          <w:tab/>
        </w:r>
        <w:r>
          <w:rPr>
            <w:rStyle w:val="Hyperlink"/>
            <w:noProof/>
            <w:lang w:val="et-EE"/>
          </w:rPr>
          <w:t>ESITATUD TEABE ANALÜÜS</w:t>
        </w:r>
        <w:r>
          <w:rPr>
            <w:noProof/>
            <w:webHidden/>
            <w:lang w:val="et-EE"/>
          </w:rPr>
          <w:tab/>
        </w:r>
        <w:r>
          <w:rPr>
            <w:noProof/>
            <w:webHidden/>
            <w:lang w:val="et-EE"/>
          </w:rPr>
          <w:fldChar w:fldCharType="begin"/>
        </w:r>
        <w:r>
          <w:rPr>
            <w:noProof/>
            <w:webHidden/>
            <w:lang w:val="et-EE"/>
          </w:rPr>
          <w:instrText xml:space="preserve"> PAGEREF _Toc493257121 \h </w:instrText>
        </w:r>
        <w:r>
          <w:rPr>
            <w:noProof/>
            <w:webHidden/>
            <w:lang w:val="et-EE"/>
          </w:rPr>
        </w:r>
        <w:r>
          <w:rPr>
            <w:noProof/>
            <w:webHidden/>
            <w:lang w:val="et-EE"/>
          </w:rPr>
          <w:fldChar w:fldCharType="separate"/>
        </w:r>
        <w:r w:rsidR="003B3C5D">
          <w:rPr>
            <w:noProof/>
            <w:webHidden/>
            <w:lang w:val="et-EE"/>
          </w:rPr>
          <w:t>8</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22" w:history="1">
        <w:r>
          <w:rPr>
            <w:rStyle w:val="Hyperlink"/>
            <w:noProof/>
            <w:lang w:val="et-EE"/>
          </w:rPr>
          <w:t>4.1.</w:t>
        </w:r>
        <w:r>
          <w:rPr>
            <w:rFonts w:asciiTheme="minorHAnsi" w:eastAsiaTheme="minorEastAsia" w:hAnsiTheme="minorHAnsi" w:cstheme="minorBidi"/>
            <w:noProof/>
            <w:sz w:val="22"/>
            <w:lang w:val="et-EE" w:eastAsia="en-GB"/>
          </w:rPr>
          <w:tab/>
        </w:r>
        <w:r>
          <w:rPr>
            <w:rStyle w:val="Hyperlink"/>
            <w:noProof/>
            <w:lang w:val="et-EE"/>
          </w:rPr>
          <w:t>2007.–2013. aasta rahastamisvahendite finantsvõimendus</w:t>
        </w:r>
        <w:r>
          <w:rPr>
            <w:noProof/>
            <w:webHidden/>
            <w:lang w:val="et-EE"/>
          </w:rPr>
          <w:tab/>
        </w:r>
        <w:r>
          <w:rPr>
            <w:noProof/>
            <w:webHidden/>
            <w:lang w:val="et-EE"/>
          </w:rPr>
          <w:fldChar w:fldCharType="begin"/>
        </w:r>
        <w:r>
          <w:rPr>
            <w:noProof/>
            <w:webHidden/>
            <w:lang w:val="et-EE"/>
          </w:rPr>
          <w:instrText xml:space="preserve"> PAGEREF _Toc493257122 \h </w:instrText>
        </w:r>
        <w:r>
          <w:rPr>
            <w:noProof/>
            <w:webHidden/>
            <w:lang w:val="et-EE"/>
          </w:rPr>
        </w:r>
        <w:r>
          <w:rPr>
            <w:noProof/>
            <w:webHidden/>
            <w:lang w:val="et-EE"/>
          </w:rPr>
          <w:fldChar w:fldCharType="separate"/>
        </w:r>
        <w:r w:rsidR="003B3C5D">
          <w:rPr>
            <w:noProof/>
            <w:webHidden/>
            <w:lang w:val="et-EE"/>
          </w:rPr>
          <w:t>9</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23" w:history="1">
        <w:r>
          <w:rPr>
            <w:rStyle w:val="Hyperlink"/>
            <w:noProof/>
            <w:lang w:val="et-EE"/>
          </w:rPr>
          <w:t>4.2.</w:t>
        </w:r>
        <w:r>
          <w:rPr>
            <w:rFonts w:asciiTheme="minorHAnsi" w:eastAsiaTheme="minorEastAsia" w:hAnsiTheme="minorHAnsi" w:cstheme="minorBidi"/>
            <w:noProof/>
            <w:sz w:val="22"/>
            <w:lang w:val="et-EE" w:eastAsia="en-GB"/>
          </w:rPr>
          <w:tab/>
        </w:r>
        <w:r>
          <w:rPr>
            <w:rStyle w:val="Hyperlink"/>
            <w:noProof/>
            <w:lang w:val="et-EE"/>
          </w:rPr>
          <w:t>2014.–2020. aasta rahastamisvahendite finantsvõimendus</w:t>
        </w:r>
        <w:r>
          <w:rPr>
            <w:noProof/>
            <w:webHidden/>
            <w:lang w:val="et-EE"/>
          </w:rPr>
          <w:tab/>
        </w:r>
        <w:r>
          <w:rPr>
            <w:noProof/>
            <w:webHidden/>
            <w:lang w:val="et-EE"/>
          </w:rPr>
          <w:fldChar w:fldCharType="begin"/>
        </w:r>
        <w:r>
          <w:rPr>
            <w:noProof/>
            <w:webHidden/>
            <w:lang w:val="et-EE"/>
          </w:rPr>
          <w:instrText xml:space="preserve"> PAGEREF _Toc493257123 \h </w:instrText>
        </w:r>
        <w:r>
          <w:rPr>
            <w:noProof/>
            <w:webHidden/>
            <w:lang w:val="et-EE"/>
          </w:rPr>
        </w:r>
        <w:r>
          <w:rPr>
            <w:noProof/>
            <w:webHidden/>
            <w:lang w:val="et-EE"/>
          </w:rPr>
          <w:fldChar w:fldCharType="separate"/>
        </w:r>
        <w:r w:rsidR="003B3C5D">
          <w:rPr>
            <w:noProof/>
            <w:webHidden/>
            <w:lang w:val="et-EE"/>
          </w:rPr>
          <w:t>11</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24" w:history="1">
        <w:r>
          <w:rPr>
            <w:rStyle w:val="Hyperlink"/>
            <w:noProof/>
            <w:lang w:val="et-EE"/>
          </w:rPr>
          <w:t>4.3.</w:t>
        </w:r>
        <w:r>
          <w:rPr>
            <w:rFonts w:asciiTheme="minorHAnsi" w:eastAsiaTheme="minorEastAsia" w:hAnsiTheme="minorHAnsi" w:cstheme="minorBidi"/>
            <w:noProof/>
            <w:sz w:val="22"/>
            <w:lang w:val="et-EE" w:eastAsia="en-GB"/>
          </w:rPr>
          <w:tab/>
        </w:r>
        <w:r>
          <w:rPr>
            <w:rStyle w:val="Hyperlink"/>
            <w:noProof/>
            <w:lang w:val="et-EE"/>
          </w:rPr>
          <w:t>Sihtrühmad</w:t>
        </w:r>
        <w:r>
          <w:rPr>
            <w:noProof/>
            <w:webHidden/>
            <w:lang w:val="et-EE"/>
          </w:rPr>
          <w:tab/>
        </w:r>
        <w:r>
          <w:rPr>
            <w:noProof/>
            <w:webHidden/>
            <w:lang w:val="et-EE"/>
          </w:rPr>
          <w:fldChar w:fldCharType="begin"/>
        </w:r>
        <w:r>
          <w:rPr>
            <w:noProof/>
            <w:webHidden/>
            <w:lang w:val="et-EE"/>
          </w:rPr>
          <w:instrText xml:space="preserve"> PAGEREF _Toc4932571</w:instrText>
        </w:r>
        <w:r>
          <w:rPr>
            <w:noProof/>
            <w:webHidden/>
            <w:lang w:val="et-EE"/>
          </w:rPr>
          <w:instrText xml:space="preserve">24 \h </w:instrText>
        </w:r>
        <w:r>
          <w:rPr>
            <w:noProof/>
            <w:webHidden/>
            <w:lang w:val="et-EE"/>
          </w:rPr>
        </w:r>
        <w:r>
          <w:rPr>
            <w:noProof/>
            <w:webHidden/>
            <w:lang w:val="et-EE"/>
          </w:rPr>
          <w:fldChar w:fldCharType="separate"/>
        </w:r>
        <w:r w:rsidR="003B3C5D">
          <w:rPr>
            <w:noProof/>
            <w:webHidden/>
            <w:lang w:val="et-EE"/>
          </w:rPr>
          <w:t>15</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25" w:history="1">
        <w:r>
          <w:rPr>
            <w:rStyle w:val="Hyperlink"/>
            <w:noProof/>
            <w:lang w:val="et-EE"/>
          </w:rPr>
          <w:t>4.4.</w:t>
        </w:r>
        <w:r>
          <w:rPr>
            <w:rFonts w:asciiTheme="minorHAnsi" w:eastAsiaTheme="minorEastAsia" w:hAnsiTheme="minorHAnsi" w:cstheme="minorBidi"/>
            <w:noProof/>
            <w:sz w:val="22"/>
            <w:lang w:val="et-EE" w:eastAsia="en-GB"/>
          </w:rPr>
          <w:tab/>
        </w:r>
        <w:r>
          <w:rPr>
            <w:rStyle w:val="Hyperlink"/>
            <w:noProof/>
            <w:lang w:val="et-EE"/>
          </w:rPr>
          <w:t>Saavutatud rahastamismahu geograafiline jaotus</w:t>
        </w:r>
        <w:r>
          <w:rPr>
            <w:noProof/>
            <w:webHidden/>
            <w:lang w:val="et-EE"/>
          </w:rPr>
          <w:tab/>
        </w:r>
        <w:r>
          <w:rPr>
            <w:noProof/>
            <w:webHidden/>
            <w:lang w:val="et-EE"/>
          </w:rPr>
          <w:fldChar w:fldCharType="begin"/>
        </w:r>
        <w:r>
          <w:rPr>
            <w:noProof/>
            <w:webHidden/>
            <w:lang w:val="et-EE"/>
          </w:rPr>
          <w:instrText xml:space="preserve"> PAGEREF _Toc493257125 \h </w:instrText>
        </w:r>
        <w:r>
          <w:rPr>
            <w:noProof/>
            <w:webHidden/>
            <w:lang w:val="et-EE"/>
          </w:rPr>
        </w:r>
        <w:r>
          <w:rPr>
            <w:noProof/>
            <w:webHidden/>
            <w:lang w:val="et-EE"/>
          </w:rPr>
          <w:fldChar w:fldCharType="separate"/>
        </w:r>
        <w:r w:rsidR="003B3C5D">
          <w:rPr>
            <w:noProof/>
            <w:webHidden/>
            <w:lang w:val="et-EE"/>
          </w:rPr>
          <w:t>16</w:t>
        </w:r>
        <w:r>
          <w:rPr>
            <w:noProof/>
            <w:webHidden/>
            <w:lang w:val="et-EE"/>
          </w:rPr>
          <w:fldChar w:fldCharType="end"/>
        </w:r>
      </w:hyperlink>
    </w:p>
    <w:p w:rsidR="00BE70D4" w:rsidRDefault="003A3835">
      <w:pPr>
        <w:pStyle w:val="TOC3"/>
        <w:tabs>
          <w:tab w:val="left" w:pos="1100"/>
          <w:tab w:val="right" w:leader="dot" w:pos="9062"/>
        </w:tabs>
        <w:rPr>
          <w:rFonts w:asciiTheme="minorHAnsi" w:eastAsiaTheme="minorEastAsia" w:hAnsiTheme="minorHAnsi" w:cstheme="minorBidi"/>
          <w:noProof/>
          <w:sz w:val="22"/>
          <w:lang w:val="et-EE" w:eastAsia="en-GB"/>
        </w:rPr>
      </w:pPr>
      <w:hyperlink w:anchor="_Toc493257126" w:history="1">
        <w:r>
          <w:rPr>
            <w:rStyle w:val="Hyperlink"/>
            <w:noProof/>
            <w:lang w:val="et-EE"/>
          </w:rPr>
          <w:t>4.5.</w:t>
        </w:r>
        <w:r>
          <w:rPr>
            <w:rFonts w:asciiTheme="minorHAnsi" w:eastAsiaTheme="minorEastAsia" w:hAnsiTheme="minorHAnsi" w:cstheme="minorBidi"/>
            <w:noProof/>
            <w:sz w:val="22"/>
            <w:lang w:val="et-EE" w:eastAsia="en-GB"/>
          </w:rPr>
          <w:tab/>
        </w:r>
        <w:r>
          <w:rPr>
            <w:rStyle w:val="Hyperlink"/>
            <w:noProof/>
            <w:lang w:val="et-EE"/>
          </w:rPr>
          <w:t>Edulood</w:t>
        </w:r>
        <w:r>
          <w:rPr>
            <w:noProof/>
            <w:webHidden/>
            <w:lang w:val="et-EE"/>
          </w:rPr>
          <w:tab/>
        </w:r>
        <w:r>
          <w:rPr>
            <w:noProof/>
            <w:webHidden/>
            <w:lang w:val="et-EE"/>
          </w:rPr>
          <w:fldChar w:fldCharType="begin"/>
        </w:r>
        <w:r>
          <w:rPr>
            <w:noProof/>
            <w:webHidden/>
            <w:lang w:val="et-EE"/>
          </w:rPr>
          <w:instrText xml:space="preserve"> PAGEREF _Toc493257126 \h </w:instrText>
        </w:r>
        <w:r>
          <w:rPr>
            <w:noProof/>
            <w:webHidden/>
            <w:lang w:val="et-EE"/>
          </w:rPr>
        </w:r>
        <w:r>
          <w:rPr>
            <w:noProof/>
            <w:webHidden/>
            <w:lang w:val="et-EE"/>
          </w:rPr>
          <w:fldChar w:fldCharType="separate"/>
        </w:r>
        <w:r w:rsidR="003B3C5D">
          <w:rPr>
            <w:noProof/>
            <w:webHidden/>
            <w:lang w:val="et-EE"/>
          </w:rPr>
          <w:t>21</w:t>
        </w:r>
        <w:r>
          <w:rPr>
            <w:noProof/>
            <w:webHidden/>
            <w:lang w:val="et-EE"/>
          </w:rPr>
          <w:fldChar w:fldCharType="end"/>
        </w:r>
      </w:hyperlink>
    </w:p>
    <w:p w:rsidR="00BE70D4" w:rsidRDefault="003A3835">
      <w:pPr>
        <w:pStyle w:val="TOC2"/>
        <w:tabs>
          <w:tab w:val="left" w:pos="720"/>
          <w:tab w:val="right" w:leader="dot" w:pos="9062"/>
        </w:tabs>
        <w:rPr>
          <w:rFonts w:asciiTheme="minorHAnsi" w:eastAsiaTheme="minorEastAsia" w:hAnsiTheme="minorHAnsi" w:cstheme="minorBidi"/>
          <w:noProof/>
          <w:sz w:val="22"/>
          <w:lang w:val="et-EE" w:eastAsia="en-GB"/>
        </w:rPr>
      </w:pPr>
      <w:hyperlink w:anchor="_Toc493257127" w:history="1">
        <w:r>
          <w:rPr>
            <w:rStyle w:val="Hyperlink"/>
            <w:noProof/>
            <w:lang w:val="et-EE"/>
          </w:rPr>
          <w:t>5.</w:t>
        </w:r>
        <w:r>
          <w:rPr>
            <w:rFonts w:asciiTheme="minorHAnsi" w:eastAsiaTheme="minorEastAsia" w:hAnsiTheme="minorHAnsi" w:cstheme="minorBidi"/>
            <w:noProof/>
            <w:sz w:val="22"/>
            <w:lang w:val="et-EE" w:eastAsia="en-GB"/>
          </w:rPr>
          <w:tab/>
        </w:r>
        <w:r>
          <w:rPr>
            <w:rStyle w:val="Hyperlink"/>
            <w:noProof/>
            <w:lang w:val="et-EE"/>
          </w:rPr>
          <w:t>KOKKUVÕTE</w:t>
        </w:r>
        <w:r>
          <w:rPr>
            <w:noProof/>
            <w:webHidden/>
            <w:lang w:val="et-EE"/>
          </w:rPr>
          <w:tab/>
        </w:r>
        <w:r>
          <w:rPr>
            <w:noProof/>
            <w:webHidden/>
            <w:lang w:val="et-EE"/>
          </w:rPr>
          <w:fldChar w:fldCharType="begin"/>
        </w:r>
        <w:r>
          <w:rPr>
            <w:noProof/>
            <w:webHidden/>
            <w:lang w:val="et-EE"/>
          </w:rPr>
          <w:instrText xml:space="preserve"> PA</w:instrText>
        </w:r>
        <w:r>
          <w:rPr>
            <w:noProof/>
            <w:webHidden/>
            <w:lang w:val="et-EE"/>
          </w:rPr>
          <w:instrText xml:space="preserve">GEREF _Toc493257127 \h </w:instrText>
        </w:r>
        <w:r>
          <w:rPr>
            <w:noProof/>
            <w:webHidden/>
            <w:lang w:val="et-EE"/>
          </w:rPr>
        </w:r>
        <w:r>
          <w:rPr>
            <w:noProof/>
            <w:webHidden/>
            <w:lang w:val="et-EE"/>
          </w:rPr>
          <w:fldChar w:fldCharType="separate"/>
        </w:r>
        <w:r w:rsidR="003B3C5D">
          <w:rPr>
            <w:noProof/>
            <w:webHidden/>
            <w:lang w:val="et-EE"/>
          </w:rPr>
          <w:t>22</w:t>
        </w:r>
        <w:r>
          <w:rPr>
            <w:noProof/>
            <w:webHidden/>
            <w:lang w:val="et-EE"/>
          </w:rPr>
          <w:fldChar w:fldCharType="end"/>
        </w:r>
      </w:hyperlink>
    </w:p>
    <w:p w:rsidR="00BE70D4" w:rsidRDefault="003A3835">
      <w:pPr>
        <w:rPr>
          <w:noProof/>
          <w:lang w:val="et-EE"/>
        </w:rPr>
      </w:pPr>
      <w:r>
        <w:rPr>
          <w:bCs/>
          <w:noProof/>
          <w:lang w:val="et-EE"/>
        </w:rPr>
        <w:fldChar w:fldCharType="end"/>
      </w:r>
    </w:p>
    <w:p w:rsidR="00BE70D4" w:rsidRDefault="003A3835">
      <w:pPr>
        <w:pStyle w:val="Heading2"/>
        <w:rPr>
          <w:noProof/>
          <w:lang w:val="et-EE"/>
        </w:rPr>
      </w:pPr>
      <w:r>
        <w:rPr>
          <w:noProof/>
          <w:lang w:val="et-EE"/>
        </w:rPr>
        <w:br w:type="page"/>
      </w:r>
      <w:bookmarkStart w:id="2" w:name="_Toc486353195"/>
      <w:bookmarkStart w:id="3" w:name="_Toc493239191"/>
      <w:bookmarkStart w:id="4" w:name="_Toc493257115"/>
      <w:bookmarkStart w:id="5" w:name="_Toc387228706"/>
      <w:bookmarkStart w:id="6" w:name="_Toc388541836"/>
      <w:bookmarkStart w:id="7" w:name="_Toc387229283"/>
      <w:bookmarkStart w:id="8" w:name="_Toc388542045"/>
      <w:r>
        <w:rPr>
          <w:noProof/>
          <w:lang w:val="et-EE"/>
        </w:rPr>
        <w:lastRenderedPageBreak/>
        <w:t>SISSEJUHATUS</w:t>
      </w:r>
      <w:bookmarkEnd w:id="2"/>
      <w:bookmarkEnd w:id="3"/>
      <w:bookmarkEnd w:id="4"/>
    </w:p>
    <w:p w:rsidR="00BE70D4" w:rsidRDefault="003A3835">
      <w:pPr>
        <w:spacing w:before="100" w:beforeAutospacing="1" w:after="100" w:afterAutospacing="1"/>
        <w:jc w:val="both"/>
        <w:rPr>
          <w:noProof/>
          <w:szCs w:val="24"/>
          <w:lang w:val="et-EE"/>
        </w:rPr>
      </w:pPr>
      <w:r>
        <w:rPr>
          <w:noProof/>
          <w:lang w:val="et-EE"/>
        </w:rPr>
        <w:t>Komisjon esitab Euroopa Parlamendile ja nõukogule kooskõlas finantsmääruse</w:t>
      </w:r>
      <w:r>
        <w:rPr>
          <w:rStyle w:val="FootnoteReference"/>
          <w:noProof/>
          <w:lang w:val="et-EE"/>
        </w:rPr>
        <w:footnoteReference w:id="2"/>
      </w:r>
      <w:r>
        <w:rPr>
          <w:noProof/>
          <w:lang w:val="et-EE"/>
        </w:rPr>
        <w:t xml:space="preserve"> artikli 140 lõikega 8 aastaaruande tegevuse kohta, mis on seotud ELi tasandil liidu sise- ja välispoliitika valdkondade jaoks loodud rahastamisvahenditega, mida toetatakse liidu eelarvest ning mida komisjon juhib otse või kaudselt. Tegemist on neljanda kõ</w:t>
      </w:r>
      <w:r>
        <w:rPr>
          <w:noProof/>
          <w:lang w:val="et-EE"/>
        </w:rPr>
        <w:t>nealuse sätte kohaselt koostatud aruandega</w:t>
      </w:r>
      <w:r>
        <w:rPr>
          <w:rStyle w:val="FootnoteReference"/>
          <w:noProof/>
          <w:lang w:val="et-EE"/>
        </w:rPr>
        <w:footnoteReference w:id="3"/>
      </w:r>
      <w:r>
        <w:rPr>
          <w:noProof/>
          <w:lang w:val="et-EE"/>
        </w:rPr>
        <w:t>.</w:t>
      </w:r>
    </w:p>
    <w:p w:rsidR="00BE70D4" w:rsidRDefault="003A3835">
      <w:pPr>
        <w:spacing w:before="100" w:beforeAutospacing="1" w:after="100" w:afterAutospacing="1"/>
        <w:jc w:val="both"/>
        <w:rPr>
          <w:noProof/>
          <w:szCs w:val="24"/>
          <w:lang w:val="et-EE"/>
        </w:rPr>
      </w:pPr>
      <w:r>
        <w:rPr>
          <w:noProof/>
          <w:lang w:val="et-EE"/>
        </w:rPr>
        <w:t>Aruande eesmärk on anda Euroopa Parlamendile ja nõukogule ELi tasandil loodud rahastamisvahenditest ning nende kvantitatiivsetest ja kvalitatiivsetest tulemusnäitajatest terviklik ülevaade, mida saab kasutada dü</w:t>
      </w:r>
      <w:r>
        <w:rPr>
          <w:noProof/>
          <w:lang w:val="et-EE"/>
        </w:rPr>
        <w:t>naamilise vahendina otsuste tegemisel. Et suurendada sellega seoses aruande kasulikkust, on komisjon teinud finantsmääruse läbivaatamise ettepaneku raames ettepaneku koondada käesolev aruanne ja muud ELi rahastamisvahendeid käsitlevat teavet sisaldavad dok</w:t>
      </w:r>
      <w:r>
        <w:rPr>
          <w:noProof/>
          <w:lang w:val="et-EE"/>
        </w:rPr>
        <w:t>umendid</w:t>
      </w:r>
      <w:r>
        <w:rPr>
          <w:rStyle w:val="FootnoteReference"/>
          <w:noProof/>
          <w:lang w:val="et-EE"/>
        </w:rPr>
        <w:footnoteReference w:id="4"/>
      </w:r>
      <w:r>
        <w:rPr>
          <w:noProof/>
          <w:lang w:val="et-EE"/>
        </w:rPr>
        <w:t xml:space="preserve"> </w:t>
      </w:r>
      <w:r>
        <w:rPr>
          <w:noProof/>
          <w:szCs w:val="24"/>
          <w:lang w:val="et-EE"/>
        </w:rPr>
        <w:sym w:font="Symbol" w:char="F02D"/>
      </w:r>
      <w:r>
        <w:rPr>
          <w:noProof/>
          <w:lang w:val="et-EE"/>
        </w:rPr>
        <w:t xml:space="preserve"> mis praegu esitatakse eri aegadel </w:t>
      </w:r>
      <w:r>
        <w:rPr>
          <w:noProof/>
          <w:szCs w:val="24"/>
          <w:lang w:val="et-EE"/>
        </w:rPr>
        <w:sym w:font="Symbol" w:char="F02D"/>
      </w:r>
      <w:r>
        <w:rPr>
          <w:noProof/>
          <w:lang w:val="et-EE"/>
        </w:rPr>
        <w:t xml:space="preserve"> ühte eelarveprojektile lisatavasse dokumenti. Uus aruanne </w:t>
      </w:r>
      <w:r>
        <w:rPr>
          <w:noProof/>
          <w:szCs w:val="24"/>
          <w:lang w:val="et-EE"/>
        </w:rPr>
        <w:sym w:font="Symbol" w:char="F02D"/>
      </w:r>
      <w:r>
        <w:rPr>
          <w:noProof/>
          <w:lang w:val="et-EE"/>
        </w:rPr>
        <w:t xml:space="preserve"> mida kavandatakse komisjoni finantsmääruse läbivaatamise ettepanekus</w:t>
      </w:r>
      <w:r>
        <w:rPr>
          <w:rStyle w:val="FootnoteReference"/>
          <w:noProof/>
          <w:lang w:val="et-EE"/>
        </w:rPr>
        <w:footnoteReference w:id="5"/>
      </w:r>
      <w:r>
        <w:rPr>
          <w:noProof/>
          <w:lang w:val="et-EE"/>
        </w:rPr>
        <w:t xml:space="preserve"> </w:t>
      </w:r>
      <w:r>
        <w:rPr>
          <w:noProof/>
          <w:szCs w:val="24"/>
          <w:lang w:val="et-EE"/>
        </w:rPr>
        <w:sym w:font="Symbol" w:char="F02D"/>
      </w:r>
      <w:r>
        <w:rPr>
          <w:noProof/>
          <w:lang w:val="et-EE"/>
        </w:rPr>
        <w:t xml:space="preserve"> hõlmab lisaks praeguses finantsmäärusega ette nähtud aruandluses käsitletavat</w:t>
      </w:r>
      <w:r>
        <w:rPr>
          <w:noProof/>
          <w:lang w:val="et-EE"/>
        </w:rPr>
        <w:t>ele rahastamisvahenditele ka eelarvelisi tagatisi ja finantsabi</w:t>
      </w:r>
      <w:r>
        <w:rPr>
          <w:rStyle w:val="FootnoteReference"/>
          <w:noProof/>
          <w:lang w:val="et-EE"/>
        </w:rPr>
        <w:footnoteReference w:id="6"/>
      </w:r>
      <w:r>
        <w:rPr>
          <w:noProof/>
          <w:lang w:val="et-EE"/>
        </w:rPr>
        <w:t>. Tõhustatud aruandluse saab kasutusele võtta alates läbivaadatud finantsmääruse jõustumisest.</w:t>
      </w:r>
    </w:p>
    <w:p w:rsidR="00BE70D4" w:rsidRDefault="003A3835">
      <w:pPr>
        <w:spacing w:before="0" w:after="240"/>
        <w:jc w:val="both"/>
        <w:rPr>
          <w:noProof/>
          <w:lang w:val="et-EE"/>
        </w:rPr>
      </w:pPr>
      <w:r>
        <w:rPr>
          <w:noProof/>
          <w:lang w:val="et-EE"/>
        </w:rPr>
        <w:t>Tuleks märkida, et nende rahastamisvahendite kohta, mida toetatakse liidu eelarvest, kuid mille e</w:t>
      </w:r>
      <w:r>
        <w:rPr>
          <w:noProof/>
          <w:lang w:val="et-EE"/>
        </w:rPr>
        <w:t xml:space="preserve">elarvet täidetakse koostöös liikmesriikidega, esitatakse eraldi aruanded. Programmitöö perioodil 2007–2013 avaldati iga aasta 1. oktoobriks kokkuvõttev aastaaruanne finantskorraldusvahendite rakendamise kohta Euroopa Regionaalarengu Fondi (ERF) ja Euroopa </w:t>
      </w:r>
      <w:r>
        <w:rPr>
          <w:noProof/>
          <w:lang w:val="et-EE"/>
        </w:rPr>
        <w:t>Sotsiaalfondi (ESF) raames</w:t>
      </w:r>
      <w:r>
        <w:rPr>
          <w:rStyle w:val="FootnoteReference"/>
          <w:noProof/>
          <w:lang w:val="et-EE"/>
        </w:rPr>
        <w:footnoteReference w:id="7"/>
      </w:r>
      <w:r>
        <w:rPr>
          <w:noProof/>
          <w:lang w:val="et-EE"/>
        </w:rPr>
        <w:t>. Alates 2016. aastast esitab komisjon kokkuvõtted andmetest edusammude kohta, mis on tehtud koostöös liikmesriikidega toimuva eelarve täitmise raames rahastamisvahendite rakendamisel, nagu on Euroopa struktuuri- ja investeerimis</w:t>
      </w:r>
      <w:r>
        <w:rPr>
          <w:noProof/>
          <w:lang w:val="et-EE"/>
        </w:rPr>
        <w:t xml:space="preserve">fondide (ERF, ESF, Ühtekuuluvusfond, Euroopa Maaelu Arengu Põllumajandusfond (EAFRD) ja Euroopa Merendus- ja Kalandusfond (EMKF)) puhul ette </w:t>
      </w:r>
      <w:r>
        <w:rPr>
          <w:noProof/>
          <w:lang w:val="et-EE"/>
        </w:rPr>
        <w:lastRenderedPageBreak/>
        <w:t>nähtud ühissätete määruses</w:t>
      </w:r>
      <w:r>
        <w:rPr>
          <w:rStyle w:val="FootnoteReference"/>
          <w:noProof/>
          <w:lang w:val="et-EE"/>
        </w:rPr>
        <w:footnoteReference w:id="8"/>
      </w:r>
      <w:r>
        <w:rPr>
          <w:noProof/>
          <w:lang w:val="et-EE"/>
        </w:rPr>
        <w:t>. Programmitöö perioodi 2014–2020 kohta avaldati esimene kokkuvõttev aastaaruanne 2016. </w:t>
      </w:r>
      <w:r>
        <w:rPr>
          <w:noProof/>
          <w:lang w:val="et-EE"/>
        </w:rPr>
        <w:t>aasta lõpus</w:t>
      </w:r>
      <w:r>
        <w:rPr>
          <w:rStyle w:val="FootnoteReference"/>
          <w:noProof/>
          <w:lang w:val="et-EE"/>
        </w:rPr>
        <w:footnoteReference w:id="9"/>
      </w:r>
      <w:r>
        <w:rPr>
          <w:noProof/>
          <w:lang w:val="et-EE"/>
        </w:rPr>
        <w:t>. Sarnaselt esitatakse kooskõlas Euroopa Strateegiliste Investeeringute Fondi (EFSI) määrusega</w:t>
      </w:r>
      <w:r>
        <w:rPr>
          <w:rStyle w:val="FootnoteReference"/>
          <w:noProof/>
          <w:lang w:val="et-EE"/>
        </w:rPr>
        <w:footnoteReference w:id="10"/>
      </w:r>
      <w:r>
        <w:rPr>
          <w:noProof/>
          <w:lang w:val="et-EE"/>
        </w:rPr>
        <w:t xml:space="preserve"> eraldi aruanded EFSI jaoks antud eelarvetagatisega seotud rahastamis- ja investeerimistoimingute kohta, mis ei ole finantsmääruse tähenduses rahasta</w:t>
      </w:r>
      <w:r>
        <w:rPr>
          <w:noProof/>
          <w:lang w:val="et-EE"/>
        </w:rPr>
        <w:t>misvahendid.</w:t>
      </w:r>
    </w:p>
    <w:p w:rsidR="00BE70D4" w:rsidRDefault="003A3835">
      <w:pPr>
        <w:spacing w:before="0" w:after="240"/>
        <w:jc w:val="both"/>
        <w:rPr>
          <w:noProof/>
          <w:lang w:val="et-EE"/>
        </w:rPr>
      </w:pPr>
      <w:r>
        <w:rPr>
          <w:noProof/>
          <w:lang w:val="et-EE"/>
        </w:rPr>
        <w:t>Käesolevale ELi tasandi rahastamisvahendeid käsitlevale aruandele on lisatud komisjoni talituste töödokument, mis sisaldab iga rahastamisvahendi kohta finantsmääruse artikli 140 lõike 8 punktides a–l nõutud üksikasjalikku teavet. Käesoleva aru</w:t>
      </w:r>
      <w:r>
        <w:rPr>
          <w:noProof/>
          <w:lang w:val="et-EE"/>
        </w:rPr>
        <w:t xml:space="preserve">ande </w:t>
      </w:r>
      <w:r>
        <w:rPr>
          <w:noProof/>
          <w:u w:val="single"/>
          <w:lang w:val="et-EE"/>
        </w:rPr>
        <w:t>1. lisas</w:t>
      </w:r>
      <w:r>
        <w:rPr>
          <w:noProof/>
          <w:lang w:val="et-EE"/>
        </w:rPr>
        <w:t xml:space="preserve"> on see teave esitatud kokkuvõtliku tabelina. Lisaks sisaldab komisjoni talituste töödokumendi leheküljel 4 esitatud ülevaatlik tabel kokkuvõtvat loetelu aruandega hõlmatud rahastamisvahenditest koos asjakohase õigusliku ja finantsteabega.</w:t>
      </w:r>
    </w:p>
    <w:p w:rsidR="00BE70D4" w:rsidRDefault="00BE70D4">
      <w:pPr>
        <w:spacing w:before="0" w:after="240"/>
        <w:jc w:val="both"/>
        <w:rPr>
          <w:noProof/>
          <w:lang w:val="et-EE"/>
        </w:rPr>
      </w:pPr>
    </w:p>
    <w:p w:rsidR="00BE70D4" w:rsidRDefault="003A3835">
      <w:pPr>
        <w:pStyle w:val="Heading2"/>
        <w:rPr>
          <w:noProof/>
          <w:lang w:val="et-EE"/>
        </w:rPr>
      </w:pPr>
      <w:bookmarkStart w:id="9" w:name="_Toc486353196"/>
      <w:bookmarkStart w:id="10" w:name="_Toc493239192"/>
      <w:bookmarkStart w:id="11" w:name="_Toc493257116"/>
      <w:r>
        <w:rPr>
          <w:noProof/>
          <w:lang w:val="et-EE"/>
        </w:rPr>
        <w:t>RA</w:t>
      </w:r>
      <w:r>
        <w:rPr>
          <w:noProof/>
          <w:lang w:val="et-EE"/>
        </w:rPr>
        <w:t>HASTAMISVAHENDITE ÜLEVAADE</w:t>
      </w:r>
      <w:bookmarkEnd w:id="9"/>
      <w:bookmarkEnd w:id="10"/>
      <w:bookmarkEnd w:id="11"/>
    </w:p>
    <w:p w:rsidR="00BE70D4" w:rsidRDefault="003A3835">
      <w:pPr>
        <w:spacing w:before="100" w:beforeAutospacing="1" w:after="100" w:afterAutospacing="1"/>
        <w:jc w:val="both"/>
        <w:rPr>
          <w:noProof/>
          <w:szCs w:val="24"/>
          <w:lang w:val="et-EE"/>
        </w:rPr>
      </w:pPr>
      <w:r>
        <w:rPr>
          <w:noProof/>
          <w:lang w:val="et-EE"/>
        </w:rPr>
        <w:t>Rahastamisvahendid on „liidu meetmed, millega antakse eelarvest liidu ühe või mitme konkreetse poliitikaeesmärgi saavutamiseks täiendavuse põhimõttel rahalist toetust. Sellised vahendid võivad olla omakapitali- või kvaasikapitali</w:t>
      </w:r>
      <w:r>
        <w:rPr>
          <w:noProof/>
          <w:lang w:val="et-EE"/>
        </w:rPr>
        <w:t xml:space="preserve"> investeeringute, laenude või tagatiste või muude riskijagamisvahendite vormis ja neid võidakse vajaduse korral kombineerida toetustega“</w:t>
      </w:r>
      <w:r>
        <w:rPr>
          <w:rStyle w:val="FootnoteReference"/>
          <w:noProof/>
          <w:lang w:val="et-EE"/>
        </w:rPr>
        <w:footnoteReference w:id="11"/>
      </w:r>
      <w:r>
        <w:rPr>
          <w:noProof/>
          <w:lang w:val="et-EE"/>
        </w:rPr>
        <w:t>. Komisjon haldab praegu otse või kaudselt 35 rahastamisvahendit. Diagrammil 1 on näidatud, kuidas nende 35 rahastamisv</w:t>
      </w:r>
      <w:r>
        <w:rPr>
          <w:noProof/>
          <w:lang w:val="et-EE"/>
        </w:rPr>
        <w:t>ahendiga, mida eristatakse liigi alusel (omakapitali-, võla- või kombineeritud instrumendid), keskendutakse kolmele peamisele strateegilisele sihile: väikesed ja keskmise suurusega ettevõtjad (</w:t>
      </w:r>
      <w:r>
        <w:rPr>
          <w:noProof/>
          <w:u w:val="single"/>
          <w:lang w:val="et-EE"/>
        </w:rPr>
        <w:t>VKEd</w:t>
      </w:r>
      <w:r>
        <w:rPr>
          <w:noProof/>
          <w:lang w:val="et-EE"/>
        </w:rPr>
        <w:t xml:space="preserve">) (edaspidi „strateegilised sihtrühmad“); </w:t>
      </w:r>
      <w:r>
        <w:rPr>
          <w:noProof/>
          <w:u w:val="single"/>
          <w:lang w:val="et-EE"/>
        </w:rPr>
        <w:t>taristu</w:t>
      </w:r>
      <w:r>
        <w:rPr>
          <w:noProof/>
          <w:lang w:val="et-EE"/>
        </w:rPr>
        <w:t xml:space="preserve"> </w:t>
      </w:r>
      <w:r>
        <w:rPr>
          <w:noProof/>
          <w:szCs w:val="24"/>
          <w:lang w:val="et-EE"/>
        </w:rPr>
        <w:sym w:font="Symbol" w:char="F02D"/>
      </w:r>
      <w:r>
        <w:rPr>
          <w:noProof/>
          <w:lang w:val="et-EE"/>
        </w:rPr>
        <w:t xml:space="preserve"> selle l</w:t>
      </w:r>
      <w:r>
        <w:rPr>
          <w:noProof/>
          <w:lang w:val="et-EE"/>
        </w:rPr>
        <w:t xml:space="preserve">aiemas tähenduses, mis hõlmab nii materiaalset kui ka immateriaalset taristut, nagu teadusuuringud ja innovatsioon </w:t>
      </w:r>
      <w:r>
        <w:rPr>
          <w:noProof/>
          <w:szCs w:val="24"/>
          <w:lang w:val="et-EE"/>
        </w:rPr>
        <w:sym w:font="Symbol" w:char="F02D"/>
      </w:r>
      <w:r>
        <w:rPr>
          <w:noProof/>
          <w:lang w:val="et-EE"/>
        </w:rPr>
        <w:t xml:space="preserve"> (edaspidi „strateegilised sihtsektorid“), ning </w:t>
      </w:r>
      <w:r>
        <w:rPr>
          <w:noProof/>
          <w:u w:val="single"/>
          <w:lang w:val="et-EE"/>
        </w:rPr>
        <w:t>kandidaat- ja naaberriigid ning arengukoostöö rahastamisvahendiga hõlmatud riigid</w:t>
      </w:r>
      <w:r>
        <w:rPr>
          <w:noProof/>
          <w:lang w:val="et-EE"/>
        </w:rPr>
        <w:t xml:space="preserve"> (edaspidi </w:t>
      </w:r>
      <w:r>
        <w:rPr>
          <w:noProof/>
          <w:lang w:val="et-EE"/>
        </w:rPr>
        <w:t>„strateegilised ELi-välised sihtriigid“). Diagrammil 1 tehakse vahet ka 2007.–2013. aasta mitmeaastases finantsraamistikus loodud vahenditel (sisemistes ringides) ja 2014.–2020. aasta mitmeaastases finantsraamistikus loodud vahenditel (välimistes ringides)</w:t>
      </w:r>
      <w:r>
        <w:rPr>
          <w:noProof/>
          <w:lang w:val="et-EE"/>
        </w:rPr>
        <w:t xml:space="preserve"> ning on ära toodud vahendite suhteline suurus, lähtudes eelarvevahenditest.</w:t>
      </w:r>
    </w:p>
    <w:p w:rsidR="00BE70D4" w:rsidRDefault="00BE70D4">
      <w:pPr>
        <w:spacing w:before="0" w:after="0" w:line="240" w:lineRule="auto"/>
        <w:rPr>
          <w:noProof/>
          <w:szCs w:val="24"/>
          <w:lang w:val="et-EE"/>
        </w:rPr>
        <w:sectPr w:rsidR="00BE70D4">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0" w:footer="0" w:gutter="0"/>
          <w:pgNumType w:start="2"/>
          <w:cols w:space="708"/>
          <w:docGrid w:linePitch="360"/>
        </w:sectPr>
      </w:pPr>
    </w:p>
    <w:p w:rsidR="00BE70D4" w:rsidRDefault="003A3835">
      <w:pPr>
        <w:spacing w:before="0" w:after="0" w:line="240" w:lineRule="auto"/>
        <w:rPr>
          <w:b/>
          <w:bCs/>
          <w:noProof/>
          <w:sz w:val="22"/>
          <w:lang w:val="et-EE"/>
        </w:rPr>
      </w:pPr>
      <w:r>
        <w:rPr>
          <w:b/>
          <w:noProof/>
          <w:sz w:val="22"/>
          <w:lang w:val="et-EE"/>
        </w:rPr>
        <w:lastRenderedPageBreak/>
        <w:t xml:space="preserve">Diagramm </w:t>
      </w:r>
      <w:r>
        <w:rPr>
          <w:b/>
          <w:bCs/>
          <w:noProof/>
          <w:sz w:val="22"/>
          <w:lang w:val="et-EE"/>
        </w:rPr>
        <w:fldChar w:fldCharType="begin"/>
      </w:r>
      <w:r>
        <w:rPr>
          <w:b/>
          <w:bCs/>
          <w:noProof/>
          <w:sz w:val="22"/>
          <w:lang w:val="et-EE"/>
        </w:rPr>
        <w:instrText xml:space="preserve"> SEQ Graph \* ARABIC </w:instrText>
      </w:r>
      <w:r>
        <w:rPr>
          <w:b/>
          <w:bCs/>
          <w:noProof/>
          <w:sz w:val="22"/>
          <w:lang w:val="et-EE"/>
        </w:rPr>
        <w:fldChar w:fldCharType="separate"/>
      </w:r>
      <w:r>
        <w:rPr>
          <w:b/>
          <w:bCs/>
          <w:noProof/>
          <w:sz w:val="22"/>
          <w:lang w:val="et-EE"/>
        </w:rPr>
        <w:t>1</w:t>
      </w:r>
      <w:r>
        <w:rPr>
          <w:b/>
          <w:bCs/>
          <w:noProof/>
          <w:sz w:val="22"/>
          <w:lang w:val="et-EE"/>
        </w:rPr>
        <w:fldChar w:fldCharType="end"/>
      </w:r>
      <w:r>
        <w:rPr>
          <w:b/>
          <w:noProof/>
          <w:sz w:val="22"/>
          <w:lang w:val="et-EE"/>
        </w:rPr>
        <w:t xml:space="preserve">. 2007.–2013. aasta ja 2014.–2020. aasta rahastamisvahendid 31. detsembri </w:t>
      </w:r>
      <w:r>
        <w:rPr>
          <w:b/>
          <w:noProof/>
          <w:sz w:val="22"/>
          <w:lang w:val="et-EE"/>
        </w:rPr>
        <w:t>2016. aasta seisuga (miljardites eurodes)</w:t>
      </w:r>
    </w:p>
    <w:p w:rsidR="00BE70D4" w:rsidRDefault="003A3835">
      <w:pPr>
        <w:spacing w:before="100" w:beforeAutospacing="1" w:after="0"/>
        <w:jc w:val="center"/>
        <w:rPr>
          <w:noProof/>
          <w:szCs w:val="24"/>
          <w:lang w:val="et-EE"/>
        </w:rPr>
      </w:pPr>
      <w:r>
        <w:rPr>
          <w:noProof/>
          <w:lang w:eastAsia="en-GB"/>
        </w:rPr>
        <w:drawing>
          <wp:inline distT="0" distB="0" distL="0" distR="0">
            <wp:extent cx="7633970" cy="51777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33970" cy="5177790"/>
                    </a:xfrm>
                    <a:prstGeom prst="rect">
                      <a:avLst/>
                    </a:prstGeom>
                    <a:noFill/>
                    <a:ln>
                      <a:noFill/>
                    </a:ln>
                  </pic:spPr>
                </pic:pic>
              </a:graphicData>
            </a:graphic>
          </wp:inline>
        </w:drawing>
      </w:r>
    </w:p>
    <w:p w:rsidR="00BE70D4" w:rsidRDefault="003A3835">
      <w:pPr>
        <w:spacing w:before="0" w:after="100" w:afterAutospacing="1"/>
        <w:rPr>
          <w:noProof/>
          <w:sz w:val="18"/>
          <w:szCs w:val="18"/>
          <w:lang w:val="et-EE"/>
        </w:rPr>
      </w:pPr>
      <w:r>
        <w:rPr>
          <w:noProof/>
          <w:sz w:val="18"/>
          <w:lang w:val="et-EE"/>
        </w:rPr>
        <w:t>Märkused: rahastamisvahendite lühinimetuste loetelu leiab käesoleva dokumendi lõpust. VKEde algatuse puhul on kajastatud diagrammil üksnes ERFi panust.</w:t>
      </w:r>
      <w:r>
        <w:rPr>
          <w:noProof/>
          <w:sz w:val="18"/>
          <w:szCs w:val="18"/>
          <w:lang w:val="et-EE"/>
        </w:rPr>
        <w:br w:type="page"/>
      </w:r>
    </w:p>
    <w:p w:rsidR="00BE70D4" w:rsidRDefault="00BE70D4">
      <w:pPr>
        <w:spacing w:before="0" w:after="100" w:afterAutospacing="1"/>
        <w:rPr>
          <w:noProof/>
          <w:sz w:val="18"/>
          <w:szCs w:val="18"/>
          <w:lang w:val="et-EE"/>
        </w:rPr>
        <w:sectPr w:rsidR="00BE70D4">
          <w:headerReference w:type="even" r:id="rId27"/>
          <w:headerReference w:type="default" r:id="rId28"/>
          <w:footerReference w:type="even" r:id="rId29"/>
          <w:footerReference w:type="default" r:id="rId30"/>
          <w:headerReference w:type="first" r:id="rId31"/>
          <w:footerReference w:type="first" r:id="rId32"/>
          <w:pgSz w:w="16838" w:h="11906" w:orient="landscape"/>
          <w:pgMar w:top="1417" w:right="1417" w:bottom="1417" w:left="1417" w:header="0" w:footer="0" w:gutter="0"/>
          <w:cols w:space="708"/>
          <w:docGrid w:linePitch="360"/>
        </w:sectPr>
      </w:pPr>
    </w:p>
    <w:p w:rsidR="00BE70D4" w:rsidRDefault="003A3835">
      <w:pPr>
        <w:spacing w:before="100" w:beforeAutospacing="1" w:after="100" w:afterAutospacing="1"/>
        <w:jc w:val="both"/>
        <w:rPr>
          <w:noProof/>
          <w:szCs w:val="24"/>
          <w:lang w:val="et-EE"/>
        </w:rPr>
      </w:pPr>
      <w:r>
        <w:rPr>
          <w:noProof/>
          <w:lang w:val="et-EE"/>
        </w:rPr>
        <w:lastRenderedPageBreak/>
        <w:t>Liidu kogupanus 2007.–2013. aasta rahastamisvahenditesse ulatus peaaegu 5,7 miljardi euroni. 2014.–2020. aastal on rahastamisvahendite jaoks ette nähtud eelarvevahendite kogusumma peaaegu 9 miljardit eurot, millest enam kui 4,9 miljardit eurot ehk umbes po</w:t>
      </w:r>
      <w:r>
        <w:rPr>
          <w:noProof/>
          <w:lang w:val="et-EE"/>
        </w:rPr>
        <w:t>ol oli 2016. aasta lõpuks juba eraldatud</w:t>
      </w:r>
      <w:r>
        <w:rPr>
          <w:rStyle w:val="FootnoteReference"/>
          <w:noProof/>
          <w:lang w:val="et-EE"/>
        </w:rPr>
        <w:footnoteReference w:id="12"/>
      </w:r>
      <w:r>
        <w:rPr>
          <w:noProof/>
          <w:lang w:val="et-EE"/>
        </w:rPr>
        <w:t>.</w:t>
      </w:r>
    </w:p>
    <w:p w:rsidR="00BE70D4" w:rsidRDefault="003A3835">
      <w:pPr>
        <w:pStyle w:val="Heading2"/>
        <w:spacing w:after="0"/>
        <w:rPr>
          <w:noProof/>
          <w:lang w:val="et-EE"/>
        </w:rPr>
      </w:pPr>
      <w:bookmarkStart w:id="12" w:name="_Toc486353197"/>
      <w:bookmarkStart w:id="13" w:name="_Toc493239193"/>
      <w:bookmarkStart w:id="14" w:name="_Toc493257117"/>
      <w:r>
        <w:rPr>
          <w:noProof/>
          <w:lang w:val="et-EE"/>
        </w:rPr>
        <w:t>RAHASTAMISVAHENDITE KASUTAMISE PÕHJUSED</w:t>
      </w:r>
      <w:bookmarkEnd w:id="12"/>
      <w:bookmarkEnd w:id="13"/>
      <w:bookmarkEnd w:id="14"/>
    </w:p>
    <w:p w:rsidR="00BE70D4" w:rsidRDefault="003A3835">
      <w:pPr>
        <w:pStyle w:val="Heading3-a"/>
        <w:rPr>
          <w:noProof/>
          <w:lang w:val="et-EE"/>
        </w:rPr>
      </w:pPr>
      <w:bookmarkStart w:id="15" w:name="_Toc486350736"/>
      <w:bookmarkStart w:id="16" w:name="_Toc486353198"/>
      <w:bookmarkStart w:id="17" w:name="_Toc493239194"/>
      <w:bookmarkStart w:id="18" w:name="_Toc493257118"/>
      <w:r>
        <w:rPr>
          <w:noProof/>
          <w:lang w:val="et-EE"/>
        </w:rPr>
        <w:t>Majanduslik olukord</w:t>
      </w:r>
      <w:bookmarkEnd w:id="15"/>
      <w:bookmarkEnd w:id="16"/>
      <w:bookmarkEnd w:id="17"/>
      <w:bookmarkEnd w:id="18"/>
    </w:p>
    <w:p w:rsidR="00BE70D4" w:rsidRDefault="003A3835">
      <w:pPr>
        <w:spacing w:before="100" w:beforeAutospacing="1" w:after="100" w:afterAutospacing="1"/>
        <w:jc w:val="both"/>
        <w:rPr>
          <w:noProof/>
          <w:szCs w:val="24"/>
          <w:lang w:val="et-EE"/>
        </w:rPr>
      </w:pPr>
      <w:r>
        <w:rPr>
          <w:noProof/>
          <w:lang w:val="et-EE"/>
        </w:rPr>
        <w:t>2016. aastal valitsenud majanduslikku olukorda, milles rahastamisvahendeid rakendati, iseloomustab liikmesriikide endiselt väike, kuid positiivne majandu</w:t>
      </w:r>
      <w:r>
        <w:rPr>
          <w:noProof/>
          <w:lang w:val="et-EE"/>
        </w:rPr>
        <w:t xml:space="preserve">skasv. Euroopa püüab aeglaselt, ent kindlalt, taastuda majandus- ja finantskriisist. Üldise taastumise tempot aeglustavad aga endiselt struktuursed ja kriisist tingitud puudused. Investeerimine ei ole oluliselt suurenenud ning poliitilise ebakindluse ning </w:t>
      </w:r>
      <w:r>
        <w:rPr>
          <w:noProof/>
          <w:lang w:val="et-EE"/>
        </w:rPr>
        <w:t>keskpika ja pikaajalise nõudluse tagasihoidliku väljavaate tõttu ei ole selle märkimisväärset suurenemist oodata ka paaril järgneval aastal. Pankade laenuandmisvõimet kahandavad ikka veel erasektori kõrge võlatase ja viivislaenude suur osakaal, mis takista</w:t>
      </w:r>
      <w:r>
        <w:rPr>
          <w:noProof/>
          <w:lang w:val="et-EE"/>
        </w:rPr>
        <w:t>b majanduskasvu ja finantsstabiilsust. Need probleemid nõuavad jätkuvalt tegutsemist, et veelgi vähendada Euroopa majanduse sõltuvust pangandussektorilt saadavatest laenudest. Omakapitali kaudu rahastamise võimalus on alternatiivse rahastamisallikana endis</w:t>
      </w:r>
      <w:r>
        <w:rPr>
          <w:noProof/>
          <w:lang w:val="et-EE"/>
        </w:rPr>
        <w:t>elt piiratud.</w:t>
      </w:r>
      <w:r>
        <w:rPr>
          <w:noProof/>
          <w:szCs w:val="24"/>
          <w:lang w:val="et-EE"/>
        </w:rPr>
        <w:t xml:space="preserve"> </w:t>
      </w:r>
    </w:p>
    <w:p w:rsidR="00BE70D4" w:rsidRDefault="003A3835">
      <w:pPr>
        <w:spacing w:before="100" w:beforeAutospacing="1" w:after="100" w:afterAutospacing="1"/>
        <w:jc w:val="both"/>
        <w:rPr>
          <w:noProof/>
          <w:szCs w:val="24"/>
          <w:lang w:val="et-EE"/>
        </w:rPr>
      </w:pPr>
      <w:r>
        <w:rPr>
          <w:noProof/>
          <w:lang w:val="et-EE"/>
        </w:rPr>
        <w:t>Rahastamisvahendite rakendamise ajal valitsenud majandusliku ja finantsolukorra üksikasjalikuma analüüsi, sealhulgas rahastamispuudujääke käsitleva teabe, leiab komisjoni talituste töödokumenti täiendavast lisast.</w:t>
      </w:r>
    </w:p>
    <w:p w:rsidR="00BE70D4" w:rsidRDefault="003A3835">
      <w:pPr>
        <w:pStyle w:val="Heading3-a"/>
        <w:rPr>
          <w:noProof/>
          <w:lang w:val="et-EE"/>
        </w:rPr>
      </w:pPr>
      <w:bookmarkStart w:id="19" w:name="_Toc486353200"/>
      <w:bookmarkStart w:id="20" w:name="_Toc493239195"/>
      <w:bookmarkStart w:id="21" w:name="_Toc493257119"/>
      <w:r>
        <w:rPr>
          <w:noProof/>
          <w:lang w:val="et-EE"/>
        </w:rPr>
        <w:t>Rahastamisvahendid võimalda</w:t>
      </w:r>
      <w:r>
        <w:rPr>
          <w:noProof/>
          <w:lang w:val="et-EE"/>
        </w:rPr>
        <w:t>vad vähemaga rohkem ära teha</w:t>
      </w:r>
      <w:bookmarkEnd w:id="19"/>
      <w:bookmarkEnd w:id="20"/>
      <w:bookmarkEnd w:id="21"/>
    </w:p>
    <w:p w:rsidR="00BE70D4" w:rsidRDefault="003A3835">
      <w:pPr>
        <w:spacing w:before="100" w:beforeAutospacing="1" w:after="100" w:afterAutospacing="1"/>
        <w:jc w:val="both"/>
        <w:rPr>
          <w:noProof/>
          <w:szCs w:val="24"/>
          <w:lang w:val="et-EE"/>
        </w:rPr>
      </w:pPr>
      <w:r>
        <w:rPr>
          <w:noProof/>
          <w:lang w:val="et-EE"/>
        </w:rPr>
        <w:t>ELi poliitikameetmete toetamiseks kättesaadavad vahendid on üldjuhul piiratud ja seepärast on selleks, et püüelda tõhusamalt avalike eesmärkide poole, vaja lisavahendeid. Liidu tasandi rahastamisvahenditega julgustatakse avalik</w:t>
      </w:r>
      <w:r>
        <w:rPr>
          <w:noProof/>
          <w:lang w:val="et-EE"/>
        </w:rPr>
        <w:t>u sektori rahastamisasutusi ja erainvestoreid andma laenu reaalmajandusele, eriti aga suurema riskiga VKEdele. Rahastamisvahenditel on väga kasulik roll täiendavate avaliku ja erasektori vahendite eraldamise hoogustamisel – teatavaid rahastamisriske jagata</w:t>
      </w:r>
      <w:r>
        <w:rPr>
          <w:noProof/>
          <w:lang w:val="et-EE"/>
        </w:rPr>
        <w:t xml:space="preserve">kse teiste avaliku või erasektori osalejatega, mille läbi saavutatakse finantsvõimendus. Kuna liikmesriikide avaliku sektori vahendid jäävad piiratuks, tuleb selleks, et eraldada ELi eelarve kaudu lisainvesteeringuid, kasutada rahastamisvahendeid üha enam </w:t>
      </w:r>
      <w:r>
        <w:rPr>
          <w:noProof/>
          <w:lang w:val="et-EE"/>
        </w:rPr>
        <w:t>koos eelarveliste tagatistega ja vajaduse korral toetustega, optimeerides sel moel eelarve mõju ELi poliitikameetmete rahastamisel (vähemaga rohkem ära tehes).</w:t>
      </w:r>
      <w:r>
        <w:rPr>
          <w:noProof/>
          <w:szCs w:val="24"/>
          <w:lang w:val="et-EE"/>
        </w:rPr>
        <w:t xml:space="preserve"> </w:t>
      </w:r>
    </w:p>
    <w:p w:rsidR="00BE70D4" w:rsidRDefault="003A3835">
      <w:pPr>
        <w:spacing w:before="100" w:beforeAutospacing="1" w:after="100" w:afterAutospacing="1"/>
        <w:jc w:val="both"/>
        <w:rPr>
          <w:noProof/>
          <w:szCs w:val="24"/>
          <w:lang w:val="et-EE"/>
        </w:rPr>
      </w:pPr>
      <w:r>
        <w:rPr>
          <w:noProof/>
          <w:lang w:val="et-EE"/>
        </w:rPr>
        <w:lastRenderedPageBreak/>
        <w:t>Eri liiki rahastamisvahendite puhul saavutatava finantsvõimenduse analüüs (mis hõlmab kõiki sek</w:t>
      </w:r>
      <w:r>
        <w:rPr>
          <w:noProof/>
          <w:lang w:val="et-EE"/>
        </w:rPr>
        <w:t>toreid) on esitatud allpool punktis 4.</w:t>
      </w:r>
    </w:p>
    <w:p w:rsidR="00BE70D4" w:rsidRDefault="003A3835">
      <w:pPr>
        <w:spacing w:before="100" w:beforeAutospacing="1" w:after="100" w:afterAutospacing="1"/>
        <w:jc w:val="both"/>
        <w:rPr>
          <w:noProof/>
          <w:szCs w:val="24"/>
          <w:lang w:val="et-EE"/>
        </w:rPr>
      </w:pPr>
      <w:r>
        <w:rPr>
          <w:noProof/>
          <w:lang w:val="et-EE"/>
        </w:rPr>
        <w:t>Kuid finantsvõimendus ei ole ainus võimendus: motiveerides huvide ühitamisega finantsvahendajaid taotlema ühiseid eesmärke, tagatakse rahastamisvahenditega eri keskkondades ja jurisdiktsioonides ka poliitiline võimend</w:t>
      </w:r>
      <w:r>
        <w:rPr>
          <w:noProof/>
          <w:lang w:val="et-EE"/>
        </w:rPr>
        <w:t>us. Peale selle saavutatakse institutsiooniline võimendus, eeskätt kasutades ära rakendamisahelas osalevate institutsioonide ELi poliitika alaseid eriteadmisi.</w:t>
      </w:r>
    </w:p>
    <w:p w:rsidR="00BE70D4" w:rsidRDefault="003A3835">
      <w:pPr>
        <w:spacing w:before="100" w:beforeAutospacing="1" w:after="100" w:afterAutospacing="1"/>
        <w:jc w:val="both"/>
        <w:rPr>
          <w:noProof/>
          <w:szCs w:val="24"/>
          <w:lang w:val="et-EE"/>
        </w:rPr>
      </w:pPr>
      <w:r>
        <w:rPr>
          <w:noProof/>
          <w:lang w:val="et-EE"/>
        </w:rPr>
        <w:t>Neil põhjustel on rahastamisvahendid juba mänginud olulist rolli – nende kaudu on toetatud tähts</w:t>
      </w:r>
      <w:r>
        <w:rPr>
          <w:noProof/>
          <w:lang w:val="et-EE"/>
        </w:rPr>
        <w:t>aid sihtrühmi, nagu VKEd, uuenduslikud ettevõtjad ja mikroettevõtjad, ning suure väärtusega projekte sellistes strateegilistes sektorites nagu transport ja energeetika. Rahastamisvahendid on aidanud kõrvaldada turutõrkeid ning võtta kasutusele märkimisväär</w:t>
      </w:r>
      <w:r>
        <w:rPr>
          <w:noProof/>
          <w:lang w:val="et-EE"/>
        </w:rPr>
        <w:t>seid täiendavaid avaliku ja erasektori vahendeid</w:t>
      </w:r>
      <w:r>
        <w:rPr>
          <w:rStyle w:val="FootnoteReference"/>
          <w:noProof/>
          <w:lang w:val="et-EE"/>
        </w:rPr>
        <w:footnoteReference w:id="13"/>
      </w:r>
      <w:r>
        <w:rPr>
          <w:noProof/>
          <w:lang w:val="et-EE"/>
        </w:rPr>
        <w:t>.</w:t>
      </w:r>
      <w:r>
        <w:rPr>
          <w:noProof/>
          <w:szCs w:val="24"/>
          <w:lang w:val="et-EE"/>
        </w:rPr>
        <w:t xml:space="preserve"> </w:t>
      </w:r>
    </w:p>
    <w:p w:rsidR="00BE70D4" w:rsidRDefault="003A3835">
      <w:pPr>
        <w:pStyle w:val="Heading3-a"/>
        <w:rPr>
          <w:noProof/>
          <w:lang w:val="et-EE"/>
        </w:rPr>
      </w:pPr>
      <w:bookmarkStart w:id="22" w:name="_Toc486353201"/>
      <w:bookmarkStart w:id="23" w:name="_Toc493239196"/>
      <w:bookmarkStart w:id="24" w:name="_Toc493257120"/>
      <w:r>
        <w:rPr>
          <w:noProof/>
          <w:lang w:val="et-EE"/>
        </w:rPr>
        <w:t>Rahastamisvahenditega saavutatav mõju on suurem, kui need kombineeritakse ja ühendatakse muude vahenditega</w:t>
      </w:r>
      <w:bookmarkEnd w:id="22"/>
      <w:bookmarkEnd w:id="23"/>
      <w:bookmarkEnd w:id="24"/>
    </w:p>
    <w:p w:rsidR="00BE70D4" w:rsidRDefault="003A3835">
      <w:pPr>
        <w:spacing w:before="100" w:beforeAutospacing="1" w:after="100" w:afterAutospacing="1"/>
        <w:jc w:val="both"/>
        <w:rPr>
          <w:noProof/>
          <w:szCs w:val="24"/>
          <w:lang w:val="et-EE"/>
        </w:rPr>
      </w:pPr>
      <w:r>
        <w:rPr>
          <w:noProof/>
          <w:lang w:val="et-EE"/>
        </w:rPr>
        <w:t>Üks oluline õppetund, mis rahastamisvahendite rakendamisel seni on saadud, on tulu, mis tõuseb EL</w:t>
      </w:r>
      <w:r>
        <w:rPr>
          <w:noProof/>
          <w:lang w:val="et-EE"/>
        </w:rPr>
        <w:t>i eri rahastamisallikate kombineerimisest püüdluses suurendada reaalmajandusse tehtavate investeeringute mõju ning saavutada rakendamisel ja sihtide valimisel suurem paindlikkus. Pealegi võib rahastamisvahendite kombineerimine ELi toetustega ja piirkondlik</w:t>
      </w:r>
      <w:r>
        <w:rPr>
          <w:noProof/>
          <w:lang w:val="et-EE"/>
        </w:rPr>
        <w:t>e või riiklike vahenditega olla vajalik selleks, et katta selliste projektide kapitalikulud, mida ei ole võimalik rahastada üksnes ELi eelarve rahastamisvahendite kaudu. 2014.–2020. aasta mitmeaastases finantsraamistikus juba pakutakse selliseid ühendamisv</w:t>
      </w:r>
      <w:r>
        <w:rPr>
          <w:noProof/>
          <w:lang w:val="et-EE"/>
        </w:rPr>
        <w:t>õimalusi.</w:t>
      </w:r>
      <w:r>
        <w:rPr>
          <w:noProof/>
          <w:szCs w:val="24"/>
          <w:lang w:val="et-EE"/>
        </w:rPr>
        <w:t xml:space="preserve"> </w:t>
      </w:r>
    </w:p>
    <w:p w:rsidR="00BE70D4" w:rsidRDefault="003A3835">
      <w:pPr>
        <w:spacing w:before="100" w:beforeAutospacing="1" w:after="100" w:afterAutospacing="1"/>
        <w:jc w:val="both"/>
        <w:rPr>
          <w:noProof/>
          <w:szCs w:val="24"/>
          <w:lang w:val="et-EE"/>
        </w:rPr>
      </w:pPr>
      <w:r>
        <w:rPr>
          <w:noProof/>
          <w:lang w:val="et-EE"/>
        </w:rPr>
        <w:t>Näiteks rahastamisvahendeid, mis on loodud programmi „Horisont 2020“ raames teadusuuringute ja innovatsiooni jaoks või COSME programmi raames VKEde tarvis, on kasutatud koos eelarvest antud tagatisega. Mõlema programmi rahastamisvahendite järele</w:t>
      </w:r>
      <w:r>
        <w:rPr>
          <w:noProof/>
          <w:lang w:val="et-EE"/>
        </w:rPr>
        <w:t xml:space="preserve"> on olnud programmide käivitamisest saati turul suur nõudlus ja nende esialgne rahastamispakett ammendati kiiresti. Seepärast otsustati neid vahendeid laiendada, muutes vahendid kättesaadavaks Euroopa investeerimiskava esimese samba moodustava EFSI</w:t>
      </w:r>
      <w:r>
        <w:rPr>
          <w:rStyle w:val="FootnoteReference"/>
          <w:noProof/>
          <w:lang w:val="et-EE"/>
        </w:rPr>
        <w:footnoteReference w:id="14"/>
      </w:r>
      <w:r>
        <w:rPr>
          <w:noProof/>
          <w:lang w:val="et-EE"/>
        </w:rPr>
        <w:t xml:space="preserve"> riskiv</w:t>
      </w:r>
      <w:r>
        <w:rPr>
          <w:noProof/>
          <w:lang w:val="et-EE"/>
        </w:rPr>
        <w:t>õtmisvõime raames</w:t>
      </w:r>
      <w:r>
        <w:rPr>
          <w:rStyle w:val="FootnoteReference"/>
          <w:noProof/>
          <w:lang w:val="et-EE"/>
        </w:rPr>
        <w:footnoteReference w:id="15"/>
      </w:r>
      <w:r>
        <w:rPr>
          <w:noProof/>
          <w:lang w:val="et-EE"/>
        </w:rPr>
        <w:t xml:space="preserve"> </w:t>
      </w:r>
      <w:r>
        <w:rPr>
          <w:rStyle w:val="FootnoteReference"/>
          <w:noProof/>
          <w:lang w:val="et-EE"/>
        </w:rPr>
        <w:footnoteReference w:id="16"/>
      </w:r>
      <w:r>
        <w:rPr>
          <w:noProof/>
          <w:lang w:val="et-EE"/>
        </w:rPr>
        <w:t>.</w:t>
      </w:r>
    </w:p>
    <w:p w:rsidR="00BE70D4" w:rsidRDefault="003A3835">
      <w:pPr>
        <w:spacing w:before="100" w:beforeAutospacing="1" w:after="100" w:afterAutospacing="1"/>
        <w:jc w:val="both"/>
        <w:rPr>
          <w:noProof/>
          <w:szCs w:val="24"/>
          <w:lang w:val="et-EE"/>
        </w:rPr>
      </w:pPr>
      <w:r>
        <w:rPr>
          <w:noProof/>
          <w:lang w:val="et-EE"/>
        </w:rPr>
        <w:lastRenderedPageBreak/>
        <w:t xml:space="preserve">Teine näide on ELi tasandi rahastamisvahendite, EFSI ja finantsabina antavate toetuste kombineerimine Euroopa ühendamise rahastu transpordi valdkonnas eesmärgiga seada Euroopa ühendamise rahastu toetuste väljamaksmise tingimuseks </w:t>
      </w:r>
      <w:r>
        <w:rPr>
          <w:noProof/>
          <w:lang w:val="et-EE"/>
        </w:rPr>
        <w:t>rahastamise heakskiitmine EFSI raames või rahastamislepingu allkirjastamine erasektorist pärit rahastaja või riikliku tugipangaga 12 kuu jooksul pärast toetuslepingu allkirjastamist.</w:t>
      </w:r>
      <w:r>
        <w:rPr>
          <w:noProof/>
          <w:szCs w:val="24"/>
          <w:lang w:val="et-EE"/>
        </w:rPr>
        <w:t xml:space="preserve"> </w:t>
      </w:r>
    </w:p>
    <w:p w:rsidR="00BE70D4" w:rsidRDefault="003A3835">
      <w:pPr>
        <w:spacing w:before="100" w:beforeAutospacing="1" w:after="100" w:afterAutospacing="1"/>
        <w:jc w:val="both"/>
        <w:rPr>
          <w:noProof/>
          <w:szCs w:val="24"/>
          <w:lang w:val="et-EE"/>
        </w:rPr>
      </w:pPr>
      <w:r>
        <w:rPr>
          <w:noProof/>
          <w:lang w:val="et-EE"/>
        </w:rPr>
        <w:t xml:space="preserve">Tulevikku vaadates võib selleks, et kasvatada projektide toetamiseks </w:t>
      </w:r>
      <w:r>
        <w:rPr>
          <w:noProof/>
          <w:lang w:val="et-EE"/>
        </w:rPr>
        <w:t>kasutusele võetavat kapitali, veel ühe võimalusena propageerida projektide rahastamist EFSI investeerimisplatvormide kaudu, võttes arvesse eri rahastamisallikate – ELi fondid, EIP grupi vahendid, riiklikud tugipangad, erasektori rahastamisvahendid, institu</w:t>
      </w:r>
      <w:r>
        <w:rPr>
          <w:noProof/>
          <w:lang w:val="et-EE"/>
        </w:rPr>
        <w:t>tsionaalsed investorid, riiklikud investeerimisfondid jne – kombineerimisel tekkivat suuremat hoogustavat mõju</w:t>
      </w:r>
    </w:p>
    <w:p w:rsidR="00BE70D4" w:rsidRDefault="003A3835">
      <w:pPr>
        <w:spacing w:before="100" w:beforeAutospacing="1" w:after="100" w:afterAutospacing="1"/>
        <w:jc w:val="both"/>
        <w:rPr>
          <w:noProof/>
          <w:szCs w:val="24"/>
          <w:lang w:val="et-EE"/>
        </w:rPr>
      </w:pPr>
      <w:r>
        <w:rPr>
          <w:noProof/>
          <w:lang w:val="et-EE"/>
        </w:rPr>
        <w:t>Peale selle on ühissätete määruse</w:t>
      </w:r>
      <w:r>
        <w:rPr>
          <w:rStyle w:val="FootnoteReference"/>
          <w:noProof/>
          <w:lang w:val="et-EE"/>
        </w:rPr>
        <w:footnoteReference w:id="17"/>
      </w:r>
      <w:r>
        <w:rPr>
          <w:noProof/>
          <w:lang w:val="et-EE"/>
        </w:rPr>
        <w:t xml:space="preserve"> alusel liikmesriikidel lubatud kombineerida ühistes rahastamisvahendites Euroopa struktuuri- ja investeerimisf</w:t>
      </w:r>
      <w:r>
        <w:rPr>
          <w:noProof/>
          <w:lang w:val="et-EE"/>
        </w:rPr>
        <w:t>ondide vahendid programmi „Horisont 2020“ ja COSME programmi vahenditega. Oma finantsmääruse läbivaatamise ettepanekus</w:t>
      </w:r>
      <w:r>
        <w:rPr>
          <w:rStyle w:val="FootnoteReference"/>
          <w:noProof/>
          <w:lang w:val="et-EE"/>
        </w:rPr>
        <w:footnoteReference w:id="18"/>
      </w:r>
      <w:r>
        <w:rPr>
          <w:noProof/>
          <w:lang w:val="et-EE"/>
        </w:rPr>
        <w:t xml:space="preserve"> soovitab komisjon hõlbustada vahendite kombineerimist veelgi.</w:t>
      </w:r>
      <w:r>
        <w:rPr>
          <w:noProof/>
          <w:szCs w:val="24"/>
          <w:lang w:val="et-EE"/>
        </w:rPr>
        <w:t xml:space="preserve"> </w:t>
      </w:r>
    </w:p>
    <w:p w:rsidR="00BE70D4" w:rsidRDefault="003A3835">
      <w:pPr>
        <w:pStyle w:val="Heading2"/>
        <w:rPr>
          <w:noProof/>
          <w:lang w:val="et-EE"/>
        </w:rPr>
      </w:pPr>
      <w:bookmarkStart w:id="25" w:name="_Toc486350740"/>
      <w:bookmarkStart w:id="26" w:name="_Toc486353202"/>
      <w:bookmarkStart w:id="27" w:name="_Toc486353203"/>
      <w:bookmarkStart w:id="28" w:name="_Toc493239197"/>
      <w:bookmarkStart w:id="29" w:name="_Toc493257121"/>
      <w:bookmarkEnd w:id="25"/>
      <w:bookmarkEnd w:id="26"/>
      <w:r>
        <w:rPr>
          <w:noProof/>
          <w:lang w:val="et-EE"/>
        </w:rPr>
        <w:t>ESITATUD TEABE ANALÜÜS</w:t>
      </w:r>
      <w:bookmarkEnd w:id="27"/>
      <w:bookmarkEnd w:id="28"/>
      <w:bookmarkEnd w:id="29"/>
    </w:p>
    <w:p w:rsidR="00BE70D4" w:rsidRDefault="003A3835">
      <w:pPr>
        <w:spacing w:before="100" w:beforeAutospacing="1" w:after="100" w:afterAutospacing="1"/>
        <w:jc w:val="both"/>
        <w:rPr>
          <w:noProof/>
          <w:szCs w:val="24"/>
          <w:lang w:val="et-EE"/>
        </w:rPr>
      </w:pPr>
      <w:r>
        <w:rPr>
          <w:noProof/>
          <w:lang w:val="et-EE"/>
        </w:rPr>
        <w:t>Nõukogule ja Euroopa Parlamendile finantsmääruse a</w:t>
      </w:r>
      <w:r>
        <w:rPr>
          <w:noProof/>
          <w:lang w:val="et-EE"/>
        </w:rPr>
        <w:t>rtikli 140 lõike 8 alusel rahastamisvahendite kohta esitatava teabega püütakse tagada läbipaistvus ja vastutus maksumaksjate raha kasutamisel. Lisatud komisjoni talituste töödokumendis on esitatud rikkalikult teavet konkreetsete vahendite kohta, pidades si</w:t>
      </w:r>
      <w:r>
        <w:rPr>
          <w:noProof/>
          <w:lang w:val="et-EE"/>
        </w:rPr>
        <w:t>lmas eelarvepädeva institutsiooni õigust omada täielikku ülevaadet ELi eelarve täitmisest rahastamisvahendite kaudu. Selle teabe põhjal on võimalik teha mõned üldised järeldused rahastamisvahendite eesmärkide saavutamise taseme kohta, eeskätt silmas pidade</w:t>
      </w:r>
      <w:r>
        <w:rPr>
          <w:noProof/>
          <w:lang w:val="et-EE"/>
        </w:rPr>
        <w:t>s nende rakendamise peamist põhjust, finantsvõimendust (eesmärk vähemaga rohkem ära teha).</w:t>
      </w:r>
      <w:r>
        <w:rPr>
          <w:noProof/>
          <w:szCs w:val="24"/>
          <w:lang w:val="et-EE"/>
        </w:rPr>
        <w:t xml:space="preserve"> </w:t>
      </w:r>
    </w:p>
    <w:p w:rsidR="00BE70D4" w:rsidRDefault="003A3835">
      <w:pPr>
        <w:spacing w:before="100" w:beforeAutospacing="1" w:after="100" w:afterAutospacing="1"/>
        <w:jc w:val="both"/>
        <w:rPr>
          <w:noProof/>
          <w:szCs w:val="24"/>
          <w:lang w:val="et-EE"/>
        </w:rPr>
      </w:pPr>
      <w:r>
        <w:rPr>
          <w:noProof/>
          <w:lang w:val="et-EE"/>
        </w:rPr>
        <w:t>Rahastamisvahendite rakendamise kohta olemas olevate tõendite puhul on seni silma hakanud see, et rahastamisvahendite kaudu on suunatud märkimisväärseid vahendeid r</w:t>
      </w:r>
      <w:r>
        <w:rPr>
          <w:noProof/>
          <w:lang w:val="et-EE"/>
        </w:rPr>
        <w:t>eaalmajanduse mitmesugustele lõplikele toetusesaajatele. Seega viitavad tõendid sellele, et rahastamisvahendid on tõhus viis reaalmajanduse rahastamisvajaduste täitmiseks – avaliku ja erasektori koostöös rakendatuna on rahastamisvahendid aidanud kõrvaldada</w:t>
      </w:r>
      <w:r>
        <w:rPr>
          <w:noProof/>
          <w:lang w:val="et-EE"/>
        </w:rPr>
        <w:t xml:space="preserve"> turutõrkeid välisrahastamise pakkumisel.</w:t>
      </w:r>
    </w:p>
    <w:p w:rsidR="00BE70D4" w:rsidRDefault="003A3835">
      <w:pPr>
        <w:spacing w:before="100" w:beforeAutospacing="1" w:after="100" w:afterAutospacing="1"/>
        <w:jc w:val="both"/>
        <w:rPr>
          <w:noProof/>
          <w:szCs w:val="24"/>
          <w:lang w:val="et-EE"/>
        </w:rPr>
      </w:pPr>
      <w:r>
        <w:rPr>
          <w:noProof/>
          <w:lang w:val="et-EE"/>
        </w:rPr>
        <w:t xml:space="preserve">Järgmistes punktides esitatud joonistel 1–8 on visuaalselt kujutatud rahastamisvahendite rakendamist, pidades silmas eelarvevahendeid, finantsvõimendust, rahastamist ja </w:t>
      </w:r>
      <w:r>
        <w:rPr>
          <w:noProof/>
          <w:lang w:val="et-EE"/>
        </w:rPr>
        <w:lastRenderedPageBreak/>
        <w:t>investeerimist reaalmajandusse 2007.–2013. ja</w:t>
      </w:r>
      <w:r>
        <w:rPr>
          <w:noProof/>
          <w:lang w:val="et-EE"/>
        </w:rPr>
        <w:t xml:space="preserve"> 2014.–2020. aasta mitmeaastases finantsraamistikus 31. detsembri 2016. aasta seisuga, kusjuures andmed on esitatud nii üldisel tasandil kui ka finantskategooriate lõikes (võla-, omakapitali- ja kombineeritud instrumendid).</w:t>
      </w:r>
    </w:p>
    <w:p w:rsidR="00BE70D4" w:rsidRDefault="003A3835">
      <w:pPr>
        <w:pStyle w:val="Heading3-a"/>
        <w:rPr>
          <w:noProof/>
          <w:lang w:val="et-EE"/>
        </w:rPr>
      </w:pPr>
      <w:bookmarkStart w:id="30" w:name="_Toc486353204"/>
      <w:bookmarkStart w:id="31" w:name="_Toc493239198"/>
      <w:bookmarkStart w:id="32" w:name="_Toc493257122"/>
      <w:r>
        <w:rPr>
          <w:noProof/>
          <w:lang w:val="et-EE"/>
        </w:rPr>
        <w:t>2007.–2013. aasta rahastamisvahe</w:t>
      </w:r>
      <w:r>
        <w:rPr>
          <w:noProof/>
          <w:lang w:val="et-EE"/>
        </w:rPr>
        <w:t>ndite finantsvõimendus</w:t>
      </w:r>
      <w:r>
        <w:rPr>
          <w:rStyle w:val="FootnoteReference"/>
          <w:noProof/>
          <w:lang w:val="et-EE"/>
        </w:rPr>
        <w:footnoteReference w:id="19"/>
      </w:r>
      <w:bookmarkEnd w:id="30"/>
      <w:bookmarkEnd w:id="31"/>
      <w:bookmarkEnd w:id="32"/>
    </w:p>
    <w:p w:rsidR="00BE70D4" w:rsidRDefault="003A3835">
      <w:pPr>
        <w:spacing w:before="100" w:beforeAutospacing="1" w:after="100" w:afterAutospacing="1"/>
        <w:jc w:val="both"/>
        <w:rPr>
          <w:noProof/>
          <w:szCs w:val="24"/>
          <w:lang w:val="et-EE"/>
        </w:rPr>
      </w:pPr>
      <w:r>
        <w:rPr>
          <w:noProof/>
          <w:lang w:val="et-EE"/>
        </w:rPr>
        <w:t>31. detsembriks 2016 oli 2007.–2013. aasta rahastamisvahenditele antud liidu rahalise toetusega, mis ulatus kokku peaaegu 5,7 miljardi euroni, toetatud rahastamist ligikaudu 81,7 miljardi euro ulatuses ja investeeringuid enam kui 13</w:t>
      </w:r>
      <w:r>
        <w:rPr>
          <w:noProof/>
          <w:lang w:val="et-EE"/>
        </w:rPr>
        <w:t xml:space="preserve">4 miljardi euro ulatuses, mis tõi kasu strateegilistele sihtrühmadele ja sektoritele ELi sise- ja välispoliitika valdkondades. Saavutatud finantsvõimenduse koondsuhtarv oli 14,4 (vt </w:t>
      </w:r>
      <w:r>
        <w:rPr>
          <w:noProof/>
          <w:u w:val="single"/>
          <w:lang w:val="et-EE"/>
        </w:rPr>
        <w:t>joonis 1</w:t>
      </w:r>
      <w:r>
        <w:rPr>
          <w:noProof/>
          <w:lang w:val="et-EE"/>
        </w:rPr>
        <w:t>).</w:t>
      </w:r>
      <w:r>
        <w:rPr>
          <w:noProof/>
          <w:szCs w:val="24"/>
          <w:lang w:val="et-EE"/>
        </w:rPr>
        <w:t xml:space="preserve"> </w:t>
      </w:r>
    </w:p>
    <w:p w:rsidR="00BE70D4" w:rsidRDefault="003A3835">
      <w:pPr>
        <w:pStyle w:val="Caption"/>
        <w:keepNext/>
        <w:rPr>
          <w:noProof/>
          <w:sz w:val="22"/>
          <w:szCs w:val="22"/>
          <w:lang w:val="et-EE"/>
        </w:rPr>
      </w:pPr>
      <w:r>
        <w:rPr>
          <w:noProof/>
          <w:sz w:val="22"/>
          <w:lang w:val="et-EE"/>
        </w:rPr>
        <w:t>Joonis 1. 2007.–2013. aasta rahastamisvahendid 31. detsembri 2</w:t>
      </w:r>
      <w:r>
        <w:rPr>
          <w:noProof/>
          <w:sz w:val="22"/>
          <w:lang w:val="et-EE"/>
        </w:rPr>
        <w:t>016. aasta seisuga (miljardites eurodes)</w:t>
      </w:r>
    </w:p>
    <w:p w:rsidR="00BE70D4" w:rsidRDefault="003A3835">
      <w:pPr>
        <w:rPr>
          <w:noProof/>
          <w:sz w:val="16"/>
          <w:szCs w:val="16"/>
          <w:lang w:val="et-EE"/>
        </w:rPr>
      </w:pPr>
      <w:r>
        <w:rPr>
          <w:noProof/>
          <w:lang w:val="et-EE" w:eastAsia="en-GB"/>
        </w:rPr>
        <w:t xml:space="preserve"> </w:t>
      </w:r>
      <w:r>
        <w:rPr>
          <w:noProof/>
          <w:lang w:eastAsia="en-GB"/>
        </w:rPr>
        <w:drawing>
          <wp:inline distT="0" distB="0" distL="0" distR="0">
            <wp:extent cx="5759450" cy="3698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698240"/>
                    </a:xfrm>
                    <a:prstGeom prst="rect">
                      <a:avLst/>
                    </a:prstGeom>
                    <a:noFill/>
                    <a:ln>
                      <a:noFill/>
                    </a:ln>
                  </pic:spPr>
                </pic:pic>
              </a:graphicData>
            </a:graphic>
          </wp:inline>
        </w:drawing>
      </w:r>
    </w:p>
    <w:p w:rsidR="00BE70D4" w:rsidRDefault="003A3835">
      <w:pPr>
        <w:rPr>
          <w:noProof/>
          <w:sz w:val="16"/>
          <w:szCs w:val="16"/>
          <w:lang w:val="et-EE"/>
        </w:rPr>
      </w:pPr>
      <w:r>
        <w:rPr>
          <w:noProof/>
          <w:sz w:val="16"/>
          <w:lang w:val="et-EE"/>
        </w:rPr>
        <w:t>Arvestatud vahendid: SMEG07, EPMF-G, RSI, RSFF, FCP-FIS, EDIF GF 1, EFSE, RSL – Türgi, GIF (CIP), Marguerite’i fond, EDIFi alla kuuluv ENEF, EDIFi alla kuuluv ENIF, toetus FEMIPile, GEEREF, EEEF, GGF, NIF, IFCA j</w:t>
      </w:r>
      <w:r>
        <w:rPr>
          <w:noProof/>
          <w:sz w:val="16"/>
          <w:lang w:val="et-EE"/>
        </w:rPr>
        <w:t>a AIF, LAIF.</w:t>
      </w:r>
    </w:p>
    <w:p w:rsidR="00BE70D4" w:rsidRDefault="00BE70D4">
      <w:pPr>
        <w:pStyle w:val="Caption"/>
        <w:keepNext/>
        <w:jc w:val="both"/>
        <w:rPr>
          <w:noProof/>
          <w:lang w:val="et-EE"/>
        </w:rPr>
      </w:pPr>
    </w:p>
    <w:p w:rsidR="00BE70D4" w:rsidRDefault="003A3835">
      <w:pPr>
        <w:rPr>
          <w:noProof/>
          <w:lang w:val="et-EE"/>
        </w:rPr>
      </w:pPr>
      <w:r>
        <w:rPr>
          <w:noProof/>
          <w:u w:val="single"/>
          <w:lang w:val="et-EE"/>
        </w:rPr>
        <w:t>Joonistel 2–4</w:t>
      </w:r>
      <w:r>
        <w:rPr>
          <w:noProof/>
          <w:lang w:val="et-EE"/>
        </w:rPr>
        <w:t xml:space="preserve"> on esitatud andmed 2007.–2013. aasta rahastamisvahendite kohta </w:t>
      </w:r>
      <w:r>
        <w:rPr>
          <w:noProof/>
          <w:u w:val="single"/>
          <w:lang w:val="et-EE"/>
        </w:rPr>
        <w:t>vahendite liikide lõikes</w:t>
      </w:r>
      <w:r>
        <w:rPr>
          <w:noProof/>
          <w:lang w:val="et-EE"/>
        </w:rPr>
        <w:t>.</w:t>
      </w:r>
    </w:p>
    <w:p w:rsidR="00BE70D4" w:rsidRDefault="00BE70D4">
      <w:pPr>
        <w:rPr>
          <w:noProof/>
          <w:lang w:val="et-EE"/>
        </w:rPr>
      </w:pPr>
    </w:p>
    <w:p w:rsidR="00BE70D4" w:rsidRDefault="003A3835">
      <w:pPr>
        <w:pStyle w:val="Caption"/>
        <w:keepNext/>
        <w:jc w:val="both"/>
        <w:rPr>
          <w:noProof/>
          <w:sz w:val="22"/>
          <w:szCs w:val="22"/>
          <w:lang w:val="et-EE"/>
        </w:rPr>
      </w:pPr>
      <w:r>
        <w:rPr>
          <w:noProof/>
          <w:sz w:val="22"/>
          <w:lang w:val="et-EE"/>
        </w:rPr>
        <w:t>Joonis 2. 2007.–2013. aasta võlainstrumendid 31. detsembri 2016. aasta seisuga (miljardites eurodes)</w:t>
      </w:r>
    </w:p>
    <w:p w:rsidR="00BE70D4" w:rsidRDefault="003A3835">
      <w:pPr>
        <w:rPr>
          <w:noProof/>
          <w:sz w:val="16"/>
          <w:szCs w:val="16"/>
          <w:lang w:val="et-EE"/>
        </w:rPr>
      </w:pPr>
      <w:r>
        <w:rPr>
          <w:noProof/>
          <w:lang w:eastAsia="en-GB"/>
        </w:rPr>
        <w:drawing>
          <wp:inline distT="0" distB="0" distL="0" distR="0">
            <wp:extent cx="4581525" cy="2895600"/>
            <wp:effectExtent l="0" t="0" r="9525" b="19050"/>
            <wp:docPr id="2" name="Chart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Pr>
          <w:noProof/>
          <w:lang w:val="et-EE" w:eastAsia="en-GB"/>
        </w:rPr>
        <w:t xml:space="preserve"> </w:t>
      </w:r>
    </w:p>
    <w:p w:rsidR="00BE70D4" w:rsidRDefault="003A3835">
      <w:pPr>
        <w:rPr>
          <w:noProof/>
          <w:sz w:val="16"/>
          <w:szCs w:val="16"/>
          <w:lang w:val="et-EE"/>
        </w:rPr>
      </w:pPr>
      <w:r>
        <w:rPr>
          <w:noProof/>
          <w:sz w:val="16"/>
          <w:lang w:val="et-EE"/>
        </w:rPr>
        <w:t>Arvestatud vahendid: SMEG07, EPMF-</w:t>
      </w:r>
      <w:r>
        <w:rPr>
          <w:noProof/>
          <w:sz w:val="16"/>
          <w:lang w:val="et-EE"/>
        </w:rPr>
        <w:t>G, RSI, RSFF, FCP-FIS, EDIF GF 1, EFSE, RSL – Türgi.</w:t>
      </w:r>
    </w:p>
    <w:p w:rsidR="00BE70D4" w:rsidRDefault="00BE70D4">
      <w:pPr>
        <w:rPr>
          <w:noProof/>
          <w:sz w:val="20"/>
          <w:szCs w:val="24"/>
          <w:lang w:val="et-EE"/>
        </w:rPr>
      </w:pPr>
    </w:p>
    <w:p w:rsidR="00BE70D4" w:rsidRDefault="003A3835">
      <w:pPr>
        <w:pStyle w:val="Caption"/>
        <w:keepNext/>
        <w:rPr>
          <w:noProof/>
          <w:sz w:val="22"/>
          <w:szCs w:val="22"/>
          <w:lang w:val="et-EE"/>
        </w:rPr>
      </w:pPr>
      <w:r>
        <w:rPr>
          <w:noProof/>
          <w:sz w:val="22"/>
          <w:lang w:val="et-EE"/>
        </w:rPr>
        <w:t>Joonis 3.</w:t>
      </w:r>
      <w:r>
        <w:rPr>
          <w:b w:val="0"/>
          <w:noProof/>
          <w:sz w:val="22"/>
          <w:lang w:val="et-EE"/>
        </w:rPr>
        <w:t xml:space="preserve"> </w:t>
      </w:r>
      <w:r>
        <w:rPr>
          <w:noProof/>
          <w:sz w:val="22"/>
          <w:lang w:val="et-EE"/>
        </w:rPr>
        <w:t>2007.–2013. aasta omakapitaliinstrumendid 31. detsembri 2016. aasta seisuga (miljardites eurodes)</w:t>
      </w:r>
    </w:p>
    <w:p w:rsidR="00BE70D4" w:rsidRDefault="003A3835">
      <w:pPr>
        <w:rPr>
          <w:noProof/>
          <w:sz w:val="16"/>
          <w:szCs w:val="16"/>
          <w:lang w:val="et-EE"/>
        </w:rPr>
      </w:pPr>
      <w:r>
        <w:rPr>
          <w:noProof/>
          <w:lang w:val="et-EE" w:eastAsia="en-GB"/>
        </w:rPr>
        <w:t xml:space="preserve"> </w:t>
      </w:r>
      <w:r>
        <w:rPr>
          <w:noProof/>
          <w:lang w:eastAsia="en-GB"/>
        </w:rPr>
        <w:drawing>
          <wp:inline distT="0" distB="0" distL="0" distR="0">
            <wp:extent cx="4543425" cy="3295650"/>
            <wp:effectExtent l="0" t="0" r="9525" b="19050"/>
            <wp:docPr id="12" name="Chart 1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noProof/>
          <w:lang w:val="et-EE" w:eastAsia="en-GB"/>
        </w:rPr>
        <w:t xml:space="preserve"> </w:t>
      </w:r>
    </w:p>
    <w:p w:rsidR="00BE70D4" w:rsidRDefault="003A3835">
      <w:pPr>
        <w:rPr>
          <w:noProof/>
          <w:sz w:val="16"/>
          <w:szCs w:val="16"/>
          <w:lang w:val="et-EE"/>
        </w:rPr>
      </w:pPr>
      <w:r>
        <w:rPr>
          <w:noProof/>
          <w:sz w:val="16"/>
          <w:lang w:val="et-EE"/>
        </w:rPr>
        <w:t xml:space="preserve">Arvestatud vahendid: GIF (CIP), Marguerite’i fond, EDIFi alla kuuluv ENEF, EDIFi alla </w:t>
      </w:r>
      <w:r>
        <w:rPr>
          <w:noProof/>
          <w:sz w:val="16"/>
          <w:lang w:val="et-EE"/>
        </w:rPr>
        <w:t>kuuluv ENIF, toetus FEMIPile, GEEREF.</w:t>
      </w:r>
    </w:p>
    <w:p w:rsidR="00BE70D4" w:rsidRDefault="00BE70D4">
      <w:pPr>
        <w:rPr>
          <w:noProof/>
          <w:lang w:val="et-EE"/>
        </w:rPr>
      </w:pPr>
    </w:p>
    <w:p w:rsidR="00BE70D4" w:rsidRDefault="003A3835">
      <w:pPr>
        <w:pStyle w:val="Caption"/>
        <w:keepNext/>
        <w:rPr>
          <w:noProof/>
          <w:sz w:val="22"/>
          <w:szCs w:val="22"/>
          <w:lang w:val="et-EE"/>
        </w:rPr>
      </w:pPr>
      <w:r>
        <w:rPr>
          <w:noProof/>
          <w:sz w:val="22"/>
          <w:lang w:val="et-EE"/>
        </w:rPr>
        <w:lastRenderedPageBreak/>
        <w:t>Joonis 4.</w:t>
      </w:r>
      <w:r>
        <w:rPr>
          <w:b w:val="0"/>
          <w:noProof/>
          <w:sz w:val="22"/>
          <w:lang w:val="et-EE"/>
        </w:rPr>
        <w:t xml:space="preserve"> </w:t>
      </w:r>
      <w:r>
        <w:rPr>
          <w:noProof/>
          <w:sz w:val="22"/>
          <w:lang w:val="et-EE"/>
        </w:rPr>
        <w:t>2007.–2013. aasta kombineeritud (võla- ja omakapitali-) instrumendid 31. detsembri 2016. aasta seisuga (miljardites eurodes)</w:t>
      </w:r>
    </w:p>
    <w:p w:rsidR="00BE70D4" w:rsidRDefault="003A3835">
      <w:pPr>
        <w:rPr>
          <w:noProof/>
          <w:sz w:val="16"/>
          <w:szCs w:val="16"/>
          <w:lang w:val="et-EE"/>
        </w:rPr>
      </w:pPr>
      <w:r>
        <w:rPr>
          <w:noProof/>
          <w:lang w:val="et-EE" w:eastAsia="en-GB"/>
        </w:rPr>
        <w:t xml:space="preserve"> </w:t>
      </w:r>
      <w:r>
        <w:rPr>
          <w:noProof/>
          <w:lang w:eastAsia="en-GB"/>
        </w:rPr>
        <w:drawing>
          <wp:inline distT="0" distB="0" distL="0" distR="0">
            <wp:extent cx="5760720" cy="3030411"/>
            <wp:effectExtent l="0" t="0" r="11430" b="17780"/>
            <wp:docPr id="14" name="Chart 1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noProof/>
          <w:sz w:val="16"/>
          <w:lang w:val="et-EE"/>
        </w:rPr>
        <w:t>Arvestatud vahendid: EEEF, GGF, NIF, IFCA ja AIF, LAIF.</w:t>
      </w:r>
    </w:p>
    <w:p w:rsidR="00BE70D4" w:rsidRDefault="003A3835">
      <w:pPr>
        <w:pStyle w:val="Heading3-a"/>
        <w:rPr>
          <w:noProof/>
          <w:lang w:val="et-EE"/>
        </w:rPr>
      </w:pPr>
      <w:bookmarkStart w:id="33" w:name="_Toc486353205"/>
      <w:bookmarkStart w:id="34" w:name="_Toc493239199"/>
      <w:bookmarkStart w:id="35" w:name="_Toc493257123"/>
      <w:r>
        <w:rPr>
          <w:noProof/>
          <w:lang w:val="et-EE"/>
        </w:rPr>
        <w:t>2014.–2020. aasta rahast</w:t>
      </w:r>
      <w:r>
        <w:rPr>
          <w:noProof/>
          <w:lang w:val="et-EE"/>
        </w:rPr>
        <w:t>amisvahendite finantsvõimendus</w:t>
      </w:r>
      <w:r>
        <w:rPr>
          <w:rStyle w:val="FootnoteReference"/>
          <w:noProof/>
          <w:lang w:val="et-EE"/>
        </w:rPr>
        <w:footnoteReference w:id="20"/>
      </w:r>
      <w:bookmarkEnd w:id="33"/>
      <w:bookmarkEnd w:id="34"/>
      <w:bookmarkEnd w:id="35"/>
    </w:p>
    <w:p w:rsidR="00BE70D4" w:rsidRDefault="003A3835">
      <w:pPr>
        <w:spacing w:before="100" w:beforeAutospacing="1" w:after="100" w:afterAutospacing="1"/>
        <w:jc w:val="both"/>
        <w:rPr>
          <w:noProof/>
          <w:szCs w:val="24"/>
          <w:lang w:val="et-EE"/>
        </w:rPr>
      </w:pPr>
      <w:r>
        <w:rPr>
          <w:noProof/>
          <w:lang w:val="et-EE"/>
        </w:rPr>
        <w:t>2014.–2020. aastal suunatakse peaaegu 9 miljardi euro ulatuses eelarvevahendeid</w:t>
      </w:r>
      <w:r>
        <w:rPr>
          <w:rStyle w:val="FootnoteReference"/>
          <w:noProof/>
          <w:lang w:val="et-EE"/>
        </w:rPr>
        <w:footnoteReference w:id="21"/>
      </w:r>
      <w:r>
        <w:rPr>
          <w:noProof/>
          <w:lang w:val="et-EE"/>
        </w:rPr>
        <w:t xml:space="preserve"> selleks, et toetada rahastamist enam kui 88 miljardi euro ulatuses, mis tähendab seda, et keskmine finantsvõimenduse suhtarv on peaaegu 10 ja i</w:t>
      </w:r>
      <w:r>
        <w:rPr>
          <w:noProof/>
          <w:lang w:val="et-EE"/>
        </w:rPr>
        <w:t xml:space="preserve">nvesteeringuid tehakse 116,2 miljardi euro väärtuses (vt </w:t>
      </w:r>
      <w:r>
        <w:rPr>
          <w:noProof/>
          <w:u w:val="single"/>
          <w:lang w:val="et-EE"/>
        </w:rPr>
        <w:t>joonis 5</w:t>
      </w:r>
      <w:r>
        <w:rPr>
          <w:noProof/>
          <w:lang w:val="et-EE"/>
        </w:rPr>
        <w:t>). Nagu on märgitud eelmises aruandes, kajastab võrreldes 2007.–2013. aasta rahastamisvahenditega madalam keskmine finantsvõimenduse suhtarv asjaolu, et 2014.–2020. aasta rahastamisvahendid h</w:t>
      </w:r>
      <w:r>
        <w:rPr>
          <w:noProof/>
          <w:lang w:val="et-EE"/>
        </w:rPr>
        <w:t xml:space="preserve">õlmavad liidu toetuse lisaväärtuse suurendamiseks vahendeid, mis on seotud suuremate riskidega kui tavapärased 2007.–2013. aasta rahastamisvahendid. Märkida tuleks ka seda, et 2007.–2013. aasta vahendite puhul teatatud finantsvõimendus on </w:t>
      </w:r>
      <w:r>
        <w:rPr>
          <w:i/>
          <w:noProof/>
          <w:lang w:val="et-EE"/>
        </w:rPr>
        <w:t>tegelik</w:t>
      </w:r>
      <w:r>
        <w:rPr>
          <w:noProof/>
          <w:lang w:val="et-EE"/>
        </w:rPr>
        <w:t xml:space="preserve"> saavutatu</w:t>
      </w:r>
      <w:r>
        <w:rPr>
          <w:noProof/>
          <w:lang w:val="et-EE"/>
        </w:rPr>
        <w:t xml:space="preserve">d finantsvõimendus, samal ajal kui 2014.–2020. aasta vahendite puhul teatatud finantsvõimendus on </w:t>
      </w:r>
      <w:r>
        <w:rPr>
          <w:i/>
          <w:noProof/>
          <w:lang w:val="et-EE"/>
        </w:rPr>
        <w:t>soovitav</w:t>
      </w:r>
      <w:r>
        <w:rPr>
          <w:noProof/>
          <w:lang w:val="et-EE"/>
        </w:rPr>
        <w:t xml:space="preserve"> finantsvõimendus</w:t>
      </w:r>
      <w:r>
        <w:rPr>
          <w:rStyle w:val="FootnoteReference"/>
          <w:noProof/>
          <w:lang w:val="et-EE"/>
        </w:rPr>
        <w:footnoteReference w:id="22"/>
      </w:r>
      <w:r>
        <w:rPr>
          <w:noProof/>
          <w:lang w:val="et-EE"/>
        </w:rPr>
        <w:t xml:space="preserve">. Liit toetab 31. detsembriks 2016 eraldatud 4,9 miljardi euroga eeldatavasti umbes 57 miljardi euro </w:t>
      </w:r>
      <w:r>
        <w:rPr>
          <w:noProof/>
          <w:lang w:val="et-EE"/>
        </w:rPr>
        <w:lastRenderedPageBreak/>
        <w:t>suurust kavandatud rahastamisma</w:t>
      </w:r>
      <w:r>
        <w:rPr>
          <w:noProof/>
          <w:lang w:val="et-EE"/>
        </w:rPr>
        <w:t>htu, mis tähendab, et eeldatav finantsvõimenduse suhtarv on ligikaudu 11,5 ja eeldatav kavandatud investeerimismaht on 85 miljardit eurot</w:t>
      </w:r>
      <w:r>
        <w:rPr>
          <w:rStyle w:val="FootnoteReference"/>
          <w:noProof/>
          <w:lang w:val="et-EE"/>
        </w:rPr>
        <w:footnoteReference w:id="23"/>
      </w:r>
      <w:r>
        <w:rPr>
          <w:noProof/>
          <w:lang w:val="et-EE"/>
        </w:rPr>
        <w:t>.</w:t>
      </w:r>
    </w:p>
    <w:p w:rsidR="00BE70D4" w:rsidRDefault="003A3835">
      <w:pPr>
        <w:pStyle w:val="Caption"/>
        <w:keepNext/>
        <w:rPr>
          <w:noProof/>
          <w:sz w:val="22"/>
          <w:szCs w:val="22"/>
          <w:lang w:val="et-EE"/>
        </w:rPr>
      </w:pPr>
      <w:r>
        <w:rPr>
          <w:noProof/>
          <w:sz w:val="22"/>
          <w:lang w:val="et-EE"/>
        </w:rPr>
        <w:t>Joonis 5.</w:t>
      </w:r>
      <w:r>
        <w:rPr>
          <w:b w:val="0"/>
          <w:noProof/>
          <w:sz w:val="22"/>
          <w:lang w:val="et-EE"/>
        </w:rPr>
        <w:t xml:space="preserve"> </w:t>
      </w:r>
      <w:r>
        <w:rPr>
          <w:noProof/>
          <w:sz w:val="22"/>
          <w:lang w:val="et-EE"/>
        </w:rPr>
        <w:t>2014.–2020. aasta rahastamisvahendid 31. detsembri 2016. aasta seisuga (miljardites eurodes)</w:t>
      </w:r>
    </w:p>
    <w:p w:rsidR="00BE70D4" w:rsidRDefault="003A3835">
      <w:pPr>
        <w:rPr>
          <w:noProof/>
          <w:sz w:val="16"/>
          <w:szCs w:val="16"/>
          <w:lang w:val="et-EE"/>
        </w:rPr>
      </w:pPr>
      <w:r>
        <w:rPr>
          <w:noProof/>
          <w:lang w:eastAsia="en-GB"/>
        </w:rPr>
        <w:drawing>
          <wp:inline distT="0" distB="0" distL="0" distR="0">
            <wp:extent cx="5467350" cy="3848100"/>
            <wp:effectExtent l="0" t="0" r="19050" b="19050"/>
            <wp:docPr id="15" name="Chart 1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BE70D4" w:rsidRDefault="003A3835">
      <w:pPr>
        <w:rPr>
          <w:noProof/>
          <w:sz w:val="16"/>
          <w:szCs w:val="16"/>
          <w:lang w:val="et-EE"/>
        </w:rPr>
      </w:pPr>
      <w:r>
        <w:rPr>
          <w:noProof/>
          <w:sz w:val="16"/>
          <w:lang w:val="et-EE"/>
        </w:rPr>
        <w:t xml:space="preserve">Arvestatud </w:t>
      </w:r>
      <w:r>
        <w:rPr>
          <w:noProof/>
          <w:sz w:val="16"/>
          <w:lang w:val="et-EE"/>
        </w:rPr>
        <w:t>vahendid: COSME LGF, ELi VKEde algatus (</w:t>
      </w:r>
      <w:r>
        <w:rPr>
          <w:noProof/>
          <w:sz w:val="18"/>
          <w:lang w:val="et-EE"/>
        </w:rPr>
        <w:t>näitaja hõlmab üksnes ERFi panust),</w:t>
      </w:r>
      <w:r>
        <w:rPr>
          <w:noProof/>
          <w:sz w:val="16"/>
          <w:lang w:val="et-EE"/>
        </w:rPr>
        <w:t xml:space="preserve"> EaSI, InnovFini VKEde tagatissüsteem, kultuuri- ja loomesektori tagatisvahend, SLGF, PF4EE, InnovFin – ulatuslikud projektid, CEF DI, RSDI, II tagatisrahastu, EFG, CEFi omakapitali</w:t>
      </w:r>
      <w:r>
        <w:rPr>
          <w:noProof/>
          <w:sz w:val="16"/>
          <w:lang w:val="et-EE"/>
        </w:rPr>
        <w:t>instrument, InnovFini omakapitalirahastu, NCFF, segarahastamine.</w:t>
      </w:r>
    </w:p>
    <w:p w:rsidR="00BE70D4" w:rsidRDefault="003A3835">
      <w:pPr>
        <w:rPr>
          <w:noProof/>
          <w:sz w:val="16"/>
          <w:szCs w:val="16"/>
          <w:lang w:val="et-EE"/>
        </w:rPr>
      </w:pPr>
      <w:r>
        <w:rPr>
          <w:noProof/>
          <w:sz w:val="16"/>
          <w:lang w:val="et-EE"/>
        </w:rPr>
        <w:t>Arvesse on võetud on esialgsete eelarvevahendite ning nendele vastavate rahastamis- ja investeerimismahtude ajakohastamist.</w:t>
      </w:r>
    </w:p>
    <w:p w:rsidR="00BE70D4" w:rsidRDefault="003A3835">
      <w:pPr>
        <w:spacing w:before="0" w:after="240"/>
        <w:jc w:val="both"/>
        <w:rPr>
          <w:noProof/>
          <w:lang w:val="et-EE"/>
        </w:rPr>
      </w:pPr>
      <w:r>
        <w:rPr>
          <w:noProof/>
          <w:u w:val="single"/>
          <w:lang w:val="et-EE"/>
        </w:rPr>
        <w:t>Joonistel 6–8</w:t>
      </w:r>
      <w:r>
        <w:rPr>
          <w:noProof/>
          <w:lang w:val="et-EE"/>
        </w:rPr>
        <w:t xml:space="preserve"> on esitatud andmed 2014.–2020. aasta rahastamisvahend</w:t>
      </w:r>
      <w:r>
        <w:rPr>
          <w:noProof/>
          <w:lang w:val="et-EE"/>
        </w:rPr>
        <w:t xml:space="preserve">ite kohta </w:t>
      </w:r>
      <w:r>
        <w:rPr>
          <w:noProof/>
          <w:u w:val="single"/>
          <w:lang w:val="et-EE"/>
        </w:rPr>
        <w:t>vahendite liikide lõikes</w:t>
      </w:r>
      <w:r>
        <w:rPr>
          <w:noProof/>
          <w:lang w:val="et-EE"/>
        </w:rPr>
        <w:t>.</w:t>
      </w:r>
    </w:p>
    <w:p w:rsidR="00BE70D4" w:rsidRDefault="003A3835">
      <w:pPr>
        <w:pStyle w:val="Caption"/>
        <w:keepNext/>
        <w:jc w:val="both"/>
        <w:rPr>
          <w:noProof/>
          <w:sz w:val="22"/>
          <w:szCs w:val="22"/>
          <w:lang w:val="et-EE"/>
        </w:rPr>
      </w:pPr>
      <w:r>
        <w:rPr>
          <w:noProof/>
          <w:sz w:val="22"/>
          <w:lang w:val="et-EE"/>
        </w:rPr>
        <w:lastRenderedPageBreak/>
        <w:t>Joonis 6. 2014.–2020. aasta võlainstrumendid 31. detsembri 2016. aasta seisuga (miljardites eurodes)</w:t>
      </w:r>
    </w:p>
    <w:p w:rsidR="00BE70D4" w:rsidRDefault="003A3835">
      <w:pPr>
        <w:rPr>
          <w:noProof/>
          <w:sz w:val="16"/>
          <w:szCs w:val="16"/>
          <w:lang w:val="et-EE"/>
        </w:rPr>
      </w:pPr>
      <w:r>
        <w:rPr>
          <w:noProof/>
          <w:lang w:eastAsia="en-GB"/>
        </w:rPr>
        <w:drawing>
          <wp:inline distT="0" distB="0" distL="0" distR="0">
            <wp:extent cx="5586942" cy="3419475"/>
            <wp:effectExtent l="0" t="0" r="13970" b="9525"/>
            <wp:docPr id="16" name="Chart 1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BE70D4" w:rsidRDefault="003A3835">
      <w:pPr>
        <w:rPr>
          <w:noProof/>
          <w:sz w:val="16"/>
          <w:szCs w:val="16"/>
          <w:lang w:val="et-EE"/>
        </w:rPr>
      </w:pPr>
      <w:r>
        <w:rPr>
          <w:noProof/>
          <w:sz w:val="16"/>
          <w:lang w:val="et-EE"/>
        </w:rPr>
        <w:t>Arvestatud vahendid: COSME LGF, ELi VKEde algatus (</w:t>
      </w:r>
      <w:r>
        <w:rPr>
          <w:noProof/>
          <w:sz w:val="18"/>
          <w:lang w:val="et-EE"/>
        </w:rPr>
        <w:t xml:space="preserve">näitaja hõlmab üksnes ERFi panust), EaSI, InnovFini VKEde </w:t>
      </w:r>
      <w:r>
        <w:rPr>
          <w:noProof/>
          <w:sz w:val="18"/>
          <w:lang w:val="et-EE"/>
        </w:rPr>
        <w:t>tagatissüsteem, kultuuri- ja loomesektori tagatisvahend, SLGF, PF4EE, InnovFin – ulatuslikud projektid, CEF DI, RSDI.</w:t>
      </w:r>
    </w:p>
    <w:p w:rsidR="00BE70D4" w:rsidRDefault="003A3835">
      <w:pPr>
        <w:rPr>
          <w:noProof/>
          <w:lang w:val="et-EE"/>
        </w:rPr>
      </w:pPr>
      <w:r>
        <w:rPr>
          <w:noProof/>
          <w:sz w:val="16"/>
          <w:lang w:val="et-EE"/>
        </w:rPr>
        <w:t>Arvesse on võetud esialgsete eelarvevahendite ning nendele vastavate rahastamis- ja investeerimismahtude ajakohastamist.</w:t>
      </w:r>
    </w:p>
    <w:p w:rsidR="00BE70D4" w:rsidRDefault="003A3835">
      <w:pPr>
        <w:pStyle w:val="Caption"/>
        <w:keepNext/>
        <w:rPr>
          <w:noProof/>
          <w:sz w:val="22"/>
          <w:szCs w:val="22"/>
          <w:lang w:val="et-EE"/>
        </w:rPr>
      </w:pPr>
      <w:r>
        <w:rPr>
          <w:noProof/>
          <w:sz w:val="22"/>
          <w:lang w:val="et-EE"/>
        </w:rPr>
        <w:t>Joonis 7.</w:t>
      </w:r>
      <w:r>
        <w:rPr>
          <w:b w:val="0"/>
          <w:noProof/>
          <w:sz w:val="22"/>
          <w:lang w:val="et-EE"/>
        </w:rPr>
        <w:t xml:space="preserve"> </w:t>
      </w:r>
      <w:r>
        <w:rPr>
          <w:noProof/>
          <w:sz w:val="22"/>
          <w:lang w:val="et-EE"/>
        </w:rPr>
        <w:t>2014.–2</w:t>
      </w:r>
      <w:r>
        <w:rPr>
          <w:noProof/>
          <w:sz w:val="22"/>
          <w:lang w:val="et-EE"/>
        </w:rPr>
        <w:t>020. aasta omakapitaliinstrumendid 31. detsembri 2016. aasta seisuga (miljardites eurodes)</w:t>
      </w:r>
    </w:p>
    <w:p w:rsidR="00BE70D4" w:rsidRDefault="003A3835">
      <w:pPr>
        <w:rPr>
          <w:noProof/>
          <w:sz w:val="16"/>
          <w:szCs w:val="16"/>
          <w:lang w:val="et-EE"/>
        </w:rPr>
      </w:pPr>
      <w:r>
        <w:rPr>
          <w:noProof/>
          <w:sz w:val="16"/>
          <w:szCs w:val="16"/>
          <w:lang w:val="et-EE"/>
        </w:rPr>
        <w:t xml:space="preserve"> </w:t>
      </w:r>
      <w:r>
        <w:rPr>
          <w:noProof/>
          <w:lang w:eastAsia="en-GB"/>
        </w:rPr>
        <w:drawing>
          <wp:inline distT="0" distB="0" distL="0" distR="0">
            <wp:extent cx="5586942" cy="3419475"/>
            <wp:effectExtent l="0" t="0" r="13970" b="9525"/>
            <wp:docPr id="18" name="Chart 1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E70D4" w:rsidRDefault="003A3835">
      <w:pPr>
        <w:rPr>
          <w:noProof/>
          <w:sz w:val="16"/>
          <w:szCs w:val="16"/>
          <w:lang w:val="et-EE"/>
        </w:rPr>
      </w:pPr>
      <w:r>
        <w:rPr>
          <w:noProof/>
          <w:sz w:val="16"/>
          <w:lang w:val="et-EE"/>
        </w:rPr>
        <w:t>Arvestatud vahendid: EFG, CEFi omakapitaliinstrument, InnovFini omakapitalirahastu.</w:t>
      </w:r>
    </w:p>
    <w:p w:rsidR="00BE70D4" w:rsidRDefault="003A3835">
      <w:pPr>
        <w:rPr>
          <w:noProof/>
          <w:sz w:val="16"/>
          <w:szCs w:val="16"/>
          <w:lang w:val="et-EE"/>
        </w:rPr>
      </w:pPr>
      <w:r>
        <w:rPr>
          <w:noProof/>
          <w:sz w:val="16"/>
          <w:lang w:val="et-EE"/>
        </w:rPr>
        <w:t>Arvesse on võetud on esialgsete eelarvevahendite ning nendele vastavate rahast</w:t>
      </w:r>
      <w:r>
        <w:rPr>
          <w:noProof/>
          <w:sz w:val="16"/>
          <w:lang w:val="et-EE"/>
        </w:rPr>
        <w:t>amis- ja investeerimismahtude ajakohastamist.</w:t>
      </w:r>
    </w:p>
    <w:p w:rsidR="00BE70D4" w:rsidRDefault="00BE70D4">
      <w:pPr>
        <w:rPr>
          <w:noProof/>
          <w:sz w:val="16"/>
          <w:szCs w:val="16"/>
          <w:lang w:val="et-EE"/>
        </w:rPr>
      </w:pPr>
    </w:p>
    <w:p w:rsidR="00BE70D4" w:rsidRDefault="003A3835">
      <w:pPr>
        <w:pStyle w:val="Caption"/>
        <w:keepNext/>
        <w:rPr>
          <w:noProof/>
          <w:sz w:val="22"/>
          <w:szCs w:val="22"/>
          <w:lang w:val="et-EE"/>
        </w:rPr>
      </w:pPr>
      <w:r>
        <w:rPr>
          <w:noProof/>
          <w:sz w:val="22"/>
          <w:lang w:val="et-EE"/>
        </w:rPr>
        <w:lastRenderedPageBreak/>
        <w:t>Joonis 8. 2014.–2020. aasta kombineeritud (võla- ja omakapitali-) instrumendid 31. detsembri 2016. aasta seisuga (miljardites eurodes)</w:t>
      </w:r>
    </w:p>
    <w:p w:rsidR="00BE70D4" w:rsidRDefault="003A3835">
      <w:pPr>
        <w:rPr>
          <w:noProof/>
          <w:lang w:val="et-EE"/>
        </w:rPr>
      </w:pPr>
      <w:r>
        <w:rPr>
          <w:noProof/>
          <w:lang w:eastAsia="en-GB"/>
        </w:rPr>
        <w:drawing>
          <wp:inline distT="0" distB="0" distL="0" distR="0">
            <wp:extent cx="5577417" cy="3419475"/>
            <wp:effectExtent l="0" t="0" r="23495" b="9525"/>
            <wp:docPr id="20" name="Chart 2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noProof/>
          <w:lang w:val="et-EE" w:eastAsia="en-GB"/>
        </w:rPr>
        <w:t xml:space="preserve"> </w:t>
      </w:r>
    </w:p>
    <w:p w:rsidR="00BE70D4" w:rsidRDefault="003A3835">
      <w:pPr>
        <w:rPr>
          <w:noProof/>
          <w:sz w:val="16"/>
          <w:szCs w:val="16"/>
          <w:lang w:val="et-EE"/>
        </w:rPr>
      </w:pPr>
      <w:r>
        <w:rPr>
          <w:noProof/>
          <w:sz w:val="16"/>
          <w:lang w:val="et-EE"/>
        </w:rPr>
        <w:t>Arvestatud vahendid: NCFF, segarahastamine temaatilistest rahastamisvah</w:t>
      </w:r>
      <w:r>
        <w:rPr>
          <w:noProof/>
          <w:sz w:val="16"/>
          <w:lang w:val="et-EE"/>
        </w:rPr>
        <w:t>enditest.</w:t>
      </w:r>
    </w:p>
    <w:p w:rsidR="00BE70D4" w:rsidRDefault="003A3835">
      <w:pPr>
        <w:rPr>
          <w:noProof/>
          <w:sz w:val="16"/>
          <w:szCs w:val="16"/>
          <w:lang w:val="et-EE"/>
        </w:rPr>
      </w:pPr>
      <w:r>
        <w:rPr>
          <w:noProof/>
          <w:sz w:val="16"/>
          <w:lang w:val="et-EE"/>
        </w:rPr>
        <w:t>Arvesse on võetud esialgsete eelarvevahendite ning nendele vastavate rahastamis- ja investeerimismahtude ajakohastamist.</w:t>
      </w:r>
    </w:p>
    <w:p w:rsidR="00BE70D4" w:rsidRDefault="003A3835">
      <w:pPr>
        <w:spacing w:before="0" w:after="0" w:line="240" w:lineRule="auto"/>
        <w:rPr>
          <w:noProof/>
          <w:szCs w:val="24"/>
          <w:lang w:val="et-EE"/>
        </w:rPr>
      </w:pPr>
      <w:r>
        <w:rPr>
          <w:noProof/>
          <w:szCs w:val="24"/>
          <w:lang w:val="et-EE"/>
        </w:rPr>
        <w:br w:type="page"/>
      </w:r>
    </w:p>
    <w:p w:rsidR="00BE70D4" w:rsidRDefault="003A3835">
      <w:pPr>
        <w:pStyle w:val="Heading3-a"/>
        <w:rPr>
          <w:noProof/>
          <w:lang w:val="et-EE"/>
        </w:rPr>
      </w:pPr>
      <w:bookmarkStart w:id="36" w:name="_Toc493257124"/>
      <w:r>
        <w:rPr>
          <w:noProof/>
          <w:lang w:val="et-EE"/>
        </w:rPr>
        <w:lastRenderedPageBreak/>
        <w:t>Sihtrühmad</w:t>
      </w:r>
      <w:bookmarkEnd w:id="36"/>
    </w:p>
    <w:p w:rsidR="00BE70D4" w:rsidRDefault="003A3835">
      <w:pPr>
        <w:spacing w:before="100" w:beforeAutospacing="1" w:after="100" w:afterAutospacing="1"/>
        <w:jc w:val="both"/>
        <w:rPr>
          <w:noProof/>
          <w:szCs w:val="24"/>
          <w:lang w:val="et-EE"/>
        </w:rPr>
      </w:pPr>
      <w:r>
        <w:rPr>
          <w:noProof/>
          <w:lang w:val="et-EE"/>
        </w:rPr>
        <w:t xml:space="preserve">Mõlema programmitöö perioodi kulukohustuste koondsumma jagunemine sektorite kaupa on esitatud </w:t>
      </w:r>
      <w:r>
        <w:rPr>
          <w:noProof/>
          <w:u w:val="single"/>
          <w:lang w:val="et-EE"/>
        </w:rPr>
        <w:t>joonistel 9 ja 10</w:t>
      </w:r>
      <w:r>
        <w:rPr>
          <w:noProof/>
          <w:lang w:val="et-EE"/>
        </w:rPr>
        <w:t>.</w:t>
      </w:r>
      <w:r>
        <w:rPr>
          <w:noProof/>
          <w:lang w:val="et-EE"/>
        </w:rPr>
        <w:t xml:space="preserve"> VKEd moodustavad sektordiagrammil eraldi strateegilise sihtrühma, samal ajal kui materiaalne ja immateriaalne taristu on liigitatud strateegiliste sihtsektorite alla. Strateegilistele ELi-välistele sihtpiirkondadele ette nähtud rahaliste vahendite vähenem</w:t>
      </w:r>
      <w:r>
        <w:rPr>
          <w:noProof/>
          <w:lang w:val="et-EE"/>
        </w:rPr>
        <w:t>ist käesolevas mitmeaastases finantsraamistikus saab selgitada sellega, et mõnda välistegevuse rahastamisvahenditega seotud kehtivat kulukohustust pikendati.</w:t>
      </w:r>
    </w:p>
    <w:p w:rsidR="00BE70D4" w:rsidRDefault="003A3835">
      <w:pPr>
        <w:spacing w:before="100" w:beforeAutospacing="1" w:after="100" w:afterAutospacing="1"/>
        <w:jc w:val="both"/>
        <w:rPr>
          <w:noProof/>
          <w:szCs w:val="24"/>
          <w:lang w:val="et-EE"/>
        </w:rPr>
      </w:pPr>
      <w:r>
        <w:rPr>
          <w:noProof/>
          <w:lang w:val="et-EE"/>
        </w:rPr>
        <w:t>Juhime tähelepanu, et jooniste 9 j 10 otsesel võrdlemisel tuleks arvesse võtta asjaolu, et 2007.–2</w:t>
      </w:r>
      <w:r>
        <w:rPr>
          <w:noProof/>
          <w:lang w:val="et-EE"/>
        </w:rPr>
        <w:t>013. aasta rahastamisvahenditega seotud kulukohustused olid 2016. aasta lõpuks enamasti täidetud, samal ajal kui 2014.–2020. aasta rahastamisvahenditega seotud kulukohustused on alles täitmisel.</w:t>
      </w:r>
    </w:p>
    <w:p w:rsidR="00BE70D4" w:rsidRDefault="003A3835">
      <w:pPr>
        <w:pStyle w:val="Caption"/>
        <w:keepNext/>
        <w:jc w:val="both"/>
        <w:rPr>
          <w:noProof/>
          <w:sz w:val="22"/>
          <w:szCs w:val="22"/>
          <w:lang w:val="et-EE"/>
        </w:rPr>
      </w:pPr>
      <w:r>
        <w:rPr>
          <w:noProof/>
          <w:sz w:val="22"/>
          <w:lang w:val="et-EE"/>
        </w:rPr>
        <w:t>Joonis 9. 2007.–2013. aasta rahastamisvahendid – eelarvelised</w:t>
      </w:r>
      <w:r>
        <w:rPr>
          <w:noProof/>
          <w:sz w:val="22"/>
          <w:lang w:val="et-EE"/>
        </w:rPr>
        <w:t xml:space="preserve"> kulukohustused sihtotstarvete kaupa 31. detsembri 2016. aasta seisuga (miljonites eurodes)</w:t>
      </w:r>
    </w:p>
    <w:p w:rsidR="00BE70D4" w:rsidRDefault="003A3835">
      <w:pPr>
        <w:pStyle w:val="NormalWeb"/>
        <w:spacing w:before="0" w:after="0"/>
        <w:textAlignment w:val="baseline"/>
        <w:rPr>
          <w:b/>
          <w:bCs/>
          <w:noProof/>
          <w:kern w:val="24"/>
          <w:sz w:val="16"/>
          <w:szCs w:val="16"/>
          <w:lang w:val="et-EE"/>
        </w:rPr>
      </w:pPr>
      <w:r>
        <w:rPr>
          <w:noProof/>
          <w:lang w:val="et-EE" w:eastAsia="en-GB"/>
        </w:rPr>
        <w:t xml:space="preserve"> </w:t>
      </w:r>
      <w:r>
        <w:rPr>
          <w:noProof/>
          <w:lang w:eastAsia="en-GB"/>
        </w:rPr>
        <w:drawing>
          <wp:inline distT="0" distB="0" distL="0" distR="0">
            <wp:extent cx="5760720" cy="3034698"/>
            <wp:effectExtent l="0" t="0" r="1143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noProof/>
          <w:lang w:val="et-EE" w:eastAsia="en-GB"/>
        </w:rPr>
        <w:t xml:space="preserve"> </w:t>
      </w:r>
    </w:p>
    <w:p w:rsidR="00BE70D4" w:rsidRDefault="003A3835">
      <w:pPr>
        <w:pStyle w:val="NormalWeb"/>
        <w:spacing w:before="0" w:after="0"/>
        <w:textAlignment w:val="baseline"/>
        <w:rPr>
          <w:noProof/>
          <w:kern w:val="24"/>
          <w:sz w:val="16"/>
          <w:szCs w:val="16"/>
          <w:lang w:val="et-EE"/>
        </w:rPr>
      </w:pPr>
      <w:r>
        <w:rPr>
          <w:b/>
          <w:noProof/>
          <w:kern w:val="24"/>
          <w:sz w:val="16"/>
          <w:lang w:val="et-EE"/>
        </w:rPr>
        <w:t xml:space="preserve">Strateegilised sihtsektorid: </w:t>
      </w:r>
      <w:r>
        <w:rPr>
          <w:noProof/>
          <w:kern w:val="24"/>
          <w:sz w:val="16"/>
          <w:lang w:val="et-EE"/>
        </w:rPr>
        <w:t xml:space="preserve">Marguerite’i fond, EEEF, GIF (CIP), RSI, RSFF, EPMF-G, FCP-FIS. </w:t>
      </w:r>
    </w:p>
    <w:p w:rsidR="00BE70D4" w:rsidRDefault="003A3835">
      <w:pPr>
        <w:pStyle w:val="NormalWeb"/>
        <w:spacing w:before="0" w:after="0"/>
        <w:textAlignment w:val="baseline"/>
        <w:rPr>
          <w:b/>
          <w:bCs/>
          <w:noProof/>
          <w:kern w:val="24"/>
          <w:sz w:val="16"/>
          <w:szCs w:val="16"/>
          <w:lang w:val="et-EE"/>
        </w:rPr>
      </w:pPr>
      <w:r>
        <w:rPr>
          <w:b/>
          <w:noProof/>
          <w:kern w:val="24"/>
          <w:sz w:val="16"/>
          <w:lang w:val="et-EE"/>
        </w:rPr>
        <w:t xml:space="preserve">Strateegilised sihtrühmad: </w:t>
      </w:r>
      <w:r>
        <w:rPr>
          <w:noProof/>
          <w:kern w:val="24"/>
          <w:sz w:val="16"/>
          <w:lang w:val="et-EE"/>
        </w:rPr>
        <w:t>SMEG07.</w:t>
      </w:r>
    </w:p>
    <w:p w:rsidR="00BE70D4" w:rsidRDefault="003A3835">
      <w:pPr>
        <w:pStyle w:val="NormalWeb"/>
        <w:spacing w:before="0" w:after="0"/>
        <w:textAlignment w:val="baseline"/>
        <w:rPr>
          <w:noProof/>
          <w:kern w:val="24"/>
          <w:sz w:val="16"/>
          <w:szCs w:val="16"/>
          <w:lang w:val="et-EE"/>
        </w:rPr>
      </w:pPr>
      <w:r>
        <w:rPr>
          <w:b/>
          <w:bCs/>
          <w:noProof/>
          <w:kern w:val="24"/>
          <w:sz w:val="16"/>
          <w:szCs w:val="16"/>
          <w:lang w:val="et-EE"/>
        </w:rPr>
        <w:t xml:space="preserve">Strateegilised ELi-välised </w:t>
      </w:r>
      <w:r>
        <w:rPr>
          <w:b/>
          <w:bCs/>
          <w:noProof/>
          <w:kern w:val="24"/>
          <w:sz w:val="16"/>
          <w:szCs w:val="16"/>
          <w:lang w:val="et-EE"/>
        </w:rPr>
        <w:t>sihtpiirkonnad:</w:t>
      </w:r>
      <w:r>
        <w:rPr>
          <w:bCs/>
          <w:noProof/>
          <w:kern w:val="24"/>
          <w:sz w:val="16"/>
          <w:szCs w:val="16"/>
          <w:lang w:val="et-EE"/>
        </w:rPr>
        <w:t xml:space="preserve"> IFCA, AIF, LAIF, GEEREF, EDIF GF 1, EDIFi alla kuuluv ENEF, EDIFi alla kuuluv ENIF, EFSE, GGF, VKEde kriisist väljumise toetuslaen Türgile, NIF, toetus FEMIPile.</w:t>
      </w:r>
    </w:p>
    <w:p w:rsidR="00BE70D4" w:rsidRDefault="003A3835">
      <w:pPr>
        <w:pStyle w:val="Caption"/>
        <w:keepNext/>
        <w:spacing w:before="120"/>
        <w:jc w:val="both"/>
        <w:rPr>
          <w:noProof/>
          <w:sz w:val="22"/>
          <w:szCs w:val="22"/>
          <w:lang w:val="et-EE"/>
        </w:rPr>
      </w:pPr>
      <w:r>
        <w:rPr>
          <w:noProof/>
          <w:sz w:val="22"/>
          <w:lang w:val="et-EE"/>
        </w:rPr>
        <w:lastRenderedPageBreak/>
        <w:t xml:space="preserve">Joonis </w:t>
      </w:r>
      <w:r>
        <w:rPr>
          <w:noProof/>
          <w:sz w:val="22"/>
          <w:szCs w:val="22"/>
          <w:lang w:val="et-EE"/>
        </w:rPr>
        <w:t>10</w:t>
      </w:r>
      <w:r>
        <w:rPr>
          <w:noProof/>
          <w:sz w:val="22"/>
          <w:lang w:val="et-EE"/>
        </w:rPr>
        <w:t>.</w:t>
      </w:r>
      <w:r>
        <w:rPr>
          <w:b w:val="0"/>
          <w:noProof/>
          <w:sz w:val="22"/>
          <w:lang w:val="et-EE"/>
        </w:rPr>
        <w:t xml:space="preserve"> </w:t>
      </w:r>
      <w:r>
        <w:rPr>
          <w:noProof/>
          <w:sz w:val="22"/>
          <w:lang w:val="et-EE"/>
        </w:rPr>
        <w:t xml:space="preserve">2014.–2020. aasta rahastamisvahendid – eelarvelised kulukohustused </w:t>
      </w:r>
      <w:r>
        <w:rPr>
          <w:noProof/>
          <w:sz w:val="22"/>
          <w:lang w:val="et-EE"/>
        </w:rPr>
        <w:t>sihtotstarvete kaupa 31. detsembri 2016. aasta seisuga (miljonites eurodes)</w:t>
      </w:r>
    </w:p>
    <w:p w:rsidR="00BE70D4" w:rsidRDefault="003A3835">
      <w:pPr>
        <w:pStyle w:val="Caption"/>
        <w:keepNext/>
        <w:jc w:val="both"/>
        <w:rPr>
          <w:b w:val="0"/>
          <w:noProof/>
          <w:sz w:val="16"/>
          <w:szCs w:val="16"/>
          <w:lang w:val="et-EE"/>
        </w:rPr>
      </w:pPr>
      <w:r>
        <w:rPr>
          <w:noProof/>
          <w:lang w:eastAsia="en-GB"/>
        </w:rPr>
        <w:drawing>
          <wp:inline distT="0" distB="0" distL="0" distR="0">
            <wp:extent cx="5760720" cy="2991214"/>
            <wp:effectExtent l="0" t="0" r="11430" b="19050"/>
            <wp:docPr id="22" name="Chart 2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Pr>
          <w:noProof/>
          <w:sz w:val="16"/>
          <w:lang w:val="et-EE"/>
        </w:rPr>
        <w:t xml:space="preserve">Strateegilised sihtsektorid: </w:t>
      </w:r>
      <w:r>
        <w:rPr>
          <w:b w:val="0"/>
          <w:noProof/>
          <w:sz w:val="16"/>
          <w:lang w:val="et-EE"/>
        </w:rPr>
        <w:t xml:space="preserve">kultuuri- ja loomesektori tagatisvahend, SLGF, PF4EE, RSDI, CEFi omakapitaliinstrument, NCFF, InnovFini VKEde tagatissüsteem, InnovFin – L-M tagatis, </w:t>
      </w:r>
      <w:r>
        <w:rPr>
          <w:b w:val="0"/>
          <w:noProof/>
          <w:sz w:val="16"/>
          <w:lang w:val="et-EE"/>
        </w:rPr>
        <w:t xml:space="preserve">InnovFini VKEde riskikapitali algatus, EaSI. </w:t>
      </w:r>
    </w:p>
    <w:p w:rsidR="00BE70D4" w:rsidRDefault="003A3835">
      <w:pPr>
        <w:rPr>
          <w:noProof/>
          <w:sz w:val="16"/>
          <w:szCs w:val="16"/>
          <w:lang w:val="et-EE"/>
        </w:rPr>
      </w:pPr>
      <w:r>
        <w:rPr>
          <w:b/>
          <w:noProof/>
          <w:sz w:val="16"/>
          <w:szCs w:val="16"/>
          <w:lang w:val="et-EE"/>
        </w:rPr>
        <w:t xml:space="preserve">Strateegilised sihtrühmad: </w:t>
      </w:r>
      <w:r>
        <w:rPr>
          <w:noProof/>
          <w:sz w:val="16"/>
          <w:szCs w:val="16"/>
          <w:lang w:val="et-EE"/>
        </w:rPr>
        <w:t xml:space="preserve">COSME LFG, ELi VKEde algatus, COSME EFG. </w:t>
      </w:r>
    </w:p>
    <w:p w:rsidR="00BE70D4" w:rsidRDefault="003A3835">
      <w:pPr>
        <w:pStyle w:val="Caption"/>
        <w:keepNext/>
        <w:jc w:val="both"/>
        <w:rPr>
          <w:b w:val="0"/>
          <w:bCs w:val="0"/>
          <w:noProof/>
          <w:sz w:val="16"/>
          <w:szCs w:val="16"/>
          <w:lang w:val="et-EE"/>
        </w:rPr>
      </w:pPr>
      <w:r>
        <w:rPr>
          <w:noProof/>
          <w:sz w:val="16"/>
          <w:szCs w:val="16"/>
          <w:lang w:val="et-EE"/>
        </w:rPr>
        <w:t xml:space="preserve">Strateegilised ELi-välised sihtpiirkonnad: </w:t>
      </w:r>
      <w:r>
        <w:rPr>
          <w:b w:val="0"/>
          <w:noProof/>
          <w:sz w:val="16"/>
          <w:szCs w:val="16"/>
          <w:lang w:val="et-EE"/>
        </w:rPr>
        <w:t>EDIF GF2, segarahastamine temaatilistest rahastamisvahenditest.</w:t>
      </w:r>
    </w:p>
    <w:p w:rsidR="00BE70D4" w:rsidRDefault="003A3835">
      <w:pPr>
        <w:spacing w:before="0" w:after="240"/>
        <w:jc w:val="both"/>
        <w:rPr>
          <w:noProof/>
          <w:lang w:val="et-EE"/>
        </w:rPr>
      </w:pPr>
      <w:r>
        <w:rPr>
          <w:noProof/>
          <w:lang w:val="et-EE"/>
        </w:rPr>
        <w:t xml:space="preserve">Tuleb märkida, et nende </w:t>
      </w:r>
      <w:r>
        <w:rPr>
          <w:noProof/>
          <w:lang w:val="et-EE"/>
        </w:rPr>
        <w:t>rahastamisvahendite kohta, mida toetatakse liidu eelarvest, kuid mille eelarvet täidetakse koostöös liikmesriikidega, esitatakse eraldi aruanded. Programmitöö perioodil 2007–2013 avaldati iga aasta 1. oktoobriks kokkuvõttev aastaaruanne finantskorraldusvah</w:t>
      </w:r>
      <w:r>
        <w:rPr>
          <w:noProof/>
          <w:lang w:val="et-EE"/>
        </w:rPr>
        <w:t>endite rakendamise kohta ERFi ja ESFi raames</w:t>
      </w:r>
      <w:r>
        <w:rPr>
          <w:rStyle w:val="FootnoteReference"/>
          <w:noProof/>
          <w:lang w:val="et-EE"/>
        </w:rPr>
        <w:footnoteReference w:id="24"/>
      </w:r>
      <w:r>
        <w:rPr>
          <w:noProof/>
          <w:lang w:val="et-EE"/>
        </w:rPr>
        <w:t>. Alates 2016. aastast esitab komisjon kokkuvõtted andmetest edusammude kohta, mis on tehtud koostöös liikmesriikidega toimuva eelarve täitmise raames rahastamisvahendite rakendamisel, nagu on Euroopa struktuuri</w:t>
      </w:r>
      <w:r>
        <w:rPr>
          <w:noProof/>
          <w:lang w:val="et-EE"/>
        </w:rPr>
        <w:t>- ja investeerimisfondide (ERF, ESF, Ühtekuuluvusfond, EAFRD ja EMKF) puhul ette nähtud ühissätete määruses</w:t>
      </w:r>
      <w:r>
        <w:rPr>
          <w:rStyle w:val="FootnoteReference"/>
          <w:noProof/>
          <w:lang w:val="et-EE"/>
        </w:rPr>
        <w:footnoteReference w:id="25"/>
      </w:r>
      <w:r>
        <w:rPr>
          <w:noProof/>
          <w:lang w:val="et-EE"/>
        </w:rPr>
        <w:t>. Programmitöö perioodi 2014–2020 kohta avaldati esimene kokkuvõttev aastaaruanne 2016. aasta lõpus</w:t>
      </w:r>
      <w:r>
        <w:rPr>
          <w:rStyle w:val="FootnoteReference"/>
          <w:noProof/>
          <w:lang w:val="et-EE"/>
        </w:rPr>
        <w:footnoteReference w:id="26"/>
      </w:r>
      <w:r>
        <w:rPr>
          <w:noProof/>
          <w:lang w:val="et-EE"/>
        </w:rPr>
        <w:t>. Sarnaselt esitatakse kooskõlas EFSI määrusega</w:t>
      </w:r>
      <w:r>
        <w:rPr>
          <w:rStyle w:val="FootnoteReference"/>
          <w:noProof/>
          <w:lang w:val="et-EE"/>
        </w:rPr>
        <w:footnoteReference w:id="27"/>
      </w:r>
      <w:r>
        <w:rPr>
          <w:noProof/>
          <w:lang w:val="et-EE"/>
        </w:rPr>
        <w:t xml:space="preserve"> eraldi aruanded EFSI jaoks antud eelarvetagatisega seotud rahastamis- ja investeerimistoimingute kohta, mis ei ole finantsmääruse tähenduses rahastamisvahendid.</w:t>
      </w:r>
    </w:p>
    <w:p w:rsidR="00BE70D4" w:rsidRDefault="003A3835">
      <w:pPr>
        <w:pStyle w:val="Heading3-a"/>
        <w:rPr>
          <w:noProof/>
          <w:lang w:val="et-EE"/>
        </w:rPr>
      </w:pPr>
      <w:bookmarkStart w:id="37" w:name="_Toc493257125"/>
      <w:r>
        <w:rPr>
          <w:noProof/>
          <w:lang w:val="et-EE"/>
        </w:rPr>
        <w:t>Saavutatud rahastamismahu geograafiline jaotus</w:t>
      </w:r>
      <w:bookmarkEnd w:id="37"/>
      <w:r>
        <w:rPr>
          <w:noProof/>
          <w:lang w:val="et-EE"/>
        </w:rPr>
        <w:t xml:space="preserve"> </w:t>
      </w:r>
    </w:p>
    <w:p w:rsidR="00BE70D4" w:rsidRDefault="003A3835">
      <w:pPr>
        <w:spacing w:before="0" w:after="240"/>
        <w:jc w:val="both"/>
        <w:rPr>
          <w:noProof/>
          <w:szCs w:val="24"/>
          <w:lang w:val="et-EE"/>
        </w:rPr>
      </w:pPr>
      <w:r>
        <w:rPr>
          <w:noProof/>
          <w:lang w:val="et-EE"/>
        </w:rPr>
        <w:t>Rahastamisvahenditel on erinev geograafiline k</w:t>
      </w:r>
      <w:r>
        <w:rPr>
          <w:noProof/>
          <w:lang w:val="et-EE"/>
        </w:rPr>
        <w:t xml:space="preserve">ohaldamisala, mis on kindlaks määratud nende vastavates õiguslikes alustes. Lisaks – kuna vahendite eraldamine sõltub sisuliselt </w:t>
      </w:r>
      <w:r>
        <w:rPr>
          <w:noProof/>
          <w:lang w:val="et-EE"/>
        </w:rPr>
        <w:lastRenderedPageBreak/>
        <w:t>nõudlusest – on nende jagamisel otsustav suhteline rahastamisnõudlus. Järgmistel sektordiagrammidel on näidatud saavutatud raha</w:t>
      </w:r>
      <w:r>
        <w:rPr>
          <w:noProof/>
          <w:lang w:val="et-EE"/>
        </w:rPr>
        <w:t>stamismahu jagunemine riikide vahel üldiselt ja mitmeaastaste finantsraamistike kaupa.</w:t>
      </w:r>
    </w:p>
    <w:p w:rsidR="00BE70D4" w:rsidRDefault="003A3835">
      <w:pPr>
        <w:spacing w:before="100" w:beforeAutospacing="1" w:after="100" w:afterAutospacing="1"/>
        <w:jc w:val="both"/>
        <w:rPr>
          <w:noProof/>
          <w:szCs w:val="24"/>
          <w:lang w:val="et-EE"/>
        </w:rPr>
      </w:pPr>
      <w:r>
        <w:rPr>
          <w:noProof/>
          <w:lang w:val="et-EE"/>
        </w:rPr>
        <w:t>Nagu eespool märgitud, jätkati 2014.–2020. aasta mitmeaastases finantsraamistikus mitme 2007.–2013. aasta mitmeaastases finantsraamistikus loodud välistegevuse rahastami</w:t>
      </w:r>
      <w:r>
        <w:rPr>
          <w:noProof/>
          <w:lang w:val="et-EE"/>
        </w:rPr>
        <w:t>svahendi kasutamist ning seetõttu on 2014.–2020. aastal ELi rahastamisvahendite kaudu ELi-välistesse piirkondadesse suunatud rahaliste vahendite osakaal proportsionaalselt väiksem, kuna neid on seoses perioodiga 2007–2013 juba arvestatud.</w:t>
      </w:r>
    </w:p>
    <w:p w:rsidR="00BE70D4" w:rsidRDefault="003A3835">
      <w:pPr>
        <w:spacing w:before="100" w:beforeAutospacing="1" w:after="100" w:afterAutospacing="1"/>
        <w:jc w:val="both"/>
        <w:rPr>
          <w:noProof/>
          <w:szCs w:val="24"/>
          <w:lang w:val="et-EE"/>
        </w:rPr>
      </w:pPr>
      <w:r>
        <w:rPr>
          <w:noProof/>
          <w:lang w:val="et-EE"/>
        </w:rPr>
        <w:t>Rahastamisvahendi</w:t>
      </w:r>
      <w:r>
        <w:rPr>
          <w:noProof/>
          <w:lang w:val="et-EE"/>
        </w:rPr>
        <w:t xml:space="preserve">te laiendamisest 2014.–2020. aastal võrreldes 2007.–2013. aasta mitmeaastase finantsraamistikuga tunduvad olevat iseäranis kasu saanud Lääne-Euroopas asuvad suured ELi liikmesriigid, eeskätt Prantsusmaa ja Itaalia, kuivõrd nende osakaal üldises saavutatud </w:t>
      </w:r>
      <w:r>
        <w:rPr>
          <w:noProof/>
          <w:lang w:val="et-EE"/>
        </w:rPr>
        <w:t>rahastamismahus suurenes märkimisväärselt (Prantsusmaa puhul 4,9 %-lt 39,9 %-le ja Itaalia puhul 6,9 %-lt 15,6 %-le). Neid suuri kasvumäärasid saab siiski selgitada eespool nimetatud välistegevuse rahastamisvahendite väiksema osakaaluga. Prantsusmaa osakaa</w:t>
      </w:r>
      <w:r>
        <w:rPr>
          <w:noProof/>
          <w:lang w:val="et-EE"/>
        </w:rPr>
        <w:t>lu jätkuv kasv on peamiselt tingitud riigi osalemisest 2007.–2013. aasta projektivõlakirjade algatuses ja üleeuroopalise transpordivõrgu projektide laenutagamisvahendis, mis nüüd on liidetud 2014.–2020. aasta riskijagamise võlainstrumendiga (CEF DI).</w:t>
      </w:r>
    </w:p>
    <w:p w:rsidR="00BE70D4" w:rsidRDefault="00BE70D4">
      <w:pPr>
        <w:spacing w:before="100" w:beforeAutospacing="1" w:after="100" w:afterAutospacing="1"/>
        <w:jc w:val="both"/>
        <w:rPr>
          <w:noProof/>
          <w:szCs w:val="24"/>
          <w:lang w:val="et-EE"/>
        </w:rPr>
      </w:pPr>
    </w:p>
    <w:p w:rsidR="00BE70D4" w:rsidRDefault="00BE70D4">
      <w:pPr>
        <w:spacing w:before="0" w:after="240"/>
        <w:jc w:val="both"/>
        <w:rPr>
          <w:noProof/>
          <w:szCs w:val="24"/>
          <w:lang w:val="et-EE"/>
        </w:rPr>
      </w:pPr>
    </w:p>
    <w:p w:rsidR="00BE70D4" w:rsidRDefault="00BE70D4">
      <w:pPr>
        <w:keepNext/>
        <w:jc w:val="both"/>
        <w:rPr>
          <w:b/>
          <w:bCs/>
          <w:noProof/>
          <w:sz w:val="22"/>
          <w:lang w:val="et-EE"/>
        </w:rPr>
        <w:sectPr w:rsidR="00BE70D4">
          <w:headerReference w:type="even" r:id="rId43"/>
          <w:headerReference w:type="default" r:id="rId44"/>
          <w:footerReference w:type="even" r:id="rId45"/>
          <w:footerReference w:type="default" r:id="rId46"/>
          <w:headerReference w:type="first" r:id="rId47"/>
          <w:footerReference w:type="first" r:id="rId48"/>
          <w:pgSz w:w="11906" w:h="16838"/>
          <w:pgMar w:top="1417" w:right="1417" w:bottom="1417" w:left="1417" w:header="0" w:footer="0" w:gutter="0"/>
          <w:cols w:space="708"/>
          <w:docGrid w:linePitch="360"/>
        </w:sectPr>
      </w:pPr>
    </w:p>
    <w:p w:rsidR="00BE70D4" w:rsidRDefault="003A3835">
      <w:pPr>
        <w:keepNext/>
        <w:jc w:val="both"/>
        <w:rPr>
          <w:b/>
          <w:bCs/>
          <w:noProof/>
          <w:sz w:val="22"/>
          <w:lang w:val="et-EE"/>
        </w:rPr>
      </w:pPr>
      <w:r>
        <w:rPr>
          <w:b/>
          <w:noProof/>
          <w:sz w:val="22"/>
          <w:lang w:val="et-EE"/>
        </w:rPr>
        <w:lastRenderedPageBreak/>
        <w:t xml:space="preserve">Joonis </w:t>
      </w:r>
      <w:r>
        <w:rPr>
          <w:b/>
          <w:bCs/>
          <w:noProof/>
          <w:sz w:val="22"/>
          <w:lang w:val="et-EE"/>
        </w:rPr>
        <w:t>11</w:t>
      </w:r>
      <w:r>
        <w:rPr>
          <w:b/>
          <w:noProof/>
          <w:sz w:val="22"/>
          <w:lang w:val="et-EE"/>
        </w:rPr>
        <w:t>.</w:t>
      </w:r>
      <w:r>
        <w:rPr>
          <w:noProof/>
          <w:sz w:val="22"/>
          <w:lang w:val="et-EE"/>
        </w:rPr>
        <w:t xml:space="preserve"> </w:t>
      </w:r>
      <w:r>
        <w:rPr>
          <w:b/>
          <w:noProof/>
          <w:sz w:val="22"/>
          <w:lang w:val="et-EE"/>
        </w:rPr>
        <w:t>2007.–2013. aasta ja 2014.–2020. aasta rahastamisvahendid – üldine saavutatud rahastamismaht geograafiliste sihtkohtade kaupa 31. detsembri 2016. aasta seisuga</w:t>
      </w:r>
    </w:p>
    <w:p w:rsidR="00BE70D4" w:rsidRDefault="003A3835">
      <w:pPr>
        <w:rPr>
          <w:noProof/>
          <w:lang w:val="et-EE"/>
        </w:rPr>
      </w:pPr>
      <w:r>
        <w:rPr>
          <w:noProof/>
          <w:lang w:eastAsia="en-GB"/>
        </w:rPr>
        <w:drawing>
          <wp:inline distT="0" distB="0" distL="0" distR="0">
            <wp:extent cx="8534400" cy="5067300"/>
            <wp:effectExtent l="0" t="0" r="0" b="0"/>
            <wp:docPr id="23" name="Chart 2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BE70D4" w:rsidRDefault="00BE70D4">
      <w:pPr>
        <w:rPr>
          <w:noProof/>
          <w:lang w:val="et-EE"/>
        </w:rPr>
      </w:pPr>
    </w:p>
    <w:p w:rsidR="00BE70D4" w:rsidRDefault="00BE70D4">
      <w:pPr>
        <w:rPr>
          <w:noProof/>
          <w:lang w:val="et-EE"/>
        </w:rPr>
        <w:sectPr w:rsidR="00BE70D4">
          <w:headerReference w:type="even" r:id="rId50"/>
          <w:headerReference w:type="default" r:id="rId51"/>
          <w:footerReference w:type="even" r:id="rId52"/>
          <w:footerReference w:type="default" r:id="rId53"/>
          <w:headerReference w:type="first" r:id="rId54"/>
          <w:footerReference w:type="first" r:id="rId55"/>
          <w:pgSz w:w="16838" w:h="11906" w:orient="landscape"/>
          <w:pgMar w:top="1417" w:right="1417" w:bottom="1417" w:left="1417" w:header="0" w:footer="0" w:gutter="0"/>
          <w:cols w:space="708"/>
          <w:docGrid w:linePitch="360"/>
        </w:sectPr>
      </w:pPr>
    </w:p>
    <w:p w:rsidR="00BE70D4" w:rsidRDefault="003A3835">
      <w:pPr>
        <w:tabs>
          <w:tab w:val="left" w:pos="8919"/>
        </w:tabs>
        <w:spacing w:before="0" w:after="240"/>
        <w:jc w:val="both"/>
        <w:rPr>
          <w:b/>
          <w:bCs/>
          <w:noProof/>
          <w:sz w:val="22"/>
          <w:lang w:val="et-EE"/>
        </w:rPr>
      </w:pPr>
      <w:r>
        <w:rPr>
          <w:b/>
          <w:noProof/>
          <w:sz w:val="22"/>
          <w:lang w:val="et-EE"/>
        </w:rPr>
        <w:lastRenderedPageBreak/>
        <w:t xml:space="preserve">Joonis </w:t>
      </w:r>
      <w:r>
        <w:rPr>
          <w:b/>
          <w:bCs/>
          <w:noProof/>
          <w:sz w:val="22"/>
          <w:lang w:val="et-EE"/>
        </w:rPr>
        <w:t>12</w:t>
      </w:r>
      <w:r>
        <w:rPr>
          <w:b/>
          <w:noProof/>
          <w:sz w:val="22"/>
          <w:lang w:val="et-EE"/>
        </w:rPr>
        <w:t>.</w:t>
      </w:r>
      <w:r>
        <w:rPr>
          <w:noProof/>
          <w:sz w:val="22"/>
          <w:lang w:val="et-EE"/>
        </w:rPr>
        <w:t xml:space="preserve"> </w:t>
      </w:r>
      <w:r>
        <w:rPr>
          <w:b/>
          <w:noProof/>
          <w:sz w:val="22"/>
          <w:lang w:val="et-EE"/>
        </w:rPr>
        <w:t>2007.–2013. aasta rahastamisvahendid – saavutatud rahastamismaht geograafiliste sihtkohtade kaupa 31. detsembri 2016. aasta seisuga</w:t>
      </w:r>
    </w:p>
    <w:p w:rsidR="00BE70D4" w:rsidRDefault="003A3835">
      <w:pPr>
        <w:spacing w:before="0" w:after="240"/>
        <w:jc w:val="center"/>
        <w:rPr>
          <w:b/>
          <w:bCs/>
          <w:noProof/>
          <w:sz w:val="22"/>
          <w:lang w:val="et-EE"/>
        </w:rPr>
      </w:pPr>
      <w:r>
        <w:rPr>
          <w:b/>
          <w:bCs/>
          <w:noProof/>
          <w:sz w:val="22"/>
          <w:lang w:val="et-EE"/>
        </w:rPr>
        <w:t xml:space="preserve"> </w:t>
      </w:r>
      <w:r>
        <w:rPr>
          <w:noProof/>
          <w:lang w:eastAsia="en-GB"/>
        </w:rPr>
        <w:drawing>
          <wp:inline distT="0" distB="0" distL="0" distR="0">
            <wp:extent cx="6810375" cy="5105400"/>
            <wp:effectExtent l="0" t="0" r="0" b="0"/>
            <wp:docPr id="24" name="Chart 2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BE70D4" w:rsidRDefault="00BE70D4">
      <w:pPr>
        <w:spacing w:before="0" w:after="240"/>
        <w:jc w:val="both"/>
        <w:rPr>
          <w:noProof/>
          <w:lang w:val="et-EE"/>
        </w:rPr>
        <w:sectPr w:rsidR="00BE70D4">
          <w:headerReference w:type="even" r:id="rId57"/>
          <w:headerReference w:type="default" r:id="rId58"/>
          <w:footerReference w:type="even" r:id="rId59"/>
          <w:footerReference w:type="default" r:id="rId60"/>
          <w:headerReference w:type="first" r:id="rId61"/>
          <w:footerReference w:type="first" r:id="rId62"/>
          <w:pgSz w:w="16838" w:h="11906" w:orient="landscape"/>
          <w:pgMar w:top="1417" w:right="1417" w:bottom="1417" w:left="1417" w:header="0" w:footer="0" w:gutter="0"/>
          <w:cols w:space="708"/>
          <w:docGrid w:linePitch="360"/>
        </w:sectPr>
      </w:pPr>
    </w:p>
    <w:p w:rsidR="00BE70D4" w:rsidRDefault="003A3835">
      <w:pPr>
        <w:spacing w:before="0" w:after="0"/>
        <w:jc w:val="both"/>
        <w:rPr>
          <w:b/>
          <w:bCs/>
          <w:noProof/>
          <w:sz w:val="22"/>
          <w:lang w:val="et-EE"/>
        </w:rPr>
      </w:pPr>
      <w:r>
        <w:rPr>
          <w:b/>
          <w:noProof/>
          <w:sz w:val="22"/>
          <w:lang w:val="et-EE"/>
        </w:rPr>
        <w:lastRenderedPageBreak/>
        <w:t xml:space="preserve">Joonis </w:t>
      </w:r>
      <w:r>
        <w:rPr>
          <w:b/>
          <w:bCs/>
          <w:noProof/>
          <w:sz w:val="22"/>
          <w:lang w:val="et-EE"/>
        </w:rPr>
        <w:t>13</w:t>
      </w:r>
      <w:r>
        <w:rPr>
          <w:b/>
          <w:noProof/>
          <w:sz w:val="22"/>
          <w:lang w:val="et-EE"/>
        </w:rPr>
        <w:t>.</w:t>
      </w:r>
      <w:r>
        <w:rPr>
          <w:noProof/>
          <w:sz w:val="22"/>
          <w:lang w:val="et-EE"/>
        </w:rPr>
        <w:t xml:space="preserve"> </w:t>
      </w:r>
      <w:r>
        <w:rPr>
          <w:b/>
          <w:noProof/>
          <w:sz w:val="22"/>
          <w:lang w:val="et-EE"/>
        </w:rPr>
        <w:t>2014.–2020. aasta rahastamisvahendid – saavutatud rahastamismaht geograafiliste sihtkohtade kaupa 31. detsembri 2016. aasta seisuga</w:t>
      </w:r>
    </w:p>
    <w:p w:rsidR="00BE70D4" w:rsidRDefault="00BE70D4">
      <w:pPr>
        <w:spacing w:before="0" w:after="0"/>
        <w:jc w:val="both"/>
        <w:rPr>
          <w:noProof/>
          <w:lang w:val="et-EE"/>
        </w:rPr>
      </w:pPr>
    </w:p>
    <w:p w:rsidR="00BE70D4" w:rsidRDefault="003A3835">
      <w:pPr>
        <w:spacing w:before="0" w:after="240"/>
        <w:jc w:val="center"/>
        <w:rPr>
          <w:noProof/>
          <w:lang w:val="et-EE"/>
        </w:rPr>
        <w:sectPr w:rsidR="00BE70D4">
          <w:headerReference w:type="even" r:id="rId63"/>
          <w:headerReference w:type="default" r:id="rId64"/>
          <w:footerReference w:type="even" r:id="rId65"/>
          <w:footerReference w:type="default" r:id="rId66"/>
          <w:headerReference w:type="first" r:id="rId67"/>
          <w:footerReference w:type="first" r:id="rId68"/>
          <w:pgSz w:w="16838" w:h="11906" w:orient="landscape"/>
          <w:pgMar w:top="1417" w:right="1417" w:bottom="1417" w:left="1417" w:header="0" w:footer="0" w:gutter="0"/>
          <w:cols w:space="708"/>
          <w:docGrid w:linePitch="360"/>
        </w:sectPr>
      </w:pPr>
      <w:r>
        <w:rPr>
          <w:noProof/>
          <w:lang w:eastAsia="en-GB"/>
        </w:rPr>
        <w:drawing>
          <wp:inline distT="0" distB="0" distL="0" distR="0">
            <wp:extent cx="6619875" cy="5219700"/>
            <wp:effectExtent l="0" t="0" r="0" b="0"/>
            <wp:docPr id="25" name="Chart 2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BE70D4" w:rsidRDefault="003A3835">
      <w:pPr>
        <w:spacing w:before="0" w:after="240"/>
        <w:jc w:val="both"/>
        <w:rPr>
          <w:noProof/>
          <w:lang w:val="et-EE"/>
        </w:rPr>
      </w:pPr>
      <w:bookmarkStart w:id="38" w:name="_Toc486350746"/>
      <w:bookmarkStart w:id="39" w:name="_Toc486353208"/>
      <w:bookmarkStart w:id="40" w:name="_Toc486350747"/>
      <w:bookmarkStart w:id="41" w:name="_Toc486353209"/>
      <w:bookmarkStart w:id="42" w:name="_Toc486350748"/>
      <w:bookmarkStart w:id="43" w:name="_Toc486353210"/>
      <w:bookmarkStart w:id="44" w:name="_Toc486350749"/>
      <w:bookmarkStart w:id="45" w:name="_Toc486353211"/>
      <w:bookmarkStart w:id="46" w:name="_Toc486350750"/>
      <w:bookmarkStart w:id="47" w:name="_Toc486353212"/>
      <w:bookmarkStart w:id="48" w:name="_Toc486350751"/>
      <w:bookmarkStart w:id="49" w:name="_Toc486353213"/>
      <w:bookmarkStart w:id="50" w:name="_Toc486350752"/>
      <w:bookmarkStart w:id="51" w:name="_Toc486353214"/>
      <w:bookmarkStart w:id="52" w:name="_Toc486350753"/>
      <w:bookmarkStart w:id="53" w:name="_Toc486353215"/>
      <w:bookmarkStart w:id="54" w:name="_Toc486350754"/>
      <w:bookmarkStart w:id="55" w:name="_Toc486353216"/>
      <w:bookmarkStart w:id="56" w:name="_Toc486350755"/>
      <w:bookmarkStart w:id="57" w:name="_Toc486353217"/>
      <w:bookmarkStart w:id="58" w:name="_Toc486350756"/>
      <w:bookmarkStart w:id="59" w:name="_Toc486353218"/>
      <w:bookmarkStart w:id="60" w:name="_Toc486350757"/>
      <w:bookmarkStart w:id="61" w:name="_Toc486353219"/>
      <w:bookmarkStart w:id="62" w:name="_Toc486350758"/>
      <w:bookmarkStart w:id="63" w:name="_Toc48635322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noProof/>
          <w:lang w:val="et-EE"/>
        </w:rPr>
        <w:lastRenderedPageBreak/>
        <w:t xml:space="preserve">Mis puudutab vahendite jagunemist vahendite liikide kaupa (mida ei ole joonisel kajastatud), siis </w:t>
      </w:r>
      <w:r>
        <w:rPr>
          <w:noProof/>
          <w:u w:val="single"/>
          <w:lang w:val="et-EE"/>
        </w:rPr>
        <w:t>võlainstrumentide</w:t>
      </w:r>
      <w:r>
        <w:rPr>
          <w:noProof/>
          <w:lang w:val="et-EE"/>
        </w:rPr>
        <w:t xml:space="preserve"> geograafilises jaotuses paistavad silma suured ELi riigid, nagu Prantsusmaa, Saksamaa ja Itaalia, samal ajal kui ELi-väliste riikide puhul (</w:t>
      </w:r>
      <w:r>
        <w:rPr>
          <w:noProof/>
          <w:lang w:val="et-EE"/>
        </w:rPr>
        <w:t xml:space="preserve">peamiselt Vahemere piirkonnas) rakendatakse eeskätt </w:t>
      </w:r>
      <w:r>
        <w:rPr>
          <w:noProof/>
          <w:u w:val="single"/>
          <w:lang w:val="et-EE"/>
        </w:rPr>
        <w:t>omakapitaliinstrumente</w:t>
      </w:r>
      <w:r>
        <w:rPr>
          <w:noProof/>
          <w:lang w:val="et-EE"/>
        </w:rPr>
        <w:t xml:space="preserve"> ja eriti </w:t>
      </w:r>
      <w:r>
        <w:rPr>
          <w:noProof/>
          <w:u w:val="single"/>
          <w:lang w:val="et-EE"/>
        </w:rPr>
        <w:t>kombineeritud</w:t>
      </w:r>
      <w:r>
        <w:rPr>
          <w:noProof/>
          <w:lang w:val="et-EE"/>
        </w:rPr>
        <w:t xml:space="preserve"> (võla- ja omakapitali-) instrumente.</w:t>
      </w:r>
    </w:p>
    <w:p w:rsidR="00BE70D4" w:rsidRDefault="003A3835">
      <w:pPr>
        <w:pStyle w:val="Heading3-a"/>
        <w:rPr>
          <w:noProof/>
          <w:lang w:val="et-EE"/>
        </w:rPr>
      </w:pPr>
      <w:bookmarkStart w:id="64" w:name="_Toc493239202"/>
      <w:bookmarkStart w:id="65" w:name="_Toc493257126"/>
      <w:r>
        <w:rPr>
          <w:noProof/>
          <w:lang w:val="et-EE"/>
        </w:rPr>
        <w:t>Edulood</w:t>
      </w:r>
      <w:bookmarkEnd w:id="64"/>
      <w:bookmarkEnd w:id="65"/>
    </w:p>
    <w:p w:rsidR="00BE70D4" w:rsidRDefault="003A3835">
      <w:pPr>
        <w:spacing w:before="100" w:beforeAutospacing="1" w:after="100" w:afterAutospacing="1"/>
        <w:jc w:val="both"/>
        <w:rPr>
          <w:noProof/>
          <w:szCs w:val="24"/>
          <w:lang w:val="et-EE"/>
        </w:rPr>
      </w:pPr>
      <w:r>
        <w:rPr>
          <w:noProof/>
          <w:lang w:val="et-EE"/>
        </w:rPr>
        <w:t>Varasematel programmitööpeerioodidel ja käimasoleval programmitööperioodil on liit toetanud ettevõtjaid ja muid s</w:t>
      </w:r>
      <w:r>
        <w:rPr>
          <w:noProof/>
          <w:lang w:val="et-EE"/>
        </w:rPr>
        <w:t>ihtrühmi, eelkõige VKEsid, strateegilisi sektoreid, nagu teadusuuringud ja innovatsioon, materiaalne taristu ja energiatõhusus, sotsiaalne ettevõtlus, haridus ja kultuur, ning ELi-väliseid riike, pannes aluse nii mõnegi ettevõtja eduloole. Allpool on toodu</w:t>
      </w:r>
      <w:r>
        <w:rPr>
          <w:noProof/>
          <w:lang w:val="et-EE"/>
        </w:rPr>
        <w:t>d mõned näited.</w:t>
      </w:r>
    </w:p>
    <w:p w:rsidR="00BE70D4" w:rsidRDefault="003A3835">
      <w:pPr>
        <w:jc w:val="both"/>
        <w:rPr>
          <w:b/>
          <w:bCs/>
          <w:noProof/>
          <w:color w:val="000000" w:themeColor="text1"/>
          <w:u w:val="single"/>
          <w:lang w:val="et-EE"/>
        </w:rPr>
      </w:pPr>
      <w:r>
        <w:rPr>
          <w:b/>
          <w:noProof/>
          <w:u w:val="single"/>
          <w:lang w:val="et-EE"/>
        </w:rPr>
        <w:t>VKEd:</w:t>
      </w:r>
      <w:r>
        <w:rPr>
          <w:b/>
          <w:noProof/>
          <w:color w:val="000000"/>
          <w:lang w:val="et-EE"/>
        </w:rPr>
        <w:t xml:space="preserve"> </w:t>
      </w:r>
      <w:r>
        <w:rPr>
          <w:b/>
          <w:i/>
          <w:noProof/>
          <w:color w:val="000000"/>
          <w:lang w:val="et-EE"/>
        </w:rPr>
        <w:t>EFSI/COSME laenutagamisvahend</w:t>
      </w:r>
    </w:p>
    <w:p w:rsidR="00BE70D4" w:rsidRDefault="003A3835">
      <w:pPr>
        <w:pStyle w:val="ListParagraph"/>
        <w:numPr>
          <w:ilvl w:val="1"/>
          <w:numId w:val="41"/>
        </w:numPr>
        <w:spacing w:before="100" w:beforeAutospacing="1" w:after="100" w:afterAutospacing="1"/>
        <w:ind w:hanging="851"/>
        <w:jc w:val="both"/>
        <w:rPr>
          <w:rFonts w:eastAsia="Times New Roman"/>
          <w:noProof/>
          <w:szCs w:val="24"/>
          <w:lang w:val="et-EE" w:eastAsia="en-GB"/>
        </w:rPr>
      </w:pPr>
      <w:r>
        <w:rPr>
          <w:noProof/>
          <w:lang w:val="et-EE"/>
        </w:rPr>
        <w:t>Rahastus, mida toetatakse ELi COSME programmist (ettevõtete konkurentsivõime ning väikeste ja keskmise suurusega ettevõtjate programm, millega edendatakse kasvu suurema riskiga VKEde seas), on aidanud terase hulgimüügiga tegeleval Poola ettevõtjal Presto S</w:t>
      </w:r>
      <w:r>
        <w:rPr>
          <w:noProof/>
          <w:lang w:val="et-EE"/>
        </w:rPr>
        <w:t>talil hakata pakkuma uusi teenuseid. Põhja-Poolas Klawkowos asuva Presto Stali ärimudel keskendub kohalikule kliendibaasile. Hiljuti otsis ettevõtja võimalusi laiendada teenuste valikut, millega seoses osteti maad uue peakorteri ja töökoja jaoks. Selleks o</w:t>
      </w:r>
      <w:r>
        <w:rPr>
          <w:noProof/>
          <w:lang w:val="et-EE"/>
        </w:rPr>
        <w:t>li vaja suurt investeeringut, mida võimaldas COSME. ELi tagatud laenuga tagati kogu laienemisprojekti ajal ettevõtja rahaline stabiilsus ja nüüd rajatakse uute ehitiste vundamente. Selle tulemusel on Presto Stal palganud lisatööjõudu ning 2017. aastal ulat</w:t>
      </w:r>
      <w:r>
        <w:rPr>
          <w:noProof/>
          <w:lang w:val="et-EE"/>
        </w:rPr>
        <w:t xml:space="preserve">ub töötajate arv eeldatavasti kümneni. </w:t>
      </w:r>
      <w:hyperlink r:id="rId70">
        <w:r>
          <w:rPr>
            <w:rStyle w:val="Hyperlink"/>
            <w:noProof/>
            <w:lang w:val="et-EE"/>
          </w:rPr>
          <w:t>https://ec.europa.eu/commission/sites/beta-political/files/brochure-investment-plan-17x17-june</w:t>
        </w:r>
        <w:r>
          <w:rPr>
            <w:rStyle w:val="Hyperlink"/>
            <w:noProof/>
            <w:lang w:val="et-EE"/>
          </w:rPr>
          <w:t>17_en.pdf</w:t>
        </w:r>
      </w:hyperlink>
    </w:p>
    <w:p w:rsidR="00BE70D4" w:rsidRDefault="003A3835">
      <w:pPr>
        <w:spacing w:before="0" w:after="0"/>
        <w:jc w:val="both"/>
        <w:rPr>
          <w:b/>
          <w:bCs/>
          <w:noProof/>
          <w:color w:val="000000" w:themeColor="text1"/>
          <w:u w:val="single"/>
          <w:lang w:val="et-EE"/>
        </w:rPr>
      </w:pPr>
      <w:r>
        <w:rPr>
          <w:b/>
          <w:noProof/>
          <w:u w:val="single"/>
          <w:lang w:val="et-EE"/>
        </w:rPr>
        <w:t>Teadusuuringud ja innovatsioon:</w:t>
      </w:r>
      <w:r>
        <w:rPr>
          <w:b/>
          <w:noProof/>
          <w:color w:val="000000"/>
          <w:lang w:val="et-EE"/>
        </w:rPr>
        <w:t xml:space="preserve"> </w:t>
      </w:r>
      <w:r>
        <w:rPr>
          <w:b/>
          <w:i/>
          <w:noProof/>
          <w:color w:val="000000"/>
          <w:lang w:val="et-EE"/>
        </w:rPr>
        <w:t>EFSI / programm „Horisont 2020“ – InnovFini VKEde tagatissüsteem</w:t>
      </w:r>
    </w:p>
    <w:p w:rsidR="00BE70D4" w:rsidRDefault="003A3835">
      <w:pPr>
        <w:pStyle w:val="ListParagraph"/>
        <w:numPr>
          <w:ilvl w:val="1"/>
          <w:numId w:val="41"/>
        </w:numPr>
        <w:spacing w:before="100" w:beforeAutospacing="1" w:after="100" w:afterAutospacing="1"/>
        <w:ind w:left="709" w:hanging="709"/>
        <w:jc w:val="both"/>
        <w:rPr>
          <w:rFonts w:eastAsia="Times New Roman"/>
          <w:noProof/>
          <w:szCs w:val="24"/>
          <w:lang w:val="et-EE" w:eastAsia="en-GB"/>
        </w:rPr>
      </w:pPr>
      <w:r>
        <w:rPr>
          <w:noProof/>
          <w:lang w:val="et-EE"/>
        </w:rPr>
        <w:t>Sugugi mitte kõik ei saa teenida endale elatist tegevusega, mida nad kõige enam naudivad. Kuid Matthieu Gobbi ja Jérôme Giacomoni puhul on see just n</w:t>
      </w:r>
      <w:r>
        <w:rPr>
          <w:noProof/>
          <w:lang w:val="et-EE"/>
        </w:rPr>
        <w:t xml:space="preserve">ii. Õppides Pariisi mainekas õppeasutuses </w:t>
      </w:r>
      <w:r>
        <w:rPr>
          <w:i/>
          <w:noProof/>
          <w:lang w:val="et-EE"/>
        </w:rPr>
        <w:t>École Polytechnique</w:t>
      </w:r>
      <w:r>
        <w:rPr>
          <w:noProof/>
          <w:lang w:val="et-EE"/>
        </w:rPr>
        <w:t>,</w:t>
      </w:r>
      <w:r>
        <w:rPr>
          <w:i/>
          <w:noProof/>
          <w:lang w:val="et-EE"/>
        </w:rPr>
        <w:t xml:space="preserve"> </w:t>
      </w:r>
      <w:r>
        <w:rPr>
          <w:noProof/>
          <w:lang w:val="et-EE"/>
        </w:rPr>
        <w:t>otsustasid nad kujundada oma kirest aerostaatide ja kuumaõhupallide vastu karjääri. 1993. aastal rajasid need kaks tollal 25aastast inseneri ettevõtte Aerophile, mis keskendus maa külge ankurda</w:t>
      </w:r>
      <w:r>
        <w:rPr>
          <w:noProof/>
          <w:lang w:val="et-EE"/>
        </w:rPr>
        <w:t>tud heeliumiga täidetud õhupallide väljatöötamisele.</w:t>
      </w:r>
    </w:p>
    <w:p w:rsidR="00BE70D4" w:rsidRDefault="003A3835">
      <w:pPr>
        <w:pStyle w:val="ListParagraph"/>
        <w:spacing w:before="100" w:beforeAutospacing="1" w:after="100" w:afterAutospacing="1"/>
        <w:ind w:left="709"/>
        <w:jc w:val="both"/>
        <w:rPr>
          <w:rFonts w:eastAsia="Times New Roman"/>
          <w:noProof/>
          <w:szCs w:val="24"/>
          <w:lang w:val="et-EE" w:eastAsia="en-GB"/>
        </w:rPr>
      </w:pPr>
      <w:r>
        <w:rPr>
          <w:noProof/>
          <w:lang w:val="et-EE"/>
        </w:rPr>
        <w:t xml:space="preserve">Enam kui kakskümmend aastat hiljem on Aerophile’ist saanud märksa suurema ettevõtja Aerogroupe’i peamine tütarettevõtja. 110 töötaja ja muljet avaldavate kasvumääradega on Matthieu ja Jérôme – pakkudes </w:t>
      </w:r>
      <w:r>
        <w:rPr>
          <w:noProof/>
          <w:lang w:val="et-EE"/>
        </w:rPr>
        <w:t xml:space="preserve">erikujulisi õhupalle – teinud Aerophile’ist ankurdatud õhupallide turul üleilmse liidri. Ettevõtte tooted on nüüd </w:t>
      </w:r>
      <w:r>
        <w:rPr>
          <w:noProof/>
          <w:lang w:val="et-EE"/>
        </w:rPr>
        <w:lastRenderedPageBreak/>
        <w:t>kättesaadavad umbes 30 riigis üle kogu maailma, üks ettevõtte õhupallidest hõljus taevas isegi viimastel Rio de Janeiro olümpiamängudel.</w:t>
      </w:r>
    </w:p>
    <w:p w:rsidR="00BE70D4" w:rsidRDefault="003A3835">
      <w:pPr>
        <w:pStyle w:val="ListParagraph"/>
        <w:spacing w:before="100" w:beforeAutospacing="1" w:after="100" w:afterAutospacing="1"/>
        <w:ind w:left="709"/>
        <w:jc w:val="both"/>
        <w:rPr>
          <w:rFonts w:eastAsia="Times New Roman"/>
          <w:noProof/>
          <w:szCs w:val="24"/>
          <w:lang w:val="et-EE" w:eastAsia="en-GB"/>
        </w:rPr>
      </w:pPr>
      <w:r>
        <w:rPr>
          <w:noProof/>
          <w:lang w:val="et-EE"/>
        </w:rPr>
        <w:t>Ettev</w:t>
      </w:r>
      <w:r>
        <w:rPr>
          <w:noProof/>
          <w:lang w:val="et-EE"/>
        </w:rPr>
        <w:t>õtte arenedes sai Matthieule ja Jérôme’ile ühel hetkel siiski selgeks, et on aeg oma tootevalikut laiendada. Sellest saati on üks nende uuenduslikke ideid olnud luua „Aerobar“, esimene lendav baar, mis võimaldab tarbijal nautida oma jooki mitme meetri kõrg</w:t>
      </w:r>
      <w:r>
        <w:rPr>
          <w:noProof/>
          <w:lang w:val="et-EE"/>
        </w:rPr>
        <w:t>usel õhus, ent samuti avada lõbustuspark „le Parc du Petit Prince“, mis põhineb Antoine de Saint-Exupéry teosel „Väike prints“.</w:t>
      </w:r>
    </w:p>
    <w:p w:rsidR="00BE70D4" w:rsidRDefault="003A3835">
      <w:pPr>
        <w:pStyle w:val="ListParagraph"/>
        <w:spacing w:before="100" w:beforeAutospacing="1" w:after="100" w:afterAutospacing="1"/>
        <w:ind w:left="709"/>
        <w:jc w:val="both"/>
        <w:rPr>
          <w:rFonts w:eastAsia="Times New Roman"/>
          <w:noProof/>
          <w:szCs w:val="24"/>
          <w:lang w:val="et-EE" w:eastAsia="en-GB"/>
        </w:rPr>
      </w:pPr>
      <w:r>
        <w:rPr>
          <w:noProof/>
          <w:lang w:val="et-EE"/>
        </w:rPr>
        <w:t>Et toetada oma ettevõtte kasvu, on Matthieu ja Jérôme taganud Euroopa investeerimiskava esimese samba EFSI raames ühe EIFi tagat</w:t>
      </w:r>
      <w:r>
        <w:rPr>
          <w:noProof/>
          <w:lang w:val="et-EE"/>
        </w:rPr>
        <w:t xml:space="preserve">isega võlakirja. Seega on </w:t>
      </w:r>
      <w:r>
        <w:rPr>
          <w:noProof/>
          <w:u w:val="single"/>
          <w:lang w:val="et-EE"/>
        </w:rPr>
        <w:t>Euroopa investeerimiskava – ELi algatus, mille eesmärk on tekitada uuenduslike väikeste ja keskmise suurusega ettevõtjate toetamise kaudu koos InnovFin SMEGiga Euroopas uusi investeeringuid</w:t>
      </w:r>
      <w:r>
        <w:rPr>
          <w:noProof/>
          <w:lang w:val="et-EE"/>
        </w:rPr>
        <w:t> – olnud Matthieule ja Jérôme’ile otsesel</w:t>
      </w:r>
      <w:r>
        <w:rPr>
          <w:noProof/>
          <w:lang w:val="et-EE"/>
        </w:rPr>
        <w:t>t toeks nende viimaste äriplaanide elluviimisel ja ligikaudu saja hooajalise töökoha loomisel.</w:t>
      </w:r>
    </w:p>
    <w:p w:rsidR="00BE70D4" w:rsidRDefault="003A3835">
      <w:pPr>
        <w:pStyle w:val="ListParagraph"/>
        <w:spacing w:before="100" w:beforeAutospacing="1" w:after="100" w:afterAutospacing="1"/>
        <w:ind w:left="709"/>
        <w:jc w:val="both"/>
        <w:rPr>
          <w:rFonts w:eastAsia="Times New Roman"/>
          <w:noProof/>
          <w:szCs w:val="24"/>
          <w:lang w:val="et-EE" w:eastAsia="en-GB"/>
        </w:rPr>
      </w:pPr>
      <w:hyperlink r:id="rId71" w:history="1">
        <w:r>
          <w:rPr>
            <w:rStyle w:val="Hyperlink"/>
            <w:rFonts w:eastAsia="Times New Roman"/>
            <w:noProof/>
            <w:szCs w:val="24"/>
            <w:lang w:val="et-EE" w:eastAsia="en-GB"/>
          </w:rPr>
          <w:t>http://www.eif.org/what_we_do/guarantees/case-</w:t>
        </w:r>
        <w:r>
          <w:rPr>
            <w:rStyle w:val="Hyperlink"/>
            <w:rFonts w:eastAsia="Times New Roman"/>
            <w:noProof/>
            <w:szCs w:val="24"/>
            <w:lang w:val="et-EE" w:eastAsia="en-GB"/>
          </w:rPr>
          <w:t>studies/efsi_innovfin_aerogroupe_france.htm?lang=-en</w:t>
        </w:r>
      </w:hyperlink>
    </w:p>
    <w:p w:rsidR="00BE70D4" w:rsidRDefault="003A3835">
      <w:pPr>
        <w:spacing w:before="0" w:after="0"/>
        <w:jc w:val="both"/>
        <w:rPr>
          <w:b/>
          <w:bCs/>
          <w:noProof/>
          <w:color w:val="000000" w:themeColor="text1"/>
          <w:u w:val="single"/>
          <w:lang w:val="et-EE"/>
        </w:rPr>
      </w:pPr>
      <w:r>
        <w:rPr>
          <w:b/>
          <w:noProof/>
          <w:u w:val="single"/>
          <w:lang w:val="et-EE"/>
        </w:rPr>
        <w:t>Taristu ja energiatõhusus:</w:t>
      </w:r>
      <w:r>
        <w:rPr>
          <w:b/>
          <w:noProof/>
          <w:color w:val="000000"/>
          <w:lang w:val="et-EE"/>
        </w:rPr>
        <w:t xml:space="preserve"> </w:t>
      </w:r>
      <w:r>
        <w:rPr>
          <w:b/>
          <w:i/>
          <w:noProof/>
          <w:color w:val="000000"/>
          <w:lang w:val="et-EE"/>
        </w:rPr>
        <w:t>2020. aasta Euroopa energeetika, kliimamuutuste ja infrastruktuuride fond (Marguerite’i fond)</w:t>
      </w:r>
      <w:r>
        <w:rPr>
          <w:b/>
          <w:bCs/>
          <w:noProof/>
          <w:color w:val="000000" w:themeColor="text1"/>
          <w:u w:val="single"/>
          <w:lang w:val="et-EE"/>
        </w:rPr>
        <w:t xml:space="preserve"> </w:t>
      </w:r>
    </w:p>
    <w:p w:rsidR="00BE70D4" w:rsidRDefault="003A3835">
      <w:pPr>
        <w:pStyle w:val="ListParagraph"/>
        <w:numPr>
          <w:ilvl w:val="1"/>
          <w:numId w:val="41"/>
        </w:numPr>
        <w:spacing w:before="100" w:beforeAutospacing="1" w:after="100" w:afterAutospacing="1"/>
        <w:ind w:left="709" w:hanging="709"/>
        <w:jc w:val="both"/>
        <w:rPr>
          <w:rFonts w:eastAsia="Times New Roman"/>
          <w:noProof/>
          <w:szCs w:val="24"/>
          <w:lang w:val="et-EE" w:eastAsia="en-GB"/>
        </w:rPr>
      </w:pPr>
      <w:r>
        <w:rPr>
          <w:noProof/>
          <w:lang w:val="et-EE"/>
        </w:rPr>
        <w:t xml:space="preserve">Marguerite’i fondi kaudu antud liidu toetusega toetati (muu hulgas) 29 % suuruse </w:t>
      </w:r>
      <w:r>
        <w:rPr>
          <w:noProof/>
          <w:lang w:val="et-EE"/>
        </w:rPr>
        <w:t>osaluse soetamist ettevõtjas AS Latvijas Gāze (edaspidi „LG“), vertikaalselt integreeritud gaasiettevõtjas, kes vastutab maagaasi ülekandmise, jaotamise, hoiustamise ja tarnimise eest Lätis. LG käitab ja hooldab Läti gaasi ülekande- ja jaotustorustikku nin</w:t>
      </w:r>
      <w:r>
        <w:rPr>
          <w:noProof/>
          <w:lang w:val="et-EE"/>
        </w:rPr>
        <w:t>g Inčukalnsis asuvat maa-alust gaasihoidlat, mis on ELi suuruselt kolmas hoidla ja strateegiline vara Baltimaade gaasivarustuskindluse seisukohast. Samuti tagab LG maagaasi tarned enam kui 400 000 kodukliendile ning tarnib gaasi klientidele Eestis, Loode-V</w:t>
      </w:r>
      <w:r>
        <w:rPr>
          <w:noProof/>
          <w:lang w:val="et-EE"/>
        </w:rPr>
        <w:t>enemaal ja Leedus. Ettevõtja toetab kaht ühist huvi pakkuvat projekti, millega parandatakse piirkondlikku gaasivarustuskindlust.</w:t>
      </w:r>
    </w:p>
    <w:p w:rsidR="00BE70D4" w:rsidRDefault="003A3835">
      <w:pPr>
        <w:pStyle w:val="ListParagraph"/>
        <w:spacing w:before="100" w:beforeAutospacing="1" w:after="100" w:afterAutospacing="1"/>
        <w:ind w:left="709"/>
        <w:jc w:val="both"/>
        <w:rPr>
          <w:rFonts w:eastAsia="Times New Roman"/>
          <w:noProof/>
          <w:lang w:val="et-EE" w:eastAsia="en-GB"/>
        </w:rPr>
      </w:pPr>
      <w:hyperlink r:id="rId72" w:history="1">
        <w:r>
          <w:rPr>
            <w:rStyle w:val="Hyperlink"/>
            <w:rFonts w:eastAsia="Times New Roman"/>
            <w:noProof/>
            <w:szCs w:val="24"/>
            <w:lang w:val="et-EE" w:eastAsia="en-GB"/>
          </w:rPr>
          <w:t>http://www.reuters.com/article/lat</w:t>
        </w:r>
        <w:r>
          <w:rPr>
            <w:rStyle w:val="Hyperlink"/>
            <w:rFonts w:eastAsia="Times New Roman"/>
            <w:noProof/>
            <w:szCs w:val="24"/>
            <w:lang w:val="et-EE" w:eastAsia="en-GB"/>
          </w:rPr>
          <w:t>vijas-gaze-ma-marguerite-eon-idUSL8N15C3D3</w:t>
        </w:r>
      </w:hyperlink>
    </w:p>
    <w:p w:rsidR="00BE70D4" w:rsidRDefault="003A3835">
      <w:pPr>
        <w:spacing w:before="0" w:after="0"/>
        <w:jc w:val="both"/>
        <w:rPr>
          <w:b/>
          <w:bCs/>
          <w:noProof/>
          <w:color w:val="000000" w:themeColor="text1"/>
          <w:u w:val="single"/>
          <w:lang w:val="et-EE"/>
        </w:rPr>
      </w:pPr>
      <w:r>
        <w:rPr>
          <w:b/>
          <w:noProof/>
          <w:u w:val="single"/>
          <w:lang w:val="et-EE"/>
        </w:rPr>
        <w:t>Taristu ja energiatõhusus:</w:t>
      </w:r>
      <w:r>
        <w:rPr>
          <w:b/>
          <w:noProof/>
          <w:color w:val="000000"/>
          <w:lang w:val="et-EE"/>
        </w:rPr>
        <w:t xml:space="preserve"> </w:t>
      </w:r>
      <w:r>
        <w:rPr>
          <w:b/>
          <w:i/>
          <w:noProof/>
          <w:color w:val="000000"/>
          <w:lang w:val="et-EE"/>
        </w:rPr>
        <w:t>energiatõhususe vahendite erasektoripoolne rahastamine</w:t>
      </w:r>
      <w:r>
        <w:rPr>
          <w:b/>
          <w:noProof/>
          <w:color w:val="000000"/>
          <w:u w:val="single"/>
          <w:lang w:val="et-EE"/>
        </w:rPr>
        <w:t xml:space="preserve"> </w:t>
      </w:r>
      <w:r>
        <w:rPr>
          <w:b/>
          <w:i/>
          <w:noProof/>
          <w:color w:val="000000"/>
          <w:lang w:val="et-EE"/>
        </w:rPr>
        <w:t>(PF4EE)</w:t>
      </w:r>
    </w:p>
    <w:p w:rsidR="00BE70D4" w:rsidRDefault="003A3835">
      <w:pPr>
        <w:pStyle w:val="ListParagraph"/>
        <w:numPr>
          <w:ilvl w:val="1"/>
          <w:numId w:val="41"/>
        </w:numPr>
        <w:spacing w:before="100" w:beforeAutospacing="1" w:after="100" w:afterAutospacing="1"/>
        <w:ind w:left="709" w:hanging="709"/>
        <w:jc w:val="both"/>
        <w:rPr>
          <w:rFonts w:eastAsia="Times New Roman"/>
          <w:b/>
          <w:noProof/>
          <w:lang w:val="et-EE" w:eastAsia="en-GB"/>
        </w:rPr>
      </w:pPr>
      <w:r>
        <w:rPr>
          <w:noProof/>
          <w:lang w:val="et-EE"/>
        </w:rPr>
        <w:t>Tšehhi Komercni Banka oli esimene finantsvahendaja, kes allkirjastas PF4EE lepingu. Üks selle tulemusel ellu viidud projekt</w:t>
      </w:r>
      <w:r>
        <w:rPr>
          <w:noProof/>
          <w:lang w:val="et-EE"/>
        </w:rPr>
        <w:t xml:space="preserve"> oli ühe VKE pagaritöökoja küttesüsteemi, seinaisolatsiooni ja akende optimeerimine. Projekti kogukulud olid ligikaudu 300 000 eurot, millest 20 % kaeti PF4EE kaudu, ja tulemuseks oli energiasääst laias laastus 60 000 eurot aastas.</w:t>
      </w:r>
    </w:p>
    <w:p w:rsidR="00BE70D4" w:rsidRDefault="003A3835">
      <w:pPr>
        <w:pStyle w:val="Heading2"/>
        <w:rPr>
          <w:noProof/>
          <w:lang w:val="et-EE"/>
        </w:rPr>
      </w:pPr>
      <w:bookmarkStart w:id="66" w:name="_Toc493239203"/>
      <w:bookmarkStart w:id="67" w:name="_Toc493257127"/>
      <w:r>
        <w:rPr>
          <w:noProof/>
          <w:lang w:val="et-EE"/>
        </w:rPr>
        <w:t>KOKKUVÕTE</w:t>
      </w:r>
      <w:bookmarkEnd w:id="66"/>
      <w:bookmarkEnd w:id="67"/>
    </w:p>
    <w:p w:rsidR="00BE70D4" w:rsidRDefault="003A3835">
      <w:pPr>
        <w:spacing w:before="0" w:after="240"/>
        <w:jc w:val="both"/>
        <w:rPr>
          <w:noProof/>
          <w:lang w:val="et-EE"/>
        </w:rPr>
      </w:pPr>
      <w:r>
        <w:rPr>
          <w:noProof/>
          <w:lang w:val="et-EE"/>
        </w:rPr>
        <w:t>ELi rahastamis</w:t>
      </w:r>
      <w:r>
        <w:rPr>
          <w:noProof/>
          <w:lang w:val="et-EE"/>
        </w:rPr>
        <w:t>vahendid on osutunud efektiivseks (nt vahendite suunamise seisukohast) ja kulutõhusaks (nt võimenduse seisukohast) tegelemisel probleemidega, millega ELi majandus seisab jätkuvalt silmitsi seoses piisava juurdepääsuga mõistlikel tingimustel pakutavale raha</w:t>
      </w:r>
      <w:r>
        <w:rPr>
          <w:noProof/>
          <w:lang w:val="et-EE"/>
        </w:rPr>
        <w:t xml:space="preserve">stamisele. Rahastamisvahendid võimaldavad laiendada ELi eelarvevahendite suunamist </w:t>
      </w:r>
      <w:r>
        <w:rPr>
          <w:noProof/>
          <w:lang w:val="et-EE"/>
        </w:rPr>
        <w:lastRenderedPageBreak/>
        <w:t>reaalmajandusse. Komisjon kaalub – eelkõige oma peatsete järgmist mitmeaastast finantsraamistikku käsitlevate ettepanekute raames – hoolikalt võimalust hoogustada turul esin</w:t>
      </w:r>
      <w:r>
        <w:rPr>
          <w:noProof/>
          <w:lang w:val="et-EE"/>
        </w:rPr>
        <w:t>evate tühimike täitmiseks või mitteoptimaalsete investeerimisolukordade lahendamiseks olemasolevate rahastamisvahendite kasutamist või võtta kasutusele uued, kui turupõhine rahastamine ELi tagatise, omakapitaliinvesteeringu või muu riskijagamise kokkuleppe</w:t>
      </w:r>
      <w:r>
        <w:rPr>
          <w:noProof/>
          <w:lang w:val="et-EE"/>
        </w:rPr>
        <w:t xml:space="preserve">ga tundub olevat kõige sobivam vorm ELi toetuse andmiseks. </w:t>
      </w:r>
    </w:p>
    <w:p w:rsidR="00BE70D4" w:rsidRDefault="003A3835">
      <w:pPr>
        <w:spacing w:before="0" w:after="240"/>
        <w:jc w:val="both"/>
        <w:rPr>
          <w:noProof/>
          <w:lang w:val="et-EE"/>
        </w:rPr>
      </w:pPr>
      <w:r>
        <w:rPr>
          <w:noProof/>
          <w:lang w:val="et-EE"/>
        </w:rPr>
        <w:t>Kuigi jätkuvalt on vaja sellist rahalist toetust, mida ei tule tagasi maksta, võivad mõnes poliitikavaldkonnas olla asjakohasemaks ja kulutõhusamaks lahenduseks uuenduslikud rahastamisvahendid ja/</w:t>
      </w:r>
      <w:r>
        <w:rPr>
          <w:noProof/>
          <w:lang w:val="et-EE"/>
        </w:rPr>
        <w:t>või EFSI-sarnased eelarvelised tagatised. Aruteludokumendis ELi rahanduse tuleviku kohta tuletatakse meelde, et riskijagamisvahendid võivad täita tulevikus eelarve täitmisel olulist rolli selles, et EL suudaks saavutada vähemaga rohkem ja kasutada ELi eela</w:t>
      </w:r>
      <w:r>
        <w:rPr>
          <w:noProof/>
          <w:lang w:val="et-EE"/>
        </w:rPr>
        <w:t>rve puhul finantsvõimendust, eriti ajal, mil kehtivad eelarvepiirangud</w:t>
      </w:r>
      <w:r>
        <w:rPr>
          <w:rStyle w:val="FootnoteReference"/>
          <w:noProof/>
          <w:lang w:val="et-EE"/>
        </w:rPr>
        <w:footnoteReference w:id="28"/>
      </w:r>
      <w:r>
        <w:rPr>
          <w:noProof/>
          <w:lang w:val="et-EE"/>
        </w:rPr>
        <w:t>.</w:t>
      </w:r>
    </w:p>
    <w:p w:rsidR="00BE70D4" w:rsidRDefault="003A3835">
      <w:pPr>
        <w:spacing w:before="0" w:after="240"/>
        <w:jc w:val="both"/>
        <w:rPr>
          <w:noProof/>
          <w:lang w:val="et-EE"/>
        </w:rPr>
      </w:pPr>
      <w:r>
        <w:rPr>
          <w:noProof/>
          <w:lang w:val="et-EE"/>
        </w:rPr>
        <w:t>Samuti, samal ajal kui rahastamisvahenditele eraldatavate eelarvevahendite mahu suurendamine on igati põhjendatud, hindab komisjon seda, mil määral oleks võimalik vähendada praegust s</w:t>
      </w:r>
      <w:r>
        <w:rPr>
          <w:noProof/>
          <w:lang w:val="et-EE"/>
        </w:rPr>
        <w:t xml:space="preserve">uurt rahastamisvahendite arvu. Nagu on öeldud nimetatud aruteludokumendis, on üks võimalus selle probleemi lahendamiseks rahastamisvahendite liitmine üheks fondiks, kus on võimalik vahendeid omavahel kombineerida ja kus lähtutakse eri poliitikavaldkondade </w:t>
      </w:r>
      <w:r>
        <w:rPr>
          <w:noProof/>
          <w:lang w:val="et-EE"/>
        </w:rPr>
        <w:t>võimalustest</w:t>
      </w:r>
      <w:r>
        <w:rPr>
          <w:rStyle w:val="FootnoteReference"/>
          <w:noProof/>
          <w:lang w:val="et-EE"/>
        </w:rPr>
        <w:footnoteReference w:id="29"/>
      </w:r>
      <w:r>
        <w:rPr>
          <w:noProof/>
          <w:lang w:val="et-EE"/>
        </w:rPr>
        <w:t>. Nagu on näha diagrammil 1, on 35st olemasolevast rahastamisvahendist mitme puhul sihikule võetud samad valdkonnad, millega võib tekkida kattuvusi, mis võivad põhjustada segadust toetusesaajate seas ja tarbetut halduskoormust.</w:t>
      </w:r>
    </w:p>
    <w:p w:rsidR="00BE70D4" w:rsidRDefault="003A3835">
      <w:pPr>
        <w:spacing w:before="0" w:after="240"/>
        <w:jc w:val="both"/>
        <w:rPr>
          <w:noProof/>
          <w:lang w:val="et-EE"/>
        </w:rPr>
      </w:pPr>
      <w:r>
        <w:rPr>
          <w:noProof/>
          <w:lang w:val="et-EE"/>
        </w:rPr>
        <w:t>Asjakohast tähe</w:t>
      </w:r>
      <w:r>
        <w:rPr>
          <w:noProof/>
          <w:lang w:val="et-EE"/>
        </w:rPr>
        <w:t>lepanu pööratakse ka selle tagamisele, et projektiedendajatel ja rahastamisvahendite sihtrühma kuuluvatel toetusesaajatel on eri kanalite, näiteks VKEde rahastamisvõimalusi koondava portaali</w:t>
      </w:r>
      <w:r>
        <w:rPr>
          <w:rStyle w:val="FootnoteReference"/>
          <w:noProof/>
          <w:lang w:val="et-EE"/>
        </w:rPr>
        <w:footnoteReference w:id="30"/>
      </w:r>
      <w:r>
        <w:rPr>
          <w:noProof/>
          <w:lang w:val="et-EE"/>
        </w:rPr>
        <w:t xml:space="preserve"> kaudu juurdepääs ELi toetatavat rahastamist käsitlevale teabele.</w:t>
      </w:r>
      <w:r>
        <w:rPr>
          <w:noProof/>
          <w:lang w:val="et-EE"/>
        </w:rPr>
        <w:t xml:space="preserve"> </w:t>
      </w:r>
    </w:p>
    <w:p w:rsidR="00BE70D4" w:rsidRDefault="003A3835">
      <w:pPr>
        <w:spacing w:before="0" w:after="240"/>
        <w:jc w:val="both"/>
        <w:rPr>
          <w:noProof/>
          <w:lang w:val="et-EE"/>
        </w:rPr>
      </w:pPr>
      <w:r>
        <w:rPr>
          <w:noProof/>
          <w:lang w:val="et-EE"/>
        </w:rPr>
        <w:t>Samal ajal püüab komisjon endiselt leida õige tasakaalu, kandes hoolt asjakohase vastutuse, aruandluse, järelevalve ja auditeerimise eest, eesmärgiga saavutada rahastamisvahendite võimalikult tõhus ja tulemuslik rakendamine. Ehkki praegune 2014.–2020. aa</w:t>
      </w:r>
      <w:r>
        <w:rPr>
          <w:noProof/>
          <w:lang w:val="et-EE"/>
        </w:rPr>
        <w:t xml:space="preserve">sta vahendite rakendamise raamistik hõlmab tehnilisi nõudeid, läbipaistvust, sisekontrolli, auditit ja aruandlust käsitlevaid rangeid sätteid, tuleks õigusraamistik korrapäraselt läbi vaadata, et veelgi vähendada bürokraatiat, lihtsustada rakendamist ning </w:t>
      </w:r>
      <w:r>
        <w:rPr>
          <w:noProof/>
          <w:lang w:val="et-EE"/>
        </w:rPr>
        <w:t xml:space="preserve">viia rahastamisvahendite ülesehitus vastavusse kõige tõhusamate ja ajakohasemate turutavadega. </w:t>
      </w:r>
    </w:p>
    <w:p w:rsidR="00BE70D4" w:rsidRDefault="003A3835">
      <w:pPr>
        <w:spacing w:before="0" w:after="240"/>
        <w:jc w:val="both"/>
        <w:rPr>
          <w:noProof/>
          <w:lang w:val="et-EE"/>
        </w:rPr>
      </w:pPr>
      <w:r>
        <w:rPr>
          <w:noProof/>
          <w:lang w:val="et-EE"/>
        </w:rPr>
        <w:t>Komisjon korraldab valdkondlikele õiguslikele alustele tuginedes eri vahendite vahehindamisi. Komisjoni ettepanekus finantsmääruse läbivaatamise kohta, mida pra</w:t>
      </w:r>
      <w:r>
        <w:rPr>
          <w:noProof/>
          <w:lang w:val="et-EE"/>
        </w:rPr>
        <w:t xml:space="preserve">egu arutatakse Euroopa Parlamendi ja nõukoguga, tuginetakse saadud kogemustele, valmistades </w:t>
      </w:r>
      <w:r>
        <w:rPr>
          <w:noProof/>
          <w:lang w:val="et-EE"/>
        </w:rPr>
        <w:lastRenderedPageBreak/>
        <w:t>ette pinda järgmise põlvkonna rahastamisvahenditele ja eelarvelistele tagatistele eesmärgiga luua vahendite rakendamiseks kõige asjakohasem õiguskeskkond, mis võima</w:t>
      </w:r>
      <w:r>
        <w:rPr>
          <w:noProof/>
          <w:lang w:val="et-EE"/>
        </w:rPr>
        <w:t>ldab saavutada kokkulepitud poliitikaeesmärgid.</w:t>
      </w:r>
    </w:p>
    <w:p w:rsidR="00BE70D4" w:rsidRDefault="00BE70D4">
      <w:pPr>
        <w:spacing w:before="0" w:after="0" w:line="240" w:lineRule="auto"/>
        <w:rPr>
          <w:noProof/>
          <w:lang w:val="et-EE"/>
        </w:rPr>
      </w:pPr>
      <w:bookmarkStart w:id="68" w:name="_Toc430097288"/>
      <w:bookmarkStart w:id="69" w:name="_Toc430097294"/>
      <w:bookmarkStart w:id="70" w:name="_Toc430097296"/>
      <w:bookmarkStart w:id="71" w:name="_Toc430097298"/>
      <w:bookmarkStart w:id="72" w:name="_Toc430097300"/>
      <w:bookmarkStart w:id="73" w:name="_Toc430097301"/>
      <w:bookmarkStart w:id="74" w:name="_Toc430097302"/>
      <w:bookmarkStart w:id="75" w:name="_Toc430097305"/>
      <w:bookmarkStart w:id="76" w:name="_Toc430097307"/>
      <w:bookmarkEnd w:id="5"/>
      <w:bookmarkEnd w:id="6"/>
      <w:bookmarkEnd w:id="7"/>
      <w:bookmarkEnd w:id="8"/>
      <w:bookmarkEnd w:id="68"/>
      <w:bookmarkEnd w:id="69"/>
      <w:bookmarkEnd w:id="70"/>
      <w:bookmarkEnd w:id="71"/>
      <w:bookmarkEnd w:id="72"/>
      <w:bookmarkEnd w:id="73"/>
      <w:bookmarkEnd w:id="74"/>
      <w:bookmarkEnd w:id="75"/>
      <w:bookmarkEnd w:id="76"/>
    </w:p>
    <w:p w:rsidR="00BE70D4" w:rsidRDefault="003A3835">
      <w:pPr>
        <w:spacing w:before="0" w:after="0" w:line="240" w:lineRule="auto"/>
        <w:rPr>
          <w:b/>
          <w:noProof/>
          <w:szCs w:val="24"/>
          <w:lang w:val="et-EE"/>
        </w:rPr>
      </w:pPr>
      <w:r>
        <w:rPr>
          <w:b/>
          <w:noProof/>
          <w:lang w:val="et-EE"/>
        </w:rPr>
        <w:t>RAHASTAMISVAHENDITE LÜHINIMETUSED</w:t>
      </w:r>
    </w:p>
    <w:p w:rsidR="00BE70D4" w:rsidRDefault="00BE70D4">
      <w:pPr>
        <w:spacing w:before="0" w:after="0" w:line="240" w:lineRule="auto"/>
        <w:rPr>
          <w:b/>
          <w:noProof/>
          <w:szCs w:val="24"/>
          <w:lang w:val="et-EE"/>
        </w:rPr>
      </w:pPr>
    </w:p>
    <w:p w:rsidR="00BE70D4" w:rsidRDefault="003A3835">
      <w:pPr>
        <w:spacing w:before="0" w:after="0" w:line="240" w:lineRule="auto"/>
        <w:ind w:left="2160" w:hanging="2160"/>
        <w:contextualSpacing/>
        <w:rPr>
          <w:noProof/>
          <w:szCs w:val="24"/>
          <w:lang w:val="et-EE"/>
        </w:rPr>
      </w:pPr>
      <w:r>
        <w:rPr>
          <w:b/>
          <w:noProof/>
          <w:lang w:val="et-EE"/>
        </w:rPr>
        <w:t>CCS-GF</w:t>
      </w:r>
      <w:r>
        <w:rPr>
          <w:noProof/>
          <w:lang w:val="et-EE"/>
        </w:rPr>
        <w:t xml:space="preserve"> </w:t>
      </w:r>
      <w:r>
        <w:rPr>
          <w:noProof/>
          <w:lang w:val="et-EE"/>
        </w:rPr>
        <w:tab/>
        <w:t>Kultuuri- ja loomesektori tagatisvahend</w:t>
      </w:r>
    </w:p>
    <w:p w:rsidR="00BE70D4" w:rsidRDefault="003A3835">
      <w:pPr>
        <w:spacing w:before="0" w:after="0" w:line="240" w:lineRule="auto"/>
        <w:ind w:left="2160" w:hanging="2160"/>
        <w:contextualSpacing/>
        <w:rPr>
          <w:b/>
          <w:noProof/>
          <w:szCs w:val="24"/>
          <w:lang w:val="et-EE"/>
        </w:rPr>
      </w:pPr>
      <w:r>
        <w:rPr>
          <w:b/>
          <w:noProof/>
          <w:lang w:val="et-EE"/>
        </w:rPr>
        <w:t xml:space="preserve">CEF </w:t>
      </w:r>
      <w:r>
        <w:rPr>
          <w:noProof/>
          <w:lang w:val="et-EE"/>
        </w:rPr>
        <w:tab/>
        <w:t>Euroopa ühendamise rahastu</w:t>
      </w:r>
    </w:p>
    <w:p w:rsidR="00BE70D4" w:rsidRDefault="003A3835">
      <w:pPr>
        <w:spacing w:before="0" w:after="0" w:line="240" w:lineRule="auto"/>
        <w:ind w:left="2160" w:hanging="2160"/>
        <w:contextualSpacing/>
        <w:rPr>
          <w:noProof/>
          <w:szCs w:val="24"/>
          <w:lang w:val="et-EE"/>
        </w:rPr>
      </w:pPr>
      <w:r>
        <w:rPr>
          <w:b/>
          <w:noProof/>
          <w:lang w:val="et-EE"/>
        </w:rPr>
        <w:t>CEF DI</w:t>
      </w:r>
      <w:r>
        <w:rPr>
          <w:noProof/>
          <w:lang w:val="et-EE"/>
        </w:rPr>
        <w:t xml:space="preserve"> </w:t>
      </w:r>
      <w:r>
        <w:rPr>
          <w:noProof/>
          <w:lang w:val="et-EE"/>
        </w:rPr>
        <w:tab/>
        <w:t>Euroopa ühendamise rahastu riskijagamise võlainstrument</w:t>
      </w:r>
    </w:p>
    <w:p w:rsidR="00BE70D4" w:rsidRDefault="003A3835">
      <w:pPr>
        <w:spacing w:before="0" w:after="0" w:line="240" w:lineRule="auto"/>
        <w:ind w:left="2160" w:hanging="2160"/>
        <w:contextualSpacing/>
        <w:rPr>
          <w:noProof/>
          <w:szCs w:val="24"/>
          <w:lang w:val="et-EE"/>
        </w:rPr>
      </w:pPr>
      <w:r>
        <w:rPr>
          <w:b/>
          <w:noProof/>
          <w:lang w:val="et-EE"/>
        </w:rPr>
        <w:t xml:space="preserve">CEFi omakapitaliinstrument </w:t>
      </w:r>
      <w:r>
        <w:rPr>
          <w:noProof/>
          <w:lang w:val="et-EE"/>
        </w:rPr>
        <w:tab/>
      </w:r>
      <w:r>
        <w:rPr>
          <w:noProof/>
          <w:lang w:val="et-EE"/>
        </w:rPr>
        <w:t>Euroopa ühendamise rahastu omakapitaliinstrument</w:t>
      </w:r>
    </w:p>
    <w:p w:rsidR="00BE70D4" w:rsidRDefault="003A3835">
      <w:pPr>
        <w:spacing w:before="0" w:after="0" w:line="240" w:lineRule="auto"/>
        <w:ind w:left="2160" w:hanging="2160"/>
        <w:contextualSpacing/>
        <w:rPr>
          <w:b/>
          <w:noProof/>
          <w:szCs w:val="24"/>
          <w:lang w:val="et-EE"/>
        </w:rPr>
      </w:pPr>
      <w:r>
        <w:rPr>
          <w:b/>
          <w:noProof/>
          <w:lang w:val="et-EE"/>
        </w:rPr>
        <w:t xml:space="preserve">CIP </w:t>
      </w:r>
      <w:r>
        <w:rPr>
          <w:noProof/>
          <w:lang w:val="et-EE"/>
        </w:rPr>
        <w:tab/>
        <w:t>Konkurentsivõime ja uuendustegevuse raamprogramm</w:t>
      </w:r>
    </w:p>
    <w:p w:rsidR="00BE70D4" w:rsidRDefault="003A3835">
      <w:pPr>
        <w:spacing w:before="0" w:after="0" w:line="240" w:lineRule="auto"/>
        <w:ind w:left="2160" w:hanging="2160"/>
        <w:contextualSpacing/>
        <w:rPr>
          <w:b/>
          <w:noProof/>
          <w:szCs w:val="24"/>
          <w:lang w:val="et-EE"/>
        </w:rPr>
      </w:pPr>
      <w:r>
        <w:rPr>
          <w:b/>
          <w:noProof/>
          <w:lang w:val="et-EE"/>
        </w:rPr>
        <w:t>COSME</w:t>
      </w:r>
      <w:r>
        <w:rPr>
          <w:noProof/>
          <w:lang w:val="et-EE"/>
        </w:rPr>
        <w:t xml:space="preserve"> </w:t>
      </w:r>
      <w:r>
        <w:rPr>
          <w:noProof/>
          <w:lang w:val="et-EE"/>
        </w:rPr>
        <w:tab/>
        <w:t>Ettevõtete konkurentsivõime ning väikeste ja keskmise suurusega ettevõtjate programm</w:t>
      </w:r>
    </w:p>
    <w:p w:rsidR="00BE70D4" w:rsidRDefault="003A3835">
      <w:pPr>
        <w:spacing w:before="0" w:after="0" w:line="240" w:lineRule="auto"/>
        <w:ind w:left="2160" w:hanging="2160"/>
        <w:contextualSpacing/>
        <w:rPr>
          <w:noProof/>
          <w:szCs w:val="24"/>
          <w:lang w:val="et-EE"/>
        </w:rPr>
      </w:pPr>
      <w:r>
        <w:rPr>
          <w:b/>
          <w:noProof/>
          <w:lang w:val="et-EE"/>
        </w:rPr>
        <w:t>EaSI-CBI</w:t>
      </w:r>
      <w:r>
        <w:rPr>
          <w:noProof/>
          <w:lang w:val="et-EE"/>
        </w:rPr>
        <w:tab/>
        <w:t>Tööhõive ja sotsiaalse innovatsiooni programmi suutl</w:t>
      </w:r>
      <w:r>
        <w:rPr>
          <w:noProof/>
          <w:lang w:val="et-EE"/>
        </w:rPr>
        <w:t>ikkuse suurendamise investeeringud</w:t>
      </w:r>
    </w:p>
    <w:p w:rsidR="00BE70D4" w:rsidRDefault="003A3835">
      <w:pPr>
        <w:spacing w:before="0" w:after="0" w:line="240" w:lineRule="auto"/>
        <w:ind w:left="2160" w:hanging="2160"/>
        <w:contextualSpacing/>
        <w:rPr>
          <w:noProof/>
          <w:szCs w:val="24"/>
          <w:lang w:val="et-EE"/>
        </w:rPr>
      </w:pPr>
      <w:r>
        <w:rPr>
          <w:b/>
          <w:noProof/>
          <w:lang w:val="et-EE"/>
        </w:rPr>
        <w:t>EaSI-G</w:t>
      </w:r>
      <w:r>
        <w:rPr>
          <w:noProof/>
          <w:lang w:val="et-EE"/>
        </w:rPr>
        <w:t xml:space="preserve"> </w:t>
      </w:r>
      <w:r>
        <w:rPr>
          <w:noProof/>
          <w:lang w:val="et-EE"/>
        </w:rPr>
        <w:tab/>
        <w:t>Tööhõive ja sotsiaalse innovatsiooni programmi alamprogrammi „Mikrorahastamine ja sotsiaalne ettevõtlus“ tagatisrahastu</w:t>
      </w:r>
    </w:p>
    <w:p w:rsidR="00BE70D4" w:rsidRDefault="003A3835">
      <w:pPr>
        <w:spacing w:before="0" w:after="0" w:line="240" w:lineRule="auto"/>
        <w:ind w:left="2160" w:hanging="2160"/>
        <w:contextualSpacing/>
        <w:rPr>
          <w:noProof/>
          <w:szCs w:val="24"/>
          <w:lang w:val="et-EE"/>
        </w:rPr>
      </w:pPr>
      <w:r>
        <w:rPr>
          <w:b/>
          <w:noProof/>
          <w:lang w:val="et-EE"/>
        </w:rPr>
        <w:t>EEEF</w:t>
      </w:r>
      <w:r>
        <w:rPr>
          <w:noProof/>
          <w:lang w:val="et-EE"/>
        </w:rPr>
        <w:t xml:space="preserve"> </w:t>
      </w:r>
      <w:r>
        <w:rPr>
          <w:noProof/>
          <w:lang w:val="et-EE"/>
        </w:rPr>
        <w:tab/>
        <w:t>Euroopa Energiatõhususe Fond</w:t>
      </w:r>
    </w:p>
    <w:p w:rsidR="00BE70D4" w:rsidRDefault="003A3835">
      <w:pPr>
        <w:spacing w:before="0" w:after="0" w:line="240" w:lineRule="auto"/>
        <w:ind w:left="2160" w:hanging="2160"/>
        <w:contextualSpacing/>
        <w:rPr>
          <w:noProof/>
          <w:szCs w:val="24"/>
          <w:lang w:val="et-EE"/>
        </w:rPr>
      </w:pPr>
      <w:r>
        <w:rPr>
          <w:b/>
          <w:noProof/>
          <w:lang w:val="et-EE"/>
        </w:rPr>
        <w:t>COSME alla kuuluv EFG</w:t>
      </w:r>
      <w:r>
        <w:rPr>
          <w:noProof/>
          <w:lang w:val="et-EE"/>
        </w:rPr>
        <w:tab/>
        <w:t>Programmi COSME alla kuuluv kasvueta</w:t>
      </w:r>
      <w:r>
        <w:rPr>
          <w:noProof/>
          <w:lang w:val="et-EE"/>
        </w:rPr>
        <w:t>pi omakapitalirahastu</w:t>
      </w:r>
    </w:p>
    <w:p w:rsidR="00BE70D4" w:rsidRDefault="003A3835">
      <w:pPr>
        <w:spacing w:before="0" w:after="0" w:line="240" w:lineRule="auto"/>
        <w:ind w:left="2160" w:hanging="2160"/>
        <w:contextualSpacing/>
        <w:rPr>
          <w:noProof/>
          <w:szCs w:val="24"/>
          <w:lang w:val="et-EE"/>
        </w:rPr>
      </w:pPr>
      <w:r>
        <w:rPr>
          <w:b/>
          <w:noProof/>
          <w:lang w:val="et-EE"/>
        </w:rPr>
        <w:t>EFSE</w:t>
      </w:r>
      <w:r>
        <w:rPr>
          <w:noProof/>
          <w:lang w:val="et-EE"/>
        </w:rPr>
        <w:t xml:space="preserve"> </w:t>
      </w:r>
      <w:r>
        <w:rPr>
          <w:noProof/>
          <w:lang w:val="et-EE"/>
        </w:rPr>
        <w:tab/>
        <w:t>Euroopa Kagu-Euroopa Fond</w:t>
      </w:r>
    </w:p>
    <w:p w:rsidR="00BE70D4" w:rsidRDefault="003A3835">
      <w:pPr>
        <w:spacing w:before="0" w:after="0" w:line="240" w:lineRule="auto"/>
        <w:ind w:left="2160" w:hanging="2160"/>
        <w:contextualSpacing/>
        <w:rPr>
          <w:noProof/>
          <w:szCs w:val="24"/>
          <w:lang w:val="et-EE"/>
        </w:rPr>
      </w:pPr>
      <w:r>
        <w:rPr>
          <w:b/>
          <w:noProof/>
          <w:lang w:val="et-EE"/>
        </w:rPr>
        <w:t>EDIFi alla kuuluv ENEF</w:t>
      </w:r>
      <w:r>
        <w:rPr>
          <w:noProof/>
          <w:lang w:val="et-EE"/>
        </w:rPr>
        <w:t xml:space="preserve"> </w:t>
      </w:r>
      <w:r>
        <w:rPr>
          <w:noProof/>
          <w:lang w:val="et-EE"/>
        </w:rPr>
        <w:tab/>
        <w:t>Lääne-Balkani riikide ettevõtluse arengu ja innovatsiooni rahastamise vahendi juurde kuuluv ettevõtete laenufond</w:t>
      </w:r>
    </w:p>
    <w:p w:rsidR="00BE70D4" w:rsidRDefault="003A3835">
      <w:pPr>
        <w:spacing w:before="0" w:after="0" w:line="240" w:lineRule="auto"/>
        <w:ind w:left="2160" w:hanging="2160"/>
        <w:contextualSpacing/>
        <w:rPr>
          <w:noProof/>
          <w:szCs w:val="24"/>
          <w:lang w:val="et-EE"/>
        </w:rPr>
      </w:pPr>
      <w:r>
        <w:rPr>
          <w:b/>
          <w:noProof/>
          <w:lang w:val="et-EE"/>
        </w:rPr>
        <w:t>EDIFi alla kuuluv ENIF</w:t>
      </w:r>
      <w:r>
        <w:rPr>
          <w:noProof/>
          <w:lang w:val="et-EE"/>
        </w:rPr>
        <w:t xml:space="preserve"> </w:t>
      </w:r>
      <w:r>
        <w:rPr>
          <w:noProof/>
          <w:lang w:val="et-EE"/>
        </w:rPr>
        <w:tab/>
        <w:t xml:space="preserve">Lääne-Balkani riikide ettevõtluse arengu </w:t>
      </w:r>
      <w:r>
        <w:rPr>
          <w:noProof/>
          <w:lang w:val="et-EE"/>
        </w:rPr>
        <w:t>ja innovatsiooni rahastamise vahendi juurde kuuluv ettevõtete innovatsioonifond</w:t>
      </w:r>
    </w:p>
    <w:p w:rsidR="00BE70D4" w:rsidRDefault="003A3835">
      <w:pPr>
        <w:spacing w:before="0" w:after="0" w:line="240" w:lineRule="auto"/>
        <w:ind w:left="2160" w:hanging="2160"/>
        <w:contextualSpacing/>
        <w:rPr>
          <w:noProof/>
          <w:szCs w:val="24"/>
          <w:lang w:val="et-EE"/>
        </w:rPr>
      </w:pPr>
      <w:r>
        <w:rPr>
          <w:b/>
          <w:noProof/>
          <w:lang w:val="et-EE"/>
        </w:rPr>
        <w:t>EPMF-G</w:t>
      </w:r>
      <w:r>
        <w:rPr>
          <w:noProof/>
          <w:lang w:val="et-EE"/>
        </w:rPr>
        <w:t xml:space="preserve"> </w:t>
      </w:r>
      <w:r>
        <w:rPr>
          <w:noProof/>
          <w:lang w:val="et-EE"/>
        </w:rPr>
        <w:tab/>
        <w:t>Euroopa mikrokrediidirahastu „Progress“ laenutagamisrahastu</w:t>
      </w:r>
    </w:p>
    <w:p w:rsidR="00BE70D4" w:rsidRDefault="003A3835">
      <w:pPr>
        <w:spacing w:before="0" w:after="0" w:line="240" w:lineRule="auto"/>
        <w:ind w:left="2160" w:hanging="2160"/>
        <w:contextualSpacing/>
        <w:rPr>
          <w:noProof/>
          <w:szCs w:val="24"/>
          <w:lang w:val="et-EE"/>
        </w:rPr>
      </w:pPr>
      <w:r>
        <w:rPr>
          <w:b/>
          <w:noProof/>
          <w:lang w:val="et-EE"/>
        </w:rPr>
        <w:t>EPMF-FCP-FIS</w:t>
      </w:r>
      <w:r>
        <w:rPr>
          <w:noProof/>
          <w:lang w:val="et-EE"/>
        </w:rPr>
        <w:tab/>
        <w:t>Euroopa mikrokrediidirahastu „Progress“ – Fonds Commun de Placement – Fonds d’Investissement Sp</w:t>
      </w:r>
      <w:r>
        <w:rPr>
          <w:noProof/>
          <w:lang w:val="et-EE"/>
        </w:rPr>
        <w:t>écialisé</w:t>
      </w:r>
    </w:p>
    <w:p w:rsidR="00BE70D4" w:rsidRDefault="003A3835">
      <w:pPr>
        <w:spacing w:before="0" w:after="0" w:line="240" w:lineRule="auto"/>
        <w:ind w:left="2160" w:hanging="2160"/>
        <w:contextualSpacing/>
        <w:rPr>
          <w:noProof/>
          <w:szCs w:val="24"/>
          <w:lang w:val="et-EE"/>
        </w:rPr>
      </w:pPr>
      <w:r>
        <w:rPr>
          <w:b/>
          <w:noProof/>
          <w:lang w:val="et-EE"/>
        </w:rPr>
        <w:t>FEMIP</w:t>
      </w:r>
      <w:r>
        <w:rPr>
          <w:noProof/>
          <w:lang w:val="et-EE"/>
        </w:rPr>
        <w:t xml:space="preserve"> </w:t>
      </w:r>
      <w:r>
        <w:rPr>
          <w:noProof/>
          <w:lang w:val="et-EE"/>
        </w:rPr>
        <w:tab/>
        <w:t>Toetus Euroopa – Vahemere piirkonna investeerimis- ja partnerlusrahastule</w:t>
      </w:r>
    </w:p>
    <w:p w:rsidR="00BE70D4" w:rsidRDefault="003A3835">
      <w:pPr>
        <w:spacing w:before="0" w:after="0" w:line="240" w:lineRule="auto"/>
        <w:ind w:left="2160" w:hanging="2160"/>
        <w:contextualSpacing/>
        <w:rPr>
          <w:b/>
          <w:noProof/>
          <w:szCs w:val="24"/>
          <w:lang w:val="et-EE"/>
        </w:rPr>
      </w:pPr>
      <w:r>
        <w:rPr>
          <w:b/>
          <w:noProof/>
          <w:lang w:val="et-EE"/>
        </w:rPr>
        <w:t>FP7</w:t>
      </w:r>
      <w:r>
        <w:rPr>
          <w:noProof/>
          <w:lang w:val="et-EE"/>
        </w:rPr>
        <w:tab/>
        <w:t>Teadusuuringute ja tehnoloogiaarenduse seitsmes raamprogramm</w:t>
      </w:r>
    </w:p>
    <w:p w:rsidR="00BE70D4" w:rsidRDefault="003A3835">
      <w:pPr>
        <w:spacing w:before="0" w:after="0" w:line="240" w:lineRule="auto"/>
        <w:ind w:left="2160" w:hanging="2160"/>
        <w:contextualSpacing/>
        <w:rPr>
          <w:noProof/>
          <w:szCs w:val="24"/>
          <w:lang w:val="et-EE"/>
        </w:rPr>
      </w:pPr>
      <w:r>
        <w:rPr>
          <w:b/>
          <w:noProof/>
          <w:lang w:val="et-EE"/>
        </w:rPr>
        <w:t>GEEREF</w:t>
      </w:r>
      <w:r>
        <w:rPr>
          <w:noProof/>
          <w:lang w:val="et-EE"/>
        </w:rPr>
        <w:t xml:space="preserve"> </w:t>
      </w:r>
      <w:r>
        <w:rPr>
          <w:noProof/>
          <w:lang w:val="et-EE"/>
        </w:rPr>
        <w:tab/>
        <w:t>Ülemaailmne energiatõhususe ja taastuvenergia fond</w:t>
      </w:r>
    </w:p>
    <w:p w:rsidR="00BE70D4" w:rsidRDefault="003A3835">
      <w:pPr>
        <w:spacing w:before="0" w:after="0" w:line="240" w:lineRule="auto"/>
        <w:ind w:left="2160" w:hanging="2160"/>
        <w:contextualSpacing/>
        <w:rPr>
          <w:noProof/>
          <w:szCs w:val="24"/>
          <w:lang w:val="et-EE"/>
        </w:rPr>
      </w:pPr>
      <w:r>
        <w:rPr>
          <w:b/>
          <w:noProof/>
          <w:lang w:val="et-EE"/>
        </w:rPr>
        <w:t>GGF</w:t>
      </w:r>
      <w:r>
        <w:rPr>
          <w:noProof/>
          <w:lang w:val="et-EE"/>
        </w:rPr>
        <w:t xml:space="preserve"> </w:t>
      </w:r>
      <w:r>
        <w:rPr>
          <w:noProof/>
          <w:lang w:val="et-EE"/>
        </w:rPr>
        <w:tab/>
        <w:t>Loodussäästliku Majanduskasvu Fond</w:t>
      </w:r>
    </w:p>
    <w:p w:rsidR="00BE70D4" w:rsidRDefault="003A3835">
      <w:pPr>
        <w:spacing w:before="0" w:after="0" w:line="240" w:lineRule="auto"/>
        <w:ind w:left="2160" w:hanging="2160"/>
        <w:contextualSpacing/>
        <w:rPr>
          <w:noProof/>
          <w:szCs w:val="24"/>
          <w:lang w:val="et-EE"/>
        </w:rPr>
      </w:pPr>
      <w:r>
        <w:rPr>
          <w:b/>
          <w:noProof/>
          <w:lang w:val="et-EE"/>
        </w:rPr>
        <w:t>CI</w:t>
      </w:r>
      <w:r>
        <w:rPr>
          <w:b/>
          <w:noProof/>
          <w:lang w:val="et-EE"/>
        </w:rPr>
        <w:t>Pi alla kuuluv GIF</w:t>
      </w:r>
      <w:r>
        <w:rPr>
          <w:noProof/>
          <w:lang w:val="et-EE"/>
        </w:rPr>
        <w:t xml:space="preserve"> </w:t>
      </w:r>
      <w:r>
        <w:rPr>
          <w:noProof/>
          <w:lang w:val="et-EE"/>
        </w:rPr>
        <w:tab/>
        <w:t>Konkurentsivõime ja uuendustegevuse raamprogrammi alla kuuluv suure kasvupotentsiaaliga ja uuenduslike VKEde rahastu</w:t>
      </w:r>
    </w:p>
    <w:p w:rsidR="00BE70D4" w:rsidRDefault="003A3835">
      <w:pPr>
        <w:spacing w:before="0" w:after="0" w:line="240" w:lineRule="auto"/>
        <w:ind w:left="2160" w:hanging="2160"/>
        <w:contextualSpacing/>
        <w:rPr>
          <w:noProof/>
          <w:szCs w:val="24"/>
          <w:lang w:val="et-EE"/>
        </w:rPr>
      </w:pPr>
      <w:r>
        <w:rPr>
          <w:b/>
          <w:noProof/>
          <w:lang w:val="et-EE"/>
        </w:rPr>
        <w:t>IFCA ja AIF</w:t>
      </w:r>
      <w:r>
        <w:rPr>
          <w:noProof/>
          <w:lang w:val="et-EE"/>
        </w:rPr>
        <w:t xml:space="preserve"> </w:t>
      </w:r>
      <w:r>
        <w:rPr>
          <w:noProof/>
          <w:lang w:val="et-EE"/>
        </w:rPr>
        <w:tab/>
        <w:t>Kesk-Aasia investeerimisrahastu ja Aasia investeerimisrahastu</w:t>
      </w:r>
    </w:p>
    <w:p w:rsidR="00BE70D4" w:rsidRDefault="003A3835">
      <w:pPr>
        <w:spacing w:before="0" w:after="0" w:line="240" w:lineRule="auto"/>
        <w:ind w:left="2160" w:hanging="2160"/>
        <w:contextualSpacing/>
        <w:rPr>
          <w:noProof/>
          <w:szCs w:val="24"/>
          <w:lang w:val="et-EE"/>
        </w:rPr>
      </w:pPr>
      <w:r>
        <w:rPr>
          <w:b/>
          <w:noProof/>
          <w:lang w:val="et-EE"/>
        </w:rPr>
        <w:t>LAIF</w:t>
      </w:r>
      <w:r>
        <w:rPr>
          <w:noProof/>
          <w:lang w:val="et-EE"/>
        </w:rPr>
        <w:t xml:space="preserve"> </w:t>
      </w:r>
      <w:r>
        <w:rPr>
          <w:noProof/>
          <w:lang w:val="et-EE"/>
        </w:rPr>
        <w:tab/>
        <w:t>Ladina-Ameerika investeerimisrahastu</w:t>
      </w:r>
    </w:p>
    <w:p w:rsidR="00BE70D4" w:rsidRDefault="003A3835">
      <w:pPr>
        <w:spacing w:before="0" w:after="0" w:line="240" w:lineRule="auto"/>
        <w:ind w:left="2160" w:hanging="2160"/>
        <w:contextualSpacing/>
        <w:rPr>
          <w:noProof/>
          <w:szCs w:val="24"/>
          <w:lang w:val="et-EE"/>
        </w:rPr>
      </w:pPr>
      <w:r>
        <w:rPr>
          <w:b/>
          <w:noProof/>
          <w:lang w:val="et-EE"/>
        </w:rPr>
        <w:t>C</w:t>
      </w:r>
      <w:r>
        <w:rPr>
          <w:b/>
          <w:noProof/>
          <w:lang w:val="et-EE"/>
        </w:rPr>
        <w:t>OSME alla kuuluv LGF</w:t>
      </w:r>
      <w:r>
        <w:rPr>
          <w:noProof/>
          <w:lang w:val="et-EE"/>
        </w:rPr>
        <w:tab/>
        <w:t>Programmi COSME alla kuuluv laenutagamisvahend</w:t>
      </w:r>
    </w:p>
    <w:p w:rsidR="00BE70D4" w:rsidRDefault="003A3835">
      <w:pPr>
        <w:spacing w:before="0" w:after="0" w:line="240" w:lineRule="auto"/>
        <w:ind w:left="2160" w:hanging="2160"/>
        <w:contextualSpacing/>
        <w:rPr>
          <w:noProof/>
          <w:szCs w:val="24"/>
          <w:lang w:val="et-EE"/>
        </w:rPr>
      </w:pPr>
      <w:r>
        <w:rPr>
          <w:b/>
          <w:noProof/>
          <w:lang w:val="et-EE"/>
        </w:rPr>
        <w:t>NCFF</w:t>
      </w:r>
      <w:r>
        <w:rPr>
          <w:noProof/>
          <w:lang w:val="et-EE"/>
        </w:rPr>
        <w:tab/>
        <w:t>Looduskapitali rahastamisvahend</w:t>
      </w:r>
    </w:p>
    <w:p w:rsidR="00BE70D4" w:rsidRDefault="003A3835">
      <w:pPr>
        <w:spacing w:before="0" w:after="0" w:line="240" w:lineRule="auto"/>
        <w:ind w:left="2160" w:hanging="2160"/>
        <w:contextualSpacing/>
        <w:rPr>
          <w:noProof/>
          <w:szCs w:val="24"/>
          <w:lang w:val="et-EE"/>
        </w:rPr>
      </w:pPr>
      <w:r>
        <w:rPr>
          <w:b/>
          <w:noProof/>
          <w:lang w:val="et-EE"/>
        </w:rPr>
        <w:t>NIF</w:t>
      </w:r>
      <w:r>
        <w:rPr>
          <w:noProof/>
          <w:lang w:val="et-EE"/>
        </w:rPr>
        <w:t xml:space="preserve"> </w:t>
      </w:r>
      <w:r>
        <w:rPr>
          <w:noProof/>
          <w:lang w:val="et-EE"/>
        </w:rPr>
        <w:tab/>
        <w:t>Naabruspoliitika investeerimisrahastu</w:t>
      </w:r>
    </w:p>
    <w:p w:rsidR="00BE70D4" w:rsidRDefault="003A3835">
      <w:pPr>
        <w:spacing w:before="0" w:after="0" w:line="240" w:lineRule="auto"/>
        <w:ind w:left="2160" w:hanging="2160"/>
        <w:contextualSpacing/>
        <w:rPr>
          <w:noProof/>
          <w:szCs w:val="24"/>
          <w:lang w:val="et-EE"/>
        </w:rPr>
      </w:pPr>
      <w:r>
        <w:rPr>
          <w:b/>
          <w:noProof/>
          <w:lang w:val="et-EE"/>
        </w:rPr>
        <w:t>PF4EE</w:t>
      </w:r>
      <w:r>
        <w:rPr>
          <w:noProof/>
          <w:lang w:val="et-EE"/>
        </w:rPr>
        <w:t xml:space="preserve"> </w:t>
      </w:r>
      <w:r>
        <w:rPr>
          <w:noProof/>
          <w:lang w:val="et-EE"/>
        </w:rPr>
        <w:tab/>
        <w:t>Energiatõhususe vahendite erasektori poolne rahastamine</w:t>
      </w:r>
    </w:p>
    <w:p w:rsidR="00BE70D4" w:rsidRDefault="003A3835">
      <w:pPr>
        <w:spacing w:before="0" w:after="0" w:line="240" w:lineRule="auto"/>
        <w:ind w:left="2160" w:hanging="2160"/>
        <w:contextualSpacing/>
        <w:rPr>
          <w:noProof/>
          <w:szCs w:val="24"/>
          <w:lang w:val="et-EE"/>
        </w:rPr>
      </w:pPr>
      <w:r>
        <w:rPr>
          <w:b/>
          <w:noProof/>
          <w:lang w:val="et-EE"/>
        </w:rPr>
        <w:t>RSFF</w:t>
      </w:r>
      <w:r>
        <w:rPr>
          <w:noProof/>
          <w:lang w:val="et-EE"/>
        </w:rPr>
        <w:t xml:space="preserve"> </w:t>
      </w:r>
      <w:r>
        <w:rPr>
          <w:noProof/>
          <w:lang w:val="et-EE"/>
        </w:rPr>
        <w:tab/>
        <w:t>FP7 alla kuuluv riskijagamisrahastu</w:t>
      </w:r>
    </w:p>
    <w:p w:rsidR="00BE70D4" w:rsidRDefault="003A3835">
      <w:pPr>
        <w:spacing w:before="0" w:after="0" w:line="240" w:lineRule="auto"/>
        <w:ind w:left="2160" w:hanging="2160"/>
        <w:contextualSpacing/>
        <w:rPr>
          <w:noProof/>
          <w:szCs w:val="24"/>
          <w:lang w:val="et-EE"/>
        </w:rPr>
      </w:pPr>
      <w:r>
        <w:rPr>
          <w:b/>
          <w:noProof/>
          <w:lang w:val="et-EE"/>
        </w:rPr>
        <w:t>RSI</w:t>
      </w:r>
      <w:r>
        <w:rPr>
          <w:noProof/>
          <w:lang w:val="et-EE"/>
        </w:rPr>
        <w:t xml:space="preserve"> </w:t>
      </w:r>
      <w:r>
        <w:rPr>
          <w:noProof/>
          <w:lang w:val="et-EE"/>
        </w:rPr>
        <w:tab/>
        <w:t>FP7 alla kuuluv riskijagamisvahend (katseline tagatisrahastu teaduse ja innovatsiooniga tegelevatele VKEdele ning väikestele keskmise turukapitalisatsiooniga ettevõtjatele)</w:t>
      </w:r>
    </w:p>
    <w:p w:rsidR="00BE70D4" w:rsidRDefault="003A3835">
      <w:pPr>
        <w:spacing w:before="0" w:after="0" w:line="240" w:lineRule="auto"/>
        <w:ind w:left="2160" w:hanging="2160"/>
        <w:contextualSpacing/>
        <w:rPr>
          <w:noProof/>
          <w:szCs w:val="24"/>
          <w:lang w:val="et-EE"/>
        </w:rPr>
      </w:pPr>
      <w:r>
        <w:rPr>
          <w:b/>
          <w:noProof/>
          <w:lang w:val="et-EE"/>
        </w:rPr>
        <w:t>RSL</w:t>
      </w:r>
      <w:r>
        <w:rPr>
          <w:noProof/>
          <w:lang w:val="et-EE"/>
        </w:rPr>
        <w:t xml:space="preserve"> </w:t>
      </w:r>
      <w:r>
        <w:rPr>
          <w:noProof/>
          <w:lang w:val="et-EE"/>
        </w:rPr>
        <w:tab/>
        <w:t>Kriisist väljumise toetuslaen Türgile</w:t>
      </w:r>
    </w:p>
    <w:p w:rsidR="00BE70D4" w:rsidRDefault="003A3835">
      <w:pPr>
        <w:spacing w:before="0" w:after="0" w:line="240" w:lineRule="auto"/>
        <w:ind w:left="2160" w:hanging="2160"/>
        <w:contextualSpacing/>
        <w:rPr>
          <w:b/>
          <w:noProof/>
          <w:szCs w:val="24"/>
          <w:lang w:val="et-EE"/>
        </w:rPr>
      </w:pPr>
      <w:r>
        <w:rPr>
          <w:b/>
          <w:noProof/>
          <w:lang w:val="et-EE"/>
        </w:rPr>
        <w:t>CIPi alla kuuluv SMEG07</w:t>
      </w:r>
      <w:r>
        <w:rPr>
          <w:noProof/>
          <w:lang w:val="et-EE"/>
        </w:rPr>
        <w:tab/>
        <w:t>Konkurentsivõi</w:t>
      </w:r>
      <w:r>
        <w:rPr>
          <w:noProof/>
          <w:lang w:val="et-EE"/>
        </w:rPr>
        <w:t>me ja uuendustegevuse raamprogrammi alla kuuluv VKEde 2007. aasta tagatissüsteem</w:t>
      </w:r>
      <w:r>
        <w:rPr>
          <w:b/>
          <w:noProof/>
          <w:lang w:val="et-EE"/>
        </w:rPr>
        <w:t xml:space="preserve"> </w:t>
      </w:r>
    </w:p>
    <w:p w:rsidR="00BE70D4" w:rsidRDefault="003A3835">
      <w:pPr>
        <w:spacing w:before="0" w:after="0" w:line="240" w:lineRule="auto"/>
        <w:ind w:left="2160" w:hanging="2160"/>
        <w:contextualSpacing/>
        <w:rPr>
          <w:noProof/>
          <w:szCs w:val="24"/>
          <w:lang w:val="et-EE"/>
        </w:rPr>
      </w:pPr>
      <w:r>
        <w:rPr>
          <w:b/>
          <w:noProof/>
          <w:lang w:val="et-EE"/>
        </w:rPr>
        <w:t>WB EDIF GF1</w:t>
      </w:r>
      <w:r>
        <w:rPr>
          <w:noProof/>
          <w:lang w:val="et-EE"/>
        </w:rPr>
        <w:t xml:space="preserve"> </w:t>
      </w:r>
      <w:r>
        <w:rPr>
          <w:noProof/>
          <w:lang w:val="et-EE"/>
        </w:rPr>
        <w:tab/>
        <w:t>Lääne-Balkani riikide ettevõtluse arengu ja innovatsiooni rahastamise vahendi juurde kuuluv I tagatisvahend</w:t>
      </w:r>
    </w:p>
    <w:p w:rsidR="00BE70D4" w:rsidRDefault="003A3835">
      <w:pPr>
        <w:keepNext/>
        <w:ind w:left="2160" w:hanging="2160"/>
        <w:jc w:val="both"/>
        <w:rPr>
          <w:noProof/>
          <w:lang w:val="et-EE"/>
        </w:rPr>
      </w:pPr>
      <w:r>
        <w:rPr>
          <w:b/>
          <w:noProof/>
          <w:lang w:val="et-EE"/>
        </w:rPr>
        <w:lastRenderedPageBreak/>
        <w:t>WB EDIF GF2</w:t>
      </w:r>
      <w:r>
        <w:rPr>
          <w:noProof/>
          <w:lang w:val="et-EE"/>
        </w:rPr>
        <w:t xml:space="preserve"> </w:t>
      </w:r>
      <w:r>
        <w:rPr>
          <w:noProof/>
          <w:lang w:val="et-EE"/>
        </w:rPr>
        <w:tab/>
        <w:t>Lääne-Balkani riikide ettevõtluse arengu</w:t>
      </w:r>
      <w:r>
        <w:rPr>
          <w:noProof/>
          <w:lang w:val="et-EE"/>
        </w:rPr>
        <w:t xml:space="preserve"> ja innovatsiooni rahastamise vahendi juurde kuuluv II tagatisvahend</w:t>
      </w:r>
    </w:p>
    <w:sectPr w:rsidR="00BE70D4">
      <w:headerReference w:type="even" r:id="rId73"/>
      <w:headerReference w:type="default" r:id="rId74"/>
      <w:footerReference w:type="even" r:id="rId75"/>
      <w:footerReference w:type="default" r:id="rId76"/>
      <w:headerReference w:type="first" r:id="rId77"/>
      <w:footerReference w:type="first" r:id="rId78"/>
      <w:pgSz w:w="11906" w:h="16838"/>
      <w:pgMar w:top="1417" w:right="1417" w:bottom="1417" w:left="1417" w:header="0"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27E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35" w:rsidRDefault="003A3835">
      <w:pPr>
        <w:spacing w:after="0" w:line="240" w:lineRule="auto"/>
      </w:pPr>
      <w:r>
        <w:separator/>
      </w:r>
    </w:p>
  </w:endnote>
  <w:endnote w:type="continuationSeparator" w:id="0">
    <w:p w:rsidR="003A3835" w:rsidRDefault="003A3835">
      <w:pPr>
        <w:spacing w:after="0" w:line="240" w:lineRule="auto"/>
      </w:pPr>
      <w:r>
        <w:continuationSeparator/>
      </w:r>
    </w:p>
  </w:endnote>
  <w:endnote w:type="continuationNotice" w:id="1">
    <w:p w:rsidR="003A3835" w:rsidRDefault="003A38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17</w:t>
    </w:r>
    <w:r>
      <w:fldChar w:fldCharType="end"/>
    </w:r>
  </w:p>
  <w:p w:rsidR="00BE70D4" w:rsidRDefault="00BE70D4">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18</w:t>
    </w:r>
    <w:r>
      <w:fldChar w:fldCharType="end"/>
    </w:r>
  </w:p>
  <w:p w:rsidR="00BE70D4" w:rsidRDefault="00BE70D4">
    <w:pPr>
      <w:pStyle w:val="Foote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19</w:t>
    </w:r>
    <w:r>
      <w:fldChar w:fldCharType="end"/>
    </w:r>
  </w:p>
  <w:p w:rsidR="00BE70D4" w:rsidRDefault="00BE70D4">
    <w:pPr>
      <w:pStyle w:val="Footer"/>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CoverPage"/>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ET</w:t>
    </w:r>
    <w:proofErr w:type="spellEnd"/>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20</w:t>
    </w:r>
    <w:r>
      <w:fldChar w:fldCharType="end"/>
    </w:r>
  </w:p>
  <w:p w:rsidR="00BE70D4" w:rsidRDefault="00BE70D4">
    <w:pPr>
      <w:pStyle w:val="Footer"/>
      <w:jc w:val="cen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25</w:t>
    </w:r>
    <w:r>
      <w:fldChar w:fldCharType="end"/>
    </w:r>
  </w:p>
  <w:p w:rsidR="00BE70D4" w:rsidRDefault="00BE70D4">
    <w:pPr>
      <w:pStyle w:val="Footer"/>
      <w:jc w:val="cen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2</w:t>
    </w:r>
    <w:r>
      <w:fldChar w:fldCharType="end"/>
    </w:r>
  </w:p>
  <w:p w:rsidR="00BE70D4" w:rsidRDefault="00BE70D4">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3A3835">
    <w:pPr>
      <w:pStyle w:val="Footer"/>
      <w:jc w:val="center"/>
    </w:pPr>
    <w:r>
      <w:fldChar w:fldCharType="begin"/>
    </w:r>
    <w:r>
      <w:instrText xml:space="preserve"> PAGE   \* MERGEFORMAT </w:instrText>
    </w:r>
    <w:r>
      <w:fldChar w:fldCharType="separate"/>
    </w:r>
    <w:r w:rsidR="003B3C5D">
      <w:rPr>
        <w:noProof/>
      </w:rPr>
      <w:t>5</w:t>
    </w:r>
    <w:r>
      <w:fldChar w:fldCharType="end"/>
    </w:r>
  </w:p>
  <w:p w:rsidR="00BE70D4" w:rsidRDefault="00BE70D4">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35" w:rsidRDefault="003A3835">
      <w:pPr>
        <w:spacing w:after="0" w:line="240" w:lineRule="auto"/>
      </w:pPr>
      <w:r>
        <w:separator/>
      </w:r>
    </w:p>
  </w:footnote>
  <w:footnote w:type="continuationSeparator" w:id="0">
    <w:p w:rsidR="003A3835" w:rsidRDefault="003A3835">
      <w:pPr>
        <w:spacing w:after="0" w:line="240" w:lineRule="auto"/>
      </w:pPr>
      <w:r>
        <w:continuationSeparator/>
      </w:r>
    </w:p>
  </w:footnote>
  <w:footnote w:type="continuationNotice" w:id="1">
    <w:p w:rsidR="003A3835" w:rsidRDefault="003A3835">
      <w:pPr>
        <w:spacing w:before="0" w:after="0" w:line="240" w:lineRule="auto"/>
      </w:pPr>
    </w:p>
  </w:footnote>
  <w:footnote w:id="2">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Euroopa Parlamendi ja nõukogu 25. oktoobri 2012. aasta määrus (EL, Euratom) nr 966/2012, mis käsitleb Euroopa Liidu üldeelarve suhtes kohaldatavaid finantseeskirju ning millega muudetakse nõukogu määrust (EÜ, Euratom) nr 1605/2002, ELT L 298, 26.10.2012, </w:t>
      </w:r>
      <w:r>
        <w:rPr>
          <w:sz w:val="18"/>
          <w:lang w:val="et-EE"/>
        </w:rPr>
        <w:t>lk 1.</w:t>
      </w:r>
    </w:p>
  </w:footnote>
  <w:footnote w:id="3">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COM(2016) 675 </w:t>
      </w:r>
      <w:proofErr w:type="spellStart"/>
      <w:r>
        <w:rPr>
          <w:sz w:val="18"/>
          <w:lang w:val="et-EE"/>
        </w:rPr>
        <w:t>final</w:t>
      </w:r>
      <w:proofErr w:type="spellEnd"/>
      <w:r>
        <w:rPr>
          <w:sz w:val="18"/>
          <w:lang w:val="et-EE"/>
        </w:rPr>
        <w:t xml:space="preserve">, 24.10.2016; COM(2015) 565 </w:t>
      </w:r>
      <w:proofErr w:type="spellStart"/>
      <w:r>
        <w:rPr>
          <w:sz w:val="18"/>
          <w:lang w:val="et-EE"/>
        </w:rPr>
        <w:t>final</w:t>
      </w:r>
      <w:proofErr w:type="spellEnd"/>
      <w:r>
        <w:rPr>
          <w:sz w:val="18"/>
          <w:lang w:val="et-EE"/>
        </w:rPr>
        <w:t xml:space="preserve">, 13.11.2015; COM(2014) 686 </w:t>
      </w:r>
      <w:proofErr w:type="spellStart"/>
      <w:r>
        <w:rPr>
          <w:sz w:val="18"/>
          <w:lang w:val="et-EE"/>
        </w:rPr>
        <w:t>final</w:t>
      </w:r>
      <w:proofErr w:type="spellEnd"/>
      <w:r>
        <w:rPr>
          <w:sz w:val="18"/>
          <w:lang w:val="et-EE"/>
        </w:rPr>
        <w:t>, 30.10.2014.</w:t>
      </w:r>
    </w:p>
  </w:footnote>
  <w:footnote w:id="4">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Eelkõige finantsmääruse artikli 38 lõikel 5 põhinev töödokument ja dokument, milles esitatakse finantsmääruse artikli 49 lõike 1 punktis e nõutud t</w:t>
      </w:r>
      <w:r>
        <w:rPr>
          <w:sz w:val="18"/>
          <w:lang w:val="et-EE"/>
        </w:rPr>
        <w:t>eave.</w:t>
      </w:r>
    </w:p>
  </w:footnote>
  <w:footnote w:id="5">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Vt ettepanek: Euroopa Parlamendi ja nõukogu määrus, mis käsitleb liidu üldeelarve suhtes kohaldatavaid finantseeskirju ja millega muudetakse määrust (EÜ) nr 2012/2002 ning Euroopa Parlamendi ja nõukogu määrusi (EL) nr 1296/2013, (EL) nr 1301/2013, </w:t>
      </w:r>
      <w:r>
        <w:rPr>
          <w:sz w:val="18"/>
          <w:lang w:val="et-EE"/>
        </w:rPr>
        <w:t>(EL) nr 1303/2013, (EL) nr 1304/2013, (EL) nr 1305/2013, (EL) nr 1306/2013, (EL) nr 1307/2013, (EL) nr 1308/2013, (EL) nr 1309/2013, (EL) nr 1316/2013, (EL) nr 223/2014, (EL) nr 283/2014, (EL) nr 652/2014 ning Euroopa Parlamendi ja nõukogu otsust nr 541/20</w:t>
      </w:r>
      <w:r>
        <w:rPr>
          <w:sz w:val="18"/>
          <w:lang w:val="et-EE"/>
        </w:rPr>
        <w:t>14/EL (COM(2016) 605 </w:t>
      </w:r>
      <w:proofErr w:type="spellStart"/>
      <w:r>
        <w:rPr>
          <w:sz w:val="18"/>
          <w:lang w:val="et-EE"/>
        </w:rPr>
        <w:t>final</w:t>
      </w:r>
      <w:proofErr w:type="spellEnd"/>
      <w:r>
        <w:rPr>
          <w:sz w:val="18"/>
          <w:lang w:val="et-EE"/>
        </w:rPr>
        <w:t>, 14.9.2016), eriti artikli 39 kavandatud uus lõige 4 ja uus artikkel 242.</w:t>
      </w:r>
    </w:p>
  </w:footnote>
  <w:footnote w:id="6">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Määratletud komisjoni ettepanekus (vt joonealune märkus 4) kui abi liikmesriikidele või kolmandatele riikidele, mis antakse laenu, krediidiliini või mis </w:t>
      </w:r>
      <w:r>
        <w:rPr>
          <w:sz w:val="18"/>
          <w:lang w:val="et-EE"/>
        </w:rPr>
        <w:t>tahes muus vormis, mida peetakse toetuse tulemuslikkuse tagamiseks asjakohaseks, ning mille jaoks komisjon võib liidu nimel laenata vajalikud rahalised vahendid kapitaliturgudelt või finantseerimisasutustelt.</w:t>
      </w:r>
    </w:p>
  </w:footnote>
  <w:footnote w:id="7">
    <w:p w:rsidR="00BE70D4" w:rsidRDefault="003A3835">
      <w:pPr>
        <w:spacing w:before="0" w:after="0" w:line="240" w:lineRule="auto"/>
        <w:jc w:val="both"/>
        <w:rPr>
          <w:sz w:val="18"/>
          <w:szCs w:val="18"/>
          <w:lang w:val="et-EE"/>
        </w:rPr>
      </w:pPr>
      <w:r>
        <w:rPr>
          <w:rStyle w:val="FootnoteReference"/>
          <w:sz w:val="18"/>
          <w:lang w:val="et-EE"/>
        </w:rPr>
        <w:footnoteRef/>
      </w:r>
      <w:r>
        <w:rPr>
          <w:sz w:val="18"/>
          <w:lang w:val="et-EE"/>
        </w:rPr>
        <w:t xml:space="preserve"> 2015. aasta aruanne on kättesaadav aadressil </w:t>
      </w:r>
    </w:p>
    <w:p w:rsidR="00BE70D4" w:rsidRDefault="003A3835">
      <w:pPr>
        <w:spacing w:before="0" w:after="0" w:line="240" w:lineRule="auto"/>
        <w:jc w:val="both"/>
        <w:rPr>
          <w:sz w:val="18"/>
          <w:szCs w:val="18"/>
          <w:lang w:val="et-EE"/>
        </w:rPr>
      </w:pPr>
      <w:hyperlink r:id="rId1">
        <w:r>
          <w:rPr>
            <w:rStyle w:val="Hyperlink"/>
            <w:sz w:val="18"/>
            <w:lang w:val="et-EE"/>
          </w:rPr>
          <w:t>http://ec.europa.eu/regional_policy/sources/thefunds/fin_inst/pdf/summary_data_fei_2015.pdf</w:t>
        </w:r>
        <w:r>
          <w:rPr>
            <w:rStyle w:val="Hyperlink"/>
            <w:sz w:val="18"/>
            <w:u w:val="none"/>
            <w:lang w:val="et-EE"/>
          </w:rPr>
          <w:t>.</w:t>
        </w:r>
      </w:hyperlink>
    </w:p>
  </w:footnote>
  <w:footnote w:id="8">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Määruse (EL) nr 1303/2013 artikli 46 lõige 4.</w:t>
      </w:r>
    </w:p>
  </w:footnote>
  <w:footnote w:id="9">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3</w:t>
      </w:r>
      <w:r>
        <w:rPr>
          <w:sz w:val="18"/>
          <w:lang w:val="et-EE"/>
        </w:rPr>
        <w:t>1. detsembri 2015. aasta aruanne on kättesaadav aadressil</w:t>
      </w:r>
    </w:p>
    <w:p w:rsidR="00BE70D4" w:rsidRDefault="003A3835">
      <w:pPr>
        <w:pStyle w:val="FootnoteText"/>
        <w:spacing w:before="0"/>
        <w:jc w:val="both"/>
        <w:rPr>
          <w:sz w:val="18"/>
          <w:szCs w:val="18"/>
          <w:lang w:val="et-EE"/>
        </w:rPr>
      </w:pPr>
      <w:hyperlink r:id="rId2">
        <w:r>
          <w:rPr>
            <w:rStyle w:val="Hyperlink"/>
            <w:sz w:val="18"/>
            <w:lang w:val="et-EE"/>
          </w:rPr>
          <w:t>http://ec.europa.eu/regional_policy/sources/thefunds/fin_inst/pdf/summary_data_fi_1</w:t>
        </w:r>
        <w:r>
          <w:rPr>
            <w:rStyle w:val="Hyperlink"/>
            <w:sz w:val="18"/>
            <w:lang w:val="et-EE"/>
          </w:rPr>
          <w:t>420_2015.pdf</w:t>
        </w:r>
        <w:r>
          <w:rPr>
            <w:rStyle w:val="Hyperlink"/>
            <w:sz w:val="18"/>
            <w:u w:val="none"/>
            <w:lang w:val="et-EE"/>
          </w:rPr>
          <w:t>.</w:t>
        </w:r>
      </w:hyperlink>
    </w:p>
  </w:footnote>
  <w:footnote w:id="10">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Määruse (EL) 2015/1017 artiklid 16–18. Eeskätt on artikli 16 lõikes 2 sätestatud, et Euroopa Investeerimispank (EIP) esitab kord aastas, asjakohasel juhul koos Euroopa Investeerimisfondiga (EIF), Euroopa Parlamendile ja nõukogule aruande EF</w:t>
      </w:r>
      <w:r>
        <w:rPr>
          <w:sz w:val="18"/>
          <w:lang w:val="et-EE"/>
        </w:rPr>
        <w:t xml:space="preserve">SI määrusega hõlmatud EIP rahastamis- ja investeerimistoimingute kohta. 2015. aasta aruanne on kättesaadav aadressil </w:t>
      </w:r>
      <w:hyperlink r:id="rId3">
        <w:r>
          <w:rPr>
            <w:rStyle w:val="Hyperlink"/>
            <w:sz w:val="18"/>
            <w:lang w:val="et-EE"/>
          </w:rPr>
          <w:t>http://www.eib.org/attachments/strategies/e</w:t>
        </w:r>
        <w:r>
          <w:rPr>
            <w:rStyle w:val="Hyperlink"/>
            <w:sz w:val="18"/>
            <w:lang w:val="et-EE"/>
          </w:rPr>
          <w:t>fsi_2015_report_ep_council_en.pdf</w:t>
        </w:r>
        <w:r>
          <w:rPr>
            <w:rStyle w:val="Hyperlink"/>
            <w:sz w:val="18"/>
            <w:u w:val="none"/>
            <w:lang w:val="et-EE"/>
          </w:rPr>
          <w:t>.</w:t>
        </w:r>
      </w:hyperlink>
    </w:p>
  </w:footnote>
  <w:footnote w:id="11">
    <w:p w:rsidR="00BE70D4" w:rsidRDefault="003A3835">
      <w:pPr>
        <w:pStyle w:val="FootnoteText"/>
        <w:rPr>
          <w:lang w:val="et-EE"/>
        </w:rPr>
      </w:pPr>
      <w:r>
        <w:rPr>
          <w:rStyle w:val="FootnoteReference"/>
          <w:lang w:val="et-EE"/>
        </w:rPr>
        <w:footnoteRef/>
      </w:r>
      <w:r>
        <w:rPr>
          <w:lang w:val="et-EE"/>
        </w:rPr>
        <w:t xml:space="preserve"> Finantsmääruse artikli 2 punkt p.</w:t>
      </w:r>
    </w:p>
  </w:footnote>
  <w:footnote w:id="12">
    <w:p w:rsidR="00BE70D4" w:rsidRDefault="003A3835">
      <w:pPr>
        <w:pStyle w:val="FootnoteText"/>
        <w:jc w:val="both"/>
        <w:rPr>
          <w:lang w:val="et-EE"/>
        </w:rPr>
      </w:pPr>
      <w:r>
        <w:rPr>
          <w:rStyle w:val="FootnoteReference"/>
          <w:lang w:val="et-EE"/>
        </w:rPr>
        <w:footnoteRef/>
      </w:r>
      <w:r>
        <w:rPr>
          <w:lang w:val="et-EE"/>
        </w:rPr>
        <w:t xml:space="preserve"> </w:t>
      </w:r>
      <w:r>
        <w:rPr>
          <w:sz w:val="18"/>
          <w:lang w:val="et-EE"/>
        </w:rPr>
        <w:t>See näitaja hõlmab tagasisaadavaid vahendeid, EFSI panust mitmesse rahastamisvahendisse, VKEde algatuse panust ERFilt ning üleeuroopalise transpordivõrgu projektide laenutagamisvahend</w:t>
      </w:r>
      <w:r>
        <w:rPr>
          <w:sz w:val="18"/>
          <w:lang w:val="et-EE"/>
        </w:rPr>
        <w:t>i (LGTT) ja projektivõlakirjade algatuse (PBI) liitmist Euroopa ühendamise rahastu (CEF) võlainstrumendiga.</w:t>
      </w:r>
    </w:p>
  </w:footnote>
  <w:footnote w:id="13">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Näiteks 2007.–2013. aasta peamistest ELi tasandi rahastamisvahenditest, mis olid loodud VKEde toetamiseks (CIP-GIF, CIP-SMEG 07 ja RSI) ning mikro</w:t>
      </w:r>
      <w:r>
        <w:rPr>
          <w:sz w:val="18"/>
          <w:lang w:val="et-EE"/>
        </w:rPr>
        <w:t>ettevõtjate ja füüsilisest isikust ettevõtjate toetamiseks (EPMF) ning millele tehtud eelarveeraldis jäi alla 1,6 miljardi euro, oli toetatud 2016. aasta lõpuks laenude andmist kogusummas peaaegu 23 miljardit eurot ja omakapitaliinvesteeringute tegemist en</w:t>
      </w:r>
      <w:r>
        <w:rPr>
          <w:sz w:val="18"/>
          <w:lang w:val="et-EE"/>
        </w:rPr>
        <w:t>am kui 1,2 miljardi euro väärtuses, millega parandati enam kui 400 000 VKE juurdepääsu rahastamisele.</w:t>
      </w:r>
    </w:p>
  </w:footnote>
  <w:footnote w:id="14">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Euroopa Parlamendi ja nõukogu 25. juuni 2015. aasta määrus (EL) 2015/1017, mis käsitleb Euroopa Strateegiliste Investeeringute Fondi, Euroopa investeeri</w:t>
      </w:r>
      <w:r>
        <w:rPr>
          <w:sz w:val="18"/>
          <w:lang w:val="et-EE"/>
        </w:rPr>
        <w:t>misnõustamise keskust ja Euroopa investeerimisprojektide portaali ning millega muudetakse määrusi (EL) nr 1291/2013 ja (EL) nr 1316/2013 – Euroopa Strateegiliste Investeeringute Fond, ELT L 169, 1.7.2015, lk 1.</w:t>
      </w:r>
    </w:p>
  </w:footnote>
  <w:footnote w:id="15">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Ehkki EFSI puhul kehtib eraldi aruandluskor</w:t>
      </w:r>
      <w:r>
        <w:rPr>
          <w:sz w:val="18"/>
          <w:lang w:val="et-EE"/>
        </w:rPr>
        <w:t>d, mis on sätestatud EFSI määruses, on käesolevas aruandes (komisjoni talituste töödokumendis) esitatud andmed lisavahendite kohta, mis EFSI on rahastamisvahendite jaoks andnud.</w:t>
      </w:r>
    </w:p>
  </w:footnote>
  <w:footnote w:id="16">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EFSI rakendamine edeneb hästi, kuivõrd EIP grupp on juba heaks kiitnud 477 f</w:t>
      </w:r>
      <w:r>
        <w:rPr>
          <w:sz w:val="18"/>
          <w:lang w:val="et-EE"/>
        </w:rPr>
        <w:t>ondist toetatavat tehingut investeeringute koguväärtusega 183,5 miljardit eurot (58 % 2018. aasta keskpaigaks seatud 315 miljardi euro üldeesmärgist), mis hõlmavad kõiki 28 liikmesriiki ning peaksid kasu tooma 427 600 VKE-le ja keskmise turukapitalisatsioo</w:t>
      </w:r>
      <w:r>
        <w:rPr>
          <w:sz w:val="18"/>
          <w:lang w:val="et-EE"/>
        </w:rPr>
        <w:t>niga ettevõtjale. Et veelgi suurendada EFSI potentsiaali, peetakse praegu Euroopa Parlamendi ja nõukoguga läbirääkimisi EFSI 2.0 ettepanekus kavandatud EFSI laiendamise üle.</w:t>
      </w:r>
    </w:p>
  </w:footnote>
  <w:footnote w:id="17">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Euroopa Parlamendi ja nõukogu 17. detsembri 2013. aasta määrus (EL) nr 1303/2013</w:t>
      </w:r>
      <w:r>
        <w:rPr>
          <w:sz w:val="18"/>
          <w:lang w:val="et-EE"/>
        </w:rPr>
        <w:t>, millega kehtestatakse ühissätted Euroopa Regionaalarengu Fondi, Euroopa Sotsiaalfondi, Ühtekuuluvusfondi, Euroopa Maaelu Arengu Euroopa Põllumajandusfondi ning Euroopa Merendus- ja Kalandusfondi kohta, nähakse ette üldsätted Euroopa Regionaalarengu Fondi</w:t>
      </w:r>
      <w:r>
        <w:rPr>
          <w:sz w:val="18"/>
          <w:lang w:val="et-EE"/>
        </w:rPr>
        <w:t>, Euroopa Sotsiaalfondi, Ühtekuuluvusfondi ja Euroopa Merendus- ja Kalandusfondi kohta ning tunnistatakse kehtetuks nõukogu määrus (EÜ) nr 1083/2006.</w:t>
      </w:r>
    </w:p>
  </w:footnote>
  <w:footnote w:id="18">
    <w:p w:rsidR="00BE70D4" w:rsidRDefault="003A3835">
      <w:pPr>
        <w:pStyle w:val="FootnoteText"/>
        <w:spacing w:before="0"/>
        <w:rPr>
          <w:sz w:val="18"/>
          <w:szCs w:val="18"/>
          <w:lang w:val="et-EE"/>
        </w:rPr>
      </w:pPr>
      <w:r>
        <w:rPr>
          <w:rStyle w:val="FootnoteReference"/>
          <w:sz w:val="18"/>
          <w:lang w:val="et-EE"/>
        </w:rPr>
        <w:footnoteRef/>
      </w:r>
      <w:r>
        <w:rPr>
          <w:sz w:val="18"/>
          <w:lang w:val="et-EE"/>
        </w:rPr>
        <w:t xml:space="preserve"> COM(2016) 605 </w:t>
      </w:r>
      <w:proofErr w:type="spellStart"/>
      <w:r>
        <w:rPr>
          <w:sz w:val="18"/>
          <w:lang w:val="et-EE"/>
        </w:rPr>
        <w:t>final</w:t>
      </w:r>
      <w:proofErr w:type="spellEnd"/>
      <w:r>
        <w:rPr>
          <w:sz w:val="18"/>
          <w:lang w:val="et-EE"/>
        </w:rPr>
        <w:t xml:space="preserve"> (vt joonealune märkus 4).</w:t>
      </w:r>
    </w:p>
  </w:footnote>
  <w:footnote w:id="19">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2007.–2013. aasta rahastamisvahendite puhul tähendab kul</w:t>
      </w:r>
      <w:r>
        <w:rPr>
          <w:sz w:val="18"/>
          <w:lang w:val="et-EE"/>
        </w:rPr>
        <w:t>ukohustuste koondsumma asjaomase rahastamisvahendi jaoks võetud eelarveliste kulukohustuste kogusummat. Sellised kulukohustused hõlmavad kasutatud eelarveassigneeringute kõrval selliseid eelarvevahendeid nagu EMP osamaksed, kolmandate riikide osamaksed rah</w:t>
      </w:r>
      <w:r>
        <w:rPr>
          <w:sz w:val="18"/>
          <w:lang w:val="et-EE"/>
        </w:rPr>
        <w:t>astamisvahendis osalemiseks või liidu eelarve raames asjaomasele rahastamisvahendile üle kantud summad. Saavutatud rahastamismaht tähendab rahastamiskõlblikele lõplikele toetusesaajatele rahastamisvahendist rahastamisahela kaudu tehtud maksete summat, seal</w:t>
      </w:r>
      <w:r>
        <w:rPr>
          <w:sz w:val="18"/>
          <w:lang w:val="et-EE"/>
        </w:rPr>
        <w:t>hulgas liidu toetuse osa, st eelarveliste kulukohustuste koondsummat. Saavutatud investeerimismaht hõlmab lõpliku toetusesaaja kapitaliinvesteeringute jaoks tehtud kulutusi; paljudel juhtudel arvestatakse seda investeeringute jaoks tehtud maksete, sealhulg</w:t>
      </w:r>
      <w:r>
        <w:rPr>
          <w:sz w:val="18"/>
          <w:lang w:val="et-EE"/>
        </w:rPr>
        <w:t>as omavahendite kogusummana.</w:t>
      </w:r>
    </w:p>
  </w:footnote>
  <w:footnote w:id="20">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2014.–2020. aasta rahastamisvahendite puhul tähendavad eelarvevahendid rahastamisvahendile kogu kasutusea jaoks kavandatud kulukohustuste assigneeringuid. Soovitav rahastamismaht tähendab rahastamiskõlblikele lõplikele toetus</w:t>
      </w:r>
      <w:r>
        <w:rPr>
          <w:sz w:val="18"/>
          <w:lang w:val="et-EE"/>
        </w:rPr>
        <w:t xml:space="preserve">esaajatele tehtavate maksete sihtsummat (millest osa moodustab kavandatav rahastamismaht, st allkirjastatud toimingutest oodatavad summad). Soovitav investeerimismaht on lõpliku toetusesaaja tehtavate investeerimiskulutuste sihttase (millest osa moodustab </w:t>
      </w:r>
      <w:r>
        <w:rPr>
          <w:sz w:val="18"/>
          <w:lang w:val="et-EE"/>
        </w:rPr>
        <w:t>kavandatav investeerimismaht, st allkirjastatud toimingutest oodatavad investeerimiskulutused).</w:t>
      </w:r>
    </w:p>
  </w:footnote>
  <w:footnote w:id="21">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2014.–2020. aasta rahastamispakett hõlmab ka assigneeringuid, mis on tehtud seoses kahe 2007.–2013. aasta programmiga (projektivõlakirjade algatus ja üleeuroopalise transpordivõrgu projektide laenutagamisvahend), mis 2016. aastal liideti Euroopa ühendamis</w:t>
      </w:r>
      <w:r>
        <w:rPr>
          <w:sz w:val="18"/>
          <w:lang w:val="et-EE"/>
        </w:rPr>
        <w:t>e rahastu riskijagamise võlainstrumendiga.</w:t>
      </w:r>
    </w:p>
  </w:footnote>
  <w:footnote w:id="22">
    <w:p w:rsidR="00BE70D4" w:rsidRDefault="003A3835">
      <w:pPr>
        <w:pStyle w:val="FootnoteText"/>
        <w:spacing w:before="0"/>
        <w:jc w:val="both"/>
        <w:rPr>
          <w:lang w:val="et-EE"/>
        </w:rPr>
      </w:pPr>
      <w:r>
        <w:rPr>
          <w:rStyle w:val="FootnoteReference"/>
          <w:lang w:val="et-EE"/>
        </w:rPr>
        <w:footnoteRef/>
      </w:r>
      <w:r>
        <w:rPr>
          <w:lang w:val="et-EE"/>
        </w:rPr>
        <w:t xml:space="preserve"> Mõnel juhul ületas tegelik finantsvõimendus 2007.–2013. aasta rahastamisvahendite puhul soovitavat finantsvõimendust. Seega võib 2014.–2020. aasta rahastamisvahendite tegelik finantsvõimendus lõppkokkuvõttes sam</w:t>
      </w:r>
      <w:r>
        <w:rPr>
          <w:lang w:val="et-EE"/>
        </w:rPr>
        <w:t>uti ületada soovitavat taset.</w:t>
      </w:r>
    </w:p>
  </w:footnote>
  <w:footnote w:id="23">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w:t>
      </w:r>
      <w:r>
        <w:rPr>
          <w:i/>
          <w:sz w:val="18"/>
          <w:lang w:val="et-EE"/>
        </w:rPr>
        <w:t>Eeldatav</w:t>
      </w:r>
      <w:r>
        <w:rPr>
          <w:sz w:val="18"/>
          <w:lang w:val="et-EE"/>
        </w:rPr>
        <w:t xml:space="preserve"> rahastamis- ja investeerimismaht on selles etapis piiratud summadega, mis tulenevad volitatud üksuste ja finantsvahendajate / rahaliste vahendite lõplike saajate vahelistest juba allkirjastatud lepingutest.</w:t>
      </w:r>
    </w:p>
  </w:footnote>
  <w:footnote w:id="24">
    <w:p w:rsidR="00BE70D4" w:rsidRDefault="003A3835">
      <w:pPr>
        <w:spacing w:before="0" w:after="0" w:line="240" w:lineRule="auto"/>
        <w:jc w:val="both"/>
        <w:rPr>
          <w:sz w:val="18"/>
          <w:szCs w:val="18"/>
          <w:lang w:val="et-EE"/>
        </w:rPr>
      </w:pPr>
      <w:r>
        <w:rPr>
          <w:rStyle w:val="FootnoteReference"/>
          <w:sz w:val="18"/>
          <w:lang w:val="et-EE"/>
        </w:rPr>
        <w:footnoteRef/>
      </w:r>
      <w:r>
        <w:rPr>
          <w:sz w:val="18"/>
          <w:lang w:val="et-EE"/>
        </w:rPr>
        <w:t xml:space="preserve"> 2015. </w:t>
      </w:r>
      <w:r>
        <w:rPr>
          <w:sz w:val="18"/>
          <w:lang w:val="et-EE"/>
        </w:rPr>
        <w:t xml:space="preserve">aasta aruanne on kättesaadav aadressil </w:t>
      </w:r>
    </w:p>
    <w:p w:rsidR="00BE70D4" w:rsidRDefault="003A3835">
      <w:pPr>
        <w:spacing w:before="0" w:after="0" w:line="240" w:lineRule="auto"/>
        <w:jc w:val="both"/>
        <w:rPr>
          <w:sz w:val="18"/>
          <w:szCs w:val="18"/>
          <w:lang w:val="et-EE"/>
        </w:rPr>
      </w:pPr>
      <w:hyperlink r:id="rId4">
        <w:r>
          <w:rPr>
            <w:rStyle w:val="Hyperlink"/>
            <w:sz w:val="18"/>
            <w:lang w:val="et-EE"/>
          </w:rPr>
          <w:t>http://ec.europa.eu/regional_policy/sources/thefunds/fin_inst/pdf/summary_data_fei_2015.pdf</w:t>
        </w:r>
        <w:r>
          <w:rPr>
            <w:rStyle w:val="Hyperlink"/>
            <w:sz w:val="18"/>
            <w:u w:val="none"/>
            <w:lang w:val="et-EE"/>
          </w:rPr>
          <w:t>.</w:t>
        </w:r>
      </w:hyperlink>
    </w:p>
  </w:footnote>
  <w:footnote w:id="25">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Määruse (</w:t>
      </w:r>
      <w:r>
        <w:rPr>
          <w:sz w:val="18"/>
          <w:lang w:val="et-EE"/>
        </w:rPr>
        <w:t>EL) nr 1303/2013 artikli 46 lõige 4.</w:t>
      </w:r>
    </w:p>
  </w:footnote>
  <w:footnote w:id="26">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Aruanne 31. detsembri 2015. aasta seisuga on kättesaadav aadressil</w:t>
      </w:r>
    </w:p>
    <w:p w:rsidR="00BE70D4" w:rsidRDefault="003A3835">
      <w:pPr>
        <w:pStyle w:val="FootnoteText"/>
        <w:spacing w:before="0"/>
        <w:jc w:val="both"/>
        <w:rPr>
          <w:sz w:val="18"/>
          <w:szCs w:val="18"/>
          <w:lang w:val="et-EE"/>
        </w:rPr>
      </w:pPr>
      <w:hyperlink r:id="rId5">
        <w:r>
          <w:rPr>
            <w:rStyle w:val="Hyperlink"/>
            <w:sz w:val="18"/>
            <w:lang w:val="et-EE"/>
          </w:rPr>
          <w:t>http://ec.europa.eu/regional_policy</w:t>
        </w:r>
        <w:r>
          <w:rPr>
            <w:rStyle w:val="Hyperlink"/>
            <w:sz w:val="18"/>
            <w:lang w:val="et-EE"/>
          </w:rPr>
          <w:t>/sources/thefunds/fin_inst/pdf/summary_data_fi_1420_2015.pdf</w:t>
        </w:r>
        <w:r>
          <w:rPr>
            <w:rStyle w:val="Hyperlink"/>
            <w:sz w:val="18"/>
            <w:u w:val="none"/>
            <w:lang w:val="et-EE"/>
          </w:rPr>
          <w:t>.</w:t>
        </w:r>
      </w:hyperlink>
    </w:p>
  </w:footnote>
  <w:footnote w:id="27">
    <w:p w:rsidR="00BE70D4" w:rsidRDefault="003A3835">
      <w:pPr>
        <w:pStyle w:val="FootnoteText"/>
        <w:spacing w:before="0"/>
        <w:jc w:val="both"/>
        <w:rPr>
          <w:sz w:val="18"/>
          <w:szCs w:val="18"/>
          <w:lang w:val="et-EE"/>
        </w:rPr>
      </w:pPr>
      <w:r>
        <w:rPr>
          <w:rStyle w:val="FootnoteReference"/>
          <w:sz w:val="18"/>
          <w:lang w:val="et-EE"/>
        </w:rPr>
        <w:footnoteRef/>
      </w:r>
      <w:r>
        <w:rPr>
          <w:sz w:val="18"/>
          <w:lang w:val="et-EE"/>
        </w:rPr>
        <w:t xml:space="preserve"> Määruse (EL) 2015/1017 artiklid 16–18. Eeskätt on artikli 16 lõikes 2 sätestatud, et EIP esitab kord aastas, asjakohasel juhul koos EIFiga, Euroopa Parlamendile ja nõukogule aruande EFSI määru</w:t>
      </w:r>
      <w:r>
        <w:rPr>
          <w:sz w:val="18"/>
          <w:lang w:val="et-EE"/>
        </w:rPr>
        <w:t xml:space="preserve">sega hõlmatud EIP rahastamis- ja investeerimistoimingute kohta. 2015. aasta aruanne on kättesaadav aadressil </w:t>
      </w:r>
      <w:hyperlink r:id="rId6">
        <w:r>
          <w:rPr>
            <w:rStyle w:val="Hyperlink"/>
            <w:sz w:val="18"/>
            <w:lang w:val="et-EE"/>
          </w:rPr>
          <w:t>http://www.eib.org/attachments/strategies/efsi_2015</w:t>
        </w:r>
        <w:r>
          <w:rPr>
            <w:rStyle w:val="Hyperlink"/>
            <w:sz w:val="18"/>
            <w:lang w:val="et-EE"/>
          </w:rPr>
          <w:t>_report_ep_council_en.pdf</w:t>
        </w:r>
        <w:r>
          <w:rPr>
            <w:rStyle w:val="Hyperlink"/>
            <w:sz w:val="18"/>
            <w:u w:val="none"/>
            <w:lang w:val="et-EE"/>
          </w:rPr>
          <w:t>.</w:t>
        </w:r>
      </w:hyperlink>
    </w:p>
  </w:footnote>
  <w:footnote w:id="28">
    <w:p w:rsidR="00BE70D4" w:rsidRDefault="003A3835">
      <w:pPr>
        <w:rPr>
          <w:noProof/>
          <w:sz w:val="20"/>
          <w:szCs w:val="20"/>
          <w:lang w:val="et-EE"/>
        </w:rPr>
      </w:pPr>
      <w:r>
        <w:rPr>
          <w:rStyle w:val="FootnoteReference"/>
          <w:lang w:val="et-EE"/>
        </w:rPr>
        <w:footnoteRef/>
      </w:r>
      <w:r>
        <w:rPr>
          <w:lang w:val="et-EE"/>
        </w:rPr>
        <w:t xml:space="preserve"> </w:t>
      </w:r>
      <w:r>
        <w:rPr>
          <w:sz w:val="20"/>
          <w:lang w:val="et-EE"/>
        </w:rPr>
        <w:t xml:space="preserve">Komisjoni aruteludokument ELi rahanduse tuleviku kohta, eelkõige punkt 4.2.2, </w:t>
      </w:r>
      <w:hyperlink r:id="rId7">
        <w:r>
          <w:rPr>
            <w:rStyle w:val="Hyperlink"/>
            <w:noProof/>
            <w:sz w:val="20"/>
            <w:lang w:val="et-EE"/>
          </w:rPr>
          <w:t>https://ec.europa.eu/commission/publications/r</w:t>
        </w:r>
        <w:r>
          <w:rPr>
            <w:rStyle w:val="Hyperlink"/>
            <w:noProof/>
            <w:sz w:val="20"/>
            <w:lang w:val="et-EE"/>
          </w:rPr>
          <w:t>eflection-paper-future-eu-finances_et</w:t>
        </w:r>
        <w:r>
          <w:rPr>
            <w:rStyle w:val="Hyperlink"/>
            <w:noProof/>
            <w:sz w:val="20"/>
            <w:u w:val="none"/>
            <w:lang w:val="et-EE"/>
          </w:rPr>
          <w:t>.</w:t>
        </w:r>
      </w:hyperlink>
    </w:p>
  </w:footnote>
  <w:footnote w:id="29">
    <w:p w:rsidR="00BE70D4" w:rsidRDefault="003A3835">
      <w:pPr>
        <w:pStyle w:val="FootnoteText"/>
        <w:rPr>
          <w:lang w:val="et-EE"/>
        </w:rPr>
      </w:pPr>
      <w:r>
        <w:rPr>
          <w:rStyle w:val="FootnoteReference"/>
          <w:lang w:val="et-EE"/>
        </w:rPr>
        <w:footnoteRef/>
      </w:r>
      <w:r>
        <w:rPr>
          <w:lang w:val="et-EE"/>
        </w:rPr>
        <w:t xml:space="preserve"> Vt eespool.</w:t>
      </w:r>
    </w:p>
  </w:footnote>
  <w:footnote w:id="30">
    <w:p w:rsidR="00BE70D4" w:rsidRDefault="003A3835">
      <w:pPr>
        <w:pStyle w:val="FootnoteText"/>
        <w:rPr>
          <w:lang w:val="et-EE"/>
        </w:rPr>
      </w:pPr>
      <w:r>
        <w:rPr>
          <w:rStyle w:val="FootnoteReference"/>
          <w:lang w:val="et-EE"/>
        </w:rPr>
        <w:footnoteRef/>
      </w:r>
      <w:r>
        <w:rPr>
          <w:lang w:val="et-EE"/>
        </w:rPr>
        <w:t xml:space="preserve"> https://ec.europa.eu/growth/access-to-finance_et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0D4" w:rsidRDefault="00BE70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8.25pt;height:8.25pt" o:bullet="t">
        <v:imagedata r:id="rId1" o:title="BD10255_"/>
      </v:shape>
    </w:pict>
  </w:numPicBullet>
  <w:abstractNum w:abstractNumId="0">
    <w:nsid w:val="030E68FB"/>
    <w:multiLevelType w:val="hybridMultilevel"/>
    <w:tmpl w:val="611278E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02552B"/>
    <w:multiLevelType w:val="hybridMultilevel"/>
    <w:tmpl w:val="CD049374"/>
    <w:styleLink w:val="1111111"/>
    <w:lvl w:ilvl="0" w:tplc="C4B26E2A">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085C7517"/>
    <w:multiLevelType w:val="hybridMultilevel"/>
    <w:tmpl w:val="35AA31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0C0FF9"/>
    <w:multiLevelType w:val="hybridMultilevel"/>
    <w:tmpl w:val="C944D5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0BC10F31"/>
    <w:multiLevelType w:val="hybridMultilevel"/>
    <w:tmpl w:val="658C48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881AB26E">
      <w:start w:val="1"/>
      <w:numFmt w:val="bullet"/>
      <w:lvlText w:val="˗"/>
      <w:lvlJc w:val="left"/>
      <w:pPr>
        <w:ind w:left="2160" w:hanging="360"/>
      </w:pPr>
      <w:rPr>
        <w:rFonts w:ascii="Times New Roman" w:hAnsi="Times New Roman" w:cs="Times New Roman" w:hint="default"/>
      </w:rPr>
    </w:lvl>
    <w:lvl w:ilvl="3" w:tplc="0809000F">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59306F"/>
    <w:multiLevelType w:val="hybridMultilevel"/>
    <w:tmpl w:val="BA1409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B954FF"/>
    <w:multiLevelType w:val="multilevel"/>
    <w:tmpl w:val="F9F018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EC58EE"/>
    <w:multiLevelType w:val="hybridMultilevel"/>
    <w:tmpl w:val="6AB87428"/>
    <w:lvl w:ilvl="0" w:tplc="00007380">
      <w:start w:val="1"/>
      <w:numFmt w:val="lowerLetter"/>
      <w:lvlRestart w:val="0"/>
      <w:pStyle w:val="Heading5"/>
      <w:lvlText w:val="(%1)"/>
      <w:lvlJc w:val="left"/>
      <w:pPr>
        <w:ind w:left="720" w:hanging="360"/>
      </w:pPr>
      <w:rPr>
        <w:rFonts w:hint="default"/>
        <w:b/>
        <w:i w:val="0"/>
        <w:color w:val="auto"/>
      </w:rPr>
    </w:lvl>
    <w:lvl w:ilvl="1" w:tplc="5D422F80">
      <w:start w:val="1"/>
      <w:numFmt w:val="lowerRoman"/>
      <w:lvlText w:val="%2)"/>
      <w:lvlJc w:val="left"/>
      <w:pPr>
        <w:ind w:left="1800" w:hanging="72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FB653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F83128B"/>
    <w:multiLevelType w:val="hybridMultilevel"/>
    <w:tmpl w:val="AA200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22E6E"/>
    <w:multiLevelType w:val="hybridMultilevel"/>
    <w:tmpl w:val="9F4EFD8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nsid w:val="218D66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F11FC6"/>
    <w:multiLevelType w:val="multilevel"/>
    <w:tmpl w:val="B38ECDF0"/>
    <w:styleLink w:val="1111112"/>
    <w:lvl w:ilvl="0">
      <w:start w:val="1"/>
      <w:numFmt w:val="decimal"/>
      <w:lvlText w:val="%1."/>
      <w:lvlJc w:val="left"/>
      <w:pPr>
        <w:tabs>
          <w:tab w:val="num" w:pos="0"/>
        </w:tabs>
        <w:ind w:left="0" w:firstLine="0"/>
      </w:pPr>
      <w:rPr>
        <w:rFonts w:ascii="Times New Roman" w:hAnsi="Times New Roman" w:hint="default"/>
        <w:b/>
        <w:i w:val="0"/>
        <w:sz w:val="28"/>
      </w:rPr>
    </w:lvl>
    <w:lvl w:ilvl="1">
      <w:start w:val="1"/>
      <w:numFmt w:val="decimal"/>
      <w:lvlText w:val="%1.%2."/>
      <w:lvlJc w:val="left"/>
      <w:pPr>
        <w:tabs>
          <w:tab w:val="num" w:pos="792"/>
        </w:tabs>
        <w:ind w:left="792" w:hanging="432"/>
      </w:pPr>
      <w:rPr>
        <w:rFonts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C503D7D"/>
    <w:multiLevelType w:val="multilevel"/>
    <w:tmpl w:val="64CA2D9A"/>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858" w:hanging="432"/>
      </w:pPr>
      <w:rPr>
        <w:rFonts w:ascii="Times New Roman" w:hAnsi="Times New Roman" w:cs="Times New Roman" w:hint="default"/>
        <w:b/>
      </w:rPr>
    </w:lvl>
    <w:lvl w:ilvl="2">
      <w:start w:val="1"/>
      <w:numFmt w:val="decimal"/>
      <w:pStyle w:val="Heading4bis"/>
      <w:lvlText w:val="%1.%2.%3."/>
      <w:lvlJc w:val="left"/>
      <w:pPr>
        <w:ind w:left="1224" w:hanging="504"/>
      </w:pPr>
      <w:rPr>
        <w:rFonts w:hint="default"/>
      </w:rPr>
    </w:lvl>
    <w:lvl w:ilvl="3">
      <w:start w:val="1"/>
      <w:numFmt w:val="decimal"/>
      <w:pStyle w:val="Heading5bis"/>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EDC5D18"/>
    <w:multiLevelType w:val="hybridMultilevel"/>
    <w:tmpl w:val="5E845C8E"/>
    <w:lvl w:ilvl="0" w:tplc="2132DE9A">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F072D7"/>
    <w:multiLevelType w:val="hybridMultilevel"/>
    <w:tmpl w:val="C2CED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7E22E3"/>
    <w:multiLevelType w:val="hybridMultilevel"/>
    <w:tmpl w:val="92A8B6E4"/>
    <w:lvl w:ilvl="0" w:tplc="D39A6ABC">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7EA8504">
      <w:start w:val="2"/>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264F19"/>
    <w:multiLevelType w:val="hybridMultilevel"/>
    <w:tmpl w:val="8DFEB6B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881AB26E">
      <w:start w:val="1"/>
      <w:numFmt w:val="bullet"/>
      <w:lvlText w:val="˗"/>
      <w:lvlJc w:val="left"/>
      <w:pPr>
        <w:ind w:left="2160" w:hanging="360"/>
      </w:pPr>
      <w:rPr>
        <w:rFonts w:ascii="Times New Roman" w:hAnsi="Times New Roman" w:cs="Times New Roman" w:hint="default"/>
      </w:rPr>
    </w:lvl>
    <w:lvl w:ilvl="3" w:tplc="0809000F">
      <w:start w:val="1"/>
      <w:numFmt w:val="decimal"/>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CF00E18"/>
    <w:multiLevelType w:val="singleLevel"/>
    <w:tmpl w:val="4E1A982C"/>
    <w:lvl w:ilvl="0">
      <w:start w:val="1"/>
      <w:numFmt w:val="bullet"/>
      <w:pStyle w:val="ListBullet"/>
      <w:lvlText w:val=""/>
      <w:lvlJc w:val="left"/>
      <w:pPr>
        <w:tabs>
          <w:tab w:val="num" w:pos="643"/>
        </w:tabs>
        <w:ind w:left="643" w:hanging="283"/>
      </w:pPr>
      <w:rPr>
        <w:rFonts w:ascii="Symbol" w:hAnsi="Symbol"/>
      </w:rPr>
    </w:lvl>
  </w:abstractNum>
  <w:abstractNum w:abstractNumId="20">
    <w:nsid w:val="4B401244"/>
    <w:multiLevelType w:val="hybridMultilevel"/>
    <w:tmpl w:val="00923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EF7C26"/>
    <w:multiLevelType w:val="hybridMultilevel"/>
    <w:tmpl w:val="9EF6BB8C"/>
    <w:lvl w:ilvl="0" w:tplc="A36E351E">
      <w:start w:val="1"/>
      <w:numFmt w:val="bullet"/>
      <w:pStyle w:val="Key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ECA2424">
      <w:start w:val="2"/>
      <w:numFmt w:val="bullet"/>
      <w:lvlText w:val="•"/>
      <w:lvlJc w:val="left"/>
      <w:pPr>
        <w:ind w:left="2370" w:hanging="57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1B4628"/>
    <w:multiLevelType w:val="hybridMultilevel"/>
    <w:tmpl w:val="F1F62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0A5764"/>
    <w:multiLevelType w:val="hybridMultilevel"/>
    <w:tmpl w:val="236C3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A5D69EB"/>
    <w:multiLevelType w:val="hybridMultilevel"/>
    <w:tmpl w:val="4EE4D2F2"/>
    <w:lvl w:ilvl="0" w:tplc="3DF2C38E">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nsid w:val="5FA45162"/>
    <w:multiLevelType w:val="hybridMultilevel"/>
    <w:tmpl w:val="C75482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653D02"/>
    <w:multiLevelType w:val="hybridMultilevel"/>
    <w:tmpl w:val="977AC3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7B0884"/>
    <w:multiLevelType w:val="hybridMultilevel"/>
    <w:tmpl w:val="00923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A53902"/>
    <w:multiLevelType w:val="hybridMultilevel"/>
    <w:tmpl w:val="6894725A"/>
    <w:lvl w:ilvl="0" w:tplc="67440BF2">
      <w:start w:val="1"/>
      <w:numFmt w:val="bullet"/>
      <w:pStyle w:val="Bulletedlist"/>
      <w:lvlText w:val=""/>
      <w:lvlJc w:val="left"/>
      <w:pPr>
        <w:ind w:left="360" w:hanging="360"/>
      </w:pPr>
      <w:rPr>
        <w:rFonts w:ascii="Symbol" w:hAnsi="Symbol" w:hint="default"/>
        <w:color w:val="0000FF"/>
        <w:sz w:val="24"/>
        <w:szCs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D453B3"/>
    <w:multiLevelType w:val="hybridMultilevel"/>
    <w:tmpl w:val="F5E60D02"/>
    <w:lvl w:ilvl="0" w:tplc="434E882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860AD8"/>
    <w:multiLevelType w:val="hybridMultilevel"/>
    <w:tmpl w:val="BB6E089E"/>
    <w:lvl w:ilvl="0" w:tplc="08090005">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nsid w:val="6AD412C9"/>
    <w:multiLevelType w:val="hybridMultilevel"/>
    <w:tmpl w:val="B80AFFEA"/>
    <w:lvl w:ilvl="0" w:tplc="4F88904C">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9013F7"/>
    <w:multiLevelType w:val="multilevel"/>
    <w:tmpl w:val="C8B428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5660B12"/>
    <w:multiLevelType w:val="hybridMultilevel"/>
    <w:tmpl w:val="AA200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B5664A"/>
    <w:multiLevelType w:val="hybridMultilevel"/>
    <w:tmpl w:val="4DCCF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CA2AB8"/>
    <w:multiLevelType w:val="hybridMultilevel"/>
    <w:tmpl w:val="A99657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4473C7"/>
    <w:multiLevelType w:val="hybridMultilevel"/>
    <w:tmpl w:val="24761A48"/>
    <w:lvl w:ilvl="0" w:tplc="77268220">
      <w:start w:val="1"/>
      <w:numFmt w:val="upperLetter"/>
      <w:pStyle w:val="Heading4"/>
      <w:lvlText w:val="%1 -"/>
      <w:lvlJc w:val="left"/>
      <w:pPr>
        <w:ind w:left="360" w:hanging="360"/>
      </w:pPr>
      <w:rPr>
        <w:rFonts w:ascii="Times New Roman" w:hAnsi="Times New Roman" w:cs="Times New Roman" w:hint="default"/>
        <w:color w:val="auto"/>
        <w:sz w:val="24"/>
        <w:szCs w:val="24"/>
      </w:rPr>
    </w:lvl>
    <w:lvl w:ilvl="1" w:tplc="0B6A27F8">
      <w:start w:val="1"/>
      <w:numFmt w:val="lowerLetter"/>
      <w:lvlText w:val="(%2)"/>
      <w:lvlJc w:val="left"/>
      <w:pPr>
        <w:ind w:left="1140" w:hanging="360"/>
      </w:pPr>
      <w:rPr>
        <w:rFonts w:hint="default"/>
      </w:rPr>
    </w:lvl>
    <w:lvl w:ilvl="2" w:tplc="87EA8504">
      <w:start w:val="2"/>
      <w:numFmt w:val="bullet"/>
      <w:lvlText w:val="-"/>
      <w:lvlJc w:val="left"/>
      <w:pPr>
        <w:ind w:left="2040" w:hanging="360"/>
      </w:pPr>
      <w:rPr>
        <w:rFonts w:ascii="Times New Roman" w:eastAsia="Calibri" w:hAnsi="Times New Roman" w:cs="Times New Roman" w:hint="default"/>
      </w:rPr>
    </w:lvl>
    <w:lvl w:ilvl="3" w:tplc="130AAAFE">
      <w:start w:val="1"/>
      <w:numFmt w:val="lowerRoman"/>
      <w:lvlText w:val="%4)"/>
      <w:lvlJc w:val="left"/>
      <w:pPr>
        <w:ind w:left="2940" w:hanging="720"/>
      </w:pPr>
      <w:rPr>
        <w:rFonts w:hint="default"/>
      </w:rPr>
    </w:lvl>
    <w:lvl w:ilvl="4" w:tplc="2752EBEE">
      <w:start w:val="1"/>
      <w:numFmt w:val="decimal"/>
      <w:lvlText w:val="%5."/>
      <w:lvlJc w:val="left"/>
      <w:pPr>
        <w:ind w:left="3300" w:hanging="360"/>
      </w:pPr>
      <w:rPr>
        <w:rFonts w:hint="default"/>
      </w:r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7">
    <w:nsid w:val="7E7C247A"/>
    <w:multiLevelType w:val="hybridMultilevel"/>
    <w:tmpl w:val="1BC0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C450E4"/>
    <w:multiLevelType w:val="hybridMultilevel"/>
    <w:tmpl w:val="E59C44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3"/>
  </w:num>
  <w:num w:numId="4">
    <w:abstractNumId w:val="8"/>
  </w:num>
  <w:num w:numId="5">
    <w:abstractNumId w:val="1"/>
  </w:num>
  <w:num w:numId="6">
    <w:abstractNumId w:val="23"/>
  </w:num>
  <w:num w:numId="7">
    <w:abstractNumId w:val="22"/>
  </w:num>
  <w:num w:numId="8">
    <w:abstractNumId w:val="27"/>
  </w:num>
  <w:num w:numId="9">
    <w:abstractNumId w:val="19"/>
  </w:num>
  <w:num w:numId="10">
    <w:abstractNumId w:val="36"/>
  </w:num>
  <w:num w:numId="11">
    <w:abstractNumId w:val="17"/>
  </w:num>
  <w:num w:numId="12">
    <w:abstractNumId w:val="28"/>
  </w:num>
  <w:num w:numId="13">
    <w:abstractNumId w:val="15"/>
  </w:num>
  <w:num w:numId="14">
    <w:abstractNumId w:val="29"/>
  </w:num>
  <w:num w:numId="15">
    <w:abstractNumId w:val="31"/>
  </w:num>
  <w:num w:numId="16">
    <w:abstractNumId w:val="7"/>
  </w:num>
  <w:num w:numId="17">
    <w:abstractNumId w:val="20"/>
  </w:num>
  <w:num w:numId="18">
    <w:abstractNumId w:val="37"/>
  </w:num>
  <w:num w:numId="19">
    <w:abstractNumId w:val="2"/>
  </w:num>
  <w:num w:numId="20">
    <w:abstractNumId w:val="30"/>
  </w:num>
  <w:num w:numId="21">
    <w:abstractNumId w:val="34"/>
  </w:num>
  <w:num w:numId="22">
    <w:abstractNumId w:val="26"/>
  </w:num>
  <w:num w:numId="23">
    <w:abstractNumId w:val="35"/>
  </w:num>
  <w:num w:numId="24">
    <w:abstractNumId w:val="6"/>
  </w:num>
  <w:num w:numId="25">
    <w:abstractNumId w:val="32"/>
  </w:num>
  <w:num w:numId="26">
    <w:abstractNumId w:val="24"/>
  </w:num>
  <w:num w:numId="27">
    <w:abstractNumId w:val="5"/>
  </w:num>
  <w:num w:numId="28">
    <w:abstractNumId w:val="14"/>
  </w:num>
  <w:num w:numId="29">
    <w:abstractNumId w:val="14"/>
  </w:num>
  <w:num w:numId="30">
    <w:abstractNumId w:val="14"/>
  </w:num>
  <w:num w:numId="31">
    <w:abstractNumId w:val="4"/>
  </w:num>
  <w:num w:numId="32">
    <w:abstractNumId w:val="4"/>
  </w:num>
  <w:num w:numId="33">
    <w:abstractNumId w:val="0"/>
  </w:num>
  <w:num w:numId="34">
    <w:abstractNumId w:val="13"/>
  </w:num>
  <w:num w:numId="35">
    <w:abstractNumId w:val="3"/>
  </w:num>
  <w:num w:numId="36">
    <w:abstractNumId w:val="10"/>
  </w:num>
  <w:num w:numId="37">
    <w:abstractNumId w:val="25"/>
  </w:num>
  <w:num w:numId="38">
    <w:abstractNumId w:val="11"/>
  </w:num>
  <w:num w:numId="39">
    <w:abstractNumId w:val="33"/>
  </w:num>
  <w:num w:numId="40">
    <w:abstractNumId w:val="9"/>
  </w:num>
  <w:num w:numId="41">
    <w:abstractNumId w:val="18"/>
  </w:num>
  <w:num w:numId="42">
    <w:abstractNumId w:val="16"/>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3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erfederico Asdrubali">
    <w15:presenceInfo w15:providerId="Windows Live" w15:userId="98971def9a781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1712A4F9D11E4008AFACC3C2C83D66EB"/>
    <w:docVar w:name="LW_CROSSREFERENCE" w:val="{SWD(2017) 312 final}"/>
    <w:docVar w:name="LW_DocType" w:val="NORMAL"/>
    <w:docVar w:name="LW_EMISSION" w:val="25.9.2017"/>
    <w:docVar w:name="LW_EMISSION_ISODATE" w:val="2017-09-25"/>
    <w:docVar w:name="LW_EMISSION_LOCATION" w:val="BRX"/>
    <w:docVar w:name="LW_EMISSION_PREFIX" w:val="Brüssel,"/>
    <w:docVar w:name="LW_EMISSION_SUFFIX" w:val=" "/>
    <w:docVar w:name="LW_ID_DOCTYPE_NONLW" w:val="CP-006"/>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7) 535"/>
    <w:docVar w:name="LW_REF.INTERNE" w:val="&lt;UNUSED&gt;"/>
    <w:docVar w:name="LW_SOUS.TITRE.OBJ.CP" w:val="&lt;UNUSED&gt;"/>
    <w:docVar w:name="LW_SUPERTITRE" w:val="&lt;UNUSED&gt;"/>
    <w:docVar w:name="LW_TITRE.OBJ.CP" w:val="üldeelarvest toetatavate rahastamisvahendite kohta vastavalt finantsmääruse artikli 140 lõikele 8 seisuga 31. detsember 2016"/>
    <w:docVar w:name="LW_TYPE.DOC.CP" w:val="KOMISJONI ARUANNE EUROOPA PARLAMENDILE JA NÕUKOGULE"/>
    <w:docVar w:name="Stamp" w:val="\\dossiers.dgt.cec.eu.int\dossiers\ECFIN\ECFIN-2015-00229\ECFIN-2015-00229-00-00-EN-REV-00.DOCX"/>
  </w:docVars>
  <w:rsids>
    <w:rsidRoot w:val="00BE70D4"/>
    <w:rsid w:val="003A3835"/>
    <w:rsid w:val="003B3C5D"/>
    <w:rsid w:val="00BE70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keepLines/>
      <w:spacing w:before="480" w:after="240"/>
      <w:ind w:right="141"/>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pPr>
      <w:numPr>
        <w:numId w:val="3"/>
      </w:numPr>
      <w:spacing w:before="360" w:after="120" w:line="240" w:lineRule="auto"/>
      <w:jc w:val="both"/>
      <w:outlineLvl w:val="1"/>
    </w:pPr>
    <w:rPr>
      <w:b/>
      <w:szCs w:val="24"/>
    </w:rPr>
  </w:style>
  <w:style w:type="paragraph" w:styleId="Heading3">
    <w:name w:val="heading 3"/>
    <w:aliases w:val="Heading 3 bis"/>
    <w:basedOn w:val="Normal"/>
    <w:next w:val="Normal"/>
    <w:link w:val="Heading3Char"/>
    <w:uiPriority w:val="9"/>
    <w:unhideWhenUsed/>
    <w:qFormat/>
    <w:pPr>
      <w:keepNext/>
      <w:numPr>
        <w:ilvl w:val="1"/>
        <w:numId w:val="3"/>
      </w:numPr>
      <w:pBdr>
        <w:top w:val="single" w:sz="4" w:space="1" w:color="auto"/>
        <w:left w:val="single" w:sz="4" w:space="4" w:color="auto"/>
        <w:bottom w:val="single" w:sz="4" w:space="1" w:color="auto"/>
        <w:right w:val="single" w:sz="4" w:space="4" w:color="auto"/>
      </w:pBdr>
      <w:spacing w:before="600" w:after="360" w:line="240" w:lineRule="auto"/>
      <w:contextualSpacing/>
      <w:outlineLvl w:val="2"/>
    </w:pPr>
    <w:rPr>
      <w:b/>
      <w:szCs w:val="24"/>
    </w:rPr>
  </w:style>
  <w:style w:type="paragraph" w:styleId="Heading4">
    <w:name w:val="heading 4"/>
    <w:basedOn w:val="Normal"/>
    <w:next w:val="Normal"/>
    <w:link w:val="Heading4Char"/>
    <w:uiPriority w:val="9"/>
    <w:unhideWhenUsed/>
    <w:qFormat/>
    <w:pPr>
      <w:keepNext/>
      <w:numPr>
        <w:numId w:val="10"/>
      </w:numPr>
      <w:spacing w:before="240" w:after="120" w:line="240" w:lineRule="auto"/>
      <w:jc w:val="both"/>
      <w:outlineLvl w:val="3"/>
    </w:pPr>
    <w:rPr>
      <w:rFonts w:eastAsia="Times New Roman"/>
      <w:b/>
      <w:bCs/>
      <w:szCs w:val="24"/>
      <w:u w:val="single"/>
    </w:rPr>
  </w:style>
  <w:style w:type="paragraph" w:styleId="Heading5">
    <w:name w:val="heading 5"/>
    <w:basedOn w:val="Normal"/>
    <w:next w:val="Normal"/>
    <w:link w:val="Heading5Char"/>
    <w:uiPriority w:val="9"/>
    <w:unhideWhenUsed/>
    <w:qFormat/>
    <w:pPr>
      <w:keepNext/>
      <w:numPr>
        <w:numId w:val="16"/>
      </w:numPr>
      <w:spacing w:before="240" w:after="120" w:line="240" w:lineRule="auto"/>
      <w:ind w:right="142"/>
      <w:jc w:val="both"/>
      <w:outlineLvl w:val="4"/>
    </w:pPr>
    <w:rPr>
      <w:b/>
      <w:szCs w:val="24"/>
    </w:rPr>
  </w:style>
  <w:style w:type="paragraph" w:styleId="Heading6">
    <w:name w:val="heading 6"/>
    <w:basedOn w:val="Normal"/>
    <w:next w:val="Normal"/>
    <w:link w:val="Heading6Char"/>
    <w:uiPriority w:val="9"/>
    <w:unhideWhenUsed/>
    <w:qFormat/>
    <w:pPr>
      <w:keepNext/>
      <w:spacing w:before="120" w:after="40" w:line="240" w:lineRule="auto"/>
      <w:jc w:val="both"/>
      <w:outlineLvl w:val="5"/>
    </w:pPr>
    <w:rPr>
      <w:b/>
      <w:i/>
      <w:iCs/>
    </w:rPr>
  </w:style>
  <w:style w:type="paragraph" w:styleId="Heading7">
    <w:name w:val="heading 7"/>
    <w:basedOn w:val="Normal"/>
    <w:next w:val="Normal"/>
    <w:link w:val="Heading7Char"/>
    <w:uiPriority w:val="9"/>
    <w:semiHidden/>
    <w:unhideWhenUsed/>
    <w:qFormat/>
    <w:pPr>
      <w:spacing w:before="24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link w:val="Heading1"/>
    <w:uiPriority w:val="9"/>
    <w:rPr>
      <w:rFonts w:ascii="Times New Roman" w:eastAsia="Times New Roman" w:hAnsi="Times New Roman"/>
      <w:b/>
      <w:bCs/>
      <w:color w:val="000000"/>
      <w:sz w:val="28"/>
      <w:szCs w:val="28"/>
      <w:lang w:eastAsia="en-US"/>
    </w:rPr>
  </w:style>
  <w:style w:type="character" w:customStyle="1" w:styleId="Heading2Char">
    <w:name w:val="Heading 2 Char"/>
    <w:link w:val="Heading2"/>
    <w:uiPriority w:val="9"/>
    <w:rPr>
      <w:rFonts w:ascii="Times New Roman" w:hAnsi="Times New Roman"/>
      <w:b/>
      <w:sz w:val="24"/>
      <w:szCs w:val="24"/>
      <w:lang w:eastAsia="en-US"/>
    </w:rPr>
  </w:style>
  <w:style w:type="character" w:customStyle="1" w:styleId="Heading3Char">
    <w:name w:val="Heading 3 Char"/>
    <w:aliases w:val="Heading 3 bis Char"/>
    <w:link w:val="Heading3"/>
    <w:uiPriority w:val="9"/>
    <w:rPr>
      <w:rFonts w:ascii="Times New Roman" w:hAnsi="Times New Roman"/>
      <w:b/>
      <w:sz w:val="24"/>
      <w:szCs w:val="24"/>
      <w:lang w:eastAsia="en-US"/>
    </w:rPr>
  </w:style>
  <w:style w:type="paragraph" w:styleId="TOCHeading">
    <w:name w:val="TOC Heading"/>
    <w:basedOn w:val="Heading1"/>
    <w:next w:val="Normal"/>
    <w:uiPriority w:val="39"/>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Text1">
    <w:name w:val="Text 1"/>
    <w:basedOn w:val="Normal"/>
    <w:pPr>
      <w:spacing w:after="240" w:line="240" w:lineRule="auto"/>
      <w:ind w:left="482"/>
      <w:jc w:val="both"/>
    </w:pPr>
    <w:rPr>
      <w:rFonts w:eastAsia="Times New Roman"/>
      <w:szCs w:val="20"/>
    </w:rPr>
  </w:style>
  <w:style w:type="paragraph" w:styleId="FootnoteText">
    <w:name w:val="footnote text"/>
    <w:aliases w:val="Schriftart: 9 pt,Schriftart: 10 pt,Schriftart: 8 pt,WB-Fußnotentext,FoodNote,ft,Footnote text,Footnote Text Char1,Footnote Text Char Char,Footnote Text Char1 Char Char,Footnote Text Char Char Char Char,fn,f,Char,Schriftart: 10,Podrozdział"/>
    <w:basedOn w:val="Normal"/>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Text Char1 Char,Footnote Text Char Char Char,Footnote Text Char1 Char Char Char,fn Char,f Char"/>
    <w:uiPriority w:val="99"/>
    <w:rPr>
      <w:sz w:val="20"/>
      <w:szCs w:val="20"/>
    </w:rPr>
  </w:style>
  <w:style w:type="character" w:styleId="FootnoteReference">
    <w:name w:val="footnote reference"/>
    <w:aliases w:val="Footnote symbol,Footnote,Voetnootverwijzing,Times 10 Point,Exposant 3 Point,Appel note de bas de p,BVI fnr,Footnote reference number,Ref,de nota al pie,note TESI,SUPERS,EN Footnote text,EN Footnote Reference,number,no...,E F,fr,o,FR,F"/>
    <w:uiPriority w:val="99"/>
    <w:qFormat/>
    <w:rPr>
      <w:shd w:val="clear" w:color="auto" w:fill="auto"/>
      <w:vertAlign w:val="superscript"/>
    </w:rPr>
  </w:style>
  <w:style w:type="paragraph" w:styleId="NormalIndent">
    <w:name w:val="Normal Indent"/>
    <w:basedOn w:val="Normal"/>
    <w:pPr>
      <w:spacing w:after="0" w:line="240" w:lineRule="auto"/>
    </w:pPr>
    <w:rPr>
      <w:rFonts w:eastAsia="Times New Roman"/>
      <w:szCs w:val="24"/>
      <w:lang w:eastAsia="en-GB"/>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Cs w:val="24"/>
    </w:rPr>
  </w:style>
  <w:style w:type="paragraph" w:customStyle="1" w:styleId="Nor">
    <w:name w:val="Nor"/>
    <w:aliases w:val="ql"/>
    <w:basedOn w:val="ListParagraph"/>
    <w:pPr>
      <w:spacing w:after="0" w:line="240" w:lineRule="auto"/>
      <w:ind w:left="0"/>
      <w:jc w:val="both"/>
    </w:pPr>
    <w:rPr>
      <w:rFonts w:ascii="Constantia" w:hAnsi="Constantia" w:cs="EUAlbertina"/>
      <w:b/>
      <w:i/>
      <w:color w:val="00000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lang w:eastAsia="en-US"/>
    </w:rPr>
  </w:style>
  <w:style w:type="paragraph" w:styleId="NormalWeb">
    <w:name w:val="Normal (Web)"/>
    <w:basedOn w:val="Normal"/>
    <w:uiPriority w:val="99"/>
    <w:unhideWhenUsed/>
    <w:rPr>
      <w:szCs w:val="24"/>
    </w:rPr>
  </w:style>
  <w:style w:type="paragraph" w:customStyle="1" w:styleId="Text2">
    <w:name w:val="Text 2"/>
    <w:basedOn w:val="Normal"/>
    <w:pPr>
      <w:tabs>
        <w:tab w:val="left" w:pos="2160"/>
      </w:tabs>
      <w:spacing w:after="240" w:line="240" w:lineRule="auto"/>
      <w:ind w:left="1077"/>
      <w:jc w:val="both"/>
    </w:pPr>
    <w:rPr>
      <w:rFonts w:eastAsia="Times New Roman"/>
      <w:szCs w:val="20"/>
    </w:rPr>
  </w:style>
  <w:style w:type="table" w:styleId="TableGrid">
    <w:name w:val="Table Grid"/>
    <w:basedOn w:val="TableNormal"/>
    <w:uiPriority w:val="5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pPr>
      <w:numPr>
        <w:numId w:val="4"/>
      </w:numPr>
    </w:pPr>
  </w:style>
  <w:style w:type="numbering" w:customStyle="1" w:styleId="1111111">
    <w:name w:val="1 / 1.1 / 1.1.11"/>
    <w:basedOn w:val="NoList"/>
    <w:next w:val="111111"/>
    <w:pPr>
      <w:numPr>
        <w:numId w:val="5"/>
      </w:numPr>
    </w:pPr>
  </w:style>
  <w:style w:type="character" w:styleId="SubtleEmphasis">
    <w:name w:val="Subtle Emphasis"/>
    <w:uiPriority w:val="19"/>
    <w:qFormat/>
    <w:rPr>
      <w:b/>
      <w:i/>
      <w:iCs/>
      <w:color w:val="808080"/>
    </w:rPr>
  </w:style>
  <w:style w:type="numbering" w:customStyle="1" w:styleId="1111112">
    <w:name w:val="1 / 1.1 / 1.1.12"/>
    <w:basedOn w:val="NoList"/>
    <w:next w:val="111111"/>
    <w:pPr>
      <w:numPr>
        <w:numId w:val="2"/>
      </w:numPr>
    </w:pPr>
  </w:style>
  <w:style w:type="paragraph" w:styleId="ListBullet">
    <w:name w:val="List Bullet"/>
    <w:basedOn w:val="Normal"/>
    <w:pPr>
      <w:numPr>
        <w:numId w:val="9"/>
      </w:numPr>
      <w:spacing w:after="240" w:line="240" w:lineRule="auto"/>
      <w:jc w:val="both"/>
    </w:pPr>
    <w:rPr>
      <w:rFonts w:eastAsia="Times New Roman"/>
      <w:szCs w:val="20"/>
    </w:rPr>
  </w:style>
  <w:style w:type="character" w:customStyle="1" w:styleId="Corpsdutexte">
    <w:name w:val="Corps du texte_"/>
    <w:link w:val="Corpsdutexte0"/>
    <w:uiPriority w:val="99"/>
    <w:rPr>
      <w:sz w:val="22"/>
      <w:szCs w:val="22"/>
      <w:shd w:val="clear" w:color="auto" w:fill="FFFFFF"/>
    </w:rPr>
  </w:style>
  <w:style w:type="paragraph" w:customStyle="1" w:styleId="Corpsdutexte0">
    <w:name w:val="Corps du texte"/>
    <w:basedOn w:val="Normal"/>
    <w:link w:val="Corpsdutexte"/>
    <w:uiPriority w:val="99"/>
    <w:pPr>
      <w:widowControl w:val="0"/>
      <w:shd w:val="clear" w:color="auto" w:fill="FFFFFF"/>
      <w:spacing w:before="4680" w:after="0" w:line="240" w:lineRule="atLeast"/>
      <w:ind w:hanging="460"/>
    </w:pPr>
    <w:rPr>
      <w:lang w:eastAsia="en-GB"/>
    </w:rPr>
  </w:style>
  <w:style w:type="paragraph" w:customStyle="1" w:styleId="Corpsdutexte1">
    <w:name w:val="Corps du texte1"/>
    <w:basedOn w:val="Normal"/>
    <w:uiPriority w:val="99"/>
    <w:pPr>
      <w:widowControl w:val="0"/>
      <w:shd w:val="clear" w:color="auto" w:fill="FFFFFF"/>
      <w:spacing w:before="4380" w:after="0" w:line="240" w:lineRule="atLeast"/>
      <w:ind w:hanging="460"/>
    </w:pPr>
    <w:rPr>
      <w:rFonts w:eastAsia="Times New Roman"/>
      <w:sz w:val="23"/>
      <w:szCs w:val="23"/>
      <w:lang w:val="en-US" w:eastAsia="en-GB"/>
    </w:rPr>
  </w:style>
  <w:style w:type="character" w:customStyle="1" w:styleId="Corpsdutexte10">
    <w:name w:val="Corps du texte10"/>
    <w:uiPriority w:val="99"/>
    <w:rPr>
      <w:sz w:val="23"/>
      <w:szCs w:val="23"/>
      <w:u w:val="single"/>
      <w:shd w:val="clear" w:color="auto" w:fill="FFFFFF"/>
    </w:rPr>
  </w:style>
  <w:style w:type="character" w:customStyle="1" w:styleId="Corpsdutexte3">
    <w:name w:val="Corps du texte (3)_"/>
    <w:link w:val="Corpsdutexte30"/>
    <w:uiPriority w:val="99"/>
    <w:rPr>
      <w:b/>
      <w:bCs/>
      <w:sz w:val="23"/>
      <w:szCs w:val="23"/>
      <w:shd w:val="clear" w:color="auto" w:fill="FFFFFF"/>
    </w:rPr>
  </w:style>
  <w:style w:type="character" w:customStyle="1" w:styleId="Corpsdutexte7">
    <w:name w:val="Corps du texte7"/>
    <w:uiPriority w:val="99"/>
    <w:rPr>
      <w:sz w:val="23"/>
      <w:szCs w:val="23"/>
      <w:u w:val="single"/>
      <w:shd w:val="clear" w:color="auto" w:fill="FFFFFF"/>
    </w:rPr>
  </w:style>
  <w:style w:type="character" w:customStyle="1" w:styleId="CorpsdutexteGras5">
    <w:name w:val="Corps du texte + Gras5"/>
    <w:uiPriority w:val="99"/>
    <w:rPr>
      <w:b/>
      <w:bCs/>
      <w:sz w:val="23"/>
      <w:szCs w:val="23"/>
      <w:u w:val="none"/>
      <w:shd w:val="clear" w:color="auto" w:fill="FFFFFF"/>
    </w:rPr>
  </w:style>
  <w:style w:type="character" w:customStyle="1" w:styleId="Corpsdutexte6">
    <w:name w:val="Corps du texte6"/>
    <w:uiPriority w:val="99"/>
    <w:rPr>
      <w:sz w:val="23"/>
      <w:szCs w:val="23"/>
      <w:u w:val="none"/>
      <w:shd w:val="clear" w:color="auto" w:fill="FFFFFF"/>
    </w:rPr>
  </w:style>
  <w:style w:type="character" w:customStyle="1" w:styleId="CorpsdutexteGras4">
    <w:name w:val="Corps du texte + Gras4"/>
    <w:uiPriority w:val="99"/>
    <w:rPr>
      <w:b/>
      <w:bCs/>
      <w:sz w:val="23"/>
      <w:szCs w:val="23"/>
      <w:u w:val="none"/>
      <w:shd w:val="clear" w:color="auto" w:fill="FFFFFF"/>
    </w:rPr>
  </w:style>
  <w:style w:type="paragraph" w:customStyle="1" w:styleId="Corpsdutexte30">
    <w:name w:val="Corps du texte (3)"/>
    <w:basedOn w:val="Normal"/>
    <w:link w:val="Corpsdutexte3"/>
    <w:uiPriority w:val="99"/>
    <w:pPr>
      <w:widowControl w:val="0"/>
      <w:shd w:val="clear" w:color="auto" w:fill="FFFFFF"/>
      <w:spacing w:before="480" w:after="240" w:line="240" w:lineRule="atLeast"/>
      <w:ind w:hanging="720"/>
      <w:jc w:val="both"/>
    </w:pPr>
    <w:rPr>
      <w:b/>
      <w:bCs/>
      <w:sz w:val="23"/>
      <w:szCs w:val="23"/>
      <w:lang w:eastAsia="en-GB"/>
    </w:rPr>
  </w:style>
  <w:style w:type="character" w:customStyle="1" w:styleId="Heading4Char">
    <w:name w:val="Heading 4 Char"/>
    <w:link w:val="Heading4"/>
    <w:uiPriority w:val="9"/>
    <w:rPr>
      <w:rFonts w:ascii="Times New Roman" w:eastAsia="Times New Roman" w:hAnsi="Times New Roman"/>
      <w:b/>
      <w:bCs/>
      <w:sz w:val="24"/>
      <w:szCs w:val="24"/>
      <w:u w:val="single"/>
      <w:lang w:eastAsia="en-US"/>
    </w:rPr>
  </w:style>
  <w:style w:type="paragraph" w:styleId="Caption">
    <w:name w:val="caption"/>
    <w:basedOn w:val="Normal"/>
    <w:next w:val="Normal"/>
    <w:link w:val="CaptionChar"/>
    <w:uiPriority w:val="35"/>
    <w:unhideWhenUsed/>
    <w:qFormat/>
    <w:rPr>
      <w:b/>
      <w:bCs/>
      <w:sz w:val="20"/>
      <w:szCs w:val="20"/>
    </w:rPr>
  </w:style>
  <w:style w:type="paragraph" w:customStyle="1" w:styleId="Caption1">
    <w:name w:val="Caption1"/>
    <w:basedOn w:val="Caption"/>
    <w:next w:val="Normal"/>
    <w:link w:val="captionChar0"/>
    <w:qFormat/>
    <w:pPr>
      <w:keepNext/>
      <w:jc w:val="center"/>
    </w:pPr>
    <w:rPr>
      <w:i/>
      <w:sz w:val="22"/>
    </w:rPr>
  </w:style>
  <w:style w:type="paragraph" w:customStyle="1" w:styleId="SourceCap">
    <w:name w:val="SourceCap"/>
    <w:basedOn w:val="Normal"/>
    <w:next w:val="Normal"/>
    <w:link w:val="SourceCapChar"/>
    <w:qFormat/>
    <w:pPr>
      <w:spacing w:after="160"/>
      <w:ind w:left="851"/>
    </w:pPr>
    <w:rPr>
      <w:b/>
      <w:i/>
      <w:sz w:val="21"/>
      <w:szCs w:val="20"/>
    </w:rPr>
  </w:style>
  <w:style w:type="character" w:customStyle="1" w:styleId="CaptionChar">
    <w:name w:val="Caption Char"/>
    <w:link w:val="Caption"/>
    <w:uiPriority w:val="35"/>
    <w:rPr>
      <w:b/>
      <w:bCs/>
      <w:lang w:eastAsia="en-US"/>
    </w:rPr>
  </w:style>
  <w:style w:type="character" w:customStyle="1" w:styleId="captionChar0">
    <w:name w:val="caption Char"/>
    <w:link w:val="Caption1"/>
    <w:rPr>
      <w:rFonts w:ascii="Times New Roman" w:hAnsi="Times New Roman"/>
      <w:b/>
      <w:bCs/>
      <w:i/>
      <w:sz w:val="22"/>
      <w:lang w:eastAsia="en-US"/>
    </w:rPr>
  </w:style>
  <w:style w:type="character" w:customStyle="1" w:styleId="Heading5Char">
    <w:name w:val="Heading 5 Char"/>
    <w:link w:val="Heading5"/>
    <w:uiPriority w:val="9"/>
    <w:rPr>
      <w:rFonts w:ascii="Times New Roman" w:hAnsi="Times New Roman"/>
      <w:b/>
      <w:sz w:val="24"/>
      <w:szCs w:val="24"/>
      <w:lang w:eastAsia="en-US"/>
    </w:rPr>
  </w:style>
  <w:style w:type="character" w:customStyle="1" w:styleId="SourceCapChar">
    <w:name w:val="SourceCap Char"/>
    <w:link w:val="SourceCap"/>
    <w:rPr>
      <w:rFonts w:ascii="Times New Roman" w:hAnsi="Times New Roman"/>
      <w:b/>
      <w:i/>
      <w:sz w:val="21"/>
      <w:lang w:eastAsia="en-US"/>
    </w:rPr>
  </w:style>
  <w:style w:type="character" w:customStyle="1" w:styleId="Heading6Char">
    <w:name w:val="Heading 6 Char"/>
    <w:link w:val="Heading6"/>
    <w:uiPriority w:val="9"/>
    <w:rPr>
      <w:rFonts w:ascii="Times New Roman" w:hAnsi="Times New Roman"/>
      <w:b/>
      <w:i/>
      <w:iCs/>
      <w:sz w:val="24"/>
      <w:szCs w:val="22"/>
      <w:lang w:eastAsia="en-US"/>
    </w:rPr>
  </w:style>
  <w:style w:type="paragraph" w:customStyle="1" w:styleId="KeyPoints">
    <w:name w:val="KeyPoints"/>
    <w:basedOn w:val="Normal"/>
    <w:link w:val="KeyPointsChar"/>
    <w:qFormat/>
    <w:pPr>
      <w:numPr>
        <w:numId w:val="1"/>
      </w:numPr>
      <w:spacing w:line="240" w:lineRule="auto"/>
      <w:ind w:left="0" w:hanging="357"/>
      <w:contextualSpacing/>
      <w:jc w:val="both"/>
    </w:pPr>
    <w:rPr>
      <w:i/>
      <w:szCs w:val="24"/>
    </w:rPr>
  </w:style>
  <w:style w:type="paragraph" w:styleId="TOC4">
    <w:name w:val="toc 4"/>
    <w:basedOn w:val="Normal"/>
    <w:next w:val="Normal"/>
    <w:autoRedefine/>
    <w:uiPriority w:val="39"/>
    <w:unhideWhenUsed/>
    <w:pPr>
      <w:ind w:left="720"/>
    </w:pPr>
  </w:style>
  <w:style w:type="character" w:customStyle="1" w:styleId="KeyPointsChar">
    <w:name w:val="KeyPoints Char"/>
    <w:link w:val="KeyPoints"/>
    <w:rPr>
      <w:rFonts w:ascii="Times New Roman" w:hAnsi="Times New Roman"/>
      <w:i/>
      <w:sz w:val="24"/>
      <w:szCs w:val="24"/>
      <w:lang w:eastAsia="en-US"/>
    </w:rPr>
  </w:style>
  <w:style w:type="paragraph" w:styleId="TOC5">
    <w:name w:val="toc 5"/>
    <w:basedOn w:val="Normal"/>
    <w:next w:val="Normal"/>
    <w:autoRedefine/>
    <w:uiPriority w:val="39"/>
    <w:unhideWhenUsed/>
    <w:pPr>
      <w:ind w:left="960"/>
    </w:pPr>
  </w:style>
  <w:style w:type="paragraph" w:styleId="TOC6">
    <w:name w:val="toc 6"/>
    <w:basedOn w:val="Normal"/>
    <w:next w:val="Normal"/>
    <w:autoRedefine/>
    <w:uiPriority w:val="39"/>
    <w:unhideWhenUsed/>
    <w:pPr>
      <w:spacing w:before="0" w:after="100"/>
      <w:ind w:left="1100"/>
    </w:pPr>
    <w:rPr>
      <w:rFonts w:ascii="Calibri" w:eastAsia="MS Mincho" w:hAnsi="Calibri"/>
      <w:sz w:val="22"/>
      <w:lang w:eastAsia="ja-JP"/>
    </w:rPr>
  </w:style>
  <w:style w:type="paragraph" w:styleId="TOC7">
    <w:name w:val="toc 7"/>
    <w:basedOn w:val="Normal"/>
    <w:next w:val="Normal"/>
    <w:autoRedefine/>
    <w:uiPriority w:val="39"/>
    <w:unhideWhenUsed/>
    <w:pPr>
      <w:spacing w:before="0" w:after="100"/>
      <w:ind w:left="1320"/>
    </w:pPr>
    <w:rPr>
      <w:rFonts w:ascii="Calibri" w:eastAsia="MS Mincho" w:hAnsi="Calibri"/>
      <w:sz w:val="22"/>
      <w:lang w:eastAsia="ja-JP"/>
    </w:rPr>
  </w:style>
  <w:style w:type="paragraph" w:styleId="TOC8">
    <w:name w:val="toc 8"/>
    <w:basedOn w:val="Normal"/>
    <w:next w:val="Normal"/>
    <w:autoRedefine/>
    <w:uiPriority w:val="39"/>
    <w:unhideWhenUsed/>
    <w:pPr>
      <w:spacing w:before="0" w:after="100"/>
      <w:ind w:left="1540"/>
    </w:pPr>
    <w:rPr>
      <w:rFonts w:ascii="Calibri" w:eastAsia="MS Mincho" w:hAnsi="Calibri"/>
      <w:sz w:val="22"/>
      <w:lang w:eastAsia="ja-JP"/>
    </w:rPr>
  </w:style>
  <w:style w:type="paragraph" w:styleId="TOC9">
    <w:name w:val="toc 9"/>
    <w:basedOn w:val="Normal"/>
    <w:next w:val="Normal"/>
    <w:autoRedefine/>
    <w:uiPriority w:val="39"/>
    <w:unhideWhenUsed/>
    <w:pPr>
      <w:spacing w:before="0" w:after="100"/>
      <w:ind w:left="1760"/>
    </w:pPr>
    <w:rPr>
      <w:rFonts w:ascii="Calibri" w:eastAsia="MS Mincho" w:hAnsi="Calibri"/>
      <w:sz w:val="22"/>
      <w:lang w:eastAsia="ja-JP"/>
    </w:rPr>
  </w:style>
  <w:style w:type="paragraph" w:styleId="Title">
    <w:name w:val="Title"/>
    <w:basedOn w:val="Normal"/>
    <w:next w:val="Normal"/>
    <w:link w:val="TitleChar"/>
    <w:uiPriority w:val="10"/>
    <w:qFormat/>
    <w:pPr>
      <w:spacing w:before="240"/>
      <w:jc w:val="center"/>
      <w:outlineLvl w:val="0"/>
    </w:pPr>
    <w:rPr>
      <w:rFonts w:eastAsia="MS Gothic"/>
      <w:b/>
      <w:bCs/>
      <w:kern w:val="28"/>
      <w:sz w:val="32"/>
      <w:szCs w:val="32"/>
    </w:rPr>
  </w:style>
  <w:style w:type="character" w:customStyle="1" w:styleId="TitleChar">
    <w:name w:val="Title Char"/>
    <w:link w:val="Title"/>
    <w:uiPriority w:val="10"/>
    <w:rPr>
      <w:rFonts w:ascii="Times New Roman" w:eastAsia="MS Gothic" w:hAnsi="Times New Roman"/>
      <w:b/>
      <w:bCs/>
      <w:kern w:val="28"/>
      <w:sz w:val="32"/>
      <w:szCs w:val="32"/>
      <w:lang w:eastAsia="en-US"/>
    </w:rPr>
  </w:style>
  <w:style w:type="paragraph" w:styleId="Subtitle">
    <w:name w:val="Subtitle"/>
    <w:basedOn w:val="Normal"/>
    <w:next w:val="Normal"/>
    <w:link w:val="SubtitleChar"/>
    <w:uiPriority w:val="11"/>
    <w:qFormat/>
    <w:pPr>
      <w:outlineLvl w:val="1"/>
    </w:pPr>
    <w:rPr>
      <w:rFonts w:eastAsia="MS Gothic"/>
      <w:b/>
      <w:sz w:val="28"/>
      <w:szCs w:val="24"/>
    </w:rPr>
  </w:style>
  <w:style w:type="character" w:customStyle="1" w:styleId="SubtitleChar">
    <w:name w:val="Subtitle Char"/>
    <w:link w:val="Subtitle"/>
    <w:uiPriority w:val="11"/>
    <w:rPr>
      <w:rFonts w:ascii="Times New Roman" w:eastAsia="MS Gothic" w:hAnsi="Times New Roman"/>
      <w:b/>
      <w:sz w:val="28"/>
      <w:szCs w:val="24"/>
      <w:lang w:eastAsia="en-US"/>
    </w:rPr>
  </w:style>
  <w:style w:type="paragraph" w:customStyle="1" w:styleId="s2">
    <w:name w:val="s2"/>
    <w:basedOn w:val="Normal"/>
    <w:pPr>
      <w:spacing w:before="100" w:beforeAutospacing="1" w:after="100" w:afterAutospacing="1" w:line="240" w:lineRule="auto"/>
    </w:pPr>
    <w:rPr>
      <w:szCs w:val="24"/>
      <w:lang w:eastAsia="en-GB"/>
    </w:rPr>
  </w:style>
  <w:style w:type="character" w:customStyle="1" w:styleId="bumpedfont20">
    <w:name w:val="bumpedfont20"/>
  </w:style>
  <w:style w:type="paragraph" w:customStyle="1" w:styleId="Bulletedlist">
    <w:name w:val="Bulleted list"/>
    <w:basedOn w:val="Normal"/>
    <w:qFormat/>
    <w:pPr>
      <w:numPr>
        <w:numId w:val="12"/>
      </w:numPr>
      <w:spacing w:line="240" w:lineRule="auto"/>
      <w:jc w:val="both"/>
    </w:pPr>
    <w:rPr>
      <w:rFonts w:ascii="Arial" w:eastAsia="MS Mincho" w:hAnsi="Arial" w:cs="Arial"/>
      <w:sz w:val="22"/>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paragraph" w:customStyle="1" w:styleId="Heading4bis">
    <w:name w:val="Heading 4 bis"/>
    <w:basedOn w:val="Heading4"/>
    <w:link w:val="Heading4bisChar"/>
    <w:qFormat/>
    <w:pPr>
      <w:numPr>
        <w:ilvl w:val="2"/>
        <w:numId w:val="3"/>
      </w:numPr>
    </w:pPr>
    <w:rPr>
      <w:u w:val="none"/>
    </w:rPr>
  </w:style>
  <w:style w:type="paragraph" w:customStyle="1" w:styleId="Heading5bis">
    <w:name w:val="Heading 5 bis"/>
    <w:basedOn w:val="Heading5"/>
    <w:link w:val="Heading5bisChar"/>
    <w:qFormat/>
    <w:pPr>
      <w:numPr>
        <w:ilvl w:val="3"/>
        <w:numId w:val="3"/>
      </w:numPr>
      <w:spacing w:before="120"/>
    </w:pPr>
  </w:style>
  <w:style w:type="character" w:customStyle="1" w:styleId="Heading4bisChar">
    <w:name w:val="Heading 4 bis Char"/>
    <w:link w:val="Heading4bis"/>
    <w:rPr>
      <w:rFonts w:ascii="Times New Roman" w:eastAsia="Times New Roman" w:hAnsi="Times New Roman"/>
      <w:b/>
      <w:bCs/>
      <w:sz w:val="24"/>
      <w:szCs w:val="24"/>
      <w:lang w:eastAsia="en-US"/>
    </w:rPr>
  </w:style>
  <w:style w:type="character" w:styleId="FollowedHyperlink">
    <w:name w:val="FollowedHyperlink"/>
    <w:uiPriority w:val="99"/>
    <w:semiHidden/>
    <w:unhideWhenUsed/>
    <w:rPr>
      <w:color w:val="800080"/>
      <w:u w:val="single"/>
    </w:rPr>
  </w:style>
  <w:style w:type="character" w:customStyle="1" w:styleId="Heading5bisChar">
    <w:name w:val="Heading 5 bis Char"/>
    <w:link w:val="Heading5bis"/>
    <w:rPr>
      <w:rFonts w:ascii="Times New Roman" w:hAnsi="Times New Roman"/>
      <w:b/>
      <w:sz w:val="24"/>
      <w:szCs w:val="24"/>
      <w:lang w:eastAsia="en-US"/>
    </w:rPr>
  </w:style>
  <w:style w:type="paragraph" w:customStyle="1" w:styleId="Heading3-a">
    <w:name w:val="Heading 3-a"/>
    <w:basedOn w:val="Heading3"/>
    <w:link w:val="Heading3-aChar"/>
    <w:qFormat/>
    <w:pPr>
      <w:pBdr>
        <w:top w:val="none" w:sz="0" w:space="0" w:color="auto"/>
        <w:left w:val="none" w:sz="0" w:space="0" w:color="auto"/>
        <w:bottom w:val="none" w:sz="0" w:space="0" w:color="auto"/>
        <w:right w:val="none" w:sz="0" w:space="0" w:color="auto"/>
      </w:pBdr>
      <w:spacing w:before="360" w:after="240"/>
    </w:pPr>
  </w:style>
  <w:style w:type="numbering" w:customStyle="1" w:styleId="NoList1">
    <w:name w:val="No List1"/>
    <w:next w:val="NoList"/>
    <w:uiPriority w:val="99"/>
    <w:semiHidden/>
    <w:unhideWhenUsed/>
  </w:style>
  <w:style w:type="character" w:customStyle="1" w:styleId="Heading3-aChar">
    <w:name w:val="Heading 3-a Char"/>
    <w:basedOn w:val="Heading3Char"/>
    <w:link w:val="Heading3-a"/>
    <w:rPr>
      <w:rFonts w:ascii="Times New Roman" w:hAnsi="Times New Roman"/>
      <w:b/>
      <w:sz w:val="24"/>
      <w:szCs w:val="24"/>
      <w:lang w:eastAsia="en-US"/>
    </w:rPr>
  </w:style>
  <w:style w:type="table" w:customStyle="1" w:styleId="TableGrid2">
    <w:name w:val="Table Grid2"/>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0" w:after="0" w:line="240" w:lineRule="auto"/>
      <w:jc w:val="both"/>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before="0" w:after="120" w:line="240" w:lineRule="auto"/>
      <w:jc w:val="both"/>
    </w:pPr>
  </w:style>
  <w:style w:type="character" w:customStyle="1" w:styleId="HeaderCoverPageChar">
    <w:name w:val="Header Cover Page Char"/>
    <w:link w:val="HeaderCoverPage"/>
    <w:rPr>
      <w:rFonts w:ascii="Times New Roman" w:hAnsi="Times New Roman"/>
      <w:sz w:val="24"/>
      <w:szCs w:val="22"/>
      <w:lang w:eastAsia="en-US"/>
    </w:r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2">
    <w:name w:val="Medium Grid 2"/>
    <w:basedOn w:val="TableNormal"/>
    <w:uiPriority w:val="6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2-Accent1">
    <w:name w:val="Medium Grid 2 Accent 1"/>
    <w:basedOn w:val="TableNormal"/>
    <w:uiPriority w:val="6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egalNumPar">
    <w:name w:val="LegalNumPar"/>
    <w:basedOn w:val="Normal"/>
    <w:pPr>
      <w:numPr>
        <w:numId w:val="28"/>
      </w:numPr>
      <w:spacing w:before="0" w:after="200" w:line="240" w:lineRule="auto"/>
    </w:pPr>
    <w:rPr>
      <w:rFonts w:asciiTheme="minorHAnsi" w:eastAsiaTheme="minorHAnsi" w:hAnsiTheme="minorHAnsi" w:cstheme="minorBidi"/>
      <w:sz w:val="22"/>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keepLines/>
      <w:spacing w:before="480" w:after="240"/>
      <w:ind w:right="141"/>
      <w:outlineLvl w:val="0"/>
    </w:pPr>
    <w:rPr>
      <w:rFonts w:eastAsia="Times New Roman"/>
      <w:b/>
      <w:bCs/>
      <w:color w:val="000000"/>
      <w:sz w:val="28"/>
      <w:szCs w:val="28"/>
    </w:rPr>
  </w:style>
  <w:style w:type="paragraph" w:styleId="Heading2">
    <w:name w:val="heading 2"/>
    <w:basedOn w:val="Normal"/>
    <w:next w:val="Normal"/>
    <w:link w:val="Heading2Char"/>
    <w:uiPriority w:val="9"/>
    <w:unhideWhenUsed/>
    <w:qFormat/>
    <w:pPr>
      <w:numPr>
        <w:numId w:val="3"/>
      </w:numPr>
      <w:spacing w:before="360" w:after="120" w:line="240" w:lineRule="auto"/>
      <w:jc w:val="both"/>
      <w:outlineLvl w:val="1"/>
    </w:pPr>
    <w:rPr>
      <w:b/>
      <w:szCs w:val="24"/>
    </w:rPr>
  </w:style>
  <w:style w:type="paragraph" w:styleId="Heading3">
    <w:name w:val="heading 3"/>
    <w:aliases w:val="Heading 3 bis"/>
    <w:basedOn w:val="Normal"/>
    <w:next w:val="Normal"/>
    <w:link w:val="Heading3Char"/>
    <w:uiPriority w:val="9"/>
    <w:unhideWhenUsed/>
    <w:qFormat/>
    <w:pPr>
      <w:keepNext/>
      <w:numPr>
        <w:ilvl w:val="1"/>
        <w:numId w:val="3"/>
      </w:numPr>
      <w:pBdr>
        <w:top w:val="single" w:sz="4" w:space="1" w:color="auto"/>
        <w:left w:val="single" w:sz="4" w:space="4" w:color="auto"/>
        <w:bottom w:val="single" w:sz="4" w:space="1" w:color="auto"/>
        <w:right w:val="single" w:sz="4" w:space="4" w:color="auto"/>
      </w:pBdr>
      <w:spacing w:before="600" w:after="360" w:line="240" w:lineRule="auto"/>
      <w:contextualSpacing/>
      <w:outlineLvl w:val="2"/>
    </w:pPr>
    <w:rPr>
      <w:b/>
      <w:szCs w:val="24"/>
    </w:rPr>
  </w:style>
  <w:style w:type="paragraph" w:styleId="Heading4">
    <w:name w:val="heading 4"/>
    <w:basedOn w:val="Normal"/>
    <w:next w:val="Normal"/>
    <w:link w:val="Heading4Char"/>
    <w:uiPriority w:val="9"/>
    <w:unhideWhenUsed/>
    <w:qFormat/>
    <w:pPr>
      <w:keepNext/>
      <w:numPr>
        <w:numId w:val="10"/>
      </w:numPr>
      <w:spacing w:before="240" w:after="120" w:line="240" w:lineRule="auto"/>
      <w:jc w:val="both"/>
      <w:outlineLvl w:val="3"/>
    </w:pPr>
    <w:rPr>
      <w:rFonts w:eastAsia="Times New Roman"/>
      <w:b/>
      <w:bCs/>
      <w:szCs w:val="24"/>
      <w:u w:val="single"/>
    </w:rPr>
  </w:style>
  <w:style w:type="paragraph" w:styleId="Heading5">
    <w:name w:val="heading 5"/>
    <w:basedOn w:val="Normal"/>
    <w:next w:val="Normal"/>
    <w:link w:val="Heading5Char"/>
    <w:uiPriority w:val="9"/>
    <w:unhideWhenUsed/>
    <w:qFormat/>
    <w:pPr>
      <w:keepNext/>
      <w:numPr>
        <w:numId w:val="16"/>
      </w:numPr>
      <w:spacing w:before="240" w:after="120" w:line="240" w:lineRule="auto"/>
      <w:ind w:right="142"/>
      <w:jc w:val="both"/>
      <w:outlineLvl w:val="4"/>
    </w:pPr>
    <w:rPr>
      <w:b/>
      <w:szCs w:val="24"/>
    </w:rPr>
  </w:style>
  <w:style w:type="paragraph" w:styleId="Heading6">
    <w:name w:val="heading 6"/>
    <w:basedOn w:val="Normal"/>
    <w:next w:val="Normal"/>
    <w:link w:val="Heading6Char"/>
    <w:uiPriority w:val="9"/>
    <w:unhideWhenUsed/>
    <w:qFormat/>
    <w:pPr>
      <w:keepNext/>
      <w:spacing w:before="120" w:after="40" w:line="240" w:lineRule="auto"/>
      <w:jc w:val="both"/>
      <w:outlineLvl w:val="5"/>
    </w:pPr>
    <w:rPr>
      <w:b/>
      <w:i/>
      <w:iCs/>
    </w:rPr>
  </w:style>
  <w:style w:type="paragraph" w:styleId="Heading7">
    <w:name w:val="heading 7"/>
    <w:basedOn w:val="Normal"/>
    <w:next w:val="Normal"/>
    <w:link w:val="Heading7Char"/>
    <w:uiPriority w:val="9"/>
    <w:semiHidden/>
    <w:unhideWhenUsed/>
    <w:qFormat/>
    <w:pPr>
      <w:spacing w:before="24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link w:val="Heading1"/>
    <w:uiPriority w:val="9"/>
    <w:rPr>
      <w:rFonts w:ascii="Times New Roman" w:eastAsia="Times New Roman" w:hAnsi="Times New Roman"/>
      <w:b/>
      <w:bCs/>
      <w:color w:val="000000"/>
      <w:sz w:val="28"/>
      <w:szCs w:val="28"/>
      <w:lang w:eastAsia="en-US"/>
    </w:rPr>
  </w:style>
  <w:style w:type="character" w:customStyle="1" w:styleId="Heading2Char">
    <w:name w:val="Heading 2 Char"/>
    <w:link w:val="Heading2"/>
    <w:uiPriority w:val="9"/>
    <w:rPr>
      <w:rFonts w:ascii="Times New Roman" w:hAnsi="Times New Roman"/>
      <w:b/>
      <w:sz w:val="24"/>
      <w:szCs w:val="24"/>
      <w:lang w:eastAsia="en-US"/>
    </w:rPr>
  </w:style>
  <w:style w:type="character" w:customStyle="1" w:styleId="Heading3Char">
    <w:name w:val="Heading 3 Char"/>
    <w:aliases w:val="Heading 3 bis Char"/>
    <w:link w:val="Heading3"/>
    <w:uiPriority w:val="9"/>
    <w:rPr>
      <w:rFonts w:ascii="Times New Roman" w:hAnsi="Times New Roman"/>
      <w:b/>
      <w:sz w:val="24"/>
      <w:szCs w:val="24"/>
      <w:lang w:eastAsia="en-US"/>
    </w:rPr>
  </w:style>
  <w:style w:type="paragraph" w:styleId="TOCHeading">
    <w:name w:val="TOC Heading"/>
    <w:basedOn w:val="Heading1"/>
    <w:next w:val="Normal"/>
    <w:uiPriority w:val="39"/>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Text1">
    <w:name w:val="Text 1"/>
    <w:basedOn w:val="Normal"/>
    <w:pPr>
      <w:spacing w:after="240" w:line="240" w:lineRule="auto"/>
      <w:ind w:left="482"/>
      <w:jc w:val="both"/>
    </w:pPr>
    <w:rPr>
      <w:rFonts w:eastAsia="Times New Roman"/>
      <w:szCs w:val="20"/>
    </w:rPr>
  </w:style>
  <w:style w:type="paragraph" w:styleId="FootnoteText">
    <w:name w:val="footnote text"/>
    <w:aliases w:val="Schriftart: 9 pt,Schriftart: 10 pt,Schriftart: 8 pt,WB-Fußnotentext,FoodNote,ft,Footnote text,Footnote Text Char1,Footnote Text Char Char,Footnote Text Char1 Char Char,Footnote Text Char Char Char Char,fn,f,Char,Schriftart: 10,Podrozdział"/>
    <w:basedOn w:val="Normal"/>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text Char,Footnote Text Char1 Char,Footnote Text Char Char Char,Footnote Text Char1 Char Char Char,fn Char,f Char"/>
    <w:uiPriority w:val="99"/>
    <w:rPr>
      <w:sz w:val="20"/>
      <w:szCs w:val="20"/>
    </w:rPr>
  </w:style>
  <w:style w:type="character" w:styleId="FootnoteReference">
    <w:name w:val="footnote reference"/>
    <w:aliases w:val="Footnote symbol,Footnote,Voetnootverwijzing,Times 10 Point,Exposant 3 Point,Appel note de bas de p,BVI fnr,Footnote reference number,Ref,de nota al pie,note TESI,SUPERS,EN Footnote text,EN Footnote Reference,number,no...,E F,fr,o,FR,F"/>
    <w:uiPriority w:val="99"/>
    <w:qFormat/>
    <w:rPr>
      <w:shd w:val="clear" w:color="auto" w:fill="auto"/>
      <w:vertAlign w:val="superscript"/>
    </w:rPr>
  </w:style>
  <w:style w:type="paragraph" w:styleId="NormalIndent">
    <w:name w:val="Normal Indent"/>
    <w:basedOn w:val="Normal"/>
    <w:pPr>
      <w:spacing w:after="0" w:line="240" w:lineRule="auto"/>
    </w:pPr>
    <w:rPr>
      <w:rFonts w:eastAsia="Times New Roman"/>
      <w:szCs w:val="24"/>
      <w:lang w:eastAsia="en-GB"/>
    </w:rPr>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Cs w:val="24"/>
    </w:rPr>
  </w:style>
  <w:style w:type="paragraph" w:customStyle="1" w:styleId="Nor">
    <w:name w:val="Nor"/>
    <w:aliases w:val="ql"/>
    <w:basedOn w:val="ListParagraph"/>
    <w:pPr>
      <w:spacing w:after="0" w:line="240" w:lineRule="auto"/>
      <w:ind w:left="0"/>
      <w:jc w:val="both"/>
    </w:pPr>
    <w:rPr>
      <w:rFonts w:ascii="Constantia" w:hAnsi="Constantia" w:cs="EUAlbertina"/>
      <w:b/>
      <w:i/>
      <w:color w:val="000000"/>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lang w:eastAsia="en-US"/>
    </w:rPr>
  </w:style>
  <w:style w:type="paragraph" w:styleId="NormalWeb">
    <w:name w:val="Normal (Web)"/>
    <w:basedOn w:val="Normal"/>
    <w:uiPriority w:val="99"/>
    <w:unhideWhenUsed/>
    <w:rPr>
      <w:szCs w:val="24"/>
    </w:rPr>
  </w:style>
  <w:style w:type="paragraph" w:customStyle="1" w:styleId="Text2">
    <w:name w:val="Text 2"/>
    <w:basedOn w:val="Normal"/>
    <w:pPr>
      <w:tabs>
        <w:tab w:val="left" w:pos="2160"/>
      </w:tabs>
      <w:spacing w:after="240" w:line="240" w:lineRule="auto"/>
      <w:ind w:left="1077"/>
      <w:jc w:val="both"/>
    </w:pPr>
    <w:rPr>
      <w:rFonts w:eastAsia="Times New Roman"/>
      <w:szCs w:val="20"/>
    </w:rPr>
  </w:style>
  <w:style w:type="table" w:styleId="TableGrid">
    <w:name w:val="Table Grid"/>
    <w:basedOn w:val="TableNormal"/>
    <w:uiPriority w:val="5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pPr>
      <w:numPr>
        <w:numId w:val="4"/>
      </w:numPr>
    </w:pPr>
  </w:style>
  <w:style w:type="numbering" w:customStyle="1" w:styleId="1111111">
    <w:name w:val="1 / 1.1 / 1.1.11"/>
    <w:basedOn w:val="NoList"/>
    <w:next w:val="111111"/>
    <w:pPr>
      <w:numPr>
        <w:numId w:val="5"/>
      </w:numPr>
    </w:pPr>
  </w:style>
  <w:style w:type="character" w:styleId="SubtleEmphasis">
    <w:name w:val="Subtle Emphasis"/>
    <w:uiPriority w:val="19"/>
    <w:qFormat/>
    <w:rPr>
      <w:b/>
      <w:i/>
      <w:iCs/>
      <w:color w:val="808080"/>
    </w:rPr>
  </w:style>
  <w:style w:type="numbering" w:customStyle="1" w:styleId="1111112">
    <w:name w:val="1 / 1.1 / 1.1.12"/>
    <w:basedOn w:val="NoList"/>
    <w:next w:val="111111"/>
    <w:pPr>
      <w:numPr>
        <w:numId w:val="2"/>
      </w:numPr>
    </w:pPr>
  </w:style>
  <w:style w:type="paragraph" w:styleId="ListBullet">
    <w:name w:val="List Bullet"/>
    <w:basedOn w:val="Normal"/>
    <w:pPr>
      <w:numPr>
        <w:numId w:val="9"/>
      </w:numPr>
      <w:spacing w:after="240" w:line="240" w:lineRule="auto"/>
      <w:jc w:val="both"/>
    </w:pPr>
    <w:rPr>
      <w:rFonts w:eastAsia="Times New Roman"/>
      <w:szCs w:val="20"/>
    </w:rPr>
  </w:style>
  <w:style w:type="character" w:customStyle="1" w:styleId="Corpsdutexte">
    <w:name w:val="Corps du texte_"/>
    <w:link w:val="Corpsdutexte0"/>
    <w:uiPriority w:val="99"/>
    <w:rPr>
      <w:sz w:val="22"/>
      <w:szCs w:val="22"/>
      <w:shd w:val="clear" w:color="auto" w:fill="FFFFFF"/>
    </w:rPr>
  </w:style>
  <w:style w:type="paragraph" w:customStyle="1" w:styleId="Corpsdutexte0">
    <w:name w:val="Corps du texte"/>
    <w:basedOn w:val="Normal"/>
    <w:link w:val="Corpsdutexte"/>
    <w:uiPriority w:val="99"/>
    <w:pPr>
      <w:widowControl w:val="0"/>
      <w:shd w:val="clear" w:color="auto" w:fill="FFFFFF"/>
      <w:spacing w:before="4680" w:after="0" w:line="240" w:lineRule="atLeast"/>
      <w:ind w:hanging="460"/>
    </w:pPr>
    <w:rPr>
      <w:lang w:eastAsia="en-GB"/>
    </w:rPr>
  </w:style>
  <w:style w:type="paragraph" w:customStyle="1" w:styleId="Corpsdutexte1">
    <w:name w:val="Corps du texte1"/>
    <w:basedOn w:val="Normal"/>
    <w:uiPriority w:val="99"/>
    <w:pPr>
      <w:widowControl w:val="0"/>
      <w:shd w:val="clear" w:color="auto" w:fill="FFFFFF"/>
      <w:spacing w:before="4380" w:after="0" w:line="240" w:lineRule="atLeast"/>
      <w:ind w:hanging="460"/>
    </w:pPr>
    <w:rPr>
      <w:rFonts w:eastAsia="Times New Roman"/>
      <w:sz w:val="23"/>
      <w:szCs w:val="23"/>
      <w:lang w:val="en-US" w:eastAsia="en-GB"/>
    </w:rPr>
  </w:style>
  <w:style w:type="character" w:customStyle="1" w:styleId="Corpsdutexte10">
    <w:name w:val="Corps du texte10"/>
    <w:uiPriority w:val="99"/>
    <w:rPr>
      <w:sz w:val="23"/>
      <w:szCs w:val="23"/>
      <w:u w:val="single"/>
      <w:shd w:val="clear" w:color="auto" w:fill="FFFFFF"/>
    </w:rPr>
  </w:style>
  <w:style w:type="character" w:customStyle="1" w:styleId="Corpsdutexte3">
    <w:name w:val="Corps du texte (3)_"/>
    <w:link w:val="Corpsdutexte30"/>
    <w:uiPriority w:val="99"/>
    <w:rPr>
      <w:b/>
      <w:bCs/>
      <w:sz w:val="23"/>
      <w:szCs w:val="23"/>
      <w:shd w:val="clear" w:color="auto" w:fill="FFFFFF"/>
    </w:rPr>
  </w:style>
  <w:style w:type="character" w:customStyle="1" w:styleId="Corpsdutexte7">
    <w:name w:val="Corps du texte7"/>
    <w:uiPriority w:val="99"/>
    <w:rPr>
      <w:sz w:val="23"/>
      <w:szCs w:val="23"/>
      <w:u w:val="single"/>
      <w:shd w:val="clear" w:color="auto" w:fill="FFFFFF"/>
    </w:rPr>
  </w:style>
  <w:style w:type="character" w:customStyle="1" w:styleId="CorpsdutexteGras5">
    <w:name w:val="Corps du texte + Gras5"/>
    <w:uiPriority w:val="99"/>
    <w:rPr>
      <w:b/>
      <w:bCs/>
      <w:sz w:val="23"/>
      <w:szCs w:val="23"/>
      <w:u w:val="none"/>
      <w:shd w:val="clear" w:color="auto" w:fill="FFFFFF"/>
    </w:rPr>
  </w:style>
  <w:style w:type="character" w:customStyle="1" w:styleId="Corpsdutexte6">
    <w:name w:val="Corps du texte6"/>
    <w:uiPriority w:val="99"/>
    <w:rPr>
      <w:sz w:val="23"/>
      <w:szCs w:val="23"/>
      <w:u w:val="none"/>
      <w:shd w:val="clear" w:color="auto" w:fill="FFFFFF"/>
    </w:rPr>
  </w:style>
  <w:style w:type="character" w:customStyle="1" w:styleId="CorpsdutexteGras4">
    <w:name w:val="Corps du texte + Gras4"/>
    <w:uiPriority w:val="99"/>
    <w:rPr>
      <w:b/>
      <w:bCs/>
      <w:sz w:val="23"/>
      <w:szCs w:val="23"/>
      <w:u w:val="none"/>
      <w:shd w:val="clear" w:color="auto" w:fill="FFFFFF"/>
    </w:rPr>
  </w:style>
  <w:style w:type="paragraph" w:customStyle="1" w:styleId="Corpsdutexte30">
    <w:name w:val="Corps du texte (3)"/>
    <w:basedOn w:val="Normal"/>
    <w:link w:val="Corpsdutexte3"/>
    <w:uiPriority w:val="99"/>
    <w:pPr>
      <w:widowControl w:val="0"/>
      <w:shd w:val="clear" w:color="auto" w:fill="FFFFFF"/>
      <w:spacing w:before="480" w:after="240" w:line="240" w:lineRule="atLeast"/>
      <w:ind w:hanging="720"/>
      <w:jc w:val="both"/>
    </w:pPr>
    <w:rPr>
      <w:b/>
      <w:bCs/>
      <w:sz w:val="23"/>
      <w:szCs w:val="23"/>
      <w:lang w:eastAsia="en-GB"/>
    </w:rPr>
  </w:style>
  <w:style w:type="character" w:customStyle="1" w:styleId="Heading4Char">
    <w:name w:val="Heading 4 Char"/>
    <w:link w:val="Heading4"/>
    <w:uiPriority w:val="9"/>
    <w:rPr>
      <w:rFonts w:ascii="Times New Roman" w:eastAsia="Times New Roman" w:hAnsi="Times New Roman"/>
      <w:b/>
      <w:bCs/>
      <w:sz w:val="24"/>
      <w:szCs w:val="24"/>
      <w:u w:val="single"/>
      <w:lang w:eastAsia="en-US"/>
    </w:rPr>
  </w:style>
  <w:style w:type="paragraph" w:styleId="Caption">
    <w:name w:val="caption"/>
    <w:basedOn w:val="Normal"/>
    <w:next w:val="Normal"/>
    <w:link w:val="CaptionChar"/>
    <w:uiPriority w:val="35"/>
    <w:unhideWhenUsed/>
    <w:qFormat/>
    <w:rPr>
      <w:b/>
      <w:bCs/>
      <w:sz w:val="20"/>
      <w:szCs w:val="20"/>
    </w:rPr>
  </w:style>
  <w:style w:type="paragraph" w:customStyle="1" w:styleId="Caption1">
    <w:name w:val="Caption1"/>
    <w:basedOn w:val="Caption"/>
    <w:next w:val="Normal"/>
    <w:link w:val="captionChar0"/>
    <w:qFormat/>
    <w:pPr>
      <w:keepNext/>
      <w:jc w:val="center"/>
    </w:pPr>
    <w:rPr>
      <w:i/>
      <w:sz w:val="22"/>
    </w:rPr>
  </w:style>
  <w:style w:type="paragraph" w:customStyle="1" w:styleId="SourceCap">
    <w:name w:val="SourceCap"/>
    <w:basedOn w:val="Normal"/>
    <w:next w:val="Normal"/>
    <w:link w:val="SourceCapChar"/>
    <w:qFormat/>
    <w:pPr>
      <w:spacing w:after="160"/>
      <w:ind w:left="851"/>
    </w:pPr>
    <w:rPr>
      <w:b/>
      <w:i/>
      <w:sz w:val="21"/>
      <w:szCs w:val="20"/>
    </w:rPr>
  </w:style>
  <w:style w:type="character" w:customStyle="1" w:styleId="CaptionChar">
    <w:name w:val="Caption Char"/>
    <w:link w:val="Caption"/>
    <w:uiPriority w:val="35"/>
    <w:rPr>
      <w:b/>
      <w:bCs/>
      <w:lang w:eastAsia="en-US"/>
    </w:rPr>
  </w:style>
  <w:style w:type="character" w:customStyle="1" w:styleId="captionChar0">
    <w:name w:val="caption Char"/>
    <w:link w:val="Caption1"/>
    <w:rPr>
      <w:rFonts w:ascii="Times New Roman" w:hAnsi="Times New Roman"/>
      <w:b/>
      <w:bCs/>
      <w:i/>
      <w:sz w:val="22"/>
      <w:lang w:eastAsia="en-US"/>
    </w:rPr>
  </w:style>
  <w:style w:type="character" w:customStyle="1" w:styleId="Heading5Char">
    <w:name w:val="Heading 5 Char"/>
    <w:link w:val="Heading5"/>
    <w:uiPriority w:val="9"/>
    <w:rPr>
      <w:rFonts w:ascii="Times New Roman" w:hAnsi="Times New Roman"/>
      <w:b/>
      <w:sz w:val="24"/>
      <w:szCs w:val="24"/>
      <w:lang w:eastAsia="en-US"/>
    </w:rPr>
  </w:style>
  <w:style w:type="character" w:customStyle="1" w:styleId="SourceCapChar">
    <w:name w:val="SourceCap Char"/>
    <w:link w:val="SourceCap"/>
    <w:rPr>
      <w:rFonts w:ascii="Times New Roman" w:hAnsi="Times New Roman"/>
      <w:b/>
      <w:i/>
      <w:sz w:val="21"/>
      <w:lang w:eastAsia="en-US"/>
    </w:rPr>
  </w:style>
  <w:style w:type="character" w:customStyle="1" w:styleId="Heading6Char">
    <w:name w:val="Heading 6 Char"/>
    <w:link w:val="Heading6"/>
    <w:uiPriority w:val="9"/>
    <w:rPr>
      <w:rFonts w:ascii="Times New Roman" w:hAnsi="Times New Roman"/>
      <w:b/>
      <w:i/>
      <w:iCs/>
      <w:sz w:val="24"/>
      <w:szCs w:val="22"/>
      <w:lang w:eastAsia="en-US"/>
    </w:rPr>
  </w:style>
  <w:style w:type="paragraph" w:customStyle="1" w:styleId="KeyPoints">
    <w:name w:val="KeyPoints"/>
    <w:basedOn w:val="Normal"/>
    <w:link w:val="KeyPointsChar"/>
    <w:qFormat/>
    <w:pPr>
      <w:numPr>
        <w:numId w:val="1"/>
      </w:numPr>
      <w:spacing w:line="240" w:lineRule="auto"/>
      <w:ind w:left="0" w:hanging="357"/>
      <w:contextualSpacing/>
      <w:jc w:val="both"/>
    </w:pPr>
    <w:rPr>
      <w:i/>
      <w:szCs w:val="24"/>
    </w:rPr>
  </w:style>
  <w:style w:type="paragraph" w:styleId="TOC4">
    <w:name w:val="toc 4"/>
    <w:basedOn w:val="Normal"/>
    <w:next w:val="Normal"/>
    <w:autoRedefine/>
    <w:uiPriority w:val="39"/>
    <w:unhideWhenUsed/>
    <w:pPr>
      <w:ind w:left="720"/>
    </w:pPr>
  </w:style>
  <w:style w:type="character" w:customStyle="1" w:styleId="KeyPointsChar">
    <w:name w:val="KeyPoints Char"/>
    <w:link w:val="KeyPoints"/>
    <w:rPr>
      <w:rFonts w:ascii="Times New Roman" w:hAnsi="Times New Roman"/>
      <w:i/>
      <w:sz w:val="24"/>
      <w:szCs w:val="24"/>
      <w:lang w:eastAsia="en-US"/>
    </w:rPr>
  </w:style>
  <w:style w:type="paragraph" w:styleId="TOC5">
    <w:name w:val="toc 5"/>
    <w:basedOn w:val="Normal"/>
    <w:next w:val="Normal"/>
    <w:autoRedefine/>
    <w:uiPriority w:val="39"/>
    <w:unhideWhenUsed/>
    <w:pPr>
      <w:ind w:left="960"/>
    </w:pPr>
  </w:style>
  <w:style w:type="paragraph" w:styleId="TOC6">
    <w:name w:val="toc 6"/>
    <w:basedOn w:val="Normal"/>
    <w:next w:val="Normal"/>
    <w:autoRedefine/>
    <w:uiPriority w:val="39"/>
    <w:unhideWhenUsed/>
    <w:pPr>
      <w:spacing w:before="0" w:after="100"/>
      <w:ind w:left="1100"/>
    </w:pPr>
    <w:rPr>
      <w:rFonts w:ascii="Calibri" w:eastAsia="MS Mincho" w:hAnsi="Calibri"/>
      <w:sz w:val="22"/>
      <w:lang w:eastAsia="ja-JP"/>
    </w:rPr>
  </w:style>
  <w:style w:type="paragraph" w:styleId="TOC7">
    <w:name w:val="toc 7"/>
    <w:basedOn w:val="Normal"/>
    <w:next w:val="Normal"/>
    <w:autoRedefine/>
    <w:uiPriority w:val="39"/>
    <w:unhideWhenUsed/>
    <w:pPr>
      <w:spacing w:before="0" w:after="100"/>
      <w:ind w:left="1320"/>
    </w:pPr>
    <w:rPr>
      <w:rFonts w:ascii="Calibri" w:eastAsia="MS Mincho" w:hAnsi="Calibri"/>
      <w:sz w:val="22"/>
      <w:lang w:eastAsia="ja-JP"/>
    </w:rPr>
  </w:style>
  <w:style w:type="paragraph" w:styleId="TOC8">
    <w:name w:val="toc 8"/>
    <w:basedOn w:val="Normal"/>
    <w:next w:val="Normal"/>
    <w:autoRedefine/>
    <w:uiPriority w:val="39"/>
    <w:unhideWhenUsed/>
    <w:pPr>
      <w:spacing w:before="0" w:after="100"/>
      <w:ind w:left="1540"/>
    </w:pPr>
    <w:rPr>
      <w:rFonts w:ascii="Calibri" w:eastAsia="MS Mincho" w:hAnsi="Calibri"/>
      <w:sz w:val="22"/>
      <w:lang w:eastAsia="ja-JP"/>
    </w:rPr>
  </w:style>
  <w:style w:type="paragraph" w:styleId="TOC9">
    <w:name w:val="toc 9"/>
    <w:basedOn w:val="Normal"/>
    <w:next w:val="Normal"/>
    <w:autoRedefine/>
    <w:uiPriority w:val="39"/>
    <w:unhideWhenUsed/>
    <w:pPr>
      <w:spacing w:before="0" w:after="100"/>
      <w:ind w:left="1760"/>
    </w:pPr>
    <w:rPr>
      <w:rFonts w:ascii="Calibri" w:eastAsia="MS Mincho" w:hAnsi="Calibri"/>
      <w:sz w:val="22"/>
      <w:lang w:eastAsia="ja-JP"/>
    </w:rPr>
  </w:style>
  <w:style w:type="paragraph" w:styleId="Title">
    <w:name w:val="Title"/>
    <w:basedOn w:val="Normal"/>
    <w:next w:val="Normal"/>
    <w:link w:val="TitleChar"/>
    <w:uiPriority w:val="10"/>
    <w:qFormat/>
    <w:pPr>
      <w:spacing w:before="240"/>
      <w:jc w:val="center"/>
      <w:outlineLvl w:val="0"/>
    </w:pPr>
    <w:rPr>
      <w:rFonts w:eastAsia="MS Gothic"/>
      <w:b/>
      <w:bCs/>
      <w:kern w:val="28"/>
      <w:sz w:val="32"/>
      <w:szCs w:val="32"/>
    </w:rPr>
  </w:style>
  <w:style w:type="character" w:customStyle="1" w:styleId="TitleChar">
    <w:name w:val="Title Char"/>
    <w:link w:val="Title"/>
    <w:uiPriority w:val="10"/>
    <w:rPr>
      <w:rFonts w:ascii="Times New Roman" w:eastAsia="MS Gothic" w:hAnsi="Times New Roman"/>
      <w:b/>
      <w:bCs/>
      <w:kern w:val="28"/>
      <w:sz w:val="32"/>
      <w:szCs w:val="32"/>
      <w:lang w:eastAsia="en-US"/>
    </w:rPr>
  </w:style>
  <w:style w:type="paragraph" w:styleId="Subtitle">
    <w:name w:val="Subtitle"/>
    <w:basedOn w:val="Normal"/>
    <w:next w:val="Normal"/>
    <w:link w:val="SubtitleChar"/>
    <w:uiPriority w:val="11"/>
    <w:qFormat/>
    <w:pPr>
      <w:outlineLvl w:val="1"/>
    </w:pPr>
    <w:rPr>
      <w:rFonts w:eastAsia="MS Gothic"/>
      <w:b/>
      <w:sz w:val="28"/>
      <w:szCs w:val="24"/>
    </w:rPr>
  </w:style>
  <w:style w:type="character" w:customStyle="1" w:styleId="SubtitleChar">
    <w:name w:val="Subtitle Char"/>
    <w:link w:val="Subtitle"/>
    <w:uiPriority w:val="11"/>
    <w:rPr>
      <w:rFonts w:ascii="Times New Roman" w:eastAsia="MS Gothic" w:hAnsi="Times New Roman"/>
      <w:b/>
      <w:sz w:val="28"/>
      <w:szCs w:val="24"/>
      <w:lang w:eastAsia="en-US"/>
    </w:rPr>
  </w:style>
  <w:style w:type="paragraph" w:customStyle="1" w:styleId="s2">
    <w:name w:val="s2"/>
    <w:basedOn w:val="Normal"/>
    <w:pPr>
      <w:spacing w:before="100" w:beforeAutospacing="1" w:after="100" w:afterAutospacing="1" w:line="240" w:lineRule="auto"/>
    </w:pPr>
    <w:rPr>
      <w:szCs w:val="24"/>
      <w:lang w:eastAsia="en-GB"/>
    </w:rPr>
  </w:style>
  <w:style w:type="character" w:customStyle="1" w:styleId="bumpedfont20">
    <w:name w:val="bumpedfont20"/>
  </w:style>
  <w:style w:type="paragraph" w:customStyle="1" w:styleId="Bulletedlist">
    <w:name w:val="Bulleted list"/>
    <w:basedOn w:val="Normal"/>
    <w:qFormat/>
    <w:pPr>
      <w:numPr>
        <w:numId w:val="12"/>
      </w:numPr>
      <w:spacing w:line="240" w:lineRule="auto"/>
      <w:jc w:val="both"/>
    </w:pPr>
    <w:rPr>
      <w:rFonts w:ascii="Arial" w:eastAsia="MS Mincho" w:hAnsi="Arial" w:cs="Arial"/>
      <w:sz w:val="22"/>
    </w:rPr>
  </w:style>
  <w:style w:type="character" w:customStyle="1" w:styleId="Heading7Char">
    <w:name w:val="Heading 7 Char"/>
    <w:link w:val="Heading7"/>
    <w:uiPriority w:val="9"/>
    <w:semiHidden/>
    <w:rPr>
      <w:rFonts w:ascii="Calibri" w:eastAsia="Times New Roman" w:hAnsi="Calibri" w:cs="Times New Roman"/>
      <w:sz w:val="24"/>
      <w:szCs w:val="24"/>
      <w:lang w:eastAsia="en-US"/>
    </w:rPr>
  </w:style>
  <w:style w:type="paragraph" w:customStyle="1" w:styleId="Heading4bis">
    <w:name w:val="Heading 4 bis"/>
    <w:basedOn w:val="Heading4"/>
    <w:link w:val="Heading4bisChar"/>
    <w:qFormat/>
    <w:pPr>
      <w:numPr>
        <w:ilvl w:val="2"/>
        <w:numId w:val="3"/>
      </w:numPr>
    </w:pPr>
    <w:rPr>
      <w:u w:val="none"/>
    </w:rPr>
  </w:style>
  <w:style w:type="paragraph" w:customStyle="1" w:styleId="Heading5bis">
    <w:name w:val="Heading 5 bis"/>
    <w:basedOn w:val="Heading5"/>
    <w:link w:val="Heading5bisChar"/>
    <w:qFormat/>
    <w:pPr>
      <w:numPr>
        <w:ilvl w:val="3"/>
        <w:numId w:val="3"/>
      </w:numPr>
      <w:spacing w:before="120"/>
    </w:pPr>
  </w:style>
  <w:style w:type="character" w:customStyle="1" w:styleId="Heading4bisChar">
    <w:name w:val="Heading 4 bis Char"/>
    <w:link w:val="Heading4bis"/>
    <w:rPr>
      <w:rFonts w:ascii="Times New Roman" w:eastAsia="Times New Roman" w:hAnsi="Times New Roman"/>
      <w:b/>
      <w:bCs/>
      <w:sz w:val="24"/>
      <w:szCs w:val="24"/>
      <w:lang w:eastAsia="en-US"/>
    </w:rPr>
  </w:style>
  <w:style w:type="character" w:styleId="FollowedHyperlink">
    <w:name w:val="FollowedHyperlink"/>
    <w:uiPriority w:val="99"/>
    <w:semiHidden/>
    <w:unhideWhenUsed/>
    <w:rPr>
      <w:color w:val="800080"/>
      <w:u w:val="single"/>
    </w:rPr>
  </w:style>
  <w:style w:type="character" w:customStyle="1" w:styleId="Heading5bisChar">
    <w:name w:val="Heading 5 bis Char"/>
    <w:link w:val="Heading5bis"/>
    <w:rPr>
      <w:rFonts w:ascii="Times New Roman" w:hAnsi="Times New Roman"/>
      <w:b/>
      <w:sz w:val="24"/>
      <w:szCs w:val="24"/>
      <w:lang w:eastAsia="en-US"/>
    </w:rPr>
  </w:style>
  <w:style w:type="paragraph" w:customStyle="1" w:styleId="Heading3-a">
    <w:name w:val="Heading 3-a"/>
    <w:basedOn w:val="Heading3"/>
    <w:link w:val="Heading3-aChar"/>
    <w:qFormat/>
    <w:pPr>
      <w:pBdr>
        <w:top w:val="none" w:sz="0" w:space="0" w:color="auto"/>
        <w:left w:val="none" w:sz="0" w:space="0" w:color="auto"/>
        <w:bottom w:val="none" w:sz="0" w:space="0" w:color="auto"/>
        <w:right w:val="none" w:sz="0" w:space="0" w:color="auto"/>
      </w:pBdr>
      <w:spacing w:before="360" w:after="240"/>
    </w:pPr>
  </w:style>
  <w:style w:type="numbering" w:customStyle="1" w:styleId="NoList1">
    <w:name w:val="No List1"/>
    <w:next w:val="NoList"/>
    <w:uiPriority w:val="99"/>
    <w:semiHidden/>
    <w:unhideWhenUsed/>
  </w:style>
  <w:style w:type="character" w:customStyle="1" w:styleId="Heading3-aChar">
    <w:name w:val="Heading 3-a Char"/>
    <w:basedOn w:val="Heading3Char"/>
    <w:link w:val="Heading3-a"/>
    <w:rPr>
      <w:rFonts w:ascii="Times New Roman" w:hAnsi="Times New Roman"/>
      <w:b/>
      <w:sz w:val="24"/>
      <w:szCs w:val="24"/>
      <w:lang w:eastAsia="en-US"/>
    </w:rPr>
  </w:style>
  <w:style w:type="table" w:customStyle="1" w:styleId="TableGrid2">
    <w:name w:val="Table Grid2"/>
    <w:basedOn w:val="TableNormal"/>
    <w:next w:val="TableGri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before="0" w:after="0" w:line="240" w:lineRule="auto"/>
      <w:jc w:val="both"/>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HeaderCoverPage">
    <w:name w:val="Header Cover Page"/>
    <w:basedOn w:val="Normal"/>
    <w:link w:val="HeaderCoverPageChar"/>
    <w:pPr>
      <w:tabs>
        <w:tab w:val="center" w:pos="4535"/>
        <w:tab w:val="right" w:pos="9071"/>
      </w:tabs>
      <w:spacing w:before="0" w:after="120" w:line="240" w:lineRule="auto"/>
      <w:jc w:val="both"/>
    </w:pPr>
  </w:style>
  <w:style w:type="character" w:customStyle="1" w:styleId="HeaderCoverPageChar">
    <w:name w:val="Header Cover Page Char"/>
    <w:link w:val="HeaderCoverPage"/>
    <w:rPr>
      <w:rFonts w:ascii="Times New Roman" w:hAnsi="Times New Roman"/>
      <w:sz w:val="24"/>
      <w:szCs w:val="22"/>
      <w:lang w:eastAsia="en-US"/>
    </w:r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2">
    <w:name w:val="Medium Grid 2"/>
    <w:basedOn w:val="TableNormal"/>
    <w:uiPriority w:val="6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2-Accent1">
    <w:name w:val="Medium Grid 2 Accent 1"/>
    <w:basedOn w:val="TableNormal"/>
    <w:uiPriority w:val="6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LegalNumPar">
    <w:name w:val="LegalNumPar"/>
    <w:basedOn w:val="Normal"/>
    <w:pPr>
      <w:numPr>
        <w:numId w:val="28"/>
      </w:numPr>
      <w:spacing w:before="0" w:after="200" w:line="240" w:lineRule="auto"/>
    </w:pPr>
    <w:rPr>
      <w:rFonts w:asciiTheme="minorHAnsi" w:eastAsiaTheme="minorHAnsi" w:hAnsiTheme="minorHAnsi" w:cstheme="minorBidi"/>
      <w:sz w:val="22"/>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560">
      <w:bodyDiv w:val="1"/>
      <w:marLeft w:val="0"/>
      <w:marRight w:val="0"/>
      <w:marTop w:val="0"/>
      <w:marBottom w:val="0"/>
      <w:divBdr>
        <w:top w:val="none" w:sz="0" w:space="0" w:color="auto"/>
        <w:left w:val="none" w:sz="0" w:space="0" w:color="auto"/>
        <w:bottom w:val="none" w:sz="0" w:space="0" w:color="auto"/>
        <w:right w:val="none" w:sz="0" w:space="0" w:color="auto"/>
      </w:divBdr>
    </w:div>
    <w:div w:id="24869747">
      <w:bodyDiv w:val="1"/>
      <w:marLeft w:val="0"/>
      <w:marRight w:val="0"/>
      <w:marTop w:val="0"/>
      <w:marBottom w:val="0"/>
      <w:divBdr>
        <w:top w:val="none" w:sz="0" w:space="0" w:color="auto"/>
        <w:left w:val="none" w:sz="0" w:space="0" w:color="auto"/>
        <w:bottom w:val="none" w:sz="0" w:space="0" w:color="auto"/>
        <w:right w:val="none" w:sz="0" w:space="0" w:color="auto"/>
      </w:divBdr>
    </w:div>
    <w:div w:id="136801749">
      <w:bodyDiv w:val="1"/>
      <w:marLeft w:val="0"/>
      <w:marRight w:val="0"/>
      <w:marTop w:val="0"/>
      <w:marBottom w:val="0"/>
      <w:divBdr>
        <w:top w:val="none" w:sz="0" w:space="0" w:color="auto"/>
        <w:left w:val="none" w:sz="0" w:space="0" w:color="auto"/>
        <w:bottom w:val="none" w:sz="0" w:space="0" w:color="auto"/>
        <w:right w:val="none" w:sz="0" w:space="0" w:color="auto"/>
      </w:divBdr>
    </w:div>
    <w:div w:id="142359884">
      <w:bodyDiv w:val="1"/>
      <w:marLeft w:val="0"/>
      <w:marRight w:val="0"/>
      <w:marTop w:val="0"/>
      <w:marBottom w:val="0"/>
      <w:divBdr>
        <w:top w:val="none" w:sz="0" w:space="0" w:color="auto"/>
        <w:left w:val="none" w:sz="0" w:space="0" w:color="auto"/>
        <w:bottom w:val="none" w:sz="0" w:space="0" w:color="auto"/>
        <w:right w:val="none" w:sz="0" w:space="0" w:color="auto"/>
      </w:divBdr>
    </w:div>
    <w:div w:id="185873255">
      <w:bodyDiv w:val="1"/>
      <w:marLeft w:val="0"/>
      <w:marRight w:val="0"/>
      <w:marTop w:val="0"/>
      <w:marBottom w:val="0"/>
      <w:divBdr>
        <w:top w:val="none" w:sz="0" w:space="0" w:color="auto"/>
        <w:left w:val="none" w:sz="0" w:space="0" w:color="auto"/>
        <w:bottom w:val="none" w:sz="0" w:space="0" w:color="auto"/>
        <w:right w:val="none" w:sz="0" w:space="0" w:color="auto"/>
      </w:divBdr>
    </w:div>
    <w:div w:id="221253146">
      <w:bodyDiv w:val="1"/>
      <w:marLeft w:val="0"/>
      <w:marRight w:val="0"/>
      <w:marTop w:val="0"/>
      <w:marBottom w:val="0"/>
      <w:divBdr>
        <w:top w:val="none" w:sz="0" w:space="0" w:color="auto"/>
        <w:left w:val="none" w:sz="0" w:space="0" w:color="auto"/>
        <w:bottom w:val="none" w:sz="0" w:space="0" w:color="auto"/>
        <w:right w:val="none" w:sz="0" w:space="0" w:color="auto"/>
      </w:divBdr>
    </w:div>
    <w:div w:id="232666494">
      <w:bodyDiv w:val="1"/>
      <w:marLeft w:val="0"/>
      <w:marRight w:val="0"/>
      <w:marTop w:val="0"/>
      <w:marBottom w:val="0"/>
      <w:divBdr>
        <w:top w:val="none" w:sz="0" w:space="0" w:color="auto"/>
        <w:left w:val="none" w:sz="0" w:space="0" w:color="auto"/>
        <w:bottom w:val="none" w:sz="0" w:space="0" w:color="auto"/>
        <w:right w:val="none" w:sz="0" w:space="0" w:color="auto"/>
      </w:divBdr>
    </w:div>
    <w:div w:id="243804371">
      <w:bodyDiv w:val="1"/>
      <w:marLeft w:val="0"/>
      <w:marRight w:val="0"/>
      <w:marTop w:val="0"/>
      <w:marBottom w:val="0"/>
      <w:divBdr>
        <w:top w:val="none" w:sz="0" w:space="0" w:color="auto"/>
        <w:left w:val="none" w:sz="0" w:space="0" w:color="auto"/>
        <w:bottom w:val="none" w:sz="0" w:space="0" w:color="auto"/>
        <w:right w:val="none" w:sz="0" w:space="0" w:color="auto"/>
      </w:divBdr>
    </w:div>
    <w:div w:id="279916938">
      <w:bodyDiv w:val="1"/>
      <w:marLeft w:val="0"/>
      <w:marRight w:val="0"/>
      <w:marTop w:val="0"/>
      <w:marBottom w:val="0"/>
      <w:divBdr>
        <w:top w:val="none" w:sz="0" w:space="0" w:color="auto"/>
        <w:left w:val="none" w:sz="0" w:space="0" w:color="auto"/>
        <w:bottom w:val="none" w:sz="0" w:space="0" w:color="auto"/>
        <w:right w:val="none" w:sz="0" w:space="0" w:color="auto"/>
      </w:divBdr>
    </w:div>
    <w:div w:id="363480031">
      <w:bodyDiv w:val="1"/>
      <w:marLeft w:val="0"/>
      <w:marRight w:val="0"/>
      <w:marTop w:val="0"/>
      <w:marBottom w:val="0"/>
      <w:divBdr>
        <w:top w:val="none" w:sz="0" w:space="0" w:color="auto"/>
        <w:left w:val="none" w:sz="0" w:space="0" w:color="auto"/>
        <w:bottom w:val="none" w:sz="0" w:space="0" w:color="auto"/>
        <w:right w:val="none" w:sz="0" w:space="0" w:color="auto"/>
      </w:divBdr>
    </w:div>
    <w:div w:id="537356600">
      <w:bodyDiv w:val="1"/>
      <w:marLeft w:val="0"/>
      <w:marRight w:val="0"/>
      <w:marTop w:val="0"/>
      <w:marBottom w:val="0"/>
      <w:divBdr>
        <w:top w:val="none" w:sz="0" w:space="0" w:color="auto"/>
        <w:left w:val="none" w:sz="0" w:space="0" w:color="auto"/>
        <w:bottom w:val="none" w:sz="0" w:space="0" w:color="auto"/>
        <w:right w:val="none" w:sz="0" w:space="0" w:color="auto"/>
      </w:divBdr>
    </w:div>
    <w:div w:id="539246279">
      <w:bodyDiv w:val="1"/>
      <w:marLeft w:val="0"/>
      <w:marRight w:val="0"/>
      <w:marTop w:val="0"/>
      <w:marBottom w:val="0"/>
      <w:divBdr>
        <w:top w:val="none" w:sz="0" w:space="0" w:color="auto"/>
        <w:left w:val="none" w:sz="0" w:space="0" w:color="auto"/>
        <w:bottom w:val="none" w:sz="0" w:space="0" w:color="auto"/>
        <w:right w:val="none" w:sz="0" w:space="0" w:color="auto"/>
      </w:divBdr>
    </w:div>
    <w:div w:id="571232707">
      <w:bodyDiv w:val="1"/>
      <w:marLeft w:val="0"/>
      <w:marRight w:val="0"/>
      <w:marTop w:val="0"/>
      <w:marBottom w:val="0"/>
      <w:divBdr>
        <w:top w:val="none" w:sz="0" w:space="0" w:color="auto"/>
        <w:left w:val="none" w:sz="0" w:space="0" w:color="auto"/>
        <w:bottom w:val="none" w:sz="0" w:space="0" w:color="auto"/>
        <w:right w:val="none" w:sz="0" w:space="0" w:color="auto"/>
      </w:divBdr>
    </w:div>
    <w:div w:id="572399614">
      <w:bodyDiv w:val="1"/>
      <w:marLeft w:val="0"/>
      <w:marRight w:val="0"/>
      <w:marTop w:val="0"/>
      <w:marBottom w:val="0"/>
      <w:divBdr>
        <w:top w:val="none" w:sz="0" w:space="0" w:color="auto"/>
        <w:left w:val="none" w:sz="0" w:space="0" w:color="auto"/>
        <w:bottom w:val="none" w:sz="0" w:space="0" w:color="auto"/>
        <w:right w:val="none" w:sz="0" w:space="0" w:color="auto"/>
      </w:divBdr>
    </w:div>
    <w:div w:id="584073865">
      <w:bodyDiv w:val="1"/>
      <w:marLeft w:val="0"/>
      <w:marRight w:val="0"/>
      <w:marTop w:val="0"/>
      <w:marBottom w:val="0"/>
      <w:divBdr>
        <w:top w:val="none" w:sz="0" w:space="0" w:color="auto"/>
        <w:left w:val="none" w:sz="0" w:space="0" w:color="auto"/>
        <w:bottom w:val="none" w:sz="0" w:space="0" w:color="auto"/>
        <w:right w:val="none" w:sz="0" w:space="0" w:color="auto"/>
      </w:divBdr>
    </w:div>
    <w:div w:id="609774362">
      <w:bodyDiv w:val="1"/>
      <w:marLeft w:val="0"/>
      <w:marRight w:val="0"/>
      <w:marTop w:val="0"/>
      <w:marBottom w:val="0"/>
      <w:divBdr>
        <w:top w:val="none" w:sz="0" w:space="0" w:color="auto"/>
        <w:left w:val="none" w:sz="0" w:space="0" w:color="auto"/>
        <w:bottom w:val="none" w:sz="0" w:space="0" w:color="auto"/>
        <w:right w:val="none" w:sz="0" w:space="0" w:color="auto"/>
      </w:divBdr>
    </w:div>
    <w:div w:id="625964530">
      <w:bodyDiv w:val="1"/>
      <w:marLeft w:val="0"/>
      <w:marRight w:val="0"/>
      <w:marTop w:val="0"/>
      <w:marBottom w:val="0"/>
      <w:divBdr>
        <w:top w:val="none" w:sz="0" w:space="0" w:color="auto"/>
        <w:left w:val="none" w:sz="0" w:space="0" w:color="auto"/>
        <w:bottom w:val="none" w:sz="0" w:space="0" w:color="auto"/>
        <w:right w:val="none" w:sz="0" w:space="0" w:color="auto"/>
      </w:divBdr>
    </w:div>
    <w:div w:id="637685392">
      <w:bodyDiv w:val="1"/>
      <w:marLeft w:val="0"/>
      <w:marRight w:val="0"/>
      <w:marTop w:val="0"/>
      <w:marBottom w:val="0"/>
      <w:divBdr>
        <w:top w:val="none" w:sz="0" w:space="0" w:color="auto"/>
        <w:left w:val="none" w:sz="0" w:space="0" w:color="auto"/>
        <w:bottom w:val="none" w:sz="0" w:space="0" w:color="auto"/>
        <w:right w:val="none" w:sz="0" w:space="0" w:color="auto"/>
      </w:divBdr>
    </w:div>
    <w:div w:id="707605256">
      <w:bodyDiv w:val="1"/>
      <w:marLeft w:val="0"/>
      <w:marRight w:val="0"/>
      <w:marTop w:val="0"/>
      <w:marBottom w:val="0"/>
      <w:divBdr>
        <w:top w:val="none" w:sz="0" w:space="0" w:color="auto"/>
        <w:left w:val="none" w:sz="0" w:space="0" w:color="auto"/>
        <w:bottom w:val="none" w:sz="0" w:space="0" w:color="auto"/>
        <w:right w:val="none" w:sz="0" w:space="0" w:color="auto"/>
      </w:divBdr>
    </w:div>
    <w:div w:id="717626369">
      <w:bodyDiv w:val="1"/>
      <w:marLeft w:val="0"/>
      <w:marRight w:val="0"/>
      <w:marTop w:val="0"/>
      <w:marBottom w:val="0"/>
      <w:divBdr>
        <w:top w:val="none" w:sz="0" w:space="0" w:color="auto"/>
        <w:left w:val="none" w:sz="0" w:space="0" w:color="auto"/>
        <w:bottom w:val="none" w:sz="0" w:space="0" w:color="auto"/>
        <w:right w:val="none" w:sz="0" w:space="0" w:color="auto"/>
      </w:divBdr>
    </w:div>
    <w:div w:id="728043079">
      <w:bodyDiv w:val="1"/>
      <w:marLeft w:val="0"/>
      <w:marRight w:val="0"/>
      <w:marTop w:val="0"/>
      <w:marBottom w:val="0"/>
      <w:divBdr>
        <w:top w:val="none" w:sz="0" w:space="0" w:color="auto"/>
        <w:left w:val="none" w:sz="0" w:space="0" w:color="auto"/>
        <w:bottom w:val="none" w:sz="0" w:space="0" w:color="auto"/>
        <w:right w:val="none" w:sz="0" w:space="0" w:color="auto"/>
      </w:divBdr>
    </w:div>
    <w:div w:id="729696836">
      <w:bodyDiv w:val="1"/>
      <w:marLeft w:val="0"/>
      <w:marRight w:val="0"/>
      <w:marTop w:val="0"/>
      <w:marBottom w:val="0"/>
      <w:divBdr>
        <w:top w:val="none" w:sz="0" w:space="0" w:color="auto"/>
        <w:left w:val="none" w:sz="0" w:space="0" w:color="auto"/>
        <w:bottom w:val="none" w:sz="0" w:space="0" w:color="auto"/>
        <w:right w:val="none" w:sz="0" w:space="0" w:color="auto"/>
      </w:divBdr>
    </w:div>
    <w:div w:id="831145532">
      <w:bodyDiv w:val="1"/>
      <w:marLeft w:val="0"/>
      <w:marRight w:val="0"/>
      <w:marTop w:val="0"/>
      <w:marBottom w:val="0"/>
      <w:divBdr>
        <w:top w:val="none" w:sz="0" w:space="0" w:color="auto"/>
        <w:left w:val="none" w:sz="0" w:space="0" w:color="auto"/>
        <w:bottom w:val="none" w:sz="0" w:space="0" w:color="auto"/>
        <w:right w:val="none" w:sz="0" w:space="0" w:color="auto"/>
      </w:divBdr>
    </w:div>
    <w:div w:id="832994352">
      <w:bodyDiv w:val="1"/>
      <w:marLeft w:val="0"/>
      <w:marRight w:val="0"/>
      <w:marTop w:val="0"/>
      <w:marBottom w:val="0"/>
      <w:divBdr>
        <w:top w:val="none" w:sz="0" w:space="0" w:color="auto"/>
        <w:left w:val="none" w:sz="0" w:space="0" w:color="auto"/>
        <w:bottom w:val="none" w:sz="0" w:space="0" w:color="auto"/>
        <w:right w:val="none" w:sz="0" w:space="0" w:color="auto"/>
      </w:divBdr>
    </w:div>
    <w:div w:id="867571872">
      <w:bodyDiv w:val="1"/>
      <w:marLeft w:val="0"/>
      <w:marRight w:val="0"/>
      <w:marTop w:val="0"/>
      <w:marBottom w:val="0"/>
      <w:divBdr>
        <w:top w:val="none" w:sz="0" w:space="0" w:color="auto"/>
        <w:left w:val="none" w:sz="0" w:space="0" w:color="auto"/>
        <w:bottom w:val="none" w:sz="0" w:space="0" w:color="auto"/>
        <w:right w:val="none" w:sz="0" w:space="0" w:color="auto"/>
      </w:divBdr>
    </w:div>
    <w:div w:id="933129454">
      <w:bodyDiv w:val="1"/>
      <w:marLeft w:val="0"/>
      <w:marRight w:val="0"/>
      <w:marTop w:val="0"/>
      <w:marBottom w:val="0"/>
      <w:divBdr>
        <w:top w:val="none" w:sz="0" w:space="0" w:color="auto"/>
        <w:left w:val="none" w:sz="0" w:space="0" w:color="auto"/>
        <w:bottom w:val="none" w:sz="0" w:space="0" w:color="auto"/>
        <w:right w:val="none" w:sz="0" w:space="0" w:color="auto"/>
      </w:divBdr>
    </w:div>
    <w:div w:id="1120370287">
      <w:bodyDiv w:val="1"/>
      <w:marLeft w:val="0"/>
      <w:marRight w:val="0"/>
      <w:marTop w:val="0"/>
      <w:marBottom w:val="0"/>
      <w:divBdr>
        <w:top w:val="none" w:sz="0" w:space="0" w:color="auto"/>
        <w:left w:val="none" w:sz="0" w:space="0" w:color="auto"/>
        <w:bottom w:val="none" w:sz="0" w:space="0" w:color="auto"/>
        <w:right w:val="none" w:sz="0" w:space="0" w:color="auto"/>
      </w:divBdr>
    </w:div>
    <w:div w:id="1133913692">
      <w:bodyDiv w:val="1"/>
      <w:marLeft w:val="0"/>
      <w:marRight w:val="0"/>
      <w:marTop w:val="0"/>
      <w:marBottom w:val="0"/>
      <w:divBdr>
        <w:top w:val="none" w:sz="0" w:space="0" w:color="auto"/>
        <w:left w:val="none" w:sz="0" w:space="0" w:color="auto"/>
        <w:bottom w:val="none" w:sz="0" w:space="0" w:color="auto"/>
        <w:right w:val="none" w:sz="0" w:space="0" w:color="auto"/>
      </w:divBdr>
    </w:div>
    <w:div w:id="1141658276">
      <w:bodyDiv w:val="1"/>
      <w:marLeft w:val="0"/>
      <w:marRight w:val="0"/>
      <w:marTop w:val="0"/>
      <w:marBottom w:val="0"/>
      <w:divBdr>
        <w:top w:val="none" w:sz="0" w:space="0" w:color="auto"/>
        <w:left w:val="none" w:sz="0" w:space="0" w:color="auto"/>
        <w:bottom w:val="none" w:sz="0" w:space="0" w:color="auto"/>
        <w:right w:val="none" w:sz="0" w:space="0" w:color="auto"/>
      </w:divBdr>
    </w:div>
    <w:div w:id="1232039228">
      <w:bodyDiv w:val="1"/>
      <w:marLeft w:val="0"/>
      <w:marRight w:val="0"/>
      <w:marTop w:val="0"/>
      <w:marBottom w:val="0"/>
      <w:divBdr>
        <w:top w:val="none" w:sz="0" w:space="0" w:color="auto"/>
        <w:left w:val="none" w:sz="0" w:space="0" w:color="auto"/>
        <w:bottom w:val="none" w:sz="0" w:space="0" w:color="auto"/>
        <w:right w:val="none" w:sz="0" w:space="0" w:color="auto"/>
      </w:divBdr>
    </w:div>
    <w:div w:id="1254318362">
      <w:bodyDiv w:val="1"/>
      <w:marLeft w:val="0"/>
      <w:marRight w:val="0"/>
      <w:marTop w:val="0"/>
      <w:marBottom w:val="0"/>
      <w:divBdr>
        <w:top w:val="none" w:sz="0" w:space="0" w:color="auto"/>
        <w:left w:val="none" w:sz="0" w:space="0" w:color="auto"/>
        <w:bottom w:val="none" w:sz="0" w:space="0" w:color="auto"/>
        <w:right w:val="none" w:sz="0" w:space="0" w:color="auto"/>
      </w:divBdr>
    </w:div>
    <w:div w:id="1255239841">
      <w:bodyDiv w:val="1"/>
      <w:marLeft w:val="0"/>
      <w:marRight w:val="0"/>
      <w:marTop w:val="0"/>
      <w:marBottom w:val="0"/>
      <w:divBdr>
        <w:top w:val="none" w:sz="0" w:space="0" w:color="auto"/>
        <w:left w:val="none" w:sz="0" w:space="0" w:color="auto"/>
        <w:bottom w:val="none" w:sz="0" w:space="0" w:color="auto"/>
        <w:right w:val="none" w:sz="0" w:space="0" w:color="auto"/>
      </w:divBdr>
    </w:div>
    <w:div w:id="1293900981">
      <w:bodyDiv w:val="1"/>
      <w:marLeft w:val="0"/>
      <w:marRight w:val="0"/>
      <w:marTop w:val="0"/>
      <w:marBottom w:val="0"/>
      <w:divBdr>
        <w:top w:val="none" w:sz="0" w:space="0" w:color="auto"/>
        <w:left w:val="none" w:sz="0" w:space="0" w:color="auto"/>
        <w:bottom w:val="none" w:sz="0" w:space="0" w:color="auto"/>
        <w:right w:val="none" w:sz="0" w:space="0" w:color="auto"/>
      </w:divBdr>
    </w:div>
    <w:div w:id="1313873458">
      <w:bodyDiv w:val="1"/>
      <w:marLeft w:val="0"/>
      <w:marRight w:val="0"/>
      <w:marTop w:val="0"/>
      <w:marBottom w:val="0"/>
      <w:divBdr>
        <w:top w:val="none" w:sz="0" w:space="0" w:color="auto"/>
        <w:left w:val="none" w:sz="0" w:space="0" w:color="auto"/>
        <w:bottom w:val="none" w:sz="0" w:space="0" w:color="auto"/>
        <w:right w:val="none" w:sz="0" w:space="0" w:color="auto"/>
      </w:divBdr>
    </w:div>
    <w:div w:id="1403092739">
      <w:bodyDiv w:val="1"/>
      <w:marLeft w:val="0"/>
      <w:marRight w:val="0"/>
      <w:marTop w:val="0"/>
      <w:marBottom w:val="0"/>
      <w:divBdr>
        <w:top w:val="none" w:sz="0" w:space="0" w:color="auto"/>
        <w:left w:val="none" w:sz="0" w:space="0" w:color="auto"/>
        <w:bottom w:val="none" w:sz="0" w:space="0" w:color="auto"/>
        <w:right w:val="none" w:sz="0" w:space="0" w:color="auto"/>
      </w:divBdr>
    </w:div>
    <w:div w:id="1429084610">
      <w:bodyDiv w:val="1"/>
      <w:marLeft w:val="0"/>
      <w:marRight w:val="0"/>
      <w:marTop w:val="0"/>
      <w:marBottom w:val="0"/>
      <w:divBdr>
        <w:top w:val="none" w:sz="0" w:space="0" w:color="auto"/>
        <w:left w:val="none" w:sz="0" w:space="0" w:color="auto"/>
        <w:bottom w:val="none" w:sz="0" w:space="0" w:color="auto"/>
        <w:right w:val="none" w:sz="0" w:space="0" w:color="auto"/>
      </w:divBdr>
    </w:div>
    <w:div w:id="1484351712">
      <w:bodyDiv w:val="1"/>
      <w:marLeft w:val="0"/>
      <w:marRight w:val="0"/>
      <w:marTop w:val="0"/>
      <w:marBottom w:val="0"/>
      <w:divBdr>
        <w:top w:val="none" w:sz="0" w:space="0" w:color="auto"/>
        <w:left w:val="none" w:sz="0" w:space="0" w:color="auto"/>
        <w:bottom w:val="none" w:sz="0" w:space="0" w:color="auto"/>
        <w:right w:val="none" w:sz="0" w:space="0" w:color="auto"/>
      </w:divBdr>
    </w:div>
    <w:div w:id="1525484204">
      <w:bodyDiv w:val="1"/>
      <w:marLeft w:val="0"/>
      <w:marRight w:val="0"/>
      <w:marTop w:val="0"/>
      <w:marBottom w:val="0"/>
      <w:divBdr>
        <w:top w:val="none" w:sz="0" w:space="0" w:color="auto"/>
        <w:left w:val="none" w:sz="0" w:space="0" w:color="auto"/>
        <w:bottom w:val="none" w:sz="0" w:space="0" w:color="auto"/>
        <w:right w:val="none" w:sz="0" w:space="0" w:color="auto"/>
      </w:divBdr>
    </w:div>
    <w:div w:id="1531215293">
      <w:bodyDiv w:val="1"/>
      <w:marLeft w:val="0"/>
      <w:marRight w:val="0"/>
      <w:marTop w:val="0"/>
      <w:marBottom w:val="0"/>
      <w:divBdr>
        <w:top w:val="none" w:sz="0" w:space="0" w:color="auto"/>
        <w:left w:val="none" w:sz="0" w:space="0" w:color="auto"/>
        <w:bottom w:val="none" w:sz="0" w:space="0" w:color="auto"/>
        <w:right w:val="none" w:sz="0" w:space="0" w:color="auto"/>
      </w:divBdr>
    </w:div>
    <w:div w:id="1551333510">
      <w:bodyDiv w:val="1"/>
      <w:marLeft w:val="0"/>
      <w:marRight w:val="0"/>
      <w:marTop w:val="0"/>
      <w:marBottom w:val="0"/>
      <w:divBdr>
        <w:top w:val="none" w:sz="0" w:space="0" w:color="auto"/>
        <w:left w:val="none" w:sz="0" w:space="0" w:color="auto"/>
        <w:bottom w:val="none" w:sz="0" w:space="0" w:color="auto"/>
        <w:right w:val="none" w:sz="0" w:space="0" w:color="auto"/>
      </w:divBdr>
    </w:div>
    <w:div w:id="1594582731">
      <w:bodyDiv w:val="1"/>
      <w:marLeft w:val="0"/>
      <w:marRight w:val="0"/>
      <w:marTop w:val="0"/>
      <w:marBottom w:val="0"/>
      <w:divBdr>
        <w:top w:val="none" w:sz="0" w:space="0" w:color="auto"/>
        <w:left w:val="none" w:sz="0" w:space="0" w:color="auto"/>
        <w:bottom w:val="none" w:sz="0" w:space="0" w:color="auto"/>
        <w:right w:val="none" w:sz="0" w:space="0" w:color="auto"/>
      </w:divBdr>
    </w:div>
    <w:div w:id="1599826989">
      <w:bodyDiv w:val="1"/>
      <w:marLeft w:val="0"/>
      <w:marRight w:val="0"/>
      <w:marTop w:val="0"/>
      <w:marBottom w:val="0"/>
      <w:divBdr>
        <w:top w:val="none" w:sz="0" w:space="0" w:color="auto"/>
        <w:left w:val="none" w:sz="0" w:space="0" w:color="auto"/>
        <w:bottom w:val="none" w:sz="0" w:space="0" w:color="auto"/>
        <w:right w:val="none" w:sz="0" w:space="0" w:color="auto"/>
      </w:divBdr>
    </w:div>
    <w:div w:id="1721249191">
      <w:bodyDiv w:val="1"/>
      <w:marLeft w:val="0"/>
      <w:marRight w:val="0"/>
      <w:marTop w:val="0"/>
      <w:marBottom w:val="0"/>
      <w:divBdr>
        <w:top w:val="none" w:sz="0" w:space="0" w:color="auto"/>
        <w:left w:val="none" w:sz="0" w:space="0" w:color="auto"/>
        <w:bottom w:val="none" w:sz="0" w:space="0" w:color="auto"/>
        <w:right w:val="none" w:sz="0" w:space="0" w:color="auto"/>
      </w:divBdr>
    </w:div>
    <w:div w:id="1779715633">
      <w:bodyDiv w:val="1"/>
      <w:marLeft w:val="0"/>
      <w:marRight w:val="0"/>
      <w:marTop w:val="0"/>
      <w:marBottom w:val="0"/>
      <w:divBdr>
        <w:top w:val="none" w:sz="0" w:space="0" w:color="auto"/>
        <w:left w:val="none" w:sz="0" w:space="0" w:color="auto"/>
        <w:bottom w:val="none" w:sz="0" w:space="0" w:color="auto"/>
        <w:right w:val="none" w:sz="0" w:space="0" w:color="auto"/>
      </w:divBdr>
    </w:div>
    <w:div w:id="1802796731">
      <w:bodyDiv w:val="1"/>
      <w:marLeft w:val="0"/>
      <w:marRight w:val="0"/>
      <w:marTop w:val="0"/>
      <w:marBottom w:val="0"/>
      <w:divBdr>
        <w:top w:val="none" w:sz="0" w:space="0" w:color="auto"/>
        <w:left w:val="none" w:sz="0" w:space="0" w:color="auto"/>
        <w:bottom w:val="none" w:sz="0" w:space="0" w:color="auto"/>
        <w:right w:val="none" w:sz="0" w:space="0" w:color="auto"/>
      </w:divBdr>
    </w:div>
    <w:div w:id="1839542248">
      <w:bodyDiv w:val="1"/>
      <w:marLeft w:val="0"/>
      <w:marRight w:val="0"/>
      <w:marTop w:val="0"/>
      <w:marBottom w:val="0"/>
      <w:divBdr>
        <w:top w:val="none" w:sz="0" w:space="0" w:color="auto"/>
        <w:left w:val="none" w:sz="0" w:space="0" w:color="auto"/>
        <w:bottom w:val="none" w:sz="0" w:space="0" w:color="auto"/>
        <w:right w:val="none" w:sz="0" w:space="0" w:color="auto"/>
      </w:divBdr>
    </w:div>
    <w:div w:id="1881896156">
      <w:bodyDiv w:val="1"/>
      <w:marLeft w:val="0"/>
      <w:marRight w:val="0"/>
      <w:marTop w:val="0"/>
      <w:marBottom w:val="0"/>
      <w:divBdr>
        <w:top w:val="none" w:sz="0" w:space="0" w:color="auto"/>
        <w:left w:val="none" w:sz="0" w:space="0" w:color="auto"/>
        <w:bottom w:val="none" w:sz="0" w:space="0" w:color="auto"/>
        <w:right w:val="none" w:sz="0" w:space="0" w:color="auto"/>
      </w:divBdr>
    </w:div>
    <w:div w:id="1901286678">
      <w:bodyDiv w:val="1"/>
      <w:marLeft w:val="0"/>
      <w:marRight w:val="0"/>
      <w:marTop w:val="0"/>
      <w:marBottom w:val="0"/>
      <w:divBdr>
        <w:top w:val="none" w:sz="0" w:space="0" w:color="auto"/>
        <w:left w:val="none" w:sz="0" w:space="0" w:color="auto"/>
        <w:bottom w:val="none" w:sz="0" w:space="0" w:color="auto"/>
        <w:right w:val="none" w:sz="0" w:space="0" w:color="auto"/>
      </w:divBdr>
    </w:div>
    <w:div w:id="2023238349">
      <w:bodyDiv w:val="1"/>
      <w:marLeft w:val="0"/>
      <w:marRight w:val="0"/>
      <w:marTop w:val="0"/>
      <w:marBottom w:val="0"/>
      <w:divBdr>
        <w:top w:val="none" w:sz="0" w:space="0" w:color="auto"/>
        <w:left w:val="none" w:sz="0" w:space="0" w:color="auto"/>
        <w:bottom w:val="none" w:sz="0" w:space="0" w:color="auto"/>
        <w:right w:val="none" w:sz="0" w:space="0" w:color="auto"/>
      </w:divBdr>
    </w:div>
    <w:div w:id="2061973276">
      <w:bodyDiv w:val="1"/>
      <w:marLeft w:val="0"/>
      <w:marRight w:val="0"/>
      <w:marTop w:val="0"/>
      <w:marBottom w:val="0"/>
      <w:divBdr>
        <w:top w:val="none" w:sz="0" w:space="0" w:color="auto"/>
        <w:left w:val="none" w:sz="0" w:space="0" w:color="auto"/>
        <w:bottom w:val="none" w:sz="0" w:space="0" w:color="auto"/>
        <w:right w:val="none" w:sz="0" w:space="0" w:color="auto"/>
      </w:divBdr>
      <w:divsChild>
        <w:div w:id="1078939560">
          <w:marLeft w:val="0"/>
          <w:marRight w:val="0"/>
          <w:marTop w:val="0"/>
          <w:marBottom w:val="0"/>
          <w:divBdr>
            <w:top w:val="none" w:sz="0" w:space="0" w:color="auto"/>
            <w:left w:val="none" w:sz="0" w:space="0" w:color="auto"/>
            <w:bottom w:val="none" w:sz="0" w:space="0" w:color="auto"/>
            <w:right w:val="none" w:sz="0" w:space="0" w:color="auto"/>
          </w:divBdr>
          <w:divsChild>
            <w:div w:id="2042851054">
              <w:marLeft w:val="0"/>
              <w:marRight w:val="0"/>
              <w:marTop w:val="0"/>
              <w:marBottom w:val="0"/>
              <w:divBdr>
                <w:top w:val="none" w:sz="0" w:space="0" w:color="auto"/>
                <w:left w:val="none" w:sz="0" w:space="0" w:color="auto"/>
                <w:bottom w:val="none" w:sz="0" w:space="0" w:color="auto"/>
                <w:right w:val="none" w:sz="0" w:space="0" w:color="auto"/>
              </w:divBdr>
              <w:divsChild>
                <w:div w:id="522934862">
                  <w:marLeft w:val="0"/>
                  <w:marRight w:val="0"/>
                  <w:marTop w:val="0"/>
                  <w:marBottom w:val="0"/>
                  <w:divBdr>
                    <w:top w:val="none" w:sz="0" w:space="0" w:color="auto"/>
                    <w:left w:val="none" w:sz="0" w:space="0" w:color="auto"/>
                    <w:bottom w:val="none" w:sz="0" w:space="0" w:color="auto"/>
                    <w:right w:val="none" w:sz="0" w:space="0" w:color="auto"/>
                  </w:divBdr>
                  <w:divsChild>
                    <w:div w:id="1536042047">
                      <w:marLeft w:val="0"/>
                      <w:marRight w:val="0"/>
                      <w:marTop w:val="0"/>
                      <w:marBottom w:val="0"/>
                      <w:divBdr>
                        <w:top w:val="none" w:sz="0" w:space="0" w:color="auto"/>
                        <w:left w:val="none" w:sz="0" w:space="0" w:color="auto"/>
                        <w:bottom w:val="none" w:sz="0" w:space="0" w:color="auto"/>
                        <w:right w:val="none" w:sz="0" w:space="0" w:color="auto"/>
                      </w:divBdr>
                      <w:divsChild>
                        <w:div w:id="30889278">
                          <w:marLeft w:val="0"/>
                          <w:marRight w:val="0"/>
                          <w:marTop w:val="0"/>
                          <w:marBottom w:val="0"/>
                          <w:divBdr>
                            <w:top w:val="none" w:sz="0" w:space="0" w:color="auto"/>
                            <w:left w:val="none" w:sz="0" w:space="0" w:color="auto"/>
                            <w:bottom w:val="none" w:sz="0" w:space="0" w:color="auto"/>
                            <w:right w:val="none" w:sz="0" w:space="0" w:color="auto"/>
                          </w:divBdr>
                          <w:divsChild>
                            <w:div w:id="493956986">
                              <w:marLeft w:val="0"/>
                              <w:marRight w:val="0"/>
                              <w:marTop w:val="0"/>
                              <w:marBottom w:val="0"/>
                              <w:divBdr>
                                <w:top w:val="none" w:sz="0" w:space="0" w:color="auto"/>
                                <w:left w:val="none" w:sz="0" w:space="0" w:color="auto"/>
                                <w:bottom w:val="none" w:sz="0" w:space="0" w:color="auto"/>
                                <w:right w:val="none" w:sz="0" w:space="0" w:color="auto"/>
                              </w:divBdr>
                              <w:divsChild>
                                <w:div w:id="946503519">
                                  <w:marLeft w:val="0"/>
                                  <w:marRight w:val="0"/>
                                  <w:marTop w:val="0"/>
                                  <w:marBottom w:val="0"/>
                                  <w:divBdr>
                                    <w:top w:val="none" w:sz="0" w:space="0" w:color="auto"/>
                                    <w:left w:val="none" w:sz="0" w:space="0" w:color="auto"/>
                                    <w:bottom w:val="none" w:sz="0" w:space="0" w:color="auto"/>
                                    <w:right w:val="none" w:sz="0" w:space="0" w:color="auto"/>
                                  </w:divBdr>
                                  <w:divsChild>
                                    <w:div w:id="13840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6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image" Target="media/image3.emf"/><Relationship Id="rId39" Type="http://schemas.openxmlformats.org/officeDocument/2006/relationships/chart" Target="charts/chart6.xml"/><Relationship Id="rId21" Type="http://schemas.openxmlformats.org/officeDocument/2006/relationships/header" Target="header5.xml"/><Relationship Id="rId34" Type="http://schemas.openxmlformats.org/officeDocument/2006/relationships/chart" Target="charts/chart1.xml"/><Relationship Id="rId42" Type="http://schemas.openxmlformats.org/officeDocument/2006/relationships/chart" Target="charts/chart9.xml"/><Relationship Id="rId47" Type="http://schemas.openxmlformats.org/officeDocument/2006/relationships/header" Target="header12.xml"/><Relationship Id="rId50" Type="http://schemas.openxmlformats.org/officeDocument/2006/relationships/header" Target="header13.xml"/><Relationship Id="rId55" Type="http://schemas.openxmlformats.org/officeDocument/2006/relationships/footer" Target="footer15.xml"/><Relationship Id="rId63" Type="http://schemas.openxmlformats.org/officeDocument/2006/relationships/header" Target="header19.xml"/><Relationship Id="rId68" Type="http://schemas.openxmlformats.org/officeDocument/2006/relationships/footer" Target="footer21.xml"/><Relationship Id="rId76" Type="http://schemas.openxmlformats.org/officeDocument/2006/relationships/footer" Target="footer23.xml"/><Relationship Id="rId7" Type="http://schemas.openxmlformats.org/officeDocument/2006/relationships/styles" Target="styles.xml"/><Relationship Id="rId71" Type="http://schemas.openxmlformats.org/officeDocument/2006/relationships/hyperlink" Target="http://www.eif.org/what_we_do/guarantees/case-studies/efsi_innovfin_aerogroupe_france.htm?lang=-en"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chart" Target="charts/chart4.xml"/><Relationship Id="rId40" Type="http://schemas.openxmlformats.org/officeDocument/2006/relationships/chart" Target="charts/chart7.xml"/><Relationship Id="rId45" Type="http://schemas.openxmlformats.org/officeDocument/2006/relationships/footer" Target="footer10.xml"/><Relationship Id="rId53" Type="http://schemas.openxmlformats.org/officeDocument/2006/relationships/footer" Target="footer14.xml"/><Relationship Id="rId58" Type="http://schemas.openxmlformats.org/officeDocument/2006/relationships/header" Target="header17.xml"/><Relationship Id="rId66" Type="http://schemas.openxmlformats.org/officeDocument/2006/relationships/footer" Target="footer20.xml"/><Relationship Id="rId74" Type="http://schemas.openxmlformats.org/officeDocument/2006/relationships/header" Target="header23.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8.xml"/><Relationship Id="rId82"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9.xml"/><Relationship Id="rId44" Type="http://schemas.openxmlformats.org/officeDocument/2006/relationships/header" Target="header11.xml"/><Relationship Id="rId52" Type="http://schemas.openxmlformats.org/officeDocument/2006/relationships/footer" Target="footer13.xml"/><Relationship Id="rId60" Type="http://schemas.openxmlformats.org/officeDocument/2006/relationships/footer" Target="footer17.xml"/><Relationship Id="rId65" Type="http://schemas.openxmlformats.org/officeDocument/2006/relationships/footer" Target="footer19.xml"/><Relationship Id="rId73" Type="http://schemas.openxmlformats.org/officeDocument/2006/relationships/header" Target="header22.xml"/><Relationship Id="rId78" Type="http://schemas.openxmlformats.org/officeDocument/2006/relationships/footer" Target="footer24.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chart" Target="charts/chart2.xml"/><Relationship Id="rId43" Type="http://schemas.openxmlformats.org/officeDocument/2006/relationships/header" Target="header10.xml"/><Relationship Id="rId48" Type="http://schemas.openxmlformats.org/officeDocument/2006/relationships/footer" Target="footer12.xml"/><Relationship Id="rId56" Type="http://schemas.openxmlformats.org/officeDocument/2006/relationships/chart" Target="charts/chart11.xml"/><Relationship Id="rId64" Type="http://schemas.openxmlformats.org/officeDocument/2006/relationships/header" Target="header20.xml"/><Relationship Id="rId69" Type="http://schemas.openxmlformats.org/officeDocument/2006/relationships/chart" Target="charts/chart12.xml"/><Relationship Id="rId77" Type="http://schemas.openxmlformats.org/officeDocument/2006/relationships/header" Target="header24.xml"/><Relationship Id="rId8" Type="http://schemas.microsoft.com/office/2007/relationships/stylesWithEffects" Target="stylesWithEffects.xml"/><Relationship Id="rId51" Type="http://schemas.openxmlformats.org/officeDocument/2006/relationships/header" Target="header14.xml"/><Relationship Id="rId72" Type="http://schemas.openxmlformats.org/officeDocument/2006/relationships/hyperlink" Target="http://www.reuters.com/article/latvijas-gaze-ma-marguerite-eon-idUSL8N15C3D3"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image" Target="media/image4.emf"/><Relationship Id="rId38" Type="http://schemas.openxmlformats.org/officeDocument/2006/relationships/chart" Target="charts/chart5.xml"/><Relationship Id="rId46" Type="http://schemas.openxmlformats.org/officeDocument/2006/relationships/footer" Target="footer11.xml"/><Relationship Id="rId59" Type="http://schemas.openxmlformats.org/officeDocument/2006/relationships/footer" Target="footer16.xml"/><Relationship Id="rId67" Type="http://schemas.openxmlformats.org/officeDocument/2006/relationships/header" Target="header21.xml"/><Relationship Id="rId20" Type="http://schemas.openxmlformats.org/officeDocument/2006/relationships/header" Target="header4.xml"/><Relationship Id="rId41" Type="http://schemas.openxmlformats.org/officeDocument/2006/relationships/chart" Target="charts/chart8.xml"/><Relationship Id="rId54" Type="http://schemas.openxmlformats.org/officeDocument/2006/relationships/header" Target="header15.xml"/><Relationship Id="rId62" Type="http://schemas.openxmlformats.org/officeDocument/2006/relationships/footer" Target="footer18.xml"/><Relationship Id="rId70" Type="http://schemas.openxmlformats.org/officeDocument/2006/relationships/hyperlink" Target="https://ec.europa.eu/commission/sites/beta-political/files/brochure-investment-plan-17x17-june17_en.pdf" TargetMode="Externa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chart" Target="charts/chart3.xml"/><Relationship Id="rId49" Type="http://schemas.openxmlformats.org/officeDocument/2006/relationships/chart" Target="charts/chart10.xml"/><Relationship Id="rId57"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www.eib.org/attachments/strategies/efsi_2015_report_ep_council_en.pdf" TargetMode="External"/><Relationship Id="rId7" Type="http://schemas.openxmlformats.org/officeDocument/2006/relationships/hyperlink" Target="https://ec.europa.eu/commission/publications/reflection-paper-future-eu-finances_et" TargetMode="External"/><Relationship Id="rId2" Type="http://schemas.openxmlformats.org/officeDocument/2006/relationships/hyperlink" Target="http://ec.europa.eu/regional_policy/sources/thefunds/fin_inst/pdf/summary_data_fi_1420_2015.pdf" TargetMode="External"/><Relationship Id="rId1" Type="http://schemas.openxmlformats.org/officeDocument/2006/relationships/hyperlink" Target="http://ec.europa.eu/regional_policy/sources/thefunds/fin_inst/pdf/summary_data_fei_2015.pdf" TargetMode="External"/><Relationship Id="rId6" Type="http://schemas.openxmlformats.org/officeDocument/2006/relationships/hyperlink" Target="http://www.eib.org/attachments/strategies/efsi_2015_report_ep_council_en.pdf" TargetMode="External"/><Relationship Id="rId5" Type="http://schemas.openxmlformats.org/officeDocument/2006/relationships/hyperlink" Target="http://ec.europa.eu/regional_policy/sources/thefunds/fin_inst/pdf/summary_data_fi_1420_2015.pdf" TargetMode="External"/><Relationship Id="rId4" Type="http://schemas.openxmlformats.org/officeDocument/2006/relationships/hyperlink" Target="http://ec.europa.eu/regional_policy/sources/thefunds/fin_inst/pdf/summary_data_fei_2015.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stlean\AppData\Local\Temp\1\ECFIN-2017-80028-01-00-ET-SRC-0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stlean\AppData\Local\Temp\1\ECFIN-2017-80028-01-00-ET-SRC-0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stlean\AppData\Local\Temp\1\ECFIN-2017-80028-01-00-ET-SRC-01-2.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C:\Users\ostlean\AppData\Local\Temp\1\ECFIN-2017-80028-01-00-ET-SRC-01-2.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ostlean\AppData\Local\Temp\1\ECFIN-2017-80028-01-00-ET-SRC-00-6.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ostlean\AppData\Local\Temp\1\ECFIN-2017-80028-01-00-ET-SRC-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9.359459555374372E-2"/>
          <c:y val="0.14298423403224939"/>
          <c:w val="0.90640540444625628"/>
          <c:h val="0.75904555210780889"/>
        </c:manualLayout>
      </c:layout>
      <c:bar3DChart>
        <c:barDir val="col"/>
        <c:grouping val="stacked"/>
        <c:varyColors val="0"/>
        <c:ser>
          <c:idx val="0"/>
          <c:order val="0"/>
          <c:tx>
            <c:strRef>
              <c:f>'[ECFIN-2017-80028-01-00-ET-SRC-01-2.XLSX]Main report_Old'!$B$6</c:f>
              <c:strCache>
                <c:ptCount val="1"/>
                <c:pt idx="0">
                  <c:v>2007-2013 Debt Financial Instruments</c:v>
                </c:pt>
              </c:strCache>
            </c:strRef>
          </c:tx>
          <c:invertIfNegative val="0"/>
          <c:dPt>
            <c:idx val="0"/>
            <c:invertIfNegative val="0"/>
            <c:bubble3D val="0"/>
            <c:spPr>
              <a:solidFill>
                <a:schemeClr val="tx2">
                  <a:lumMod val="20000"/>
                  <a:lumOff val="80000"/>
                </a:schemeClr>
              </a:solidFill>
            </c:spPr>
            <c:extLst xmlns:c16r2="http://schemas.microsoft.com/office/drawing/2015/06/chart">
              <c:ext xmlns:c16="http://schemas.microsoft.com/office/drawing/2014/chart" uri="{C3380CC4-5D6E-409C-BE32-E72D297353CC}">
                <c16:uniqueId val="{00000001-45D6-48B3-A4A1-21FFFB58C6C6}"/>
              </c:ext>
            </c:extLst>
          </c:dPt>
          <c:dPt>
            <c:idx val="1"/>
            <c:invertIfNegative val="0"/>
            <c:bubble3D val="0"/>
            <c:spPr>
              <a:solidFill>
                <a:schemeClr val="tx2">
                  <a:lumMod val="40000"/>
                  <a:lumOff val="60000"/>
                </a:schemeClr>
              </a:solidFill>
            </c:spPr>
            <c:extLst xmlns:c16r2="http://schemas.microsoft.com/office/drawing/2015/06/chart">
              <c:ext xmlns:c16="http://schemas.microsoft.com/office/drawing/2014/chart" uri="{C3380CC4-5D6E-409C-BE32-E72D297353CC}">
                <c16:uniqueId val="{00000003-45D6-48B3-A4A1-21FFFB58C6C6}"/>
              </c:ext>
            </c:extLst>
          </c:dPt>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'[ECFIN-2017-80028-01-00-ET-SRC-01-2.XLSX]Main report_Old'!$C$2:$E$2</c:f>
              <c:strCache>
                <c:ptCount val="3"/>
                <c:pt idx="0">
                  <c:v>Kulukohustuste koondsumma</c:v>
                </c:pt>
                <c:pt idx="1">
                  <c:v>Saavutatud rahastamismaht</c:v>
                </c:pt>
                <c:pt idx="2">
                  <c:v>Saavutatud investeerimismaht </c:v>
                </c:pt>
              </c:strCache>
            </c:strRef>
          </c:cat>
          <c:val>
            <c:numRef>
              <c:f>'[ECFIN-2017-80028-01-00-ET-SRC-01-2.XLSX]Main report_Old'!$C$6:$E$6</c:f>
              <c:numCache>
                <c:formatCode>General</c:formatCode>
                <c:ptCount val="3"/>
                <c:pt idx="0">
                  <c:v>2123.81</c:v>
                </c:pt>
                <c:pt idx="1">
                  <c:v>38841.230000000003</c:v>
                </c:pt>
                <c:pt idx="2">
                  <c:v>63197.155999999995</c:v>
                </c:pt>
              </c:numCache>
            </c:numRef>
          </c:val>
          <c:extLst xmlns:c16r2="http://schemas.microsoft.com/office/drawing/2015/06/chart">
            <c:ext xmlns:c16="http://schemas.microsoft.com/office/drawing/2014/chart" uri="{C3380CC4-5D6E-409C-BE32-E72D297353CC}">
              <c16:uniqueId val="{00000004-45D6-48B3-A4A1-21FFFB58C6C6}"/>
            </c:ext>
          </c:extLst>
        </c:ser>
        <c:dLbls>
          <c:showLegendKey val="0"/>
          <c:showVal val="0"/>
          <c:showCatName val="0"/>
          <c:showSerName val="0"/>
          <c:showPercent val="0"/>
          <c:showBubbleSize val="0"/>
        </c:dLbls>
        <c:gapWidth val="150"/>
        <c:shape val="box"/>
        <c:axId val="439889920"/>
        <c:axId val="439891456"/>
        <c:axId val="0"/>
      </c:bar3DChart>
      <c:catAx>
        <c:axId val="439889920"/>
        <c:scaling>
          <c:orientation val="minMax"/>
        </c:scaling>
        <c:delete val="0"/>
        <c:axPos val="b"/>
        <c:numFmt formatCode="General" sourceLinked="1"/>
        <c:majorTickMark val="out"/>
        <c:minorTickMark val="none"/>
        <c:tickLblPos val="nextTo"/>
        <c:crossAx val="439891456"/>
        <c:crosses val="autoZero"/>
        <c:auto val="1"/>
        <c:lblAlgn val="ctr"/>
        <c:lblOffset val="100"/>
        <c:noMultiLvlLbl val="0"/>
      </c:catAx>
      <c:valAx>
        <c:axId val="439891456"/>
        <c:scaling>
          <c:orientation val="minMax"/>
        </c:scaling>
        <c:delete val="0"/>
        <c:axPos val="l"/>
        <c:majorGridlines/>
        <c:numFmt formatCode="0" sourceLinked="0"/>
        <c:majorTickMark val="out"/>
        <c:minorTickMark val="none"/>
        <c:tickLblPos val="nextTo"/>
        <c:crossAx val="439889920"/>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73111950077901"/>
          <c:y val="0.196674599663618"/>
          <c:w val="0.69503068515070099"/>
          <c:h val="0.59430846633408496"/>
        </c:manualLayout>
      </c:layout>
      <c:ofPieChart>
        <c:ofPieType val="pie"/>
        <c:varyColors val="1"/>
        <c:ser>
          <c:idx val="0"/>
          <c:order val="0"/>
          <c:tx>
            <c:strRef>
              <c:f>'Geographical breakdown'!$B$4:$B$39</c:f>
              <c:strCache>
                <c:ptCount val="1"/>
                <c:pt idx="0">
                  <c:v>Austria Belgia Bulgaaria Horvaatia Küpros Tšehhi Taani Eesti Soome Prantsusmaa Saksamaa Kreeka Ungari Iirimaa Itaalia Läti Leedu Luksemburg Malta Poola Portugal Rumeenia Slovakkia Sloveenia Hispaania Rootsi Madalmaad Ühendkuningriik Balkanimaad ja Türgi K</c:v>
                </c:pt>
              </c:strCache>
            </c:strRef>
          </c:tx>
          <c:spPr>
            <a:ln>
              <a:noFill/>
            </a:ln>
          </c:spPr>
          <c:explosion val="13"/>
          <c:dPt>
            <c:idx val="0"/>
            <c:bubble3D val="0"/>
            <c:spPr>
              <a:solidFill>
                <a:schemeClr val="accent6"/>
              </a:solidFill>
              <a:ln w="19050">
                <a:noFill/>
              </a:ln>
              <a:effectLst/>
            </c:spPr>
            <c:extLst xmlns:c16r2="http://schemas.microsoft.com/office/drawing/2015/06/chart">
              <c:ext xmlns:c16="http://schemas.microsoft.com/office/drawing/2014/chart" uri="{C3380CC4-5D6E-409C-BE32-E72D297353CC}">
                <c16:uniqueId val="{00000001-1104-4001-B048-57148C830B00}"/>
              </c:ext>
            </c:extLst>
          </c:dPt>
          <c:dPt>
            <c:idx val="1"/>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03-1104-4001-B048-57148C830B00}"/>
              </c:ext>
            </c:extLst>
          </c:dPt>
          <c:dPt>
            <c:idx val="2"/>
            <c:bubble3D val="0"/>
            <c:spPr>
              <a:solidFill>
                <a:schemeClr val="accent4"/>
              </a:solidFill>
              <a:ln w="19050">
                <a:noFill/>
              </a:ln>
              <a:effectLst/>
            </c:spPr>
            <c:extLst xmlns:c16r2="http://schemas.microsoft.com/office/drawing/2015/06/chart">
              <c:ext xmlns:c16="http://schemas.microsoft.com/office/drawing/2014/chart" uri="{C3380CC4-5D6E-409C-BE32-E72D297353CC}">
                <c16:uniqueId val="{00000005-1104-4001-B048-57148C830B00}"/>
              </c:ext>
            </c:extLst>
          </c:dPt>
          <c:dPt>
            <c:idx val="3"/>
            <c:bubble3D val="0"/>
            <c:spPr>
              <a:solidFill>
                <a:schemeClr val="accent6">
                  <a:lumMod val="60000"/>
                </a:schemeClr>
              </a:solidFill>
              <a:ln w="19050">
                <a:noFill/>
              </a:ln>
              <a:effectLst/>
            </c:spPr>
            <c:extLst xmlns:c16r2="http://schemas.microsoft.com/office/drawing/2015/06/chart">
              <c:ext xmlns:c16="http://schemas.microsoft.com/office/drawing/2014/chart" uri="{C3380CC4-5D6E-409C-BE32-E72D297353CC}">
                <c16:uniqueId val="{00000007-1104-4001-B048-57148C830B00}"/>
              </c:ext>
            </c:extLst>
          </c:dPt>
          <c:dPt>
            <c:idx val="4"/>
            <c:bubble3D val="0"/>
            <c:spPr>
              <a:solidFill>
                <a:schemeClr val="accent5">
                  <a:lumMod val="60000"/>
                </a:schemeClr>
              </a:solidFill>
              <a:ln w="19050">
                <a:noFill/>
              </a:ln>
              <a:effectLst/>
            </c:spPr>
            <c:extLst xmlns:c16r2="http://schemas.microsoft.com/office/drawing/2015/06/chart">
              <c:ext xmlns:c16="http://schemas.microsoft.com/office/drawing/2014/chart" uri="{C3380CC4-5D6E-409C-BE32-E72D297353CC}">
                <c16:uniqueId val="{00000009-1104-4001-B048-57148C830B00}"/>
              </c:ext>
            </c:extLst>
          </c:dPt>
          <c:dPt>
            <c:idx val="5"/>
            <c:bubble3D val="0"/>
            <c:spPr>
              <a:solidFill>
                <a:schemeClr val="accent4">
                  <a:lumMod val="60000"/>
                </a:schemeClr>
              </a:solidFill>
              <a:ln w="19050">
                <a:noFill/>
              </a:ln>
              <a:effectLst/>
            </c:spPr>
            <c:extLst xmlns:c16r2="http://schemas.microsoft.com/office/drawing/2015/06/chart">
              <c:ext xmlns:c16="http://schemas.microsoft.com/office/drawing/2014/chart" uri="{C3380CC4-5D6E-409C-BE32-E72D297353CC}">
                <c16:uniqueId val="{0000000B-1104-4001-B048-57148C830B00}"/>
              </c:ext>
            </c:extLst>
          </c:dPt>
          <c:dPt>
            <c:idx val="6"/>
            <c:bubble3D val="0"/>
            <c:spPr>
              <a:solidFill>
                <a:schemeClr val="accent6">
                  <a:lumMod val="80000"/>
                  <a:lumOff val="20000"/>
                </a:schemeClr>
              </a:solidFill>
              <a:ln w="19050">
                <a:noFill/>
              </a:ln>
              <a:effectLst/>
            </c:spPr>
            <c:extLst xmlns:c16r2="http://schemas.microsoft.com/office/drawing/2015/06/chart">
              <c:ext xmlns:c16="http://schemas.microsoft.com/office/drawing/2014/chart" uri="{C3380CC4-5D6E-409C-BE32-E72D297353CC}">
                <c16:uniqueId val="{0000000D-1104-4001-B048-57148C830B00}"/>
              </c:ext>
            </c:extLst>
          </c:dPt>
          <c:dPt>
            <c:idx val="7"/>
            <c:bubble3D val="0"/>
            <c:spPr>
              <a:solidFill>
                <a:schemeClr val="accent5">
                  <a:lumMod val="80000"/>
                  <a:lumOff val="20000"/>
                </a:schemeClr>
              </a:solidFill>
              <a:ln w="19050">
                <a:noFill/>
              </a:ln>
              <a:effectLst/>
            </c:spPr>
            <c:extLst xmlns:c16r2="http://schemas.microsoft.com/office/drawing/2015/06/chart">
              <c:ext xmlns:c16="http://schemas.microsoft.com/office/drawing/2014/chart" uri="{C3380CC4-5D6E-409C-BE32-E72D297353CC}">
                <c16:uniqueId val="{0000000F-1104-4001-B048-57148C830B00}"/>
              </c:ext>
            </c:extLst>
          </c:dPt>
          <c:dPt>
            <c:idx val="8"/>
            <c:bubble3D val="0"/>
            <c:spPr>
              <a:solidFill>
                <a:schemeClr val="accent4">
                  <a:lumMod val="80000"/>
                  <a:lumOff val="20000"/>
                </a:schemeClr>
              </a:solidFill>
              <a:ln w="19050">
                <a:noFill/>
              </a:ln>
              <a:effectLst/>
            </c:spPr>
            <c:extLst xmlns:c16r2="http://schemas.microsoft.com/office/drawing/2015/06/chart">
              <c:ext xmlns:c16="http://schemas.microsoft.com/office/drawing/2014/chart" uri="{C3380CC4-5D6E-409C-BE32-E72D297353CC}">
                <c16:uniqueId val="{00000011-1104-4001-B048-57148C830B00}"/>
              </c:ext>
            </c:extLst>
          </c:dPt>
          <c:dPt>
            <c:idx val="9"/>
            <c:bubble3D val="0"/>
            <c:spPr>
              <a:solidFill>
                <a:schemeClr val="accent6">
                  <a:lumMod val="80000"/>
                </a:schemeClr>
              </a:solidFill>
              <a:ln w="19050">
                <a:noFill/>
              </a:ln>
              <a:effectLst/>
            </c:spPr>
            <c:extLst xmlns:c16r2="http://schemas.microsoft.com/office/drawing/2015/06/chart">
              <c:ext xmlns:c16="http://schemas.microsoft.com/office/drawing/2014/chart" uri="{C3380CC4-5D6E-409C-BE32-E72D297353CC}">
                <c16:uniqueId val="{00000013-1104-4001-B048-57148C830B00}"/>
              </c:ext>
            </c:extLst>
          </c:dPt>
          <c:dPt>
            <c:idx val="10"/>
            <c:bubble3D val="0"/>
            <c:spPr>
              <a:solidFill>
                <a:schemeClr val="accent5">
                  <a:lumMod val="80000"/>
                </a:schemeClr>
              </a:solidFill>
              <a:ln w="19050">
                <a:noFill/>
              </a:ln>
              <a:effectLst/>
            </c:spPr>
            <c:extLst xmlns:c16r2="http://schemas.microsoft.com/office/drawing/2015/06/chart">
              <c:ext xmlns:c16="http://schemas.microsoft.com/office/drawing/2014/chart" uri="{C3380CC4-5D6E-409C-BE32-E72D297353CC}">
                <c16:uniqueId val="{00000015-1104-4001-B048-57148C830B00}"/>
              </c:ext>
            </c:extLst>
          </c:dPt>
          <c:dPt>
            <c:idx val="11"/>
            <c:bubble3D val="0"/>
            <c:spPr>
              <a:solidFill>
                <a:schemeClr val="accent4">
                  <a:lumMod val="80000"/>
                </a:schemeClr>
              </a:solidFill>
              <a:ln w="19050">
                <a:noFill/>
              </a:ln>
              <a:effectLst/>
            </c:spPr>
            <c:extLst xmlns:c16r2="http://schemas.microsoft.com/office/drawing/2015/06/chart">
              <c:ext xmlns:c16="http://schemas.microsoft.com/office/drawing/2014/chart" uri="{C3380CC4-5D6E-409C-BE32-E72D297353CC}">
                <c16:uniqueId val="{00000017-1104-4001-B048-57148C830B00}"/>
              </c:ext>
            </c:extLst>
          </c:dPt>
          <c:dPt>
            <c:idx val="12"/>
            <c:bubble3D val="0"/>
            <c:spPr>
              <a:solidFill>
                <a:schemeClr val="accent6">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9-1104-4001-B048-57148C830B00}"/>
              </c:ext>
            </c:extLst>
          </c:dPt>
          <c:dPt>
            <c:idx val="13"/>
            <c:bubble3D val="0"/>
            <c:spPr>
              <a:solidFill>
                <a:schemeClr val="accent5">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B-1104-4001-B048-57148C830B00}"/>
              </c:ext>
            </c:extLst>
          </c:dPt>
          <c:dPt>
            <c:idx val="14"/>
            <c:bubble3D val="0"/>
            <c:spPr>
              <a:solidFill>
                <a:schemeClr val="accent4">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D-1104-4001-B048-57148C830B00}"/>
              </c:ext>
            </c:extLst>
          </c:dPt>
          <c:dPt>
            <c:idx val="15"/>
            <c:bubble3D val="0"/>
            <c:spPr>
              <a:solidFill>
                <a:schemeClr val="accent6">
                  <a:lumMod val="50000"/>
                </a:schemeClr>
              </a:solidFill>
              <a:ln w="19050">
                <a:noFill/>
              </a:ln>
              <a:effectLst/>
            </c:spPr>
            <c:extLst xmlns:c16r2="http://schemas.microsoft.com/office/drawing/2015/06/chart">
              <c:ext xmlns:c16="http://schemas.microsoft.com/office/drawing/2014/chart" uri="{C3380CC4-5D6E-409C-BE32-E72D297353CC}">
                <c16:uniqueId val="{0000001F-1104-4001-B048-57148C830B00}"/>
              </c:ext>
            </c:extLst>
          </c:dPt>
          <c:dPt>
            <c:idx val="16"/>
            <c:bubble3D val="0"/>
            <c:spPr>
              <a:solidFill>
                <a:schemeClr val="accent5">
                  <a:lumMod val="50000"/>
                </a:schemeClr>
              </a:solidFill>
              <a:ln w="19050">
                <a:noFill/>
              </a:ln>
              <a:effectLst/>
            </c:spPr>
            <c:extLst xmlns:c16r2="http://schemas.microsoft.com/office/drawing/2015/06/chart">
              <c:ext xmlns:c16="http://schemas.microsoft.com/office/drawing/2014/chart" uri="{C3380CC4-5D6E-409C-BE32-E72D297353CC}">
                <c16:uniqueId val="{00000021-1104-4001-B048-57148C830B00}"/>
              </c:ext>
            </c:extLst>
          </c:dPt>
          <c:dPt>
            <c:idx val="17"/>
            <c:bubble3D val="0"/>
            <c:spPr>
              <a:solidFill>
                <a:schemeClr val="accent4">
                  <a:lumMod val="50000"/>
                </a:schemeClr>
              </a:solidFill>
              <a:ln w="19050">
                <a:noFill/>
              </a:ln>
              <a:effectLst/>
            </c:spPr>
            <c:extLst xmlns:c16r2="http://schemas.microsoft.com/office/drawing/2015/06/chart">
              <c:ext xmlns:c16="http://schemas.microsoft.com/office/drawing/2014/chart" uri="{C3380CC4-5D6E-409C-BE32-E72D297353CC}">
                <c16:uniqueId val="{00000023-1104-4001-B048-57148C830B00}"/>
              </c:ext>
            </c:extLst>
          </c:dPt>
          <c:dPt>
            <c:idx val="18"/>
            <c:bubble3D val="0"/>
            <c:spPr>
              <a:solidFill>
                <a:schemeClr val="accent6">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5-1104-4001-B048-57148C830B00}"/>
              </c:ext>
            </c:extLst>
          </c:dPt>
          <c:dPt>
            <c:idx val="19"/>
            <c:bubble3D val="0"/>
            <c:spPr>
              <a:solidFill>
                <a:schemeClr val="accent5">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7-1104-4001-B048-57148C830B00}"/>
              </c:ext>
            </c:extLst>
          </c:dPt>
          <c:dPt>
            <c:idx val="20"/>
            <c:bubble3D val="0"/>
            <c:spPr>
              <a:solidFill>
                <a:schemeClr val="accent4">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9-1104-4001-B048-57148C830B00}"/>
              </c:ext>
            </c:extLst>
          </c:dPt>
          <c:dPt>
            <c:idx val="21"/>
            <c:bubble3D val="0"/>
            <c:spPr>
              <a:solidFill>
                <a:schemeClr val="accent6">
                  <a:lumMod val="70000"/>
                </a:schemeClr>
              </a:solidFill>
              <a:ln w="19050">
                <a:noFill/>
              </a:ln>
              <a:effectLst/>
            </c:spPr>
            <c:extLst xmlns:c16r2="http://schemas.microsoft.com/office/drawing/2015/06/chart">
              <c:ext xmlns:c16="http://schemas.microsoft.com/office/drawing/2014/chart" uri="{C3380CC4-5D6E-409C-BE32-E72D297353CC}">
                <c16:uniqueId val="{0000002B-1104-4001-B048-57148C830B00}"/>
              </c:ext>
            </c:extLst>
          </c:dPt>
          <c:dPt>
            <c:idx val="22"/>
            <c:bubble3D val="0"/>
            <c:spPr>
              <a:solidFill>
                <a:schemeClr val="accent5">
                  <a:lumMod val="70000"/>
                </a:schemeClr>
              </a:solidFill>
              <a:ln w="19050">
                <a:noFill/>
              </a:ln>
              <a:effectLst/>
            </c:spPr>
            <c:extLst xmlns:c16r2="http://schemas.microsoft.com/office/drawing/2015/06/chart">
              <c:ext xmlns:c16="http://schemas.microsoft.com/office/drawing/2014/chart" uri="{C3380CC4-5D6E-409C-BE32-E72D297353CC}">
                <c16:uniqueId val="{0000002D-1104-4001-B048-57148C830B00}"/>
              </c:ext>
            </c:extLst>
          </c:dPt>
          <c:dPt>
            <c:idx val="23"/>
            <c:bubble3D val="0"/>
            <c:spPr>
              <a:solidFill>
                <a:schemeClr val="accent4">
                  <a:lumMod val="70000"/>
                </a:schemeClr>
              </a:solidFill>
              <a:ln w="19050">
                <a:noFill/>
              </a:ln>
              <a:effectLst/>
            </c:spPr>
            <c:extLst xmlns:c16r2="http://schemas.microsoft.com/office/drawing/2015/06/chart">
              <c:ext xmlns:c16="http://schemas.microsoft.com/office/drawing/2014/chart" uri="{C3380CC4-5D6E-409C-BE32-E72D297353CC}">
                <c16:uniqueId val="{0000002F-1104-4001-B048-57148C830B00}"/>
              </c:ext>
            </c:extLst>
          </c:dPt>
          <c:dPt>
            <c:idx val="24"/>
            <c:bubble3D val="0"/>
            <c:spPr>
              <a:solidFill>
                <a:schemeClr val="accent6">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1-1104-4001-B048-57148C830B00}"/>
              </c:ext>
            </c:extLst>
          </c:dPt>
          <c:dPt>
            <c:idx val="25"/>
            <c:bubble3D val="0"/>
            <c:spPr>
              <a:solidFill>
                <a:schemeClr val="accent5">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3-1104-4001-B048-57148C830B00}"/>
              </c:ext>
            </c:extLst>
          </c:dPt>
          <c:dPt>
            <c:idx val="26"/>
            <c:bubble3D val="0"/>
            <c:spPr>
              <a:solidFill>
                <a:schemeClr val="accent4">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5-1104-4001-B048-57148C830B00}"/>
              </c:ext>
            </c:extLst>
          </c:dPt>
          <c:dPt>
            <c:idx val="27"/>
            <c:bubble3D val="0"/>
            <c:spPr>
              <a:solidFill>
                <a:schemeClr val="accent6"/>
              </a:solidFill>
              <a:ln w="19050">
                <a:noFill/>
              </a:ln>
              <a:effectLst/>
            </c:spPr>
            <c:extLst xmlns:c16r2="http://schemas.microsoft.com/office/drawing/2015/06/chart">
              <c:ext xmlns:c16="http://schemas.microsoft.com/office/drawing/2014/chart" uri="{C3380CC4-5D6E-409C-BE32-E72D297353CC}">
                <c16:uniqueId val="{00000037-1104-4001-B048-57148C830B00}"/>
              </c:ext>
            </c:extLst>
          </c:dPt>
          <c:dPt>
            <c:idx val="28"/>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39-1104-4001-B048-57148C830B00}"/>
              </c:ext>
            </c:extLst>
          </c:dPt>
          <c:dPt>
            <c:idx val="29"/>
            <c:bubble3D val="0"/>
            <c:spPr>
              <a:solidFill>
                <a:schemeClr val="accent4"/>
              </a:solidFill>
              <a:ln w="19050">
                <a:noFill/>
              </a:ln>
              <a:effectLst/>
            </c:spPr>
            <c:extLst xmlns:c16r2="http://schemas.microsoft.com/office/drawing/2015/06/chart">
              <c:ext xmlns:c16="http://schemas.microsoft.com/office/drawing/2014/chart" uri="{C3380CC4-5D6E-409C-BE32-E72D297353CC}">
                <c16:uniqueId val="{0000003B-1104-4001-B048-57148C830B00}"/>
              </c:ext>
            </c:extLst>
          </c:dPt>
          <c:dPt>
            <c:idx val="30"/>
            <c:bubble3D val="0"/>
            <c:spPr>
              <a:solidFill>
                <a:schemeClr val="accent6">
                  <a:lumMod val="60000"/>
                </a:schemeClr>
              </a:solidFill>
              <a:ln w="19050">
                <a:noFill/>
              </a:ln>
              <a:effectLst/>
            </c:spPr>
            <c:extLst xmlns:c16r2="http://schemas.microsoft.com/office/drawing/2015/06/chart">
              <c:ext xmlns:c16="http://schemas.microsoft.com/office/drawing/2014/chart" uri="{C3380CC4-5D6E-409C-BE32-E72D297353CC}">
                <c16:uniqueId val="{0000003D-1104-4001-B048-57148C830B00}"/>
              </c:ext>
            </c:extLst>
          </c:dPt>
          <c:dPt>
            <c:idx val="31"/>
            <c:bubble3D val="0"/>
            <c:spPr>
              <a:solidFill>
                <a:schemeClr val="accent5">
                  <a:lumMod val="60000"/>
                </a:schemeClr>
              </a:solidFill>
              <a:ln w="19050">
                <a:noFill/>
              </a:ln>
              <a:effectLst/>
            </c:spPr>
            <c:extLst xmlns:c16r2="http://schemas.microsoft.com/office/drawing/2015/06/chart">
              <c:ext xmlns:c16="http://schemas.microsoft.com/office/drawing/2014/chart" uri="{C3380CC4-5D6E-409C-BE32-E72D297353CC}">
                <c16:uniqueId val="{0000003F-1104-4001-B048-57148C830B00}"/>
              </c:ext>
            </c:extLst>
          </c:dPt>
          <c:dPt>
            <c:idx val="32"/>
            <c:bubble3D val="0"/>
            <c:spPr>
              <a:solidFill>
                <a:schemeClr val="accent4">
                  <a:lumMod val="60000"/>
                </a:schemeClr>
              </a:solidFill>
              <a:ln w="19050">
                <a:noFill/>
              </a:ln>
              <a:effectLst/>
            </c:spPr>
            <c:extLst xmlns:c16r2="http://schemas.microsoft.com/office/drawing/2015/06/chart">
              <c:ext xmlns:c16="http://schemas.microsoft.com/office/drawing/2014/chart" uri="{C3380CC4-5D6E-409C-BE32-E72D297353CC}">
                <c16:uniqueId val="{00000041-1104-4001-B048-57148C830B00}"/>
              </c:ext>
            </c:extLst>
          </c:dPt>
          <c:dPt>
            <c:idx val="33"/>
            <c:bubble3D val="0"/>
            <c:spPr>
              <a:solidFill>
                <a:schemeClr val="accent6">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3-1104-4001-B048-57148C830B00}"/>
              </c:ext>
            </c:extLst>
          </c:dPt>
          <c:dPt>
            <c:idx val="34"/>
            <c:bubble3D val="0"/>
            <c:spPr>
              <a:solidFill>
                <a:schemeClr val="accent5">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5-1104-4001-B048-57148C830B00}"/>
              </c:ext>
            </c:extLst>
          </c:dPt>
          <c:dPt>
            <c:idx val="35"/>
            <c:bubble3D val="0"/>
            <c:spPr>
              <a:solidFill>
                <a:schemeClr val="accent4">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7-1104-4001-B048-57148C830B00}"/>
              </c:ext>
            </c:extLst>
          </c:dPt>
          <c:dPt>
            <c:idx val="36"/>
            <c:bubble3D val="0"/>
            <c:spPr>
              <a:solidFill>
                <a:schemeClr val="accent6">
                  <a:lumMod val="80000"/>
                </a:schemeClr>
              </a:solidFill>
              <a:ln w="19050">
                <a:noFill/>
              </a:ln>
              <a:effectLst/>
            </c:spPr>
            <c:extLst xmlns:c16r2="http://schemas.microsoft.com/office/drawing/2015/06/chart">
              <c:ext xmlns:c16="http://schemas.microsoft.com/office/drawing/2014/chart" uri="{C3380CC4-5D6E-409C-BE32-E72D297353CC}">
                <c16:uniqueId val="{00000049-1104-4001-B048-57148C830B00}"/>
              </c:ext>
            </c:extLst>
          </c:dPt>
          <c:dLbls>
            <c:dLbl>
              <c:idx val="2"/>
              <c:layout>
                <c:manualLayout>
                  <c:x val="6.0726976443517301E-2"/>
                  <c:y val="6.7449786073574103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5-1104-4001-B048-57148C830B00}"/>
                </c:ext>
              </c:extLst>
            </c:dLbl>
            <c:dLbl>
              <c:idx val="3"/>
              <c:layout>
                <c:manualLayout>
                  <c:x val="3.39020617116991E-2"/>
                  <c:y val="0.12615137305920901"/>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7-1104-4001-B048-57148C830B00}"/>
                </c:ext>
              </c:extLst>
            </c:dLbl>
            <c:dLbl>
              <c:idx val="4"/>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9-1104-4001-B048-57148C830B00}"/>
                </c:ext>
              </c:extLst>
            </c:dLbl>
            <c:dLbl>
              <c:idx val="5"/>
              <c:layout>
                <c:manualLayout>
                  <c:x val="-3.0817382539636801E-2"/>
                  <c:y val="7.1766411533022406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B-1104-4001-B048-57148C830B00}"/>
                </c:ext>
              </c:extLst>
            </c:dLbl>
            <c:dLbl>
              <c:idx val="6"/>
              <c:layout>
                <c:manualLayout>
                  <c:x val="-2.94813802569617E-2"/>
                  <c:y val="5.5068599660118102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D-1104-4001-B048-57148C830B00}"/>
                </c:ext>
              </c:extLst>
            </c:dLbl>
            <c:dLbl>
              <c:idx val="7"/>
              <c:layout>
                <c:manualLayout>
                  <c:x val="-2.75903486446912E-2"/>
                  <c:y val="2.8303962863764302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F-1104-4001-B048-57148C830B00}"/>
                </c:ext>
              </c:extLst>
            </c:dLbl>
            <c:dLbl>
              <c:idx val="8"/>
              <c:layout>
                <c:manualLayout>
                  <c:x val="-1.55397907452502E-2"/>
                  <c:y val="-1.0180768571469399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11-1104-4001-B048-57148C830B00}"/>
                </c:ext>
              </c:extLst>
            </c:dLbl>
            <c:dLbl>
              <c:idx val="11"/>
              <c:layout>
                <c:manualLayout>
                  <c:x val="-1.4714540588760001E-2"/>
                  <c:y val="5.1276082892743498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17-1104-4001-B048-57148C830B00}"/>
                </c:ext>
              </c:extLst>
            </c:dLbl>
            <c:dLbl>
              <c:idx val="12"/>
              <c:layout>
                <c:manualLayout>
                  <c:x val="-1.1630421253557999E-2"/>
                  <c:y val="1.2441554911333299E-4"/>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19-1104-4001-B048-57148C830B00}"/>
                </c:ext>
              </c:extLst>
            </c:dLbl>
            <c:dLbl>
              <c:idx val="15"/>
              <c:layout>
                <c:manualLayout>
                  <c:x val="-3.63355187854335E-2"/>
                  <c:y val="7.0701894958176206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1F-1104-4001-B048-57148C830B00}"/>
                </c:ext>
              </c:extLst>
            </c:dLbl>
            <c:dLbl>
              <c:idx val="17"/>
              <c:layout>
                <c:manualLayout>
                  <c:x val="-0.117171131989995"/>
                  <c:y val="-1.19755370084324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3-1104-4001-B048-57148C830B00}"/>
                </c:ext>
              </c:extLst>
            </c:dLbl>
            <c:dLbl>
              <c:idx val="18"/>
              <c:layout>
                <c:manualLayout>
                  <c:x val="-6.0521701647140103E-2"/>
                  <c:y val="-1.7401814167393202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5-1104-4001-B048-57148C830B00}"/>
                </c:ext>
              </c:extLst>
            </c:dLbl>
            <c:dLbl>
              <c:idx val="20"/>
              <c:layout>
                <c:manualLayout>
                  <c:x val="-8.5466453226694696E-3"/>
                  <c:y val="-1.3408687992677399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9-1104-4001-B048-57148C830B00}"/>
                </c:ext>
              </c:extLst>
            </c:dLbl>
            <c:dLbl>
              <c:idx val="21"/>
              <c:layout>
                <c:manualLayout>
                  <c:x val="-2.21676065598462E-2"/>
                  <c:y val="-5.0067684391621202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B-1104-4001-B048-57148C830B00}"/>
                </c:ext>
              </c:extLst>
            </c:dLbl>
            <c:dLbl>
              <c:idx val="22"/>
              <c:layout>
                <c:manualLayout>
                  <c:x val="-1.8984476992000902E-2"/>
                  <c:y val="-6.3362044885137095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D-1104-4001-B048-57148C830B00}"/>
                </c:ext>
              </c:extLst>
            </c:dLbl>
            <c:dLbl>
              <c:idx val="23"/>
              <c:layout>
                <c:manualLayout>
                  <c:x val="-1.1391353908867899E-2"/>
                  <c:y val="-0.11622378626111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F-1104-4001-B048-57148C830B00}"/>
                </c:ext>
              </c:extLst>
            </c:dLbl>
            <c:dLbl>
              <c:idx val="27"/>
              <c:layout>
                <c:manualLayout>
                  <c:x val="3.71686402443029E-2"/>
                  <c:y val="-2.10086651790901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7-1104-4001-B048-57148C830B00}"/>
                </c:ext>
              </c:extLst>
            </c:dLbl>
            <c:dLbl>
              <c:idx val="28"/>
              <c:layout>
                <c:manualLayout>
                  <c:x val="0.135525174686947"/>
                  <c:y val="0.101923522455359"/>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85000"/>
                          <a:lumOff val="1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15:layout>
                    <c:manualLayout>
                      <c:w val="8.4333628728206905E-2"/>
                      <c:h val="8.4611803882525996E-2"/>
                    </c:manualLayout>
                  </c15:layout>
                </c:ext>
                <c:ext xmlns:c16="http://schemas.microsoft.com/office/drawing/2014/chart" uri="{C3380CC4-5D6E-409C-BE32-E72D297353CC}">
                  <c16:uniqueId val="{00000039-1104-4001-B048-57148C830B00}"/>
                </c:ext>
              </c:extLst>
            </c:dLbl>
            <c:dLbl>
              <c:idx val="29"/>
              <c:layout>
                <c:manualLayout>
                  <c:x val="6.5341304738144701E-2"/>
                  <c:y val="1.1836533504351601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85000"/>
                          <a:lumOff val="1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15:layout>
                    <c:manualLayout>
                      <c:w val="6.8865129463927005E-2"/>
                      <c:h val="9.7494330625623002E-2"/>
                    </c:manualLayout>
                  </c15:layout>
                </c:ext>
                <c:ext xmlns:c16="http://schemas.microsoft.com/office/drawing/2014/chart" uri="{C3380CC4-5D6E-409C-BE32-E72D297353CC}">
                  <c16:uniqueId val="{0000003B-1104-4001-B048-57148C830B00}"/>
                </c:ext>
              </c:extLst>
            </c:dLbl>
            <c:dLbl>
              <c:idx val="30"/>
              <c:layout>
                <c:manualLayout>
                  <c:x val="0.19706145646714424"/>
                  <c:y val="-0.15146788714764636"/>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85000"/>
                          <a:lumOff val="1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15:layout>
                    <c:manualLayout>
                      <c:w val="7.7997358938518002E-2"/>
                      <c:h val="7.4594093856019103E-2"/>
                    </c:manualLayout>
                  </c15:layout>
                </c:ext>
                <c:ext xmlns:c16="http://schemas.microsoft.com/office/drawing/2014/chart" uri="{C3380CC4-5D6E-409C-BE32-E72D297353CC}">
                  <c16:uniqueId val="{0000003D-1104-4001-B048-57148C830B00}"/>
                </c:ext>
              </c:extLst>
            </c:dLbl>
            <c:dLbl>
              <c:idx val="31"/>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F-1104-4001-B048-57148C830B00}"/>
                </c:ext>
              </c:extLst>
            </c:dLbl>
            <c:dLbl>
              <c:idx val="32"/>
              <c:layout>
                <c:manualLayout>
                  <c:x val="-1.2106537530266344E-3"/>
                  <c:y val="-3.470336489298418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85000"/>
                          <a:lumOff val="15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15:layout>
                    <c:manualLayout>
                      <c:w val="0.11744428132924099"/>
                      <c:h val="9.6163393386941395E-2"/>
                    </c:manualLayout>
                  </c15:layout>
                </c:ext>
                <c:ext xmlns:c16="http://schemas.microsoft.com/office/drawing/2014/chart" uri="{C3380CC4-5D6E-409C-BE32-E72D297353CC}">
                  <c16:uniqueId val="{00000041-1104-4001-B048-57148C830B00}"/>
                </c:ext>
              </c:extLst>
            </c:dLbl>
            <c:dLbl>
              <c:idx val="33"/>
              <c:layout>
                <c:manualLayout>
                  <c:x val="4.1110344607526002E-2"/>
                  <c:y val="7.6195162633807302E-3"/>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3-1104-4001-B048-57148C830B00}"/>
                </c:ext>
              </c:extLst>
            </c:dLbl>
            <c:dLbl>
              <c:idx val="35"/>
              <c:layout>
                <c:manualLayout>
                  <c:x val="4.35118853364223E-2"/>
                  <c:y val="3.2562829317609801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7-1104-4001-B048-57148C830B00}"/>
                </c:ext>
              </c:extLst>
            </c:dLbl>
            <c:dLbl>
              <c:idx val="36"/>
              <c:tx>
                <c:strRef>
                  <c:f>'Geographical breakdown'!$B$41:$C$41</c:f>
                  <c:strCache>
                    <c:ptCount val="1"/>
                    <c:pt idx="0">
                      <c:v>ELi-välised riigid 41,3%</c:v>
                    </c:pt>
                  </c:strCache>
                </c:strRef>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dlblFTEntry>
                      <c15:txfldGUID>{B7BB2938-B8A1-4839-89BE-E25A71455E5F}</c15:txfldGUID>
                      <c15:f>'Geographical breakdown'!$B$41:$C$41</c15:f>
                      <c15:dlblFieldTableCache>
                        <c:ptCount val="2"/>
                        <c:pt idx="0">
                          <c:v>ELi-välised riigid</c:v>
                        </c:pt>
                        <c:pt idx="1">
                          <c:v>41,3%</c:v>
                        </c:pt>
                      </c15:dlblFieldTableCache>
                    </c15:dlblFTEntry>
                  </c15:dlblFieldTable>
                  <c15:showDataLabelsRange val="0"/>
                </c:ext>
                <c:ext xmlns:c16="http://schemas.microsoft.com/office/drawing/2014/chart" uri="{C3380CC4-5D6E-409C-BE32-E72D297353CC}">
                  <c16:uniqueId val="{00000049-1104-4001-B048-57148C830B00}"/>
                </c:ext>
              </c:extLst>
            </c:dLbl>
            <c:dLbl>
              <c:idx val="37"/>
              <c:layout>
                <c:manualLayout>
                  <c:x val="-3.9869271451435699E-2"/>
                  <c:y val="6.6510988439205899E-3"/>
                </c:manualLayout>
              </c:layout>
              <c:tx>
                <c:rich>
                  <a:bodyPr/>
                  <a:lstStyle/>
                  <a:p>
                    <a:r>
                      <a:rPr lang="it-IT"/>
                      <a:t>Non EU
47%</a:t>
                    </a:r>
                  </a:p>
                </c:rich>
              </c:tx>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A-1104-4001-B048-57148C830B0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DataManagerRef="urn:DataManager" xmlns:c16r2="http://schemas.microsoft.com/office/drawing/2015/06/chart">
              <c:ext xmlns:c15="http://schemas.microsoft.com/office/drawing/2012/chart" uri="{CE6537A1-D6FC-4f65-9D91-7224C49458BB}"/>
            </c:extLst>
          </c:dLbls>
          <c:cat>
            <c:strRef>
              <c:f>'Geographical breakdown'!$B$4:$B$39</c:f>
              <c:strCache>
                <c:ptCount val="36"/>
                <c:pt idx="0">
                  <c:v>Austria</c:v>
                </c:pt>
                <c:pt idx="1">
                  <c:v>Belgia</c:v>
                </c:pt>
                <c:pt idx="2">
                  <c:v>Bulgaaria</c:v>
                </c:pt>
                <c:pt idx="3">
                  <c:v>Horvaatia</c:v>
                </c:pt>
                <c:pt idx="4">
                  <c:v>Küpros</c:v>
                </c:pt>
                <c:pt idx="5">
                  <c:v>Tšehhi</c:v>
                </c:pt>
                <c:pt idx="6">
                  <c:v>Taani</c:v>
                </c:pt>
                <c:pt idx="7">
                  <c:v>Eesti</c:v>
                </c:pt>
                <c:pt idx="8">
                  <c:v>Soome</c:v>
                </c:pt>
                <c:pt idx="9">
                  <c:v>Prantsusmaa</c:v>
                </c:pt>
                <c:pt idx="10">
                  <c:v>Saksamaa</c:v>
                </c:pt>
                <c:pt idx="11">
                  <c:v>Kreeka</c:v>
                </c:pt>
                <c:pt idx="12">
                  <c:v>Ungari</c:v>
                </c:pt>
                <c:pt idx="13">
                  <c:v>Iirimaa</c:v>
                </c:pt>
                <c:pt idx="14">
                  <c:v>Itaalia</c:v>
                </c:pt>
                <c:pt idx="15">
                  <c:v>Läti</c:v>
                </c:pt>
                <c:pt idx="16">
                  <c:v>Leedu</c:v>
                </c:pt>
                <c:pt idx="17">
                  <c:v>Luksemburg</c:v>
                </c:pt>
                <c:pt idx="18">
                  <c:v>Malta</c:v>
                </c:pt>
                <c:pt idx="19">
                  <c:v>Poola</c:v>
                </c:pt>
                <c:pt idx="20">
                  <c:v>Portugal</c:v>
                </c:pt>
                <c:pt idx="21">
                  <c:v>Rumeenia</c:v>
                </c:pt>
                <c:pt idx="22">
                  <c:v>Slovakkia</c:v>
                </c:pt>
                <c:pt idx="23">
                  <c:v>Sloveenia</c:v>
                </c:pt>
                <c:pt idx="24">
                  <c:v>Hispaania</c:v>
                </c:pt>
                <c:pt idx="25">
                  <c:v>Rootsi</c:v>
                </c:pt>
                <c:pt idx="26">
                  <c:v>Madalmaad</c:v>
                </c:pt>
                <c:pt idx="27">
                  <c:v>Ühendkuningriik</c:v>
                </c:pt>
                <c:pt idx="28">
                  <c:v>Balkanimaad ja Türgi</c:v>
                </c:pt>
                <c:pt idx="29">
                  <c:v>Kaukaasia</c:v>
                </c:pt>
                <c:pt idx="30">
                  <c:v>Euroopa Majanduspiirkond (EMP)</c:v>
                </c:pt>
                <c:pt idx="31">
                  <c:v>Ladina-Ameerika</c:v>
                </c:pt>
                <c:pt idx="32">
                  <c:v>Vahemere piirkond (Põhja-Aafrika ja Lähis-Ida)</c:v>
                </c:pt>
                <c:pt idx="33">
                  <c:v>Sahara-tagune piirkond ja Lõuna-Aafrika</c:v>
                </c:pt>
                <c:pt idx="34">
                  <c:v>Aasia</c:v>
                </c:pt>
                <c:pt idx="35">
                  <c:v>Muud</c:v>
                </c:pt>
              </c:strCache>
            </c:strRef>
          </c:cat>
          <c:val>
            <c:numRef>
              <c:f>'Geographical breakdown'!$C$4:$C$39</c:f>
              <c:numCache>
                <c:formatCode>#,##0.00\ "€"</c:formatCode>
                <c:ptCount val="36"/>
                <c:pt idx="0">
                  <c:v>1464704752</c:v>
                </c:pt>
                <c:pt idx="1">
                  <c:v>6788506487.9497461</c:v>
                </c:pt>
                <c:pt idx="2">
                  <c:v>161157140</c:v>
                </c:pt>
                <c:pt idx="3">
                  <c:v>396267177.5656606</c:v>
                </c:pt>
                <c:pt idx="4">
                  <c:v>4776720</c:v>
                </c:pt>
                <c:pt idx="5">
                  <c:v>1234236320</c:v>
                </c:pt>
                <c:pt idx="6">
                  <c:v>564556840</c:v>
                </c:pt>
                <c:pt idx="7">
                  <c:v>85257887.840000004</c:v>
                </c:pt>
                <c:pt idx="8">
                  <c:v>721400000</c:v>
                </c:pt>
                <c:pt idx="9">
                  <c:v>15004095191.694971</c:v>
                </c:pt>
                <c:pt idx="10">
                  <c:v>11476389641.925341</c:v>
                </c:pt>
                <c:pt idx="11">
                  <c:v>95971992</c:v>
                </c:pt>
                <c:pt idx="12">
                  <c:v>599696040</c:v>
                </c:pt>
                <c:pt idx="13">
                  <c:v>446618400.07624495</c:v>
                </c:pt>
                <c:pt idx="14">
                  <c:v>9896434464</c:v>
                </c:pt>
                <c:pt idx="15">
                  <c:v>10205449.811510429</c:v>
                </c:pt>
                <c:pt idx="16">
                  <c:v>38199600</c:v>
                </c:pt>
                <c:pt idx="17">
                  <c:v>129467738.08</c:v>
                </c:pt>
                <c:pt idx="18">
                  <c:v>21944000</c:v>
                </c:pt>
                <c:pt idx="19">
                  <c:v>1755326772.187489</c:v>
                </c:pt>
                <c:pt idx="20">
                  <c:v>556571148</c:v>
                </c:pt>
                <c:pt idx="21">
                  <c:v>803127608</c:v>
                </c:pt>
                <c:pt idx="22">
                  <c:v>1709361492</c:v>
                </c:pt>
                <c:pt idx="23">
                  <c:v>166952720</c:v>
                </c:pt>
                <c:pt idx="24">
                  <c:v>6087760309.228303</c:v>
                </c:pt>
                <c:pt idx="25">
                  <c:v>363233752</c:v>
                </c:pt>
                <c:pt idx="26">
                  <c:v>1128132804</c:v>
                </c:pt>
                <c:pt idx="27">
                  <c:v>2234763508</c:v>
                </c:pt>
                <c:pt idx="28">
                  <c:v>7651658835.7207346</c:v>
                </c:pt>
                <c:pt idx="29">
                  <c:v>7477053139.3156528</c:v>
                </c:pt>
                <c:pt idx="30">
                  <c:v>53576000</c:v>
                </c:pt>
                <c:pt idx="31">
                  <c:v>7559267778.2659502</c:v>
                </c:pt>
                <c:pt idx="32">
                  <c:v>17892469583.619259</c:v>
                </c:pt>
                <c:pt idx="33">
                  <c:v>53400140.564047538</c:v>
                </c:pt>
                <c:pt idx="34">
                  <c:v>4168789112.1850905</c:v>
                </c:pt>
                <c:pt idx="35">
                  <c:v>76488745.920000002</c:v>
                </c:pt>
              </c:numCache>
            </c:numRef>
          </c:val>
          <c:extLst xmlns:c16r2="http://schemas.microsoft.com/office/drawing/2015/06/chart">
            <c:ext xmlns:c16="http://schemas.microsoft.com/office/drawing/2014/chart" uri="{C3380CC4-5D6E-409C-BE32-E72D297353CC}">
              <c16:uniqueId val="{0000004B-1104-4001-B048-57148C830B00}"/>
            </c:ext>
          </c:extLst>
        </c:ser>
        <c:dLbls>
          <c:dLblPos val="ctr"/>
          <c:showLegendKey val="0"/>
          <c:showVal val="1"/>
          <c:showCatName val="0"/>
          <c:showSerName val="0"/>
          <c:showPercent val="0"/>
          <c:showBubbleSize val="0"/>
          <c:showLeaderLines val="1"/>
        </c:dLbls>
        <c:gapWidth val="55"/>
        <c:splitType val="pos"/>
        <c:splitPos val="8"/>
        <c:secondPieSize val="5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040769015548"/>
          <c:y val="0.20746601144281401"/>
          <c:w val="0.69503068515070099"/>
          <c:h val="0.59430846633408496"/>
        </c:manualLayout>
      </c:layout>
      <c:ofPieChart>
        <c:ofPieType val="pie"/>
        <c:varyColors val="1"/>
        <c:ser>
          <c:idx val="0"/>
          <c:order val="0"/>
          <c:tx>
            <c:strRef>
              <c:f>'Geographical breakdown'!$B$49:$B$84</c:f>
              <c:strCache>
                <c:ptCount val="1"/>
                <c:pt idx="0">
                  <c:v>Austria Belgia Bulgaaria Horvaatia Küpros Tšehhi Taani Eesti Soome Prantsusmaa Saksamaa Kreeka Ungari Iirimaa Itaalia Läti Leedu Luksemburg Malta Poola Portugal Rumeenia Slovakkia Sloveenia Hispaania Rootsi Madalmaad Ühendkuningriik Balkanimaad ja Türgi K</c:v>
                </c:pt>
              </c:strCache>
            </c:strRef>
          </c:tx>
          <c:spPr>
            <a:ln>
              <a:noFill/>
            </a:ln>
          </c:spPr>
          <c:explosion val="13"/>
          <c:dPt>
            <c:idx val="0"/>
            <c:bubble3D val="0"/>
            <c:spPr>
              <a:solidFill>
                <a:schemeClr val="accent6"/>
              </a:solidFill>
              <a:ln w="19050">
                <a:noFill/>
              </a:ln>
              <a:effectLst/>
            </c:spPr>
            <c:extLst xmlns:c16r2="http://schemas.microsoft.com/office/drawing/2015/06/chart">
              <c:ext xmlns:c16="http://schemas.microsoft.com/office/drawing/2014/chart" uri="{C3380CC4-5D6E-409C-BE32-E72D297353CC}">
                <c16:uniqueId val="{00000001-4AD3-4466-8AF5-EA8D6C9DA499}"/>
              </c:ext>
            </c:extLst>
          </c:dPt>
          <c:dPt>
            <c:idx val="1"/>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03-4AD3-4466-8AF5-EA8D6C9DA499}"/>
              </c:ext>
            </c:extLst>
          </c:dPt>
          <c:dPt>
            <c:idx val="2"/>
            <c:bubble3D val="0"/>
            <c:spPr>
              <a:solidFill>
                <a:schemeClr val="accent4"/>
              </a:solidFill>
              <a:ln w="19050">
                <a:noFill/>
              </a:ln>
              <a:effectLst/>
            </c:spPr>
            <c:extLst xmlns:c16r2="http://schemas.microsoft.com/office/drawing/2015/06/chart">
              <c:ext xmlns:c16="http://schemas.microsoft.com/office/drawing/2014/chart" uri="{C3380CC4-5D6E-409C-BE32-E72D297353CC}">
                <c16:uniqueId val="{00000005-4AD3-4466-8AF5-EA8D6C9DA499}"/>
              </c:ext>
            </c:extLst>
          </c:dPt>
          <c:dPt>
            <c:idx val="3"/>
            <c:bubble3D val="0"/>
            <c:spPr>
              <a:solidFill>
                <a:schemeClr val="accent6">
                  <a:lumMod val="60000"/>
                </a:schemeClr>
              </a:solidFill>
              <a:ln w="19050">
                <a:noFill/>
              </a:ln>
              <a:effectLst/>
            </c:spPr>
            <c:extLst xmlns:c16r2="http://schemas.microsoft.com/office/drawing/2015/06/chart">
              <c:ext xmlns:c16="http://schemas.microsoft.com/office/drawing/2014/chart" uri="{C3380CC4-5D6E-409C-BE32-E72D297353CC}">
                <c16:uniqueId val="{00000007-4AD3-4466-8AF5-EA8D6C9DA499}"/>
              </c:ext>
            </c:extLst>
          </c:dPt>
          <c:dPt>
            <c:idx val="4"/>
            <c:bubble3D val="0"/>
            <c:spPr>
              <a:solidFill>
                <a:schemeClr val="accent5">
                  <a:lumMod val="60000"/>
                </a:schemeClr>
              </a:solidFill>
              <a:ln w="19050">
                <a:noFill/>
              </a:ln>
              <a:effectLst/>
            </c:spPr>
            <c:extLst xmlns:c16r2="http://schemas.microsoft.com/office/drawing/2015/06/chart">
              <c:ext xmlns:c16="http://schemas.microsoft.com/office/drawing/2014/chart" uri="{C3380CC4-5D6E-409C-BE32-E72D297353CC}">
                <c16:uniqueId val="{00000009-4AD3-4466-8AF5-EA8D6C9DA499}"/>
              </c:ext>
            </c:extLst>
          </c:dPt>
          <c:dPt>
            <c:idx val="5"/>
            <c:bubble3D val="0"/>
            <c:spPr>
              <a:solidFill>
                <a:schemeClr val="accent4">
                  <a:lumMod val="60000"/>
                </a:schemeClr>
              </a:solidFill>
              <a:ln w="19050">
                <a:noFill/>
              </a:ln>
              <a:effectLst/>
            </c:spPr>
            <c:extLst xmlns:c16r2="http://schemas.microsoft.com/office/drawing/2015/06/chart">
              <c:ext xmlns:c16="http://schemas.microsoft.com/office/drawing/2014/chart" uri="{C3380CC4-5D6E-409C-BE32-E72D297353CC}">
                <c16:uniqueId val="{0000000B-4AD3-4466-8AF5-EA8D6C9DA499}"/>
              </c:ext>
            </c:extLst>
          </c:dPt>
          <c:dPt>
            <c:idx val="6"/>
            <c:bubble3D val="0"/>
            <c:spPr>
              <a:solidFill>
                <a:schemeClr val="accent6">
                  <a:lumMod val="80000"/>
                  <a:lumOff val="20000"/>
                </a:schemeClr>
              </a:solidFill>
              <a:ln w="19050">
                <a:noFill/>
              </a:ln>
              <a:effectLst/>
            </c:spPr>
            <c:extLst xmlns:c16r2="http://schemas.microsoft.com/office/drawing/2015/06/chart">
              <c:ext xmlns:c16="http://schemas.microsoft.com/office/drawing/2014/chart" uri="{C3380CC4-5D6E-409C-BE32-E72D297353CC}">
                <c16:uniqueId val="{0000000D-4AD3-4466-8AF5-EA8D6C9DA499}"/>
              </c:ext>
            </c:extLst>
          </c:dPt>
          <c:dPt>
            <c:idx val="7"/>
            <c:bubble3D val="0"/>
            <c:spPr>
              <a:solidFill>
                <a:schemeClr val="accent5">
                  <a:lumMod val="80000"/>
                  <a:lumOff val="20000"/>
                </a:schemeClr>
              </a:solidFill>
              <a:ln w="19050">
                <a:noFill/>
              </a:ln>
              <a:effectLst/>
            </c:spPr>
            <c:extLst xmlns:c16r2="http://schemas.microsoft.com/office/drawing/2015/06/chart">
              <c:ext xmlns:c16="http://schemas.microsoft.com/office/drawing/2014/chart" uri="{C3380CC4-5D6E-409C-BE32-E72D297353CC}">
                <c16:uniqueId val="{0000000F-4AD3-4466-8AF5-EA8D6C9DA499}"/>
              </c:ext>
            </c:extLst>
          </c:dPt>
          <c:dPt>
            <c:idx val="8"/>
            <c:bubble3D val="0"/>
            <c:spPr>
              <a:solidFill>
                <a:schemeClr val="accent4">
                  <a:lumMod val="80000"/>
                  <a:lumOff val="20000"/>
                </a:schemeClr>
              </a:solidFill>
              <a:ln w="19050">
                <a:noFill/>
              </a:ln>
              <a:effectLst/>
            </c:spPr>
            <c:extLst xmlns:c16r2="http://schemas.microsoft.com/office/drawing/2015/06/chart">
              <c:ext xmlns:c16="http://schemas.microsoft.com/office/drawing/2014/chart" uri="{C3380CC4-5D6E-409C-BE32-E72D297353CC}">
                <c16:uniqueId val="{00000011-4AD3-4466-8AF5-EA8D6C9DA499}"/>
              </c:ext>
            </c:extLst>
          </c:dPt>
          <c:dPt>
            <c:idx val="9"/>
            <c:bubble3D val="0"/>
            <c:spPr>
              <a:solidFill>
                <a:schemeClr val="accent6">
                  <a:lumMod val="80000"/>
                </a:schemeClr>
              </a:solidFill>
              <a:ln w="19050">
                <a:noFill/>
              </a:ln>
              <a:effectLst/>
            </c:spPr>
            <c:extLst xmlns:c16r2="http://schemas.microsoft.com/office/drawing/2015/06/chart">
              <c:ext xmlns:c16="http://schemas.microsoft.com/office/drawing/2014/chart" uri="{C3380CC4-5D6E-409C-BE32-E72D297353CC}">
                <c16:uniqueId val="{00000013-4AD3-4466-8AF5-EA8D6C9DA499}"/>
              </c:ext>
            </c:extLst>
          </c:dPt>
          <c:dPt>
            <c:idx val="10"/>
            <c:bubble3D val="0"/>
            <c:spPr>
              <a:solidFill>
                <a:schemeClr val="accent5">
                  <a:lumMod val="80000"/>
                </a:schemeClr>
              </a:solidFill>
              <a:ln w="19050">
                <a:noFill/>
              </a:ln>
              <a:effectLst/>
            </c:spPr>
            <c:extLst xmlns:c16r2="http://schemas.microsoft.com/office/drawing/2015/06/chart">
              <c:ext xmlns:c16="http://schemas.microsoft.com/office/drawing/2014/chart" uri="{C3380CC4-5D6E-409C-BE32-E72D297353CC}">
                <c16:uniqueId val="{00000015-4AD3-4466-8AF5-EA8D6C9DA499}"/>
              </c:ext>
            </c:extLst>
          </c:dPt>
          <c:dPt>
            <c:idx val="11"/>
            <c:bubble3D val="0"/>
            <c:spPr>
              <a:solidFill>
                <a:schemeClr val="accent4">
                  <a:lumMod val="80000"/>
                </a:schemeClr>
              </a:solidFill>
              <a:ln w="19050">
                <a:noFill/>
              </a:ln>
              <a:effectLst/>
            </c:spPr>
            <c:extLst xmlns:c16r2="http://schemas.microsoft.com/office/drawing/2015/06/chart">
              <c:ext xmlns:c16="http://schemas.microsoft.com/office/drawing/2014/chart" uri="{C3380CC4-5D6E-409C-BE32-E72D297353CC}">
                <c16:uniqueId val="{00000017-4AD3-4466-8AF5-EA8D6C9DA499}"/>
              </c:ext>
            </c:extLst>
          </c:dPt>
          <c:dPt>
            <c:idx val="12"/>
            <c:bubble3D val="0"/>
            <c:spPr>
              <a:solidFill>
                <a:schemeClr val="accent6">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9-4AD3-4466-8AF5-EA8D6C9DA499}"/>
              </c:ext>
            </c:extLst>
          </c:dPt>
          <c:dPt>
            <c:idx val="13"/>
            <c:bubble3D val="0"/>
            <c:spPr>
              <a:solidFill>
                <a:schemeClr val="accent5">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B-4AD3-4466-8AF5-EA8D6C9DA499}"/>
              </c:ext>
            </c:extLst>
          </c:dPt>
          <c:dPt>
            <c:idx val="14"/>
            <c:bubble3D val="0"/>
            <c:spPr>
              <a:solidFill>
                <a:schemeClr val="accent4">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D-4AD3-4466-8AF5-EA8D6C9DA499}"/>
              </c:ext>
            </c:extLst>
          </c:dPt>
          <c:dPt>
            <c:idx val="15"/>
            <c:bubble3D val="0"/>
            <c:spPr>
              <a:solidFill>
                <a:schemeClr val="accent6">
                  <a:lumMod val="50000"/>
                </a:schemeClr>
              </a:solidFill>
              <a:ln w="19050">
                <a:noFill/>
              </a:ln>
              <a:effectLst/>
            </c:spPr>
            <c:extLst xmlns:c16r2="http://schemas.microsoft.com/office/drawing/2015/06/chart">
              <c:ext xmlns:c16="http://schemas.microsoft.com/office/drawing/2014/chart" uri="{C3380CC4-5D6E-409C-BE32-E72D297353CC}">
                <c16:uniqueId val="{0000001F-4AD3-4466-8AF5-EA8D6C9DA499}"/>
              </c:ext>
            </c:extLst>
          </c:dPt>
          <c:dPt>
            <c:idx val="16"/>
            <c:bubble3D val="0"/>
            <c:spPr>
              <a:solidFill>
                <a:schemeClr val="accent5">
                  <a:lumMod val="50000"/>
                </a:schemeClr>
              </a:solidFill>
              <a:ln w="19050">
                <a:noFill/>
              </a:ln>
              <a:effectLst/>
            </c:spPr>
            <c:extLst xmlns:c16r2="http://schemas.microsoft.com/office/drawing/2015/06/chart">
              <c:ext xmlns:c16="http://schemas.microsoft.com/office/drawing/2014/chart" uri="{C3380CC4-5D6E-409C-BE32-E72D297353CC}">
                <c16:uniqueId val="{00000021-4AD3-4466-8AF5-EA8D6C9DA499}"/>
              </c:ext>
            </c:extLst>
          </c:dPt>
          <c:dPt>
            <c:idx val="17"/>
            <c:bubble3D val="0"/>
            <c:spPr>
              <a:solidFill>
                <a:schemeClr val="accent4">
                  <a:lumMod val="50000"/>
                </a:schemeClr>
              </a:solidFill>
              <a:ln w="19050">
                <a:noFill/>
              </a:ln>
              <a:effectLst/>
            </c:spPr>
            <c:extLst xmlns:c16r2="http://schemas.microsoft.com/office/drawing/2015/06/chart">
              <c:ext xmlns:c16="http://schemas.microsoft.com/office/drawing/2014/chart" uri="{C3380CC4-5D6E-409C-BE32-E72D297353CC}">
                <c16:uniqueId val="{00000023-4AD3-4466-8AF5-EA8D6C9DA499}"/>
              </c:ext>
            </c:extLst>
          </c:dPt>
          <c:dPt>
            <c:idx val="18"/>
            <c:bubble3D val="0"/>
            <c:spPr>
              <a:solidFill>
                <a:schemeClr val="accent6">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5-4AD3-4466-8AF5-EA8D6C9DA499}"/>
              </c:ext>
            </c:extLst>
          </c:dPt>
          <c:dPt>
            <c:idx val="19"/>
            <c:bubble3D val="0"/>
            <c:spPr>
              <a:solidFill>
                <a:schemeClr val="accent5">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7-4AD3-4466-8AF5-EA8D6C9DA499}"/>
              </c:ext>
            </c:extLst>
          </c:dPt>
          <c:dPt>
            <c:idx val="20"/>
            <c:bubble3D val="0"/>
            <c:spPr>
              <a:solidFill>
                <a:schemeClr val="accent4">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9-4AD3-4466-8AF5-EA8D6C9DA499}"/>
              </c:ext>
            </c:extLst>
          </c:dPt>
          <c:dPt>
            <c:idx val="21"/>
            <c:bubble3D val="0"/>
            <c:spPr>
              <a:solidFill>
                <a:schemeClr val="accent6">
                  <a:lumMod val="70000"/>
                </a:schemeClr>
              </a:solidFill>
              <a:ln w="19050">
                <a:noFill/>
              </a:ln>
              <a:effectLst/>
            </c:spPr>
            <c:extLst xmlns:c16r2="http://schemas.microsoft.com/office/drawing/2015/06/chart">
              <c:ext xmlns:c16="http://schemas.microsoft.com/office/drawing/2014/chart" uri="{C3380CC4-5D6E-409C-BE32-E72D297353CC}">
                <c16:uniqueId val="{0000002B-4AD3-4466-8AF5-EA8D6C9DA499}"/>
              </c:ext>
            </c:extLst>
          </c:dPt>
          <c:dPt>
            <c:idx val="22"/>
            <c:bubble3D val="0"/>
            <c:spPr>
              <a:solidFill>
                <a:schemeClr val="accent5">
                  <a:lumMod val="70000"/>
                </a:schemeClr>
              </a:solidFill>
              <a:ln w="19050">
                <a:noFill/>
              </a:ln>
              <a:effectLst/>
            </c:spPr>
            <c:extLst xmlns:c16r2="http://schemas.microsoft.com/office/drawing/2015/06/chart">
              <c:ext xmlns:c16="http://schemas.microsoft.com/office/drawing/2014/chart" uri="{C3380CC4-5D6E-409C-BE32-E72D297353CC}">
                <c16:uniqueId val="{0000002D-4AD3-4466-8AF5-EA8D6C9DA499}"/>
              </c:ext>
            </c:extLst>
          </c:dPt>
          <c:dPt>
            <c:idx val="23"/>
            <c:bubble3D val="0"/>
            <c:spPr>
              <a:solidFill>
                <a:schemeClr val="accent4">
                  <a:lumMod val="70000"/>
                </a:schemeClr>
              </a:solidFill>
              <a:ln w="19050">
                <a:noFill/>
              </a:ln>
              <a:effectLst/>
            </c:spPr>
            <c:extLst xmlns:c16r2="http://schemas.microsoft.com/office/drawing/2015/06/chart">
              <c:ext xmlns:c16="http://schemas.microsoft.com/office/drawing/2014/chart" uri="{C3380CC4-5D6E-409C-BE32-E72D297353CC}">
                <c16:uniqueId val="{0000002F-4AD3-4466-8AF5-EA8D6C9DA499}"/>
              </c:ext>
            </c:extLst>
          </c:dPt>
          <c:dPt>
            <c:idx val="24"/>
            <c:bubble3D val="0"/>
            <c:spPr>
              <a:solidFill>
                <a:schemeClr val="accent6">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1-4AD3-4466-8AF5-EA8D6C9DA499}"/>
              </c:ext>
            </c:extLst>
          </c:dPt>
          <c:dPt>
            <c:idx val="25"/>
            <c:bubble3D val="0"/>
            <c:spPr>
              <a:solidFill>
                <a:schemeClr val="accent5">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3-4AD3-4466-8AF5-EA8D6C9DA499}"/>
              </c:ext>
            </c:extLst>
          </c:dPt>
          <c:dPt>
            <c:idx val="26"/>
            <c:bubble3D val="0"/>
            <c:spPr>
              <a:solidFill>
                <a:schemeClr val="accent4">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5-4AD3-4466-8AF5-EA8D6C9DA499}"/>
              </c:ext>
            </c:extLst>
          </c:dPt>
          <c:dPt>
            <c:idx val="27"/>
            <c:bubble3D val="0"/>
            <c:spPr>
              <a:solidFill>
                <a:schemeClr val="accent6"/>
              </a:solidFill>
              <a:ln w="19050">
                <a:noFill/>
              </a:ln>
              <a:effectLst/>
            </c:spPr>
            <c:extLst xmlns:c16r2="http://schemas.microsoft.com/office/drawing/2015/06/chart">
              <c:ext xmlns:c16="http://schemas.microsoft.com/office/drawing/2014/chart" uri="{C3380CC4-5D6E-409C-BE32-E72D297353CC}">
                <c16:uniqueId val="{00000037-4AD3-4466-8AF5-EA8D6C9DA499}"/>
              </c:ext>
            </c:extLst>
          </c:dPt>
          <c:dPt>
            <c:idx val="28"/>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39-4AD3-4466-8AF5-EA8D6C9DA499}"/>
              </c:ext>
            </c:extLst>
          </c:dPt>
          <c:dPt>
            <c:idx val="29"/>
            <c:bubble3D val="0"/>
            <c:spPr>
              <a:solidFill>
                <a:schemeClr val="accent4"/>
              </a:solidFill>
              <a:ln w="19050">
                <a:noFill/>
              </a:ln>
              <a:effectLst/>
            </c:spPr>
            <c:extLst xmlns:c16r2="http://schemas.microsoft.com/office/drawing/2015/06/chart">
              <c:ext xmlns:c16="http://schemas.microsoft.com/office/drawing/2014/chart" uri="{C3380CC4-5D6E-409C-BE32-E72D297353CC}">
                <c16:uniqueId val="{0000003B-4AD3-4466-8AF5-EA8D6C9DA499}"/>
              </c:ext>
            </c:extLst>
          </c:dPt>
          <c:dPt>
            <c:idx val="30"/>
            <c:bubble3D val="0"/>
            <c:spPr>
              <a:solidFill>
                <a:schemeClr val="accent6">
                  <a:lumMod val="60000"/>
                </a:schemeClr>
              </a:solidFill>
              <a:ln w="19050">
                <a:noFill/>
              </a:ln>
              <a:effectLst/>
            </c:spPr>
            <c:extLst xmlns:c16r2="http://schemas.microsoft.com/office/drawing/2015/06/chart">
              <c:ext xmlns:c16="http://schemas.microsoft.com/office/drawing/2014/chart" uri="{C3380CC4-5D6E-409C-BE32-E72D297353CC}">
                <c16:uniqueId val="{0000003D-4AD3-4466-8AF5-EA8D6C9DA499}"/>
              </c:ext>
            </c:extLst>
          </c:dPt>
          <c:dPt>
            <c:idx val="31"/>
            <c:bubble3D val="0"/>
            <c:spPr>
              <a:solidFill>
                <a:schemeClr val="accent5">
                  <a:lumMod val="60000"/>
                </a:schemeClr>
              </a:solidFill>
              <a:ln w="19050">
                <a:noFill/>
              </a:ln>
              <a:effectLst/>
            </c:spPr>
            <c:extLst xmlns:c16r2="http://schemas.microsoft.com/office/drawing/2015/06/chart">
              <c:ext xmlns:c16="http://schemas.microsoft.com/office/drawing/2014/chart" uri="{C3380CC4-5D6E-409C-BE32-E72D297353CC}">
                <c16:uniqueId val="{0000003F-4AD3-4466-8AF5-EA8D6C9DA499}"/>
              </c:ext>
            </c:extLst>
          </c:dPt>
          <c:dPt>
            <c:idx val="32"/>
            <c:bubble3D val="0"/>
            <c:spPr>
              <a:solidFill>
                <a:schemeClr val="accent4">
                  <a:lumMod val="60000"/>
                </a:schemeClr>
              </a:solidFill>
              <a:ln w="19050">
                <a:noFill/>
              </a:ln>
              <a:effectLst/>
            </c:spPr>
            <c:extLst xmlns:c16r2="http://schemas.microsoft.com/office/drawing/2015/06/chart">
              <c:ext xmlns:c16="http://schemas.microsoft.com/office/drawing/2014/chart" uri="{C3380CC4-5D6E-409C-BE32-E72D297353CC}">
                <c16:uniqueId val="{00000041-4AD3-4466-8AF5-EA8D6C9DA499}"/>
              </c:ext>
            </c:extLst>
          </c:dPt>
          <c:dPt>
            <c:idx val="33"/>
            <c:bubble3D val="0"/>
            <c:spPr>
              <a:solidFill>
                <a:schemeClr val="accent6">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3-4AD3-4466-8AF5-EA8D6C9DA499}"/>
              </c:ext>
            </c:extLst>
          </c:dPt>
          <c:dPt>
            <c:idx val="34"/>
            <c:bubble3D val="0"/>
            <c:spPr>
              <a:solidFill>
                <a:schemeClr val="accent5">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5-4AD3-4466-8AF5-EA8D6C9DA499}"/>
              </c:ext>
            </c:extLst>
          </c:dPt>
          <c:dPt>
            <c:idx val="35"/>
            <c:bubble3D val="0"/>
            <c:spPr>
              <a:solidFill>
                <a:schemeClr val="accent4">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7-4AD3-4466-8AF5-EA8D6C9DA499}"/>
              </c:ext>
            </c:extLst>
          </c:dPt>
          <c:dPt>
            <c:idx val="36"/>
            <c:bubble3D val="0"/>
            <c:spPr>
              <a:solidFill>
                <a:schemeClr val="accent6">
                  <a:lumMod val="80000"/>
                </a:schemeClr>
              </a:solidFill>
              <a:ln w="19050">
                <a:noFill/>
              </a:ln>
              <a:effectLst/>
            </c:spPr>
            <c:extLst xmlns:c16r2="http://schemas.microsoft.com/office/drawing/2015/06/chart">
              <c:ext xmlns:c16="http://schemas.microsoft.com/office/drawing/2014/chart" uri="{C3380CC4-5D6E-409C-BE32-E72D297353CC}">
                <c16:uniqueId val="{00000049-4AD3-4466-8AF5-EA8D6C9DA499}"/>
              </c:ext>
            </c:extLst>
          </c:dPt>
          <c:dLbls>
            <c:dLbl>
              <c:idx val="4"/>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9-4AD3-4466-8AF5-EA8D6C9DA499}"/>
                </c:ext>
              </c:extLst>
            </c:dLbl>
            <c:dLbl>
              <c:idx val="7"/>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0F-4AD3-4466-8AF5-EA8D6C9DA499}"/>
                </c:ext>
              </c:extLst>
            </c:dLbl>
            <c:dLbl>
              <c:idx val="11"/>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17-4AD3-4466-8AF5-EA8D6C9DA499}"/>
                </c:ext>
              </c:extLst>
            </c:dLbl>
            <c:dLbl>
              <c:idx val="15"/>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1F-4AD3-4466-8AF5-EA8D6C9DA499}"/>
                </c:ext>
              </c:extLst>
            </c:dLbl>
            <c:dLbl>
              <c:idx val="1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1-4AD3-4466-8AF5-EA8D6C9DA499}"/>
                </c:ext>
              </c:extLst>
            </c:dLbl>
            <c:dLbl>
              <c:idx val="18"/>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25-4AD3-4466-8AF5-EA8D6C9DA499}"/>
                </c:ext>
              </c:extLst>
            </c:dLbl>
            <c:dLbl>
              <c:idx val="19"/>
              <c:layout>
                <c:manualLayout>
                  <c:x val="-4.1484682691282693E-2"/>
                  <c:y val="8.0902706129767216E-3"/>
                </c:manualLayout>
              </c:layout>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27-4AD3-4466-8AF5-EA8D6C9DA499}"/>
                </c:ext>
              </c:extLst>
            </c:dLbl>
            <c:dLbl>
              <c:idx val="2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2F-4AD3-4466-8AF5-EA8D6C9DA499}"/>
                </c:ext>
              </c:extLst>
            </c:dLbl>
            <c:dLbl>
              <c:idx val="25"/>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3-4AD3-4466-8AF5-EA8D6C9DA499}"/>
                </c:ext>
              </c:extLst>
            </c:dLbl>
            <c:dLbl>
              <c:idx val="27"/>
              <c:layout>
                <c:manualLayout>
                  <c:x val="6.3694996413044422E-2"/>
                  <c:y val="-4.6938201659415021E-2"/>
                </c:manualLayout>
              </c:layout>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37-4AD3-4466-8AF5-EA8D6C9DA499}"/>
                </c:ext>
              </c:extLst>
            </c:dLbl>
            <c:dLbl>
              <c:idx val="28"/>
              <c:layout>
                <c:manualLayout>
                  <c:x val="-2.5869377091624599E-2"/>
                  <c:y val="0.14520057143684101"/>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9-4AD3-4466-8AF5-EA8D6C9DA499}"/>
                </c:ext>
              </c:extLst>
            </c:dLbl>
            <c:dLbl>
              <c:idx val="29"/>
              <c:layout>
                <c:manualLayout>
                  <c:x val="2.3752091854445656E-2"/>
                  <c:y val="-5.5289595717531358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85000"/>
                          <a:lumOff val="15000"/>
                        </a:schemeClr>
                      </a:solidFill>
                      <a:latin typeface="Helvetica" charset="0"/>
                      <a:ea typeface="Helvetica" charset="0"/>
                      <a:cs typeface="Helvetica" charset="0"/>
                    </a:defRPr>
                  </a:pPr>
                  <a:endParaRPr lang="en-US"/>
                </a:p>
              </c:txPr>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15:layout>
                    <c:manualLayout>
                      <c:w val="8.2269496227746999E-2"/>
                      <c:h val="0.104293868808757"/>
                    </c:manualLayout>
                  </c15:layout>
                </c:ext>
                <c:ext xmlns:c16="http://schemas.microsoft.com/office/drawing/2014/chart" uri="{C3380CC4-5D6E-409C-BE32-E72D297353CC}">
                  <c16:uniqueId val="{0000003B-4AD3-4466-8AF5-EA8D6C9DA499}"/>
                </c:ext>
              </c:extLst>
            </c:dLbl>
            <c:dLbl>
              <c:idx val="30"/>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D-4AD3-4466-8AF5-EA8D6C9DA499}"/>
                </c:ext>
              </c:extLst>
            </c:dLbl>
            <c:dLbl>
              <c:idx val="31"/>
              <c:layout>
                <c:manualLayout>
                  <c:x val="3.0338767401896501E-2"/>
                  <c:y val="-7.2235438608419397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Helvetica" charset="0"/>
                      <a:ea typeface="Helvetica" charset="0"/>
                      <a:cs typeface="Helvetica" charset="0"/>
                    </a:defRPr>
                  </a:pPr>
                  <a:endParaRPr lang="en-US"/>
                </a:p>
              </c:txPr>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F-4AD3-4466-8AF5-EA8D6C9DA499}"/>
                </c:ext>
              </c:extLst>
            </c:dLbl>
            <c:dLbl>
              <c:idx val="32"/>
              <c:layout>
                <c:manualLayout>
                  <c:x val="-1.3032606596368901E-2"/>
                  <c:y val="-0.131770946726431"/>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1-4AD3-4466-8AF5-EA8D6C9DA499}"/>
                </c:ext>
              </c:extLst>
            </c:dLbl>
            <c:dLbl>
              <c:idx val="33"/>
              <c:layout>
                <c:manualLayout>
                  <c:x val="0.11299091901833438"/>
                  <c:y val="3.3059531186240873E-2"/>
                </c:manualLayout>
              </c:layout>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43-4AD3-4466-8AF5-EA8D6C9DA499}"/>
                </c:ext>
              </c:extLst>
            </c:dLbl>
            <c:dLbl>
              <c:idx val="35"/>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7-4AD3-4466-8AF5-EA8D6C9DA499}"/>
                </c:ext>
              </c:extLst>
            </c:dLbl>
            <c:dLbl>
              <c:idx val="36"/>
              <c:tx>
                <c:strRef>
                  <c:f>'Geographical breakdown'!$B$86:$C$86</c:f>
                  <c:strCache>
                    <c:ptCount val="1"/>
                    <c:pt idx="0">
                      <c:v>ELi-välised riigid 54,6%</c:v>
                    </c:pt>
                  </c:strCache>
                </c:strRef>
              </c:tx>
              <c:dLblPos val="bestFit"/>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dlblFieldTable>
                    <c15:dlblFTEntry>
                      <c15:txfldGUID>{C6A77181-AF7D-4125-831C-FC7B40D91BDB}</c15:txfldGUID>
                      <c15:f>'Geographical breakdown'!$B$86:$C$86</c15:f>
                      <c15:dlblFieldTableCache>
                        <c:ptCount val="2"/>
                        <c:pt idx="0">
                          <c:v>ELi-välised riigid</c:v>
                        </c:pt>
                        <c:pt idx="1">
                          <c:v>54,6%</c:v>
                        </c:pt>
                      </c15:dlblFieldTableCache>
                    </c15:dlblFTEntry>
                  </c15:dlblFieldTable>
                  <c15:showDataLabelsRange val="0"/>
                </c:ext>
                <c:ext xmlns:c16="http://schemas.microsoft.com/office/drawing/2014/chart" uri="{C3380CC4-5D6E-409C-BE32-E72D297353CC}">
                  <c16:uniqueId val="{00000049-4AD3-4466-8AF5-EA8D6C9DA499}"/>
                </c:ext>
              </c:extLst>
            </c:dLbl>
            <c:dLbl>
              <c:idx val="37"/>
              <c:tx>
                <c:rich>
                  <a:bodyPr/>
                  <a:lstStyle/>
                  <a:p>
                    <a:r>
                      <a:rPr lang="it-IT"/>
                      <a:t>Non EU
47%</a:t>
                    </a:r>
                  </a:p>
                </c:rich>
              </c:tx>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A-4AD3-4466-8AF5-EA8D6C9DA49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Helvetica" charset="0"/>
                    <a:ea typeface="Helvetica" charset="0"/>
                    <a:cs typeface="Helvetica" charset="0"/>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DataManagerRef="urn:DataManager" xmlns:c16r2="http://schemas.microsoft.com/office/drawing/2015/06/chart">
              <c:ext xmlns:c15="http://schemas.microsoft.com/office/drawing/2012/chart" uri="{CE6537A1-D6FC-4f65-9D91-7224C49458BB}"/>
            </c:extLst>
          </c:dLbls>
          <c:cat>
            <c:strRef>
              <c:f>'Geographical breakdown'!$B$4:$B$39</c:f>
              <c:strCache>
                <c:ptCount val="36"/>
                <c:pt idx="0">
                  <c:v>Austria</c:v>
                </c:pt>
                <c:pt idx="1">
                  <c:v>Belgia</c:v>
                </c:pt>
                <c:pt idx="2">
                  <c:v>Bulgaaria</c:v>
                </c:pt>
                <c:pt idx="3">
                  <c:v>Horvaatia</c:v>
                </c:pt>
                <c:pt idx="4">
                  <c:v>Küpros</c:v>
                </c:pt>
                <c:pt idx="5">
                  <c:v>Tšehhi</c:v>
                </c:pt>
                <c:pt idx="6">
                  <c:v>Taani</c:v>
                </c:pt>
                <c:pt idx="7">
                  <c:v>Eesti</c:v>
                </c:pt>
                <c:pt idx="8">
                  <c:v>Soome</c:v>
                </c:pt>
                <c:pt idx="9">
                  <c:v>Prantsusmaa</c:v>
                </c:pt>
                <c:pt idx="10">
                  <c:v>Saksamaa</c:v>
                </c:pt>
                <c:pt idx="11">
                  <c:v>Kreeka</c:v>
                </c:pt>
                <c:pt idx="12">
                  <c:v>Ungari</c:v>
                </c:pt>
                <c:pt idx="13">
                  <c:v>Iirimaa</c:v>
                </c:pt>
                <c:pt idx="14">
                  <c:v>Itaalia</c:v>
                </c:pt>
                <c:pt idx="15">
                  <c:v>Läti</c:v>
                </c:pt>
                <c:pt idx="16">
                  <c:v>Leedu</c:v>
                </c:pt>
                <c:pt idx="17">
                  <c:v>Luksemburg</c:v>
                </c:pt>
                <c:pt idx="18">
                  <c:v>Malta</c:v>
                </c:pt>
                <c:pt idx="19">
                  <c:v>Poola</c:v>
                </c:pt>
                <c:pt idx="20">
                  <c:v>Portugal</c:v>
                </c:pt>
                <c:pt idx="21">
                  <c:v>Rumeenia</c:v>
                </c:pt>
                <c:pt idx="22">
                  <c:v>Slovakkia</c:v>
                </c:pt>
                <c:pt idx="23">
                  <c:v>Sloveenia</c:v>
                </c:pt>
                <c:pt idx="24">
                  <c:v>Hispaania</c:v>
                </c:pt>
                <c:pt idx="25">
                  <c:v>Rootsi</c:v>
                </c:pt>
                <c:pt idx="26">
                  <c:v>Madalmaad</c:v>
                </c:pt>
                <c:pt idx="27">
                  <c:v>Ühendkuningriik</c:v>
                </c:pt>
                <c:pt idx="28">
                  <c:v>Balkanimaad ja Türgi</c:v>
                </c:pt>
                <c:pt idx="29">
                  <c:v>Kaukaasia</c:v>
                </c:pt>
                <c:pt idx="30">
                  <c:v>Euroopa Majanduspiirkond (EMP)</c:v>
                </c:pt>
                <c:pt idx="31">
                  <c:v>Ladina-Ameerika</c:v>
                </c:pt>
                <c:pt idx="32">
                  <c:v>Vahemere piirkond (Põhja-Aafrika ja Lähis-Ida)</c:v>
                </c:pt>
                <c:pt idx="33">
                  <c:v>Sahara-tagune piirkond ja Lõuna-Aafrika</c:v>
                </c:pt>
                <c:pt idx="34">
                  <c:v>Aasia</c:v>
                </c:pt>
                <c:pt idx="35">
                  <c:v>Muud</c:v>
                </c:pt>
              </c:strCache>
            </c:strRef>
          </c:cat>
          <c:val>
            <c:numRef>
              <c:f>'Geographical breakdown'!$C$49:$C$84</c:f>
              <c:numCache>
                <c:formatCode>#,##0.00\ "€"</c:formatCode>
                <c:ptCount val="36"/>
                <c:pt idx="0">
                  <c:v>1012804520</c:v>
                </c:pt>
                <c:pt idx="1">
                  <c:v>5228538667.9497461</c:v>
                </c:pt>
                <c:pt idx="2">
                  <c:v>51302740</c:v>
                </c:pt>
                <c:pt idx="3">
                  <c:v>390435177.5656606</c:v>
                </c:pt>
                <c:pt idx="4">
                  <c:v>2832720</c:v>
                </c:pt>
                <c:pt idx="5">
                  <c:v>907573000</c:v>
                </c:pt>
                <c:pt idx="6">
                  <c:v>325931240</c:v>
                </c:pt>
                <c:pt idx="7">
                  <c:v>0</c:v>
                </c:pt>
                <c:pt idx="8">
                  <c:v>537500000</c:v>
                </c:pt>
                <c:pt idx="9">
                  <c:v>4018290679.3749714</c:v>
                </c:pt>
                <c:pt idx="10">
                  <c:v>8069798253.9253407</c:v>
                </c:pt>
                <c:pt idx="11">
                  <c:v>2497360</c:v>
                </c:pt>
                <c:pt idx="12">
                  <c:v>482883240</c:v>
                </c:pt>
                <c:pt idx="13">
                  <c:v>219884816.07624495</c:v>
                </c:pt>
                <c:pt idx="14">
                  <c:v>5607424820</c:v>
                </c:pt>
                <c:pt idx="15">
                  <c:v>2714249.8115104297</c:v>
                </c:pt>
                <c:pt idx="16">
                  <c:v>25161200</c:v>
                </c:pt>
                <c:pt idx="17">
                  <c:v>102160000</c:v>
                </c:pt>
                <c:pt idx="18">
                  <c:v>0</c:v>
                </c:pt>
                <c:pt idx="19">
                  <c:v>1553980540.187489</c:v>
                </c:pt>
                <c:pt idx="20">
                  <c:v>362768160</c:v>
                </c:pt>
                <c:pt idx="21">
                  <c:v>741667980</c:v>
                </c:pt>
                <c:pt idx="22">
                  <c:v>1695927720</c:v>
                </c:pt>
                <c:pt idx="23">
                  <c:v>25555920</c:v>
                </c:pt>
                <c:pt idx="24">
                  <c:v>3574326929.228303</c:v>
                </c:pt>
                <c:pt idx="25">
                  <c:v>2803640</c:v>
                </c:pt>
                <c:pt idx="26">
                  <c:v>784617080</c:v>
                </c:pt>
                <c:pt idx="27">
                  <c:v>1183335700</c:v>
                </c:pt>
                <c:pt idx="28">
                  <c:v>7535318383.8807344</c:v>
                </c:pt>
                <c:pt idx="29">
                  <c:v>7459557139.3156528</c:v>
                </c:pt>
                <c:pt idx="30">
                  <c:v>4087999.9999999995</c:v>
                </c:pt>
                <c:pt idx="31">
                  <c:v>7559267778.2659502</c:v>
                </c:pt>
                <c:pt idx="32">
                  <c:v>17678985583.619259</c:v>
                </c:pt>
                <c:pt idx="33">
                  <c:v>53400140.564047538</c:v>
                </c:pt>
                <c:pt idx="34">
                  <c:v>4168789112.1850905</c:v>
                </c:pt>
                <c:pt idx="35">
                  <c:v>0</c:v>
                </c:pt>
              </c:numCache>
            </c:numRef>
          </c:val>
          <c:extLst xmlns:c16r2="http://schemas.microsoft.com/office/drawing/2015/06/chart">
            <c:ext xmlns:c16="http://schemas.microsoft.com/office/drawing/2014/chart" uri="{C3380CC4-5D6E-409C-BE32-E72D297353CC}">
              <c16:uniqueId val="{0000004B-4AD3-4466-8AF5-EA8D6C9DA499}"/>
            </c:ext>
          </c:extLst>
        </c:ser>
        <c:dLbls>
          <c:dLblPos val="ctr"/>
          <c:showLegendKey val="0"/>
          <c:showVal val="1"/>
          <c:showCatName val="0"/>
          <c:showSerName val="0"/>
          <c:showPercent val="0"/>
          <c:showBubbleSize val="0"/>
          <c:showLeaderLines val="1"/>
        </c:dLbls>
        <c:gapWidth val="55"/>
        <c:splitType val="pos"/>
        <c:splitPos val="8"/>
        <c:secondPieSize val="5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688728455543"/>
          <c:y val="0.20040254479059699"/>
          <c:w val="0.67944070551673397"/>
          <c:h val="0.58025289229594901"/>
        </c:manualLayout>
      </c:layout>
      <c:ofPieChart>
        <c:ofPieType val="pie"/>
        <c:varyColors val="1"/>
        <c:ser>
          <c:idx val="0"/>
          <c:order val="0"/>
          <c:tx>
            <c:strRef>
              <c:f>'Geographical breakdown'!$B$49:$B$84</c:f>
              <c:strCache>
                <c:ptCount val="1"/>
                <c:pt idx="0">
                  <c:v>Austria Belgia Bulgaaria Horvaatia Küpros Tšehhi Taani Eesti Soome Prantsusmaa Saksamaa Kreeka Ungari Iirimaa Itaalia Läti Leedu Luksemburg Malta Poola Portugal Rumeenia Slovakkia Sloveenia Hispaania Rootsi Madalmaad Ühendkuningriik Balkanimaad ja Türgi K</c:v>
                </c:pt>
              </c:strCache>
            </c:strRef>
          </c:tx>
          <c:spPr>
            <a:ln>
              <a:noFill/>
            </a:ln>
          </c:spPr>
          <c:explosion val="12"/>
          <c:dPt>
            <c:idx val="0"/>
            <c:bubble3D val="0"/>
            <c:spPr>
              <a:solidFill>
                <a:schemeClr val="accent6"/>
              </a:solidFill>
              <a:ln w="19050">
                <a:noFill/>
              </a:ln>
              <a:effectLst/>
            </c:spPr>
            <c:extLst xmlns:c16r2="http://schemas.microsoft.com/office/drawing/2015/06/chart">
              <c:ext xmlns:c16="http://schemas.microsoft.com/office/drawing/2014/chart" uri="{C3380CC4-5D6E-409C-BE32-E72D297353CC}">
                <c16:uniqueId val="{00000001-5439-48AD-B770-E4ABF0D224A4}"/>
              </c:ext>
            </c:extLst>
          </c:dPt>
          <c:dPt>
            <c:idx val="1"/>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03-5439-48AD-B770-E4ABF0D224A4}"/>
              </c:ext>
            </c:extLst>
          </c:dPt>
          <c:dPt>
            <c:idx val="2"/>
            <c:bubble3D val="0"/>
            <c:spPr>
              <a:solidFill>
                <a:schemeClr val="accent4"/>
              </a:solidFill>
              <a:ln w="19050">
                <a:noFill/>
              </a:ln>
              <a:effectLst/>
            </c:spPr>
            <c:extLst xmlns:c16r2="http://schemas.microsoft.com/office/drawing/2015/06/chart">
              <c:ext xmlns:c16="http://schemas.microsoft.com/office/drawing/2014/chart" uri="{C3380CC4-5D6E-409C-BE32-E72D297353CC}">
                <c16:uniqueId val="{00000005-5439-48AD-B770-E4ABF0D224A4}"/>
              </c:ext>
            </c:extLst>
          </c:dPt>
          <c:dPt>
            <c:idx val="3"/>
            <c:bubble3D val="0"/>
            <c:spPr>
              <a:solidFill>
                <a:schemeClr val="accent6">
                  <a:lumMod val="60000"/>
                </a:schemeClr>
              </a:solidFill>
              <a:ln w="19050">
                <a:noFill/>
              </a:ln>
              <a:effectLst/>
            </c:spPr>
            <c:extLst xmlns:c16r2="http://schemas.microsoft.com/office/drawing/2015/06/chart">
              <c:ext xmlns:c16="http://schemas.microsoft.com/office/drawing/2014/chart" uri="{C3380CC4-5D6E-409C-BE32-E72D297353CC}">
                <c16:uniqueId val="{00000007-5439-48AD-B770-E4ABF0D224A4}"/>
              </c:ext>
            </c:extLst>
          </c:dPt>
          <c:dPt>
            <c:idx val="4"/>
            <c:bubble3D val="0"/>
            <c:spPr>
              <a:solidFill>
                <a:schemeClr val="accent5">
                  <a:lumMod val="60000"/>
                </a:schemeClr>
              </a:solidFill>
              <a:ln w="19050">
                <a:noFill/>
              </a:ln>
              <a:effectLst/>
            </c:spPr>
            <c:extLst xmlns:c16r2="http://schemas.microsoft.com/office/drawing/2015/06/chart">
              <c:ext xmlns:c16="http://schemas.microsoft.com/office/drawing/2014/chart" uri="{C3380CC4-5D6E-409C-BE32-E72D297353CC}">
                <c16:uniqueId val="{00000009-5439-48AD-B770-E4ABF0D224A4}"/>
              </c:ext>
            </c:extLst>
          </c:dPt>
          <c:dPt>
            <c:idx val="5"/>
            <c:bubble3D val="0"/>
            <c:spPr>
              <a:solidFill>
                <a:schemeClr val="accent4">
                  <a:lumMod val="60000"/>
                </a:schemeClr>
              </a:solidFill>
              <a:ln w="19050">
                <a:noFill/>
              </a:ln>
              <a:effectLst/>
            </c:spPr>
            <c:extLst xmlns:c16r2="http://schemas.microsoft.com/office/drawing/2015/06/chart">
              <c:ext xmlns:c16="http://schemas.microsoft.com/office/drawing/2014/chart" uri="{C3380CC4-5D6E-409C-BE32-E72D297353CC}">
                <c16:uniqueId val="{0000000B-5439-48AD-B770-E4ABF0D224A4}"/>
              </c:ext>
            </c:extLst>
          </c:dPt>
          <c:dPt>
            <c:idx val="6"/>
            <c:bubble3D val="0"/>
            <c:spPr>
              <a:solidFill>
                <a:schemeClr val="accent6">
                  <a:lumMod val="80000"/>
                  <a:lumOff val="20000"/>
                </a:schemeClr>
              </a:solidFill>
              <a:ln w="19050">
                <a:noFill/>
              </a:ln>
              <a:effectLst/>
            </c:spPr>
            <c:extLst xmlns:c16r2="http://schemas.microsoft.com/office/drawing/2015/06/chart">
              <c:ext xmlns:c16="http://schemas.microsoft.com/office/drawing/2014/chart" uri="{C3380CC4-5D6E-409C-BE32-E72D297353CC}">
                <c16:uniqueId val="{0000000D-5439-48AD-B770-E4ABF0D224A4}"/>
              </c:ext>
            </c:extLst>
          </c:dPt>
          <c:dPt>
            <c:idx val="7"/>
            <c:bubble3D val="0"/>
            <c:spPr>
              <a:solidFill>
                <a:schemeClr val="accent5">
                  <a:lumMod val="80000"/>
                  <a:lumOff val="20000"/>
                </a:schemeClr>
              </a:solidFill>
              <a:ln w="19050">
                <a:noFill/>
              </a:ln>
              <a:effectLst/>
            </c:spPr>
            <c:extLst xmlns:c16r2="http://schemas.microsoft.com/office/drawing/2015/06/chart">
              <c:ext xmlns:c16="http://schemas.microsoft.com/office/drawing/2014/chart" uri="{C3380CC4-5D6E-409C-BE32-E72D297353CC}">
                <c16:uniqueId val="{0000000F-5439-48AD-B770-E4ABF0D224A4}"/>
              </c:ext>
            </c:extLst>
          </c:dPt>
          <c:dPt>
            <c:idx val="8"/>
            <c:bubble3D val="0"/>
            <c:spPr>
              <a:solidFill>
                <a:schemeClr val="accent4">
                  <a:lumMod val="80000"/>
                  <a:lumOff val="20000"/>
                </a:schemeClr>
              </a:solidFill>
              <a:ln w="19050">
                <a:noFill/>
              </a:ln>
              <a:effectLst/>
            </c:spPr>
            <c:extLst xmlns:c16r2="http://schemas.microsoft.com/office/drawing/2015/06/chart">
              <c:ext xmlns:c16="http://schemas.microsoft.com/office/drawing/2014/chart" uri="{C3380CC4-5D6E-409C-BE32-E72D297353CC}">
                <c16:uniqueId val="{00000011-5439-48AD-B770-E4ABF0D224A4}"/>
              </c:ext>
            </c:extLst>
          </c:dPt>
          <c:dPt>
            <c:idx val="9"/>
            <c:bubble3D val="0"/>
            <c:spPr>
              <a:solidFill>
                <a:schemeClr val="accent6">
                  <a:lumMod val="80000"/>
                </a:schemeClr>
              </a:solidFill>
              <a:ln w="19050">
                <a:noFill/>
              </a:ln>
              <a:effectLst/>
            </c:spPr>
            <c:extLst xmlns:c16r2="http://schemas.microsoft.com/office/drawing/2015/06/chart">
              <c:ext xmlns:c16="http://schemas.microsoft.com/office/drawing/2014/chart" uri="{C3380CC4-5D6E-409C-BE32-E72D297353CC}">
                <c16:uniqueId val="{00000013-5439-48AD-B770-E4ABF0D224A4}"/>
              </c:ext>
            </c:extLst>
          </c:dPt>
          <c:dPt>
            <c:idx val="10"/>
            <c:bubble3D val="0"/>
            <c:spPr>
              <a:solidFill>
                <a:schemeClr val="accent5">
                  <a:lumMod val="80000"/>
                </a:schemeClr>
              </a:solidFill>
              <a:ln w="19050">
                <a:noFill/>
              </a:ln>
              <a:effectLst/>
            </c:spPr>
            <c:extLst xmlns:c16r2="http://schemas.microsoft.com/office/drawing/2015/06/chart">
              <c:ext xmlns:c16="http://schemas.microsoft.com/office/drawing/2014/chart" uri="{C3380CC4-5D6E-409C-BE32-E72D297353CC}">
                <c16:uniqueId val="{00000015-5439-48AD-B770-E4ABF0D224A4}"/>
              </c:ext>
            </c:extLst>
          </c:dPt>
          <c:dPt>
            <c:idx val="11"/>
            <c:bubble3D val="0"/>
            <c:spPr>
              <a:solidFill>
                <a:schemeClr val="accent4">
                  <a:lumMod val="80000"/>
                </a:schemeClr>
              </a:solidFill>
              <a:ln w="19050">
                <a:noFill/>
              </a:ln>
              <a:effectLst/>
            </c:spPr>
            <c:extLst xmlns:c16r2="http://schemas.microsoft.com/office/drawing/2015/06/chart">
              <c:ext xmlns:c16="http://schemas.microsoft.com/office/drawing/2014/chart" uri="{C3380CC4-5D6E-409C-BE32-E72D297353CC}">
                <c16:uniqueId val="{00000017-5439-48AD-B770-E4ABF0D224A4}"/>
              </c:ext>
            </c:extLst>
          </c:dPt>
          <c:dPt>
            <c:idx val="12"/>
            <c:bubble3D val="0"/>
            <c:spPr>
              <a:solidFill>
                <a:schemeClr val="accent6">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9-5439-48AD-B770-E4ABF0D224A4}"/>
              </c:ext>
            </c:extLst>
          </c:dPt>
          <c:dPt>
            <c:idx val="13"/>
            <c:bubble3D val="0"/>
            <c:spPr>
              <a:solidFill>
                <a:schemeClr val="accent5">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B-5439-48AD-B770-E4ABF0D224A4}"/>
              </c:ext>
            </c:extLst>
          </c:dPt>
          <c:dPt>
            <c:idx val="14"/>
            <c:bubble3D val="0"/>
            <c:spPr>
              <a:solidFill>
                <a:schemeClr val="accent4">
                  <a:lumMod val="60000"/>
                  <a:lumOff val="40000"/>
                </a:schemeClr>
              </a:solidFill>
              <a:ln w="19050">
                <a:noFill/>
              </a:ln>
              <a:effectLst/>
            </c:spPr>
            <c:extLst xmlns:c16r2="http://schemas.microsoft.com/office/drawing/2015/06/chart">
              <c:ext xmlns:c16="http://schemas.microsoft.com/office/drawing/2014/chart" uri="{C3380CC4-5D6E-409C-BE32-E72D297353CC}">
                <c16:uniqueId val="{0000001D-5439-48AD-B770-E4ABF0D224A4}"/>
              </c:ext>
            </c:extLst>
          </c:dPt>
          <c:dPt>
            <c:idx val="15"/>
            <c:bubble3D val="0"/>
            <c:spPr>
              <a:solidFill>
                <a:schemeClr val="accent6">
                  <a:lumMod val="50000"/>
                </a:schemeClr>
              </a:solidFill>
              <a:ln w="19050">
                <a:noFill/>
              </a:ln>
              <a:effectLst/>
            </c:spPr>
            <c:extLst xmlns:c16r2="http://schemas.microsoft.com/office/drawing/2015/06/chart">
              <c:ext xmlns:c16="http://schemas.microsoft.com/office/drawing/2014/chart" uri="{C3380CC4-5D6E-409C-BE32-E72D297353CC}">
                <c16:uniqueId val="{0000001F-5439-48AD-B770-E4ABF0D224A4}"/>
              </c:ext>
            </c:extLst>
          </c:dPt>
          <c:dPt>
            <c:idx val="16"/>
            <c:bubble3D val="0"/>
            <c:spPr>
              <a:solidFill>
                <a:schemeClr val="accent5">
                  <a:lumMod val="50000"/>
                </a:schemeClr>
              </a:solidFill>
              <a:ln w="19050">
                <a:noFill/>
              </a:ln>
              <a:effectLst/>
            </c:spPr>
            <c:extLst xmlns:c16r2="http://schemas.microsoft.com/office/drawing/2015/06/chart">
              <c:ext xmlns:c16="http://schemas.microsoft.com/office/drawing/2014/chart" uri="{C3380CC4-5D6E-409C-BE32-E72D297353CC}">
                <c16:uniqueId val="{00000021-5439-48AD-B770-E4ABF0D224A4}"/>
              </c:ext>
            </c:extLst>
          </c:dPt>
          <c:dPt>
            <c:idx val="17"/>
            <c:bubble3D val="0"/>
            <c:spPr>
              <a:solidFill>
                <a:schemeClr val="accent4">
                  <a:lumMod val="50000"/>
                </a:schemeClr>
              </a:solidFill>
              <a:ln w="19050">
                <a:noFill/>
              </a:ln>
              <a:effectLst/>
            </c:spPr>
            <c:extLst xmlns:c16r2="http://schemas.microsoft.com/office/drawing/2015/06/chart">
              <c:ext xmlns:c16="http://schemas.microsoft.com/office/drawing/2014/chart" uri="{C3380CC4-5D6E-409C-BE32-E72D297353CC}">
                <c16:uniqueId val="{00000023-5439-48AD-B770-E4ABF0D224A4}"/>
              </c:ext>
            </c:extLst>
          </c:dPt>
          <c:dPt>
            <c:idx val="18"/>
            <c:bubble3D val="0"/>
            <c:spPr>
              <a:solidFill>
                <a:schemeClr val="accent6">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5-5439-48AD-B770-E4ABF0D224A4}"/>
              </c:ext>
            </c:extLst>
          </c:dPt>
          <c:dPt>
            <c:idx val="19"/>
            <c:bubble3D val="0"/>
            <c:spPr>
              <a:solidFill>
                <a:schemeClr val="accent5">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7-5439-48AD-B770-E4ABF0D224A4}"/>
              </c:ext>
            </c:extLst>
          </c:dPt>
          <c:dPt>
            <c:idx val="20"/>
            <c:bubble3D val="0"/>
            <c:spPr>
              <a:solidFill>
                <a:schemeClr val="accent4">
                  <a:lumMod val="70000"/>
                  <a:lumOff val="30000"/>
                </a:schemeClr>
              </a:solidFill>
              <a:ln w="19050">
                <a:noFill/>
              </a:ln>
              <a:effectLst/>
            </c:spPr>
            <c:extLst xmlns:c16r2="http://schemas.microsoft.com/office/drawing/2015/06/chart">
              <c:ext xmlns:c16="http://schemas.microsoft.com/office/drawing/2014/chart" uri="{C3380CC4-5D6E-409C-BE32-E72D297353CC}">
                <c16:uniqueId val="{00000029-5439-48AD-B770-E4ABF0D224A4}"/>
              </c:ext>
            </c:extLst>
          </c:dPt>
          <c:dPt>
            <c:idx val="21"/>
            <c:bubble3D val="0"/>
            <c:spPr>
              <a:solidFill>
                <a:schemeClr val="accent6">
                  <a:lumMod val="70000"/>
                </a:schemeClr>
              </a:solidFill>
              <a:ln w="19050">
                <a:noFill/>
              </a:ln>
              <a:effectLst/>
            </c:spPr>
            <c:extLst xmlns:c16r2="http://schemas.microsoft.com/office/drawing/2015/06/chart">
              <c:ext xmlns:c16="http://schemas.microsoft.com/office/drawing/2014/chart" uri="{C3380CC4-5D6E-409C-BE32-E72D297353CC}">
                <c16:uniqueId val="{0000002B-5439-48AD-B770-E4ABF0D224A4}"/>
              </c:ext>
            </c:extLst>
          </c:dPt>
          <c:dPt>
            <c:idx val="22"/>
            <c:bubble3D val="0"/>
            <c:spPr>
              <a:solidFill>
                <a:schemeClr val="accent5">
                  <a:lumMod val="70000"/>
                </a:schemeClr>
              </a:solidFill>
              <a:ln w="19050">
                <a:noFill/>
              </a:ln>
              <a:effectLst/>
            </c:spPr>
            <c:extLst xmlns:c16r2="http://schemas.microsoft.com/office/drawing/2015/06/chart">
              <c:ext xmlns:c16="http://schemas.microsoft.com/office/drawing/2014/chart" uri="{C3380CC4-5D6E-409C-BE32-E72D297353CC}">
                <c16:uniqueId val="{0000002D-5439-48AD-B770-E4ABF0D224A4}"/>
              </c:ext>
            </c:extLst>
          </c:dPt>
          <c:dPt>
            <c:idx val="23"/>
            <c:bubble3D val="0"/>
            <c:spPr>
              <a:solidFill>
                <a:schemeClr val="accent4">
                  <a:lumMod val="70000"/>
                </a:schemeClr>
              </a:solidFill>
              <a:ln w="19050">
                <a:noFill/>
              </a:ln>
              <a:effectLst/>
            </c:spPr>
            <c:extLst xmlns:c16r2="http://schemas.microsoft.com/office/drawing/2015/06/chart">
              <c:ext xmlns:c16="http://schemas.microsoft.com/office/drawing/2014/chart" uri="{C3380CC4-5D6E-409C-BE32-E72D297353CC}">
                <c16:uniqueId val="{0000002F-5439-48AD-B770-E4ABF0D224A4}"/>
              </c:ext>
            </c:extLst>
          </c:dPt>
          <c:dPt>
            <c:idx val="24"/>
            <c:bubble3D val="0"/>
            <c:spPr>
              <a:solidFill>
                <a:schemeClr val="accent6">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1-5439-48AD-B770-E4ABF0D224A4}"/>
              </c:ext>
            </c:extLst>
          </c:dPt>
          <c:dPt>
            <c:idx val="25"/>
            <c:bubble3D val="0"/>
            <c:spPr>
              <a:solidFill>
                <a:schemeClr val="accent5">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3-5439-48AD-B770-E4ABF0D224A4}"/>
              </c:ext>
            </c:extLst>
          </c:dPt>
          <c:dPt>
            <c:idx val="26"/>
            <c:bubble3D val="0"/>
            <c:spPr>
              <a:solidFill>
                <a:schemeClr val="accent4">
                  <a:lumMod val="50000"/>
                  <a:lumOff val="50000"/>
                </a:schemeClr>
              </a:solidFill>
              <a:ln w="19050">
                <a:noFill/>
              </a:ln>
              <a:effectLst/>
            </c:spPr>
            <c:extLst xmlns:c16r2="http://schemas.microsoft.com/office/drawing/2015/06/chart">
              <c:ext xmlns:c16="http://schemas.microsoft.com/office/drawing/2014/chart" uri="{C3380CC4-5D6E-409C-BE32-E72D297353CC}">
                <c16:uniqueId val="{00000035-5439-48AD-B770-E4ABF0D224A4}"/>
              </c:ext>
            </c:extLst>
          </c:dPt>
          <c:dPt>
            <c:idx val="27"/>
            <c:bubble3D val="0"/>
            <c:spPr>
              <a:solidFill>
                <a:schemeClr val="accent6"/>
              </a:solidFill>
              <a:ln w="19050">
                <a:noFill/>
              </a:ln>
              <a:effectLst/>
            </c:spPr>
            <c:extLst xmlns:c16r2="http://schemas.microsoft.com/office/drawing/2015/06/chart">
              <c:ext xmlns:c16="http://schemas.microsoft.com/office/drawing/2014/chart" uri="{C3380CC4-5D6E-409C-BE32-E72D297353CC}">
                <c16:uniqueId val="{00000037-5439-48AD-B770-E4ABF0D224A4}"/>
              </c:ext>
            </c:extLst>
          </c:dPt>
          <c:dPt>
            <c:idx val="28"/>
            <c:bubble3D val="0"/>
            <c:spPr>
              <a:solidFill>
                <a:schemeClr val="accent5"/>
              </a:solidFill>
              <a:ln w="19050">
                <a:noFill/>
              </a:ln>
              <a:effectLst/>
            </c:spPr>
            <c:extLst xmlns:c16r2="http://schemas.microsoft.com/office/drawing/2015/06/chart">
              <c:ext xmlns:c16="http://schemas.microsoft.com/office/drawing/2014/chart" uri="{C3380CC4-5D6E-409C-BE32-E72D297353CC}">
                <c16:uniqueId val="{00000039-5439-48AD-B770-E4ABF0D224A4}"/>
              </c:ext>
            </c:extLst>
          </c:dPt>
          <c:dPt>
            <c:idx val="29"/>
            <c:bubble3D val="0"/>
            <c:spPr>
              <a:solidFill>
                <a:schemeClr val="accent4"/>
              </a:solidFill>
              <a:ln w="19050">
                <a:noFill/>
              </a:ln>
              <a:effectLst/>
            </c:spPr>
            <c:extLst xmlns:c16r2="http://schemas.microsoft.com/office/drawing/2015/06/chart">
              <c:ext xmlns:c16="http://schemas.microsoft.com/office/drawing/2014/chart" uri="{C3380CC4-5D6E-409C-BE32-E72D297353CC}">
                <c16:uniqueId val="{0000003B-5439-48AD-B770-E4ABF0D224A4}"/>
              </c:ext>
            </c:extLst>
          </c:dPt>
          <c:dPt>
            <c:idx val="30"/>
            <c:bubble3D val="0"/>
            <c:spPr>
              <a:solidFill>
                <a:schemeClr val="accent6">
                  <a:lumMod val="60000"/>
                </a:schemeClr>
              </a:solidFill>
              <a:ln w="19050">
                <a:noFill/>
              </a:ln>
              <a:effectLst/>
            </c:spPr>
            <c:extLst xmlns:c16r2="http://schemas.microsoft.com/office/drawing/2015/06/chart">
              <c:ext xmlns:c16="http://schemas.microsoft.com/office/drawing/2014/chart" uri="{C3380CC4-5D6E-409C-BE32-E72D297353CC}">
                <c16:uniqueId val="{0000003D-5439-48AD-B770-E4ABF0D224A4}"/>
              </c:ext>
            </c:extLst>
          </c:dPt>
          <c:dPt>
            <c:idx val="31"/>
            <c:bubble3D val="0"/>
            <c:spPr>
              <a:solidFill>
                <a:schemeClr val="accent5">
                  <a:lumMod val="60000"/>
                </a:schemeClr>
              </a:solidFill>
              <a:ln w="19050">
                <a:noFill/>
              </a:ln>
              <a:effectLst/>
            </c:spPr>
            <c:extLst xmlns:c16r2="http://schemas.microsoft.com/office/drawing/2015/06/chart">
              <c:ext xmlns:c16="http://schemas.microsoft.com/office/drawing/2014/chart" uri="{C3380CC4-5D6E-409C-BE32-E72D297353CC}">
                <c16:uniqueId val="{0000003F-5439-48AD-B770-E4ABF0D224A4}"/>
              </c:ext>
            </c:extLst>
          </c:dPt>
          <c:dPt>
            <c:idx val="32"/>
            <c:bubble3D val="0"/>
            <c:spPr>
              <a:solidFill>
                <a:schemeClr val="accent4">
                  <a:lumMod val="60000"/>
                </a:schemeClr>
              </a:solidFill>
              <a:ln w="19050">
                <a:noFill/>
              </a:ln>
              <a:effectLst/>
            </c:spPr>
            <c:extLst xmlns:c16r2="http://schemas.microsoft.com/office/drawing/2015/06/chart">
              <c:ext xmlns:c16="http://schemas.microsoft.com/office/drawing/2014/chart" uri="{C3380CC4-5D6E-409C-BE32-E72D297353CC}">
                <c16:uniqueId val="{00000041-5439-48AD-B770-E4ABF0D224A4}"/>
              </c:ext>
            </c:extLst>
          </c:dPt>
          <c:dPt>
            <c:idx val="33"/>
            <c:bubble3D val="0"/>
            <c:spPr>
              <a:solidFill>
                <a:schemeClr val="accent6">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3-5439-48AD-B770-E4ABF0D224A4}"/>
              </c:ext>
            </c:extLst>
          </c:dPt>
          <c:dPt>
            <c:idx val="34"/>
            <c:bubble3D val="0"/>
            <c:spPr>
              <a:solidFill>
                <a:schemeClr val="accent5">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5-5439-48AD-B770-E4ABF0D224A4}"/>
              </c:ext>
            </c:extLst>
          </c:dPt>
          <c:dPt>
            <c:idx val="35"/>
            <c:bubble3D val="0"/>
            <c:spPr>
              <a:solidFill>
                <a:schemeClr val="accent4">
                  <a:lumMod val="80000"/>
                  <a:lumOff val="20000"/>
                </a:schemeClr>
              </a:solidFill>
              <a:ln w="19050">
                <a:noFill/>
              </a:ln>
              <a:effectLst/>
            </c:spPr>
            <c:extLst xmlns:c16r2="http://schemas.microsoft.com/office/drawing/2015/06/chart">
              <c:ext xmlns:c16="http://schemas.microsoft.com/office/drawing/2014/chart" uri="{C3380CC4-5D6E-409C-BE32-E72D297353CC}">
                <c16:uniqueId val="{00000047-5439-48AD-B770-E4ABF0D224A4}"/>
              </c:ext>
            </c:extLst>
          </c:dPt>
          <c:dPt>
            <c:idx val="36"/>
            <c:bubble3D val="0"/>
            <c:spPr>
              <a:solidFill>
                <a:schemeClr val="accent6">
                  <a:lumMod val="80000"/>
                </a:schemeClr>
              </a:solidFill>
              <a:ln w="19050">
                <a:noFill/>
              </a:ln>
              <a:effectLst/>
            </c:spPr>
            <c:extLst xmlns:c16r2="http://schemas.microsoft.com/office/drawing/2015/06/chart">
              <c:ext xmlns:c16="http://schemas.microsoft.com/office/drawing/2014/chart" uri="{C3380CC4-5D6E-409C-BE32-E72D297353CC}">
                <c16:uniqueId val="{00000049-5439-48AD-B770-E4ABF0D224A4}"/>
              </c:ext>
            </c:extLst>
          </c:dPt>
          <c:dPt>
            <c:idx val="37"/>
            <c:bubble3D val="0"/>
            <c:spPr>
              <a:solidFill>
                <a:schemeClr val="accent5">
                  <a:lumMod val="80000"/>
                </a:schemeClr>
              </a:solidFill>
              <a:ln w="19050">
                <a:noFill/>
              </a:ln>
              <a:effectLst/>
            </c:spPr>
            <c:extLst xmlns:c16r2="http://schemas.microsoft.com/office/drawing/2015/06/chart">
              <c:ext xmlns:c16="http://schemas.microsoft.com/office/drawing/2014/chart" uri="{C3380CC4-5D6E-409C-BE32-E72D297353CC}">
                <c16:uniqueId val="{0000004B-5439-48AD-B770-E4ABF0D224A4}"/>
              </c:ext>
            </c:extLst>
          </c:dPt>
          <c:dLbls>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439-48AD-B770-E4ABF0D224A4}"/>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439-48AD-B770-E4ABF0D224A4}"/>
                </c:ext>
              </c:extLst>
            </c:dLbl>
            <c:dLbl>
              <c:idx val="29"/>
              <c:layout>
                <c:manualLayout>
                  <c:x val="0.161940939279203"/>
                  <c:y val="6.6237485414052402E-2"/>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B-5439-48AD-B770-E4ABF0D224A4}"/>
                </c:ext>
              </c:extLst>
            </c:dLbl>
            <c:dLbl>
              <c:idx val="30"/>
              <c:layout>
                <c:manualLayout>
                  <c:x val="0.20337695159837901"/>
                  <c:y val="0.19746163360817801"/>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D-5439-48AD-B770-E4ABF0D224A4}"/>
                </c:ext>
              </c:extLst>
            </c:dLbl>
            <c:dLbl>
              <c:idx val="31"/>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3F-5439-48AD-B770-E4ABF0D224A4}"/>
                </c:ext>
              </c:extLst>
            </c:dLbl>
            <c:dLbl>
              <c:idx val="32"/>
              <c:layout>
                <c:manualLayout>
                  <c:x val="0.195091197635747"/>
                  <c:y val="-0.114505562187837"/>
                </c:manualLayout>
              </c:layout>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1-5439-48AD-B770-E4ABF0D224A4}"/>
                </c:ext>
              </c:extLst>
            </c:dLbl>
            <c:dLbl>
              <c:idx val="33"/>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3-5439-48AD-B770-E4ABF0D224A4}"/>
                </c:ext>
              </c:extLst>
            </c:dLbl>
            <c:dLbl>
              <c:idx val="34"/>
              <c:delete val="1"/>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5-5439-48AD-B770-E4ABF0D224A4}"/>
                </c:ext>
              </c:extLst>
            </c:dLbl>
            <c:dLbl>
              <c:idx val="36"/>
              <c:layout>
                <c:manualLayout>
                  <c:x val="-7.9194405405925705E-2"/>
                  <c:y val="5.5283878988810599E-3"/>
                </c:manualLayout>
              </c:layout>
              <c:tx>
                <c:strRef>
                  <c:f>'Geographical breakdown'!$B$87:$C$87</c:f>
                  <c:strCache>
                    <c:ptCount val="1"/>
                    <c:pt idx="0">
                      <c:v>ELi-välised riigid 1,7%</c:v>
                    </c:pt>
                  </c:strCache>
                </c:strRef>
              </c:tx>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15:dlblFieldTable>
                    <c15:dlblFTEntry>
                      <c15:txfldGUID>{8C3CCDA0-63F5-4A48-BFF4-2617BC290751}</c15:txfldGUID>
                      <c15:f>'Geographical breakdown'!$B$87:$C$87</c15:f>
                      <c15:dlblFieldTableCache>
                        <c:ptCount val="2"/>
                        <c:pt idx="0">
                          <c:v>ELi-välised riigid</c:v>
                        </c:pt>
                        <c:pt idx="1">
                          <c:v>1,7%</c:v>
                        </c:pt>
                      </c15:dlblFieldTableCache>
                    </c15:dlblFTEntry>
                  </c15:dlblFieldTable>
                  <c15:showDataLabelsRange val="0"/>
                </c:ext>
                <c:ext xmlns:c16="http://schemas.microsoft.com/office/drawing/2014/chart" uri="{C3380CC4-5D6E-409C-BE32-E72D297353CC}">
                  <c16:uniqueId val="{00000049-5439-48AD-B770-E4ABF0D224A4}"/>
                </c:ext>
              </c:extLst>
            </c:dLbl>
            <c:dLbl>
              <c:idx val="37"/>
              <c:tx>
                <c:rich>
                  <a:bodyPr/>
                  <a:lstStyle/>
                  <a:p>
                    <a:r>
                      <a:rPr lang="it-IT"/>
                      <a:t>Non EU
47%</a:t>
                    </a:r>
                  </a:p>
                </c:rich>
              </c:tx>
              <c:dLblPos val="bestFit"/>
              <c:showLegendKey val="0"/>
              <c:showVal val="0"/>
              <c:showCatName val="1"/>
              <c:showSerName val="0"/>
              <c:showPercent val="1"/>
              <c:showBubbleSize val="0"/>
              <c:separator> </c:separator>
              <c:extLst xmlns:DataManagerRef="urn:DataManager" xmlns:c16r2="http://schemas.microsoft.com/office/drawing/2015/06/chart">
                <c:ext xmlns:c15="http://schemas.microsoft.com/office/drawing/2012/chart" uri="{CE6537A1-D6FC-4f65-9D91-7224C49458BB}"/>
                <c:ext xmlns:c16="http://schemas.microsoft.com/office/drawing/2014/chart" uri="{C3380CC4-5D6E-409C-BE32-E72D297353CC}">
                  <c16:uniqueId val="{0000004B-5439-48AD-B770-E4ABF0D224A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85000"/>
                        <a:lumOff val="15000"/>
                      </a:schemeClr>
                    </a:solidFill>
                    <a:latin typeface="Helvetica" charset="0"/>
                    <a:ea typeface="Helvetica" charset="0"/>
                    <a:cs typeface="Helvetica" charset="0"/>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DataManagerRef="urn:DataManager" xmlns:c16r2="http://schemas.microsoft.com/office/drawing/2015/06/chart">
              <c:ext xmlns:c15="http://schemas.microsoft.com/office/drawing/2012/chart" uri="{CE6537A1-D6FC-4f65-9D91-7224C49458BB}"/>
            </c:extLst>
          </c:dLbls>
          <c:cat>
            <c:strRef>
              <c:f>'Geographical breakdown'!$B$4:$B$39</c:f>
              <c:strCache>
                <c:ptCount val="36"/>
                <c:pt idx="0">
                  <c:v>Austria</c:v>
                </c:pt>
                <c:pt idx="1">
                  <c:v>Belgia</c:v>
                </c:pt>
                <c:pt idx="2">
                  <c:v>Bulgaaria</c:v>
                </c:pt>
                <c:pt idx="3">
                  <c:v>Horvaatia</c:v>
                </c:pt>
                <c:pt idx="4">
                  <c:v>Küpros</c:v>
                </c:pt>
                <c:pt idx="5">
                  <c:v>Tšehhi</c:v>
                </c:pt>
                <c:pt idx="6">
                  <c:v>Taani</c:v>
                </c:pt>
                <c:pt idx="7">
                  <c:v>Eesti</c:v>
                </c:pt>
                <c:pt idx="8">
                  <c:v>Soome</c:v>
                </c:pt>
                <c:pt idx="9">
                  <c:v>Prantsusmaa</c:v>
                </c:pt>
                <c:pt idx="10">
                  <c:v>Saksamaa</c:v>
                </c:pt>
                <c:pt idx="11">
                  <c:v>Kreeka</c:v>
                </c:pt>
                <c:pt idx="12">
                  <c:v>Ungari</c:v>
                </c:pt>
                <c:pt idx="13">
                  <c:v>Iirimaa</c:v>
                </c:pt>
                <c:pt idx="14">
                  <c:v>Itaalia</c:v>
                </c:pt>
                <c:pt idx="15">
                  <c:v>Läti</c:v>
                </c:pt>
                <c:pt idx="16">
                  <c:v>Leedu</c:v>
                </c:pt>
                <c:pt idx="17">
                  <c:v>Luksemburg</c:v>
                </c:pt>
                <c:pt idx="18">
                  <c:v>Malta</c:v>
                </c:pt>
                <c:pt idx="19">
                  <c:v>Poola</c:v>
                </c:pt>
                <c:pt idx="20">
                  <c:v>Portugal</c:v>
                </c:pt>
                <c:pt idx="21">
                  <c:v>Rumeenia</c:v>
                </c:pt>
                <c:pt idx="22">
                  <c:v>Slovakkia</c:v>
                </c:pt>
                <c:pt idx="23">
                  <c:v>Sloveenia</c:v>
                </c:pt>
                <c:pt idx="24">
                  <c:v>Hispaania</c:v>
                </c:pt>
                <c:pt idx="25">
                  <c:v>Rootsi</c:v>
                </c:pt>
                <c:pt idx="26">
                  <c:v>Madalmaad</c:v>
                </c:pt>
                <c:pt idx="27">
                  <c:v>Ühendkuningriik</c:v>
                </c:pt>
                <c:pt idx="28">
                  <c:v>Balkanimaad ja Türgi</c:v>
                </c:pt>
                <c:pt idx="29">
                  <c:v>Kaukaasia</c:v>
                </c:pt>
                <c:pt idx="30">
                  <c:v>Euroopa Majanduspiirkond (EMP)</c:v>
                </c:pt>
                <c:pt idx="31">
                  <c:v>Ladina-Ameerika</c:v>
                </c:pt>
                <c:pt idx="32">
                  <c:v>Vahemere piirkond (Põhja-Aafrika ja Lähis-Ida)</c:v>
                </c:pt>
                <c:pt idx="33">
                  <c:v>Sahara-tagune piirkond ja Lõuna-Aafrika</c:v>
                </c:pt>
                <c:pt idx="34">
                  <c:v>Aasia</c:v>
                </c:pt>
                <c:pt idx="35">
                  <c:v>Muud</c:v>
                </c:pt>
              </c:strCache>
            </c:strRef>
          </c:cat>
          <c:val>
            <c:numRef>
              <c:f>'Geographical breakdown'!$D$49:$D$84</c:f>
              <c:numCache>
                <c:formatCode>#,##0.00\ "€"</c:formatCode>
                <c:ptCount val="36"/>
                <c:pt idx="0">
                  <c:v>451900232</c:v>
                </c:pt>
                <c:pt idx="1">
                  <c:v>1559967820</c:v>
                </c:pt>
                <c:pt idx="2">
                  <c:v>109854400</c:v>
                </c:pt>
                <c:pt idx="3">
                  <c:v>5832000</c:v>
                </c:pt>
                <c:pt idx="4">
                  <c:v>1944000</c:v>
                </c:pt>
                <c:pt idx="5">
                  <c:v>326663320</c:v>
                </c:pt>
                <c:pt idx="6">
                  <c:v>238625600</c:v>
                </c:pt>
                <c:pt idx="7">
                  <c:v>85257887.840000004</c:v>
                </c:pt>
                <c:pt idx="8">
                  <c:v>183900000</c:v>
                </c:pt>
                <c:pt idx="9">
                  <c:v>10985804512.32</c:v>
                </c:pt>
                <c:pt idx="10">
                  <c:v>3406591388</c:v>
                </c:pt>
                <c:pt idx="11">
                  <c:v>93474632</c:v>
                </c:pt>
                <c:pt idx="12">
                  <c:v>116812800</c:v>
                </c:pt>
                <c:pt idx="13">
                  <c:v>226733584</c:v>
                </c:pt>
                <c:pt idx="14">
                  <c:v>4289009644</c:v>
                </c:pt>
                <c:pt idx="15">
                  <c:v>7491200</c:v>
                </c:pt>
                <c:pt idx="16">
                  <c:v>13038400</c:v>
                </c:pt>
                <c:pt idx="17">
                  <c:v>27307738.079999998</c:v>
                </c:pt>
                <c:pt idx="18">
                  <c:v>21944000</c:v>
                </c:pt>
                <c:pt idx="19">
                  <c:v>201346232</c:v>
                </c:pt>
                <c:pt idx="20">
                  <c:v>193802988</c:v>
                </c:pt>
                <c:pt idx="21">
                  <c:v>61459628</c:v>
                </c:pt>
                <c:pt idx="22">
                  <c:v>13433772</c:v>
                </c:pt>
                <c:pt idx="23">
                  <c:v>141396800</c:v>
                </c:pt>
                <c:pt idx="24">
                  <c:v>2513433380</c:v>
                </c:pt>
                <c:pt idx="25">
                  <c:v>360430112</c:v>
                </c:pt>
                <c:pt idx="26">
                  <c:v>343515724</c:v>
                </c:pt>
                <c:pt idx="27">
                  <c:v>1051427808</c:v>
                </c:pt>
                <c:pt idx="28">
                  <c:v>116340451.84</c:v>
                </c:pt>
                <c:pt idx="29">
                  <c:v>17496000</c:v>
                </c:pt>
                <c:pt idx="30">
                  <c:v>49488000</c:v>
                </c:pt>
                <c:pt idx="31">
                  <c:v>0</c:v>
                </c:pt>
                <c:pt idx="32">
                  <c:v>213484000</c:v>
                </c:pt>
                <c:pt idx="33">
                  <c:v>0</c:v>
                </c:pt>
                <c:pt idx="34">
                  <c:v>0</c:v>
                </c:pt>
                <c:pt idx="35">
                  <c:v>76488745.920000002</c:v>
                </c:pt>
              </c:numCache>
            </c:numRef>
          </c:val>
          <c:extLst xmlns:c16r2="http://schemas.microsoft.com/office/drawing/2015/06/chart">
            <c:ext xmlns:c16="http://schemas.microsoft.com/office/drawing/2014/chart" uri="{C3380CC4-5D6E-409C-BE32-E72D297353CC}">
              <c16:uniqueId val="{0000004C-5439-48AD-B770-E4ABF0D224A4}"/>
            </c:ext>
          </c:extLst>
        </c:ser>
        <c:dLbls>
          <c:dLblPos val="ctr"/>
          <c:showLegendKey val="0"/>
          <c:showVal val="1"/>
          <c:showCatName val="0"/>
          <c:showSerName val="0"/>
          <c:showPercent val="0"/>
          <c:showBubbleSize val="0"/>
          <c:showLeaderLines val="1"/>
        </c:dLbls>
        <c:gapWidth val="55"/>
        <c:splitType val="pos"/>
        <c:splitPos val="8"/>
        <c:secondPieSize val="5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'Main report_Old'!$B$8</c:f>
              <c:strCache>
                <c:ptCount val="1"/>
                <c:pt idx="0">
                  <c:v>2007-2013 Equity Financial Instruments</c:v>
                </c:pt>
              </c:strCache>
            </c:strRef>
          </c:tx>
          <c:invertIfNegative val="0"/>
          <c:dPt>
            <c:idx val="0"/>
            <c:invertIfNegative val="0"/>
            <c:bubble3D val="0"/>
            <c:spPr>
              <a:solidFill>
                <a:srgbClr val="9BBB59">
                  <a:lumMod val="20000"/>
                  <a:lumOff val="80000"/>
                </a:srgbClr>
              </a:solidFill>
            </c:spPr>
            <c:extLst xmlns:c16r2="http://schemas.microsoft.com/office/drawing/2015/06/chart">
              <c:ext xmlns:c16="http://schemas.microsoft.com/office/drawing/2014/chart" uri="{C3380CC4-5D6E-409C-BE32-E72D297353CC}">
                <c16:uniqueId val="{00000001-6FC7-49BD-935D-3C8179556AA1}"/>
              </c:ext>
            </c:extLst>
          </c:dPt>
          <c:dPt>
            <c:idx val="1"/>
            <c:invertIfNegative val="0"/>
            <c:bubble3D val="0"/>
            <c:spPr>
              <a:solidFill>
                <a:srgbClr val="9BBB59">
                  <a:lumMod val="60000"/>
                  <a:lumOff val="40000"/>
                </a:srgbClr>
              </a:solidFill>
            </c:spPr>
            <c:extLst xmlns:c16r2="http://schemas.microsoft.com/office/drawing/2015/06/chart">
              <c:ext xmlns:c16="http://schemas.microsoft.com/office/drawing/2014/chart" uri="{C3380CC4-5D6E-409C-BE32-E72D297353CC}">
                <c16:uniqueId val="{00000003-6FC7-49BD-935D-3C8179556AA1}"/>
              </c:ext>
            </c:extLst>
          </c:dPt>
          <c:dPt>
            <c:idx val="2"/>
            <c:invertIfNegative val="0"/>
            <c:bubble3D val="0"/>
            <c:spPr>
              <a:solidFill>
                <a:srgbClr val="9BBB59">
                  <a:lumMod val="75000"/>
                </a:srgbClr>
              </a:solidFill>
            </c:spPr>
            <c:extLst xmlns:c16r2="http://schemas.microsoft.com/office/drawing/2015/06/chart">
              <c:ext xmlns:c16="http://schemas.microsoft.com/office/drawing/2014/chart" uri="{C3380CC4-5D6E-409C-BE32-E72D297353CC}">
                <c16:uniqueId val="{00000005-6FC7-49BD-935D-3C8179556AA1}"/>
              </c:ext>
            </c:extLst>
          </c:dPt>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report_Old'!$C$2:$E$2</c:f>
              <c:strCache>
                <c:ptCount val="3"/>
                <c:pt idx="0">
                  <c:v>Kulukohustuste koondsumma</c:v>
                </c:pt>
                <c:pt idx="1">
                  <c:v>Saavutatud rahastamismaht</c:v>
                </c:pt>
                <c:pt idx="2">
                  <c:v>Saavutatud investeerimismaht </c:v>
                </c:pt>
              </c:strCache>
            </c:strRef>
          </c:cat>
          <c:val>
            <c:numRef>
              <c:f>'Main report_Old'!$C$8:$E$8</c:f>
              <c:numCache>
                <c:formatCode>General</c:formatCode>
                <c:ptCount val="3"/>
                <c:pt idx="0">
                  <c:v>1017.46</c:v>
                </c:pt>
                <c:pt idx="1">
                  <c:v>13697.93</c:v>
                </c:pt>
                <c:pt idx="2">
                  <c:v>28774.825000000001</c:v>
                </c:pt>
              </c:numCache>
            </c:numRef>
          </c:val>
          <c:extLst xmlns:c16r2="http://schemas.microsoft.com/office/drawing/2015/06/chart">
            <c:ext xmlns:c16="http://schemas.microsoft.com/office/drawing/2014/chart" uri="{C3380CC4-5D6E-409C-BE32-E72D297353CC}">
              <c16:uniqueId val="{00000006-6FC7-49BD-935D-3C8179556AA1}"/>
            </c:ext>
          </c:extLst>
        </c:ser>
        <c:dLbls>
          <c:showLegendKey val="0"/>
          <c:showVal val="0"/>
          <c:showCatName val="0"/>
          <c:showSerName val="0"/>
          <c:showPercent val="0"/>
          <c:showBubbleSize val="0"/>
        </c:dLbls>
        <c:gapWidth val="150"/>
        <c:shape val="box"/>
        <c:axId val="439904512"/>
        <c:axId val="439906304"/>
        <c:axId val="0"/>
      </c:bar3DChart>
      <c:catAx>
        <c:axId val="439904512"/>
        <c:scaling>
          <c:orientation val="minMax"/>
        </c:scaling>
        <c:delete val="0"/>
        <c:axPos val="b"/>
        <c:numFmt formatCode="General" sourceLinked="1"/>
        <c:majorTickMark val="out"/>
        <c:minorTickMark val="none"/>
        <c:tickLblPos val="nextTo"/>
        <c:crossAx val="439906304"/>
        <c:crosses val="autoZero"/>
        <c:auto val="1"/>
        <c:lblAlgn val="ctr"/>
        <c:lblOffset val="100"/>
        <c:noMultiLvlLbl val="0"/>
      </c:catAx>
      <c:valAx>
        <c:axId val="439906304"/>
        <c:scaling>
          <c:orientation val="minMax"/>
        </c:scaling>
        <c:delete val="0"/>
        <c:axPos val="l"/>
        <c:majorGridlines/>
        <c:numFmt formatCode="0" sourceLinked="0"/>
        <c:majorTickMark val="out"/>
        <c:minorTickMark val="none"/>
        <c:tickLblPos val="nextTo"/>
        <c:crossAx val="439904512"/>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'Main report_Old'!$B$10</c:f>
              <c:strCache>
                <c:ptCount val="1"/>
                <c:pt idx="0">
                  <c:v>2007-2013 Mixed (Debt&amp;Equity) Financial Instruments</c:v>
                </c:pt>
              </c:strCache>
            </c:strRef>
          </c:tx>
          <c:invertIfNegative val="0"/>
          <c:dPt>
            <c:idx val="0"/>
            <c:invertIfNegative val="0"/>
            <c:bubble3D val="0"/>
            <c:spPr>
              <a:solidFill>
                <a:srgbClr val="F79646">
                  <a:lumMod val="20000"/>
                  <a:lumOff val="80000"/>
                </a:srgbClr>
              </a:solidFill>
            </c:spPr>
            <c:extLst xmlns:c16r2="http://schemas.microsoft.com/office/drawing/2015/06/chart">
              <c:ext xmlns:c16="http://schemas.microsoft.com/office/drawing/2014/chart" uri="{C3380CC4-5D6E-409C-BE32-E72D297353CC}">
                <c16:uniqueId val="{00000001-C955-43D8-9E7D-64E6B2B0DACC}"/>
              </c:ext>
            </c:extLst>
          </c:dPt>
          <c:dPt>
            <c:idx val="1"/>
            <c:invertIfNegative val="0"/>
            <c:bubble3D val="0"/>
            <c:spPr>
              <a:solidFill>
                <a:srgbClr val="F79646">
                  <a:lumMod val="60000"/>
                  <a:lumOff val="40000"/>
                </a:srgbClr>
              </a:solidFill>
            </c:spPr>
            <c:extLst xmlns:c16r2="http://schemas.microsoft.com/office/drawing/2015/06/chart">
              <c:ext xmlns:c16="http://schemas.microsoft.com/office/drawing/2014/chart" uri="{C3380CC4-5D6E-409C-BE32-E72D297353CC}">
                <c16:uniqueId val="{00000003-C955-43D8-9E7D-64E6B2B0DACC}"/>
              </c:ext>
            </c:extLst>
          </c:dPt>
          <c:dPt>
            <c:idx val="2"/>
            <c:invertIfNegative val="0"/>
            <c:bubble3D val="0"/>
            <c:spPr>
              <a:solidFill>
                <a:srgbClr val="F79646"/>
              </a:solidFill>
            </c:spPr>
            <c:extLst xmlns:c16r2="http://schemas.microsoft.com/office/drawing/2015/06/chart">
              <c:ext xmlns:c16="http://schemas.microsoft.com/office/drawing/2014/chart" uri="{C3380CC4-5D6E-409C-BE32-E72D297353CC}">
                <c16:uniqueId val="{00000005-C955-43D8-9E7D-64E6B2B0DACC}"/>
              </c:ext>
            </c:extLst>
          </c:dPt>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report_Old'!$C$2:$E$2</c:f>
              <c:strCache>
                <c:ptCount val="3"/>
                <c:pt idx="0">
                  <c:v>Kulukohustuste koondsumma</c:v>
                </c:pt>
                <c:pt idx="1">
                  <c:v>Saavutatud rahastamismaht</c:v>
                </c:pt>
                <c:pt idx="2">
                  <c:v>Saavutatud investeerimismaht </c:v>
                </c:pt>
              </c:strCache>
            </c:strRef>
          </c:cat>
          <c:val>
            <c:numRef>
              <c:f>'Main report_Old'!$C$10:$E$10</c:f>
              <c:numCache>
                <c:formatCode>General</c:formatCode>
                <c:ptCount val="3"/>
                <c:pt idx="0">
                  <c:v>2534.85</c:v>
                </c:pt>
                <c:pt idx="1">
                  <c:v>29160.9</c:v>
                </c:pt>
                <c:pt idx="2">
                  <c:v>42178.75</c:v>
                </c:pt>
              </c:numCache>
            </c:numRef>
          </c:val>
          <c:extLst xmlns:c16r2="http://schemas.microsoft.com/office/drawing/2015/06/chart">
            <c:ext xmlns:c16="http://schemas.microsoft.com/office/drawing/2014/chart" uri="{C3380CC4-5D6E-409C-BE32-E72D297353CC}">
              <c16:uniqueId val="{00000006-C955-43D8-9E7D-64E6B2B0DACC}"/>
            </c:ext>
          </c:extLst>
        </c:ser>
        <c:dLbls>
          <c:showLegendKey val="0"/>
          <c:showVal val="0"/>
          <c:showCatName val="0"/>
          <c:showSerName val="0"/>
          <c:showPercent val="0"/>
          <c:showBubbleSize val="0"/>
        </c:dLbls>
        <c:gapWidth val="150"/>
        <c:shape val="box"/>
        <c:axId val="439939840"/>
        <c:axId val="439941376"/>
        <c:axId val="0"/>
      </c:bar3DChart>
      <c:catAx>
        <c:axId val="439939840"/>
        <c:scaling>
          <c:orientation val="minMax"/>
        </c:scaling>
        <c:delete val="0"/>
        <c:axPos val="b"/>
        <c:numFmt formatCode="General" sourceLinked="1"/>
        <c:majorTickMark val="out"/>
        <c:minorTickMark val="none"/>
        <c:tickLblPos val="nextTo"/>
        <c:crossAx val="439941376"/>
        <c:crosses val="autoZero"/>
        <c:auto val="1"/>
        <c:lblAlgn val="ctr"/>
        <c:lblOffset val="100"/>
        <c:noMultiLvlLbl val="0"/>
      </c:catAx>
      <c:valAx>
        <c:axId val="439941376"/>
        <c:scaling>
          <c:orientation val="minMax"/>
        </c:scaling>
        <c:delete val="0"/>
        <c:axPos val="l"/>
        <c:majorGridlines/>
        <c:numFmt formatCode="0" sourceLinked="0"/>
        <c:majorTickMark val="out"/>
        <c:minorTickMark val="none"/>
        <c:tickLblPos val="nextTo"/>
        <c:crossAx val="439939840"/>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8163131726942402E-2"/>
          <c:y val="0.13930535247518114"/>
          <c:w val="0.78212204861111112"/>
          <c:h val="0.72821810787165131"/>
        </c:manualLayout>
      </c:layout>
      <c:bar3DChart>
        <c:barDir val="col"/>
        <c:grouping val="stacked"/>
        <c:varyColors val="0"/>
        <c:ser>
          <c:idx val="0"/>
          <c:order val="0"/>
          <c:invertIfNegative val="0"/>
          <c:dPt>
            <c:idx val="0"/>
            <c:invertIfNegative val="0"/>
            <c:bubble3D val="0"/>
            <c:extLst xmlns:c16r2="http://schemas.microsoft.com/office/drawing/2015/06/chart">
              <c:ext xmlns:c16="http://schemas.microsoft.com/office/drawing/2014/chart" uri="{C3380CC4-5D6E-409C-BE32-E72D297353CC}">
                <c16:uniqueId val="{00000000-6ACC-4662-B8FE-0573EF24F295}"/>
              </c:ext>
            </c:extLst>
          </c:dPt>
          <c:dPt>
            <c:idx val="1"/>
            <c:invertIfNegative val="0"/>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2-6ACC-4662-B8FE-0573EF24F295}"/>
              </c:ext>
            </c:extLst>
          </c:dPt>
          <c:dPt>
            <c:idx val="2"/>
            <c:invertIfNegative val="0"/>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4-6ACC-4662-B8FE-0573EF24F295}"/>
              </c:ext>
            </c:extLst>
          </c:dPt>
          <c:dLbls>
            <c:dLbl>
              <c:idx val="0"/>
              <c:layout>
                <c:manualLayout>
                  <c:x val="3.0935373946663854E-3"/>
                  <c:y val="-1.0868755921118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ACC-4662-B8FE-0573EF24F295}"/>
                </c:ext>
              </c:extLst>
            </c:dLbl>
            <c:numFmt formatCode="#,##0.0" sourceLinked="0"/>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report_New'!$D$16,'Main report_New'!$F$16,'Main report_New'!$H$16)</c:f>
              <c:numCache>
                <c:formatCode>0.00</c:formatCode>
                <c:ptCount val="3"/>
                <c:pt idx="0">
                  <c:v>4930.2970000000005</c:v>
                </c:pt>
                <c:pt idx="1">
                  <c:v>56873.31</c:v>
                </c:pt>
                <c:pt idx="2">
                  <c:v>84738.415999999997</c:v>
                </c:pt>
              </c:numCache>
            </c:numRef>
          </c:val>
          <c:extLst xmlns:c16r2="http://schemas.microsoft.com/office/drawing/2015/06/chart">
            <c:ext xmlns:c16="http://schemas.microsoft.com/office/drawing/2014/chart" uri="{C3380CC4-5D6E-409C-BE32-E72D297353CC}">
              <c16:uniqueId val="{00000005-6ACC-4662-B8FE-0573EF24F295}"/>
            </c:ext>
          </c:extLst>
        </c:ser>
        <c:ser>
          <c:idx val="1"/>
          <c:order val="1"/>
          <c:spPr>
            <a:solidFill>
              <a:schemeClr val="accent1">
                <a:lumMod val="40000"/>
                <a:lumOff val="60000"/>
              </a:schemeClr>
            </a:solidFill>
          </c:spPr>
          <c:invertIfNegative val="0"/>
          <c:dPt>
            <c:idx val="1"/>
            <c:invertIfNegative val="0"/>
            <c:bubble3D val="0"/>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7-6ACC-4662-B8FE-0573EF24F295}"/>
              </c:ext>
            </c:extLst>
          </c:dPt>
          <c:dPt>
            <c:idx val="2"/>
            <c:invertIfNegative val="0"/>
            <c:bubble3D val="0"/>
            <c:spPr>
              <a:solidFill>
                <a:schemeClr val="accent6">
                  <a:lumMod val="40000"/>
                  <a:lumOff val="60000"/>
                </a:schemeClr>
              </a:solidFill>
            </c:spPr>
            <c:extLst xmlns:c16r2="http://schemas.microsoft.com/office/drawing/2015/06/chart">
              <c:ext xmlns:c16="http://schemas.microsoft.com/office/drawing/2014/chart" uri="{C3380CC4-5D6E-409C-BE32-E72D297353CC}">
                <c16:uniqueId val="{00000009-6ACC-4662-B8FE-0573EF24F295}"/>
              </c:ext>
            </c:extLst>
          </c:dPt>
          <c:dLbls>
            <c:dLbl>
              <c:idx val="0"/>
              <c:layout>
                <c:manualLayout>
                  <c:x val="5.7480034722222219E-2"/>
                  <c:y val="-8.80325E-2"/>
                </c:manualLayout>
              </c:layout>
              <c:tx>
                <c:strRef>
                  <c:f>'Main report_New'!$C$17</c:f>
                  <c:strCache>
                    <c:ptCount val="1"/>
                    <c:pt idx="0">
                      <c:v>9,0</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{0C459771-6AFD-4FFA-9F19-3406A3E3FF64}</c15:txfldGUID>
                      <c15:f>'Main report_New'!$C$17</c15:f>
                      <c15:dlblFieldTableCache>
                        <c:ptCount val="1"/>
                        <c:pt idx="0">
                          <c:v>9,0</c:v>
                        </c:pt>
                      </c15:dlblFieldTableCache>
                    </c15:dlblFTEntry>
                  </c15:dlblFieldTable>
                  <c15:showDataLabelsRange val="0"/>
                </c:ext>
                <c:ext xmlns:c16="http://schemas.microsoft.com/office/drawing/2014/chart" uri="{C3380CC4-5D6E-409C-BE32-E72D297353CC}">
                  <c16:uniqueId val="{0000000A-6ACC-4662-B8FE-0573EF24F295}"/>
                </c:ext>
              </c:extLst>
            </c:dLbl>
            <c:dLbl>
              <c:idx val="1"/>
              <c:layout>
                <c:manualLayout>
                  <c:x val="0.11670330901086129"/>
                  <c:y val="-0.12368731686316989"/>
                </c:manualLayout>
              </c:layout>
              <c:tx>
                <c:strRef>
                  <c:f>'Main report_New'!$E$17</c:f>
                  <c:strCache>
                    <c:ptCount val="1"/>
                    <c:pt idx="0">
                      <c:v>87,6</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{081D29F1-A144-4D87-91C3-15944B27341D}</c15:txfldGUID>
                      <c15:f>'Main report_New'!$E$17</c15:f>
                      <c15:dlblFieldTableCache>
                        <c:ptCount val="1"/>
                        <c:pt idx="0">
                          <c:v>87,6</c:v>
                        </c:pt>
                      </c15:dlblFieldTableCache>
                    </c15:dlblFTEntry>
                  </c15:dlblFieldTable>
                  <c15:showDataLabelsRange val="0"/>
                </c:ext>
                <c:ext xmlns:c16="http://schemas.microsoft.com/office/drawing/2014/chart" uri="{C3380CC4-5D6E-409C-BE32-E72D297353CC}">
                  <c16:uniqueId val="{00000007-6ACC-4662-B8FE-0573EF24F295}"/>
                </c:ext>
              </c:extLst>
            </c:dLbl>
            <c:dLbl>
              <c:idx val="2"/>
              <c:layout>
                <c:manualLayout>
                  <c:x val="8.9675520833333328E-2"/>
                  <c:y val="-0.18803972222222221"/>
                </c:manualLayout>
              </c:layout>
              <c:tx>
                <c:strRef>
                  <c:f>'Main report_New'!$G$17</c:f>
                  <c:strCache>
                    <c:ptCount val="1"/>
                    <c:pt idx="0">
                      <c:v>116,2</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{FFBE5663-C642-450D-BB26-9B00261F6AB2}</c15:txfldGUID>
                      <c15:f>'Main report_New'!$G$17</c15:f>
                      <c15:dlblFieldTableCache>
                        <c:ptCount val="1"/>
                        <c:pt idx="0">
                          <c:v>116,2</c:v>
                        </c:pt>
                      </c15:dlblFieldTableCache>
                    </c15:dlblFTEntry>
                  </c15:dlblFieldTable>
                  <c15:showDataLabelsRange val="0"/>
                </c:ext>
                <c:ext xmlns:c16="http://schemas.microsoft.com/office/drawing/2014/chart" uri="{C3380CC4-5D6E-409C-BE32-E72D297353CC}">
                  <c16:uniqueId val="{00000009-6ACC-4662-B8FE-0573EF24F295}"/>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report_New'!$D$18,'Main report_New'!$F$18,'Main report_New'!$H$18)</c:f>
              <c:numCache>
                <c:formatCode>0.00</c:formatCode>
                <c:ptCount val="3"/>
                <c:pt idx="0">
                  <c:v>4116.512999999999</c:v>
                </c:pt>
                <c:pt idx="1">
                  <c:v>30758.690000000002</c:v>
                </c:pt>
                <c:pt idx="2">
                  <c:v>31465.184000000008</c:v>
                </c:pt>
              </c:numCache>
            </c:numRef>
          </c:val>
          <c:extLst xmlns:c16r2="http://schemas.microsoft.com/office/drawing/2015/06/chart">
            <c:ext xmlns:c16="http://schemas.microsoft.com/office/drawing/2014/chart" uri="{C3380CC4-5D6E-409C-BE32-E72D297353CC}">
              <c16:uniqueId val="{0000000B-6ACC-4662-B8FE-0573EF24F295}"/>
            </c:ext>
          </c:extLst>
        </c:ser>
        <c:dLbls>
          <c:showLegendKey val="0"/>
          <c:showVal val="0"/>
          <c:showCatName val="0"/>
          <c:showSerName val="0"/>
          <c:showPercent val="0"/>
          <c:showBubbleSize val="0"/>
        </c:dLbls>
        <c:gapWidth val="150"/>
        <c:shape val="box"/>
        <c:axId val="439987584"/>
        <c:axId val="439993472"/>
        <c:axId val="0"/>
      </c:bar3DChart>
      <c:catAx>
        <c:axId val="439987584"/>
        <c:scaling>
          <c:orientation val="minMax"/>
        </c:scaling>
        <c:delete val="0"/>
        <c:axPos val="b"/>
        <c:numFmt formatCode="General" sourceLinked="1"/>
        <c:majorTickMark val="out"/>
        <c:minorTickMark val="none"/>
        <c:tickLblPos val="nextTo"/>
        <c:crossAx val="439993472"/>
        <c:crosses val="autoZero"/>
        <c:auto val="1"/>
        <c:lblAlgn val="ctr"/>
        <c:lblOffset val="100"/>
        <c:noMultiLvlLbl val="0"/>
      </c:catAx>
      <c:valAx>
        <c:axId val="439993472"/>
        <c:scaling>
          <c:orientation val="minMax"/>
        </c:scaling>
        <c:delete val="0"/>
        <c:axPos val="l"/>
        <c:majorGridlines/>
        <c:numFmt formatCode="0" sourceLinked="0"/>
        <c:majorTickMark val="out"/>
        <c:minorTickMark val="none"/>
        <c:tickLblPos val="nextTo"/>
        <c:crossAx val="439987584"/>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6.022579078143285E-2"/>
          <c:y val="0.10761242588409041"/>
          <c:w val="0.74321702508960574"/>
          <c:h val="0.73193157894736838"/>
        </c:manualLayout>
      </c:layout>
      <c:bar3DChart>
        <c:barDir val="col"/>
        <c:grouping val="stacked"/>
        <c:varyColors val="0"/>
        <c:ser>
          <c:idx val="0"/>
          <c:order val="0"/>
          <c:invertIfNegative val="0"/>
          <c:dPt>
            <c:idx val="0"/>
            <c:invertIfNegative val="0"/>
            <c:bubble3D val="0"/>
            <c:extLst xmlns:c16r2="http://schemas.microsoft.com/office/drawing/2015/06/chart">
              <c:ext xmlns:c16="http://schemas.microsoft.com/office/drawing/2014/chart" uri="{C3380CC4-5D6E-409C-BE32-E72D297353CC}">
                <c16:uniqueId val="{00000000-B01F-4063-BF41-6FEA0A4143DA}"/>
              </c:ext>
            </c:extLst>
          </c:dPt>
          <c:dPt>
            <c:idx val="1"/>
            <c:invertIfNegative val="0"/>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2-B01F-4063-BF41-6FEA0A4143DA}"/>
              </c:ext>
            </c:extLst>
          </c:dPt>
          <c:dPt>
            <c:idx val="2"/>
            <c:invertIfNegative val="0"/>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4-B01F-4063-BF41-6FEA0A4143DA}"/>
              </c:ext>
            </c:extLst>
          </c:dPt>
          <c:dLbls>
            <c:dLbl>
              <c:idx val="0"/>
              <c:layout>
                <c:manualLayout>
                  <c:x val="3.0935373946663854E-3"/>
                  <c:y val="-1.0868755921118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01F-4063-BF41-6FEA0A4143DA}"/>
                </c:ext>
              </c:extLst>
            </c:dLbl>
            <c:numFmt formatCode="#,##0.0" sourceLinked="0"/>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report_New'!$D$3,'Main report_New'!$F$3,'Main report_New'!$H$3)</c:f>
              <c:numCache>
                <c:formatCode>0.00</c:formatCode>
                <c:ptCount val="3"/>
                <c:pt idx="0">
                  <c:v>4068.317</c:v>
                </c:pt>
                <c:pt idx="1">
                  <c:v>55837.71</c:v>
                </c:pt>
                <c:pt idx="2">
                  <c:v>82117.415999999997</c:v>
                </c:pt>
              </c:numCache>
            </c:numRef>
          </c:val>
          <c:extLst xmlns:c16r2="http://schemas.microsoft.com/office/drawing/2015/06/chart">
            <c:ext xmlns:c16="http://schemas.microsoft.com/office/drawing/2014/chart" uri="{C3380CC4-5D6E-409C-BE32-E72D297353CC}">
              <c16:uniqueId val="{00000005-B01F-4063-BF41-6FEA0A4143DA}"/>
            </c:ext>
          </c:extLst>
        </c:ser>
        <c:ser>
          <c:idx val="1"/>
          <c:order val="1"/>
          <c:spPr>
            <a:solidFill>
              <a:schemeClr val="accent1">
                <a:lumMod val="40000"/>
                <a:lumOff val="60000"/>
              </a:schemeClr>
            </a:solidFill>
          </c:spPr>
          <c:invertIfNegative val="0"/>
          <c:dPt>
            <c:idx val="1"/>
            <c:invertIfNegative val="0"/>
            <c:bubble3D val="0"/>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7-B01F-4063-BF41-6FEA0A4143DA}"/>
              </c:ext>
            </c:extLst>
          </c:dPt>
          <c:dPt>
            <c:idx val="2"/>
            <c:invertIfNegative val="0"/>
            <c:bubble3D val="0"/>
            <c:spPr>
              <a:solidFill>
                <a:schemeClr val="accent6">
                  <a:lumMod val="40000"/>
                  <a:lumOff val="60000"/>
                </a:schemeClr>
              </a:solidFill>
            </c:spPr>
            <c:extLst xmlns:c16r2="http://schemas.microsoft.com/office/drawing/2015/06/chart">
              <c:ext xmlns:c16="http://schemas.microsoft.com/office/drawing/2014/chart" uri="{C3380CC4-5D6E-409C-BE32-E72D297353CC}">
                <c16:uniqueId val="{00000009-B01F-4063-BF41-6FEA0A4143DA}"/>
              </c:ext>
            </c:extLst>
          </c:dPt>
          <c:dLbls>
            <c:dLbl>
              <c:idx val="0"/>
              <c:layout>
                <c:manualLayout>
                  <c:x val="6.1534229390681004E-2"/>
                  <c:y val="-8.4876023391812869E-2"/>
                </c:manualLayout>
              </c:layout>
              <c:tx>
                <c:strRef>
                  <c:f>'Main report_New'!$C$4</c:f>
                  <c:strCache>
                    <c:ptCount val="1"/>
                    <c:pt idx="0">
                      <c:v>7,6</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{D0872F7C-4504-4B9A-A428-F5B34902F2E2}</c15:txfldGUID>
                      <c15:f>'Main report_New'!$C$4</c15:f>
                      <c15:dlblFieldTableCache>
                        <c:ptCount val="1"/>
                        <c:pt idx="0">
                          <c:v>7,6</c:v>
                        </c:pt>
                      </c15:dlblFieldTableCache>
                    </c15:dlblFTEntry>
                  </c15:dlblFieldTable>
                  <c15:showDataLabelsRange val="0"/>
                </c:ext>
                <c:ext xmlns:c16="http://schemas.microsoft.com/office/drawing/2014/chart" uri="{C3380CC4-5D6E-409C-BE32-E72D297353CC}">
                  <c16:uniqueId val="{0000000A-B01F-4063-BF41-6FEA0A4143DA}"/>
                </c:ext>
              </c:extLst>
            </c:dLbl>
            <c:dLbl>
              <c:idx val="1"/>
              <c:layout>
                <c:manualLayout>
                  <c:x val="0.12193781362007168"/>
                  <c:y val="-0.13278040935672514"/>
                </c:manualLayout>
              </c:layout>
              <c:tx>
                <c:strRef>
                  <c:f>'Main report_New'!$E$4</c:f>
                  <c:strCache>
                    <c:ptCount val="1"/>
                    <c:pt idx="0">
                      <c:v>78,0</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{00566CF9-43E7-4CA5-BCC5-857F9F9B6E75}</c15:txfldGUID>
                      <c15:f>'Main report_New'!$E$4</c15:f>
                      <c15:dlblFieldTableCache>
                        <c:ptCount val="1"/>
                        <c:pt idx="0">
                          <c:v>78,0</c:v>
                        </c:pt>
                      </c15:dlblFieldTableCache>
                    </c15:dlblFTEntry>
                  </c15:dlblFieldTable>
                  <c15:showDataLabelsRange val="0"/>
                </c:ext>
                <c:ext xmlns:c16="http://schemas.microsoft.com/office/drawing/2014/chart" uri="{C3380CC4-5D6E-409C-BE32-E72D297353CC}">
                  <c16:uniqueId val="{00000007-B01F-4063-BF41-6FEA0A4143DA}"/>
                </c:ext>
              </c:extLst>
            </c:dLbl>
            <c:dLbl>
              <c:idx val="2"/>
              <c:layout>
                <c:manualLayout>
                  <c:x val="9.8708422939068105E-2"/>
                  <c:y val="-0.16018888888888888"/>
                </c:manualLayout>
              </c:layout>
              <c:tx>
                <c:strRef>
                  <c:f>'Main report_New'!$G$4</c:f>
                  <c:strCache>
                    <c:ptCount val="1"/>
                    <c:pt idx="0">
                      <c:v>98,5</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{77C3008D-AAE3-4705-87E5-9C59AA15446B}</c15:txfldGUID>
                      <c15:f>'Main report_New'!$G$4</c15:f>
                      <c15:dlblFieldTableCache>
                        <c:ptCount val="1"/>
                        <c:pt idx="0">
                          <c:v>98,5</c:v>
                        </c:pt>
                      </c15:dlblFieldTableCache>
                    </c15:dlblFTEntry>
                  </c15:dlblFieldTable>
                  <c15:showDataLabelsRange val="0"/>
                </c:ext>
                <c:ext xmlns:c16="http://schemas.microsoft.com/office/drawing/2014/chart" uri="{C3380CC4-5D6E-409C-BE32-E72D297353CC}">
                  <c16:uniqueId val="{00000009-B01F-4063-BF41-6FEA0A4143DA}"/>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report_New'!$D$5,'Main report_New'!$F$5,'Main report_New'!$H$5)</c:f>
              <c:numCache>
                <c:formatCode>0.00</c:formatCode>
                <c:ptCount val="3"/>
                <c:pt idx="0">
                  <c:v>3547.183</c:v>
                </c:pt>
                <c:pt idx="1">
                  <c:v>22182.29</c:v>
                </c:pt>
                <c:pt idx="2">
                  <c:v>16371.183999999994</c:v>
                </c:pt>
              </c:numCache>
            </c:numRef>
          </c:val>
          <c:extLst xmlns:c16r2="http://schemas.microsoft.com/office/drawing/2015/06/chart">
            <c:ext xmlns:c16="http://schemas.microsoft.com/office/drawing/2014/chart" uri="{C3380CC4-5D6E-409C-BE32-E72D297353CC}">
              <c16:uniqueId val="{0000000B-B01F-4063-BF41-6FEA0A4143DA}"/>
            </c:ext>
          </c:extLst>
        </c:ser>
        <c:dLbls>
          <c:showLegendKey val="0"/>
          <c:showVal val="0"/>
          <c:showCatName val="0"/>
          <c:showSerName val="0"/>
          <c:showPercent val="0"/>
          <c:showBubbleSize val="0"/>
        </c:dLbls>
        <c:gapWidth val="150"/>
        <c:shape val="box"/>
        <c:axId val="440120448"/>
        <c:axId val="440121984"/>
        <c:axId val="0"/>
      </c:bar3DChart>
      <c:catAx>
        <c:axId val="440120448"/>
        <c:scaling>
          <c:orientation val="minMax"/>
        </c:scaling>
        <c:delete val="0"/>
        <c:axPos val="b"/>
        <c:numFmt formatCode="General" sourceLinked="1"/>
        <c:majorTickMark val="out"/>
        <c:minorTickMark val="none"/>
        <c:tickLblPos val="nextTo"/>
        <c:crossAx val="440121984"/>
        <c:crosses val="autoZero"/>
        <c:auto val="1"/>
        <c:lblAlgn val="ctr"/>
        <c:lblOffset val="100"/>
        <c:noMultiLvlLbl val="0"/>
      </c:catAx>
      <c:valAx>
        <c:axId val="440121984"/>
        <c:scaling>
          <c:orientation val="minMax"/>
        </c:scaling>
        <c:delete val="0"/>
        <c:axPos val="l"/>
        <c:majorGridlines/>
        <c:numFmt formatCode="0" sourceLinked="0"/>
        <c:majorTickMark val="out"/>
        <c:minorTickMark val="none"/>
        <c:tickLblPos val="nextTo"/>
        <c:crossAx val="440120448"/>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6.4769242279586942E-2"/>
          <c:y val="9.3335380431206538E-2"/>
          <c:w val="0.75914892473118278"/>
          <c:h val="0.73193157894736838"/>
        </c:manualLayout>
      </c:layout>
      <c:bar3DChart>
        <c:barDir val="col"/>
        <c:grouping val="stacked"/>
        <c:varyColors val="0"/>
        <c:ser>
          <c:idx val="0"/>
          <c:order val="0"/>
          <c:invertIfNegative val="0"/>
          <c:dPt>
            <c:idx val="0"/>
            <c:invertIfNegative val="0"/>
            <c:bubble3D val="0"/>
            <c:extLst xmlns:c16r2="http://schemas.microsoft.com/office/drawing/2015/06/chart">
              <c:ext xmlns:c16="http://schemas.microsoft.com/office/drawing/2014/chart" uri="{C3380CC4-5D6E-409C-BE32-E72D297353CC}">
                <c16:uniqueId val="{00000000-2FCB-41F7-A8DD-0D5220D4617B}"/>
              </c:ext>
            </c:extLst>
          </c:dPt>
          <c:dPt>
            <c:idx val="1"/>
            <c:invertIfNegative val="0"/>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2-2FCB-41F7-A8DD-0D5220D4617B}"/>
              </c:ext>
            </c:extLst>
          </c:dPt>
          <c:dPt>
            <c:idx val="2"/>
            <c:invertIfNegative val="0"/>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4-2FCB-41F7-A8DD-0D5220D4617B}"/>
              </c:ext>
            </c:extLst>
          </c:dPt>
          <c:dLbls>
            <c:dLbl>
              <c:idx val="0"/>
              <c:layout>
                <c:manualLayout>
                  <c:x val="3.0935373946663854E-3"/>
                  <c:y val="-1.0868755921118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FCB-41F7-A8DD-0D5220D4617B}"/>
                </c:ext>
              </c:extLst>
            </c:dLbl>
            <c:numFmt formatCode="#,##0.0" sourceLinked="0"/>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report_New'!$D$7,'Main report_New'!$F$7,'Main report_New'!$H$7)</c:f>
              <c:numCache>
                <c:formatCode>0.00</c:formatCode>
                <c:ptCount val="3"/>
                <c:pt idx="0">
                  <c:v>541.67000000000007</c:v>
                </c:pt>
                <c:pt idx="1">
                  <c:v>1035.5999999999999</c:v>
                </c:pt>
                <c:pt idx="2">
                  <c:v>2621</c:v>
                </c:pt>
              </c:numCache>
            </c:numRef>
          </c:val>
          <c:extLst xmlns:c16r2="http://schemas.microsoft.com/office/drawing/2015/06/chart">
            <c:ext xmlns:c16="http://schemas.microsoft.com/office/drawing/2014/chart" uri="{C3380CC4-5D6E-409C-BE32-E72D297353CC}">
              <c16:uniqueId val="{00000005-2FCB-41F7-A8DD-0D5220D4617B}"/>
            </c:ext>
          </c:extLst>
        </c:ser>
        <c:ser>
          <c:idx val="1"/>
          <c:order val="1"/>
          <c:spPr>
            <a:solidFill>
              <a:schemeClr val="accent1">
                <a:lumMod val="40000"/>
                <a:lumOff val="60000"/>
              </a:schemeClr>
            </a:solidFill>
          </c:spPr>
          <c:invertIfNegative val="0"/>
          <c:dPt>
            <c:idx val="1"/>
            <c:invertIfNegative val="0"/>
            <c:bubble3D val="0"/>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7-2FCB-41F7-A8DD-0D5220D4617B}"/>
              </c:ext>
            </c:extLst>
          </c:dPt>
          <c:dPt>
            <c:idx val="2"/>
            <c:invertIfNegative val="0"/>
            <c:bubble3D val="0"/>
            <c:spPr>
              <a:solidFill>
                <a:schemeClr val="accent6">
                  <a:lumMod val="40000"/>
                  <a:lumOff val="60000"/>
                </a:schemeClr>
              </a:solidFill>
            </c:spPr>
            <c:extLst xmlns:c16r2="http://schemas.microsoft.com/office/drawing/2015/06/chart">
              <c:ext xmlns:c16="http://schemas.microsoft.com/office/drawing/2014/chart" uri="{C3380CC4-5D6E-409C-BE32-E72D297353CC}">
                <c16:uniqueId val="{00000009-2FCB-41F7-A8DD-0D5220D4617B}"/>
              </c:ext>
            </c:extLst>
          </c:dPt>
          <c:dLbls>
            <c:dLbl>
              <c:idx val="0"/>
              <c:layout>
                <c:manualLayout>
                  <c:x val="7.291413682889214E-2"/>
                  <c:y val="-7.7449085869162423E-2"/>
                </c:manualLayout>
              </c:layout>
              <c:tx>
                <c:strRef>
                  <c:f>'Main report_New'!$C$8</c:f>
                  <c:strCache>
                    <c:ptCount val="1"/>
                    <c:pt idx="0">
                      <c:v>1,1</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{8C8C01A4-1F24-4A95-91C9-F49A8735DF33}</c15:txfldGUID>
                      <c15:f>'Main report_New'!$C$8</c15:f>
                      <c15:dlblFieldTableCache>
                        <c:ptCount val="1"/>
                        <c:pt idx="0">
                          <c:v>1,1</c:v>
                        </c:pt>
                      </c15:dlblFieldTableCache>
                    </c15:dlblFTEntry>
                  </c15:dlblFieldTable>
                  <c15:showDataLabelsRange val="0"/>
                </c:ext>
                <c:ext xmlns:c16="http://schemas.microsoft.com/office/drawing/2014/chart" uri="{C3380CC4-5D6E-409C-BE32-E72D297353CC}">
                  <c16:uniqueId val="{0000000A-2FCB-41F7-A8DD-0D5220D4617B}"/>
                </c:ext>
              </c:extLst>
            </c:dLbl>
            <c:dLbl>
              <c:idx val="1"/>
              <c:layout>
                <c:manualLayout>
                  <c:x val="0.10624551971326165"/>
                  <c:y val="-0.17932748538011695"/>
                </c:manualLayout>
              </c:layout>
              <c:tx>
                <c:strRef>
                  <c:f>'Main report_New'!$E$8</c:f>
                  <c:strCache>
                    <c:ptCount val="1"/>
                    <c:pt idx="0">
                      <c:v>7,5</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{8C0F95F9-1099-40CA-AD99-11DAD1ED1A3B}</c15:txfldGUID>
                      <c15:f>'Main report_New'!$E$8</c15:f>
                      <c15:dlblFieldTableCache>
                        <c:ptCount val="1"/>
                        <c:pt idx="0">
                          <c:v>7,5</c:v>
                        </c:pt>
                      </c15:dlblFieldTableCache>
                    </c15:dlblFTEntry>
                  </c15:dlblFieldTable>
                  <c15:showDataLabelsRange val="0"/>
                </c:ext>
                <c:ext xmlns:c16="http://schemas.microsoft.com/office/drawing/2014/chart" uri="{C3380CC4-5D6E-409C-BE32-E72D297353CC}">
                  <c16:uniqueId val="{00000007-2FCB-41F7-A8DD-0D5220D4617B}"/>
                </c:ext>
              </c:extLst>
            </c:dLbl>
            <c:dLbl>
              <c:idx val="2"/>
              <c:layout>
                <c:manualLayout>
                  <c:x val="9.870860215053763E-2"/>
                  <c:y val="-0.33259532163742689"/>
                </c:manualLayout>
              </c:layout>
              <c:tx>
                <c:strRef>
                  <c:f>'Main report_New'!$G$8</c:f>
                  <c:strCache>
                    <c:ptCount val="1"/>
                    <c:pt idx="0">
                      <c:v>15,5</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{2D7A5B53-1B1A-4C54-8EE4-971B313F43FD}</c15:txfldGUID>
                      <c15:f>'Main report_New'!$G$8</c15:f>
                      <c15:dlblFieldTableCache>
                        <c:ptCount val="1"/>
                        <c:pt idx="0">
                          <c:v>15,5</c:v>
                        </c:pt>
                      </c15:dlblFieldTableCache>
                    </c15:dlblFTEntry>
                  </c15:dlblFieldTable>
                  <c15:showDataLabelsRange val="0"/>
                </c:ext>
                <c:ext xmlns:c16="http://schemas.microsoft.com/office/drawing/2014/chart" uri="{C3380CC4-5D6E-409C-BE32-E72D297353CC}">
                  <c16:uniqueId val="{00000009-2FCB-41F7-A8DD-0D5220D4617B}"/>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report_New'!$D$9,'Main report_New'!$F$9,'Main report_New'!$H$9)</c:f>
              <c:numCache>
                <c:formatCode>0.00</c:formatCode>
                <c:ptCount val="3"/>
                <c:pt idx="0">
                  <c:v>559.32999999999993</c:v>
                </c:pt>
                <c:pt idx="1">
                  <c:v>6496.4</c:v>
                </c:pt>
                <c:pt idx="2">
                  <c:v>12834</c:v>
                </c:pt>
              </c:numCache>
            </c:numRef>
          </c:val>
          <c:extLst xmlns:c16r2="http://schemas.microsoft.com/office/drawing/2015/06/chart">
            <c:ext xmlns:c16="http://schemas.microsoft.com/office/drawing/2014/chart" uri="{C3380CC4-5D6E-409C-BE32-E72D297353CC}">
              <c16:uniqueId val="{0000000B-2FCB-41F7-A8DD-0D5220D4617B}"/>
            </c:ext>
          </c:extLst>
        </c:ser>
        <c:dLbls>
          <c:showLegendKey val="0"/>
          <c:showVal val="0"/>
          <c:showCatName val="0"/>
          <c:showSerName val="0"/>
          <c:showPercent val="0"/>
          <c:showBubbleSize val="0"/>
        </c:dLbls>
        <c:gapWidth val="150"/>
        <c:shape val="box"/>
        <c:axId val="440240768"/>
        <c:axId val="440258944"/>
        <c:axId val="0"/>
      </c:bar3DChart>
      <c:catAx>
        <c:axId val="440240768"/>
        <c:scaling>
          <c:orientation val="minMax"/>
        </c:scaling>
        <c:delete val="0"/>
        <c:axPos val="b"/>
        <c:numFmt formatCode="General" sourceLinked="1"/>
        <c:majorTickMark val="out"/>
        <c:minorTickMark val="none"/>
        <c:tickLblPos val="nextTo"/>
        <c:crossAx val="440258944"/>
        <c:crosses val="autoZero"/>
        <c:auto val="1"/>
        <c:lblAlgn val="ctr"/>
        <c:lblOffset val="100"/>
        <c:noMultiLvlLbl val="0"/>
      </c:catAx>
      <c:valAx>
        <c:axId val="440258944"/>
        <c:scaling>
          <c:orientation val="minMax"/>
        </c:scaling>
        <c:delete val="0"/>
        <c:axPos val="l"/>
        <c:majorGridlines/>
        <c:numFmt formatCode="0" sourceLinked="0"/>
        <c:majorTickMark val="out"/>
        <c:minorTickMark val="none"/>
        <c:tickLblPos val="nextTo"/>
        <c:crossAx val="440240768"/>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floor>
    <c:sideWall>
      <c:thickness val="0"/>
    </c:sideWall>
    <c:backWall>
      <c:thickness val="0"/>
    </c:backWall>
    <c:plotArea>
      <c:layout>
        <c:manualLayout>
          <c:layoutTarget val="inner"/>
          <c:xMode val="edge"/>
          <c:yMode val="edge"/>
          <c:x val="5.5672724488773209E-2"/>
          <c:y val="7.4765278295644791E-2"/>
          <c:w val="0.75914892473118278"/>
          <c:h val="0.73193157894736838"/>
        </c:manualLayout>
      </c:layout>
      <c:bar3DChart>
        <c:barDir val="col"/>
        <c:grouping val="stacked"/>
        <c:varyColors val="0"/>
        <c:ser>
          <c:idx val="0"/>
          <c:order val="0"/>
          <c:invertIfNegative val="0"/>
          <c:dPt>
            <c:idx val="0"/>
            <c:invertIfNegative val="0"/>
            <c:bubble3D val="0"/>
            <c:extLst xmlns:c16r2="http://schemas.microsoft.com/office/drawing/2015/06/chart">
              <c:ext xmlns:c16="http://schemas.microsoft.com/office/drawing/2014/chart" uri="{C3380CC4-5D6E-409C-BE32-E72D297353CC}">
                <c16:uniqueId val="{00000000-7CFC-44EC-8C40-EF52B98F5ECB}"/>
              </c:ext>
            </c:extLst>
          </c:dPt>
          <c:dPt>
            <c:idx val="1"/>
            <c:invertIfNegative val="0"/>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2-7CFC-44EC-8C40-EF52B98F5ECB}"/>
              </c:ext>
            </c:extLst>
          </c:dPt>
          <c:dPt>
            <c:idx val="2"/>
            <c:invertIfNegative val="0"/>
            <c:bubble3D val="0"/>
            <c:spPr>
              <a:solidFill>
                <a:schemeClr val="accent6">
                  <a:lumMod val="75000"/>
                </a:schemeClr>
              </a:solidFill>
            </c:spPr>
            <c:extLst xmlns:c16r2="http://schemas.microsoft.com/office/drawing/2015/06/chart">
              <c:ext xmlns:c16="http://schemas.microsoft.com/office/drawing/2014/chart" uri="{C3380CC4-5D6E-409C-BE32-E72D297353CC}">
                <c16:uniqueId val="{00000004-7CFC-44EC-8C40-EF52B98F5ECB}"/>
              </c:ext>
            </c:extLst>
          </c:dPt>
          <c:dLbls>
            <c:dLbl>
              <c:idx val="0"/>
              <c:layout>
                <c:manualLayout>
                  <c:x val="3.0935373946663854E-3"/>
                  <c:y val="-1.0868755921118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CFC-44EC-8C40-EF52B98F5ECB}"/>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FC-44EC-8C40-EF52B98F5ECB}"/>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CFC-44EC-8C40-EF52B98F5ECB}"/>
                </c:ext>
              </c:extLst>
            </c:dLbl>
            <c:numFmt formatCode="#,##0.00" sourceLinked="0"/>
            <c:spPr>
              <a:noFill/>
              <a:ln>
                <a:noFill/>
              </a:ln>
              <a:effectLst/>
            </c:spPr>
            <c:txPr>
              <a:bodyPr/>
              <a:lstStyle/>
              <a:p>
                <a:pPr>
                  <a:defRPr b="1">
                    <a:solidFill>
                      <a:schemeClr val="bg1"/>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report_New'!$D$11,'Main report_New'!$F$11,'Main report_New'!$H$11)</c:f>
              <c:numCache>
                <c:formatCode>0.00</c:formatCode>
                <c:ptCount val="3"/>
                <c:pt idx="0">
                  <c:v>320.31</c:v>
                </c:pt>
                <c:pt idx="1">
                  <c:v>0</c:v>
                </c:pt>
                <c:pt idx="2">
                  <c:v>0</c:v>
                </c:pt>
              </c:numCache>
            </c:numRef>
          </c:val>
          <c:extLst xmlns:c16r2="http://schemas.microsoft.com/office/drawing/2015/06/chart">
            <c:ext xmlns:c16="http://schemas.microsoft.com/office/drawing/2014/chart" uri="{C3380CC4-5D6E-409C-BE32-E72D297353CC}">
              <c16:uniqueId val="{00000005-7CFC-44EC-8C40-EF52B98F5ECB}"/>
            </c:ext>
          </c:extLst>
        </c:ser>
        <c:ser>
          <c:idx val="1"/>
          <c:order val="1"/>
          <c:spPr>
            <a:solidFill>
              <a:schemeClr val="accent1">
                <a:lumMod val="40000"/>
                <a:lumOff val="60000"/>
              </a:schemeClr>
            </a:solidFill>
          </c:spPr>
          <c:invertIfNegative val="0"/>
          <c:dPt>
            <c:idx val="1"/>
            <c:invertIfNegative val="0"/>
            <c:bubble3D val="0"/>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7-7CFC-44EC-8C40-EF52B98F5ECB}"/>
              </c:ext>
            </c:extLst>
          </c:dPt>
          <c:dPt>
            <c:idx val="2"/>
            <c:invertIfNegative val="0"/>
            <c:bubble3D val="0"/>
            <c:spPr>
              <a:solidFill>
                <a:schemeClr val="accent6">
                  <a:lumMod val="40000"/>
                  <a:lumOff val="60000"/>
                </a:schemeClr>
              </a:solidFill>
            </c:spPr>
            <c:extLst xmlns:c16r2="http://schemas.microsoft.com/office/drawing/2015/06/chart">
              <c:ext xmlns:c16="http://schemas.microsoft.com/office/drawing/2014/chart" uri="{C3380CC4-5D6E-409C-BE32-E72D297353CC}">
                <c16:uniqueId val="{00000009-7CFC-44EC-8C40-EF52B98F5ECB}"/>
              </c:ext>
            </c:extLst>
          </c:dPt>
          <c:dLbls>
            <c:dLbl>
              <c:idx val="0"/>
              <c:layout>
                <c:manualLayout>
                  <c:x val="6.6086200716845872E-2"/>
                  <c:y val="-6.6308771929824567E-2"/>
                </c:manualLayout>
              </c:layout>
              <c:tx>
                <c:strRef>
                  <c:f>'Main report_New'!$C$12</c:f>
                  <c:strCache>
                    <c:ptCount val="1"/>
                    <c:pt idx="0">
                      <c:v>0,3</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{E91AEFD4-0B5A-4B73-8062-77FF0180164E}</c15:txfldGUID>
                      <c15:f>'Main report_New'!$C$12</c15:f>
                      <c15:dlblFieldTableCache>
                        <c:ptCount val="1"/>
                        <c:pt idx="0">
                          <c:v>0,3</c:v>
                        </c:pt>
                      </c15:dlblFieldTableCache>
                    </c15:dlblFTEntry>
                  </c15:dlblFieldTable>
                  <c15:showDataLabelsRange val="0"/>
                </c:ext>
                <c:ext xmlns:c16="http://schemas.microsoft.com/office/drawing/2014/chart" uri="{C3380CC4-5D6E-409C-BE32-E72D297353CC}">
                  <c16:uniqueId val="{0000000A-7CFC-44EC-8C40-EF52B98F5ECB}"/>
                </c:ext>
              </c:extLst>
            </c:dLbl>
            <c:dLbl>
              <c:idx val="1"/>
              <c:layout>
                <c:manualLayout>
                  <c:x val="6.5277777777777782E-2"/>
                  <c:y val="-0.3352923976608187"/>
                </c:manualLayout>
              </c:layout>
              <c:tx>
                <c:strRef>
                  <c:f>'Main report_New'!$E$12</c:f>
                  <c:strCache>
                    <c:ptCount val="1"/>
                    <c:pt idx="0">
                      <c:v>2,1</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{3CA964E5-D8E2-44F8-A265-AB2E5A0BA05B}</c15:txfldGUID>
                      <c15:f>'Main report_New'!$E$12</c15:f>
                      <c15:dlblFieldTableCache>
                        <c:ptCount val="1"/>
                        <c:pt idx="0">
                          <c:v>2,1</c:v>
                        </c:pt>
                      </c15:dlblFieldTableCache>
                    </c15:dlblFTEntry>
                  </c15:dlblFieldTable>
                  <c15:showDataLabelsRange val="0"/>
                </c:ext>
                <c:ext xmlns:c16="http://schemas.microsoft.com/office/drawing/2014/chart" uri="{C3380CC4-5D6E-409C-BE32-E72D297353CC}">
                  <c16:uniqueId val="{00000007-7CFC-44EC-8C40-EF52B98F5ECB}"/>
                </c:ext>
              </c:extLst>
            </c:dLbl>
            <c:dLbl>
              <c:idx val="2"/>
              <c:layout>
                <c:manualLayout>
                  <c:x val="0.1146405017921147"/>
                  <c:y val="-0.34002222222222223"/>
                </c:manualLayout>
              </c:layout>
              <c:tx>
                <c:strRef>
                  <c:f>'Main report_New'!$G$12</c:f>
                  <c:strCache>
                    <c:ptCount val="1"/>
                    <c:pt idx="0">
                      <c:v>2,3</c:v>
                    </c:pt>
                  </c:strCache>
                </c:strRef>
              </c:tx>
              <c:showLegendKey val="0"/>
              <c:showVal val="0"/>
              <c:showCatName val="0"/>
              <c:showSerName val="0"/>
              <c:showPercent val="0"/>
              <c:showBubbleSize val="0"/>
              <c:extLst xmlns:c16r2="http://schemas.microsoft.com/office/drawing/2015/06/chart">
                <c:ext xmlns:c15="http://schemas.microsoft.com/office/drawing/2012/chart" uri="{CE6537A1-D6FC-4f65-9D91-7224C49458BB}">
                  <c15:dlblFieldTable>
                    <c15:dlblFTEntry>
                      <c15:txfldGUID>{51C875CA-D42B-4010-B015-DFF4B35D972D}</c15:txfldGUID>
                      <c15:f>'Main report_New'!$G$12</c15:f>
                      <c15:dlblFieldTableCache>
                        <c:ptCount val="1"/>
                        <c:pt idx="0">
                          <c:v>2,3</c:v>
                        </c:pt>
                      </c15:dlblFieldTableCache>
                    </c15:dlblFTEntry>
                  </c15:dlblFieldTable>
                  <c15:showDataLabelsRange val="0"/>
                </c:ext>
                <c:ext xmlns:c16="http://schemas.microsoft.com/office/drawing/2014/chart" uri="{C3380CC4-5D6E-409C-BE32-E72D297353CC}">
                  <c16:uniqueId val="{00000009-7CFC-44EC-8C40-EF52B98F5ECB}"/>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('Main report_New'!$D$2,'Main report_New'!$F$2,'Main report_New'!$H$2)</c:f>
              <c:strCache>
                <c:ptCount val="3"/>
                <c:pt idx="0">
                  <c:v>Eelarvevahendid </c:v>
                </c:pt>
                <c:pt idx="1">
                  <c:v>Soovitav rahastamismaht</c:v>
                </c:pt>
                <c:pt idx="2">
                  <c:v>Soovitav investeerimismaht</c:v>
                </c:pt>
              </c:strCache>
            </c:strRef>
          </c:cat>
          <c:val>
            <c:numRef>
              <c:f>('Main report_New'!$D$13,'Main report_New'!$F$13,'Main report_New'!$H$13)</c:f>
              <c:numCache>
                <c:formatCode>0.00</c:formatCode>
                <c:ptCount val="3"/>
                <c:pt idx="0">
                  <c:v>10</c:v>
                </c:pt>
                <c:pt idx="1">
                  <c:v>2080</c:v>
                </c:pt>
                <c:pt idx="2">
                  <c:v>2260</c:v>
                </c:pt>
              </c:numCache>
            </c:numRef>
          </c:val>
          <c:extLst xmlns:c16r2="http://schemas.microsoft.com/office/drawing/2015/06/chart">
            <c:ext xmlns:c16="http://schemas.microsoft.com/office/drawing/2014/chart" uri="{C3380CC4-5D6E-409C-BE32-E72D297353CC}">
              <c16:uniqueId val="{0000000B-7CFC-44EC-8C40-EF52B98F5ECB}"/>
            </c:ext>
          </c:extLst>
        </c:ser>
        <c:dLbls>
          <c:showLegendKey val="0"/>
          <c:showVal val="0"/>
          <c:showCatName val="0"/>
          <c:showSerName val="0"/>
          <c:showPercent val="0"/>
          <c:showBubbleSize val="0"/>
        </c:dLbls>
        <c:gapWidth val="150"/>
        <c:shape val="box"/>
        <c:axId val="442213504"/>
        <c:axId val="442215040"/>
        <c:axId val="0"/>
      </c:bar3DChart>
      <c:catAx>
        <c:axId val="442213504"/>
        <c:scaling>
          <c:orientation val="minMax"/>
        </c:scaling>
        <c:delete val="0"/>
        <c:axPos val="b"/>
        <c:numFmt formatCode="General" sourceLinked="1"/>
        <c:majorTickMark val="out"/>
        <c:minorTickMark val="none"/>
        <c:tickLblPos val="nextTo"/>
        <c:crossAx val="442215040"/>
        <c:crosses val="autoZero"/>
        <c:auto val="1"/>
        <c:lblAlgn val="ctr"/>
        <c:lblOffset val="100"/>
        <c:noMultiLvlLbl val="0"/>
      </c:catAx>
      <c:valAx>
        <c:axId val="442215040"/>
        <c:scaling>
          <c:orientation val="minMax"/>
        </c:scaling>
        <c:delete val="0"/>
        <c:axPos val="l"/>
        <c:majorGridlines/>
        <c:numFmt formatCode="0.0" sourceLinked="0"/>
        <c:majorTickMark val="out"/>
        <c:minorTickMark val="none"/>
        <c:tickLblPos val="nextTo"/>
        <c:crossAx val="442213504"/>
        <c:crosses val="autoZero"/>
        <c:crossBetween val="between"/>
        <c:dispUnits>
          <c:builtInUnit val="thousands"/>
        </c:dispUnits>
      </c:valAx>
      <c:spPr>
        <a:noFill/>
        <a:ln w="25400">
          <a:noFill/>
        </a:ln>
      </c:spPr>
    </c:plotArea>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9304173335200979E-2"/>
          <c:y val="0.28772505206760657"/>
          <c:w val="0.67872722375504257"/>
          <c:h val="0.4214399306281405"/>
        </c:manualLayout>
      </c:layout>
      <c:pie3DChart>
        <c:varyColors val="1"/>
        <c:ser>
          <c:idx val="0"/>
          <c:order val="0"/>
          <c:tx>
            <c:strRef>
              <c:f>'Tot Bud commitments by target'!$D$4</c:f>
              <c:strCache>
                <c:ptCount val="1"/>
                <c:pt idx="0">
                  <c:v>Total budget commitments</c:v>
                </c:pt>
              </c:strCache>
            </c:strRef>
          </c:tx>
          <c:dPt>
            <c:idx val="0"/>
            <c:bubble3D val="0"/>
            <c:spPr>
              <a:solidFill>
                <a:schemeClr val="accent3">
                  <a:lumMod val="60000"/>
                  <a:lumOff val="40000"/>
                </a:schemeClr>
              </a:solidFill>
            </c:spPr>
          </c:dPt>
          <c:dPt>
            <c:idx val="1"/>
            <c:bubble3D val="0"/>
            <c:spPr>
              <a:solidFill>
                <a:schemeClr val="accent3"/>
              </a:solidFill>
            </c:spPr>
          </c:dPt>
          <c:dPt>
            <c:idx val="2"/>
            <c:bubble3D val="0"/>
            <c:spPr>
              <a:solidFill>
                <a:schemeClr val="accent3">
                  <a:lumMod val="75000"/>
                </a:schemeClr>
              </a:solidFill>
            </c:spPr>
          </c:dPt>
          <c:dPt>
            <c:idx val="3"/>
            <c:bubble3D val="0"/>
            <c:spPr>
              <a:solidFill>
                <a:schemeClr val="accent1"/>
              </a:solidFill>
            </c:spPr>
          </c:dPt>
          <c:dPt>
            <c:idx val="4"/>
            <c:bubble3D val="0"/>
            <c:spPr>
              <a:solidFill>
                <a:schemeClr val="accent6">
                  <a:lumMod val="60000"/>
                  <a:lumOff val="40000"/>
                </a:schemeClr>
              </a:solidFill>
            </c:spPr>
          </c:dPt>
          <c:dPt>
            <c:idx val="5"/>
            <c:bubble3D val="0"/>
            <c:spPr>
              <a:solidFill>
                <a:schemeClr val="accent6"/>
              </a:solidFill>
            </c:spPr>
          </c:dPt>
          <c:dPt>
            <c:idx val="6"/>
            <c:bubble3D val="0"/>
            <c:spPr>
              <a:solidFill>
                <a:schemeClr val="accent6">
                  <a:lumMod val="75000"/>
                </a:schemeClr>
              </a:solidFill>
            </c:spPr>
          </c:dPt>
          <c:dLbls>
            <c:dLbl>
              <c:idx val="0"/>
              <c:layout>
                <c:manualLayout>
                  <c:x val="1.1304554672601408E-2"/>
                  <c:y val="8.3707678133153711E-3"/>
                </c:manualLayout>
              </c:layout>
              <c:tx>
                <c:rich>
                  <a:bodyPr/>
                  <a:lstStyle/>
                  <a:p>
                    <a:pPr>
                      <a:defRPr/>
                    </a:pPr>
                    <a:r>
                      <a:rPr lang="en-US"/>
                      <a:t> 226,30  </a:t>
                    </a:r>
                  </a:p>
                  <a:p>
                    <a:pPr>
                      <a:defRPr/>
                    </a:pPr>
                    <a:r>
                      <a:rPr lang="en-US"/>
                      <a:t>4%</a:t>
                    </a:r>
                  </a:p>
                </c:rich>
              </c:tx>
              <c:spPr/>
              <c:dLblPos val="bestFit"/>
              <c:showLegendKey val="0"/>
              <c:showVal val="0"/>
              <c:showCatName val="0"/>
              <c:showSerName val="0"/>
              <c:showPercent val="0"/>
              <c:showBubbleSize val="0"/>
            </c:dLbl>
            <c:dLbl>
              <c:idx val="1"/>
              <c:layout>
                <c:manualLayout>
                  <c:x val="-0.11169797323721632"/>
                  <c:y val="1.6596907687424028E-2"/>
                </c:manualLayout>
              </c:layout>
              <c:tx>
                <c:rich>
                  <a:bodyPr/>
                  <a:lstStyle/>
                  <a:p>
                    <a:pPr>
                      <a:defRPr/>
                    </a:pPr>
                    <a:r>
                      <a:rPr lang="en-US"/>
                      <a:t> 1.830,89 </a:t>
                    </a:r>
                  </a:p>
                  <a:p>
                    <a:pPr>
                      <a:defRPr/>
                    </a:pPr>
                    <a:r>
                      <a:rPr lang="en-US"/>
                      <a:t> 32%</a:t>
                    </a:r>
                  </a:p>
                </c:rich>
              </c:tx>
              <c:spPr/>
              <c:dLblPos val="bestFit"/>
              <c:showLegendKey val="0"/>
              <c:showVal val="0"/>
              <c:showCatName val="0"/>
              <c:showSerName val="0"/>
              <c:showPercent val="0"/>
              <c:showBubbleSize val="0"/>
            </c:dLbl>
            <c:dLbl>
              <c:idx val="2"/>
              <c:layout>
                <c:manualLayout>
                  <c:x val="2.4466780362132151E-2"/>
                  <c:y val="-7.5336600624037034E-2"/>
                </c:manualLayout>
              </c:layout>
              <c:tx>
                <c:rich>
                  <a:bodyPr/>
                  <a:lstStyle/>
                  <a:p>
                    <a:pPr>
                      <a:defRPr/>
                    </a:pPr>
                    <a:r>
                      <a:rPr lang="en-US"/>
                      <a:t> 103,60 </a:t>
                    </a:r>
                  </a:p>
                  <a:p>
                    <a:pPr>
                      <a:defRPr/>
                    </a:pPr>
                    <a:r>
                      <a:rPr lang="en-US"/>
                      <a:t> 2%</a:t>
                    </a:r>
                  </a:p>
                </c:rich>
              </c:tx>
              <c:spPr/>
              <c:dLblPos val="bestFit"/>
              <c:showLegendKey val="0"/>
              <c:showVal val="0"/>
              <c:showCatName val="0"/>
              <c:showSerName val="0"/>
              <c:showPercent val="0"/>
              <c:showBubbleSize val="0"/>
            </c:dLbl>
            <c:dLbl>
              <c:idx val="3"/>
              <c:layout>
                <c:manualLayout>
                  <c:x val="-5.4864932901501726E-2"/>
                  <c:y val="-0.18346231152445455"/>
                </c:manualLayout>
              </c:layout>
              <c:tx>
                <c:rich>
                  <a:bodyPr/>
                  <a:lstStyle/>
                  <a:p>
                    <a:pPr>
                      <a:defRPr/>
                    </a:pPr>
                    <a:r>
                      <a:rPr lang="en-US"/>
                      <a:t> 649,90 </a:t>
                    </a:r>
                  </a:p>
                  <a:p>
                    <a:pPr>
                      <a:defRPr/>
                    </a:pPr>
                    <a:r>
                      <a:rPr lang="en-US"/>
                      <a:t>11%</a:t>
                    </a:r>
                  </a:p>
                </c:rich>
              </c:tx>
              <c:spPr/>
              <c:dLblPos val="bestFit"/>
              <c:showLegendKey val="0"/>
              <c:showVal val="0"/>
              <c:showCatName val="0"/>
              <c:showSerName val="0"/>
              <c:showPercent val="0"/>
              <c:showBubbleSize val="0"/>
            </c:dLbl>
            <c:dLbl>
              <c:idx val="4"/>
              <c:layout>
                <c:manualLayout>
                  <c:x val="8.6227447375529676E-2"/>
                  <c:y val="-0.17149807601483444"/>
                </c:manualLayout>
              </c:layout>
              <c:tx>
                <c:rich>
                  <a:bodyPr/>
                  <a:lstStyle/>
                  <a:p>
                    <a:pPr>
                      <a:defRPr/>
                    </a:pPr>
                    <a:r>
                      <a:rPr lang="en-US"/>
                      <a:t> 752,38  </a:t>
                    </a:r>
                  </a:p>
                  <a:p>
                    <a:pPr>
                      <a:defRPr/>
                    </a:pPr>
                    <a:r>
                      <a:rPr lang="en-US"/>
                      <a:t>13%</a:t>
                    </a:r>
                  </a:p>
                </c:rich>
              </c:tx>
              <c:spPr/>
              <c:dLblPos val="bestFit"/>
              <c:showLegendKey val="0"/>
              <c:showVal val="0"/>
              <c:showCatName val="0"/>
              <c:showSerName val="0"/>
              <c:showPercent val="0"/>
              <c:showBubbleSize val="0"/>
            </c:dLbl>
            <c:dLbl>
              <c:idx val="5"/>
              <c:layout>
                <c:manualLayout>
                  <c:x val="-1.644326717224863E-2"/>
                  <c:y val="-4.3715420528186187E-2"/>
                </c:manualLayout>
              </c:layout>
              <c:tx>
                <c:rich>
                  <a:bodyPr/>
                  <a:lstStyle/>
                  <a:p>
                    <a:pPr>
                      <a:defRPr/>
                    </a:pPr>
                    <a:r>
                      <a:rPr lang="en-US"/>
                      <a:t> 210,41</a:t>
                    </a:r>
                  </a:p>
                  <a:p>
                    <a:pPr>
                      <a:defRPr/>
                    </a:pPr>
                    <a:r>
                      <a:rPr lang="en-US"/>
                      <a:t>  4%</a:t>
                    </a:r>
                  </a:p>
                </c:rich>
              </c:tx>
              <c:spPr/>
              <c:dLblPos val="bestFit"/>
              <c:showLegendKey val="0"/>
              <c:showVal val="0"/>
              <c:showCatName val="0"/>
              <c:showSerName val="0"/>
              <c:showPercent val="0"/>
              <c:showBubbleSize val="0"/>
            </c:dLbl>
            <c:dLbl>
              <c:idx val="6"/>
              <c:layout>
                <c:manualLayout>
                  <c:x val="0.127053795694893"/>
                  <c:y val="2.8284207836852253E-2"/>
                </c:manualLayout>
              </c:layout>
              <c:tx>
                <c:rich>
                  <a:bodyPr/>
                  <a:lstStyle/>
                  <a:p>
                    <a:pPr>
                      <a:defRPr/>
                    </a:pPr>
                    <a:r>
                      <a:rPr lang="en-US"/>
                      <a:t> 1.902,64  </a:t>
                    </a:r>
                  </a:p>
                  <a:p>
                    <a:pPr>
                      <a:defRPr/>
                    </a:pPr>
                    <a:r>
                      <a:rPr lang="en-US"/>
                      <a:t>34%</a:t>
                    </a:r>
                  </a:p>
                </c:rich>
              </c:tx>
              <c:spPr/>
              <c:dLblPos val="bestFit"/>
              <c:showLegendKey val="0"/>
              <c:showVal val="0"/>
              <c:showCatName val="0"/>
              <c:showSerName val="0"/>
              <c:showPercent val="0"/>
              <c:showBubbleSize val="0"/>
            </c:dLbl>
            <c:dLblPos val="bestFit"/>
            <c:showLegendKey val="0"/>
            <c:showVal val="1"/>
            <c:showCatName val="0"/>
            <c:showSerName val="0"/>
            <c:showPercent val="1"/>
            <c:showBubbleSize val="0"/>
            <c:separator> </c:separator>
            <c:showLeaderLines val="0"/>
          </c:dLbls>
          <c:cat>
            <c:strRef>
              <c:f>'Tot Bud commitments by target'!$C$5:$C$11</c:f>
              <c:strCache>
                <c:ptCount val="7"/>
                <c:pt idx="0">
                  <c:v>Taristu ja energiatõhusus</c:v>
                </c:pt>
                <c:pt idx="1">
                  <c:v>Teadusuuringud ja innovatsioon</c:v>
                </c:pt>
                <c:pt idx="2">
                  <c:v>Sotsiaalsed ettevõtted ja mikroettevõtjad</c:v>
                </c:pt>
                <c:pt idx="3">
                  <c:v>VKEd</c:v>
                </c:pt>
                <c:pt idx="4">
                  <c:v>Arengukoostöö rahastamisvahed</c:v>
                </c:pt>
                <c:pt idx="5">
                  <c:v>Laienemisprotsessis osalevad riigid</c:v>
                </c:pt>
                <c:pt idx="6">
                  <c:v>Euroopa naabruses asuvad riigid</c:v>
                </c:pt>
              </c:strCache>
            </c:strRef>
          </c:cat>
          <c:val>
            <c:numRef>
              <c:f>'Tot Bud commitments by target'!$D$5:$D$11</c:f>
              <c:numCache>
                <c:formatCode>_-* #,##0.00_-;\-* #,##0.00_-;_-* "-"??_-;_-@_-</c:formatCode>
                <c:ptCount val="7"/>
                <c:pt idx="0">
                  <c:v>226.3</c:v>
                </c:pt>
                <c:pt idx="1">
                  <c:v>1830.8899999999999</c:v>
                </c:pt>
                <c:pt idx="2">
                  <c:v>103.6</c:v>
                </c:pt>
                <c:pt idx="3">
                  <c:v>649.9</c:v>
                </c:pt>
                <c:pt idx="4">
                  <c:v>752.38</c:v>
                </c:pt>
                <c:pt idx="5">
                  <c:v>210.41</c:v>
                </c:pt>
                <c:pt idx="6">
                  <c:v>1902.64</c:v>
                </c:pt>
              </c:numCache>
            </c:numRef>
          </c:val>
        </c:ser>
        <c:ser>
          <c:idx val="1"/>
          <c:order val="1"/>
          <c:tx>
            <c:strRef>
              <c:f>'Tot Bud commitments by target'!$D$4</c:f>
              <c:strCache>
                <c:ptCount val="1"/>
                <c:pt idx="0">
                  <c:v>Total budget commitments</c:v>
                </c:pt>
              </c:strCache>
            </c:strRef>
          </c:tx>
          <c:dPt>
            <c:idx val="0"/>
            <c:bubble3D val="0"/>
            <c:spPr>
              <a:solidFill>
                <a:schemeClr val="accent3"/>
              </a:solidFill>
            </c:spPr>
          </c:dPt>
          <c:dPt>
            <c:idx val="1"/>
            <c:bubble3D val="0"/>
            <c:spPr>
              <a:solidFill>
                <a:schemeClr val="accent3">
                  <a:lumMod val="75000"/>
                </a:schemeClr>
              </a:solidFill>
            </c:spPr>
          </c:dPt>
          <c:dPt>
            <c:idx val="2"/>
            <c:bubble3D val="0"/>
            <c:spPr>
              <a:solidFill>
                <a:schemeClr val="accent3">
                  <a:lumMod val="50000"/>
                </a:schemeClr>
              </a:solidFill>
            </c:spPr>
          </c:dPt>
          <c:dPt>
            <c:idx val="3"/>
            <c:bubble3D val="0"/>
            <c:spPr>
              <a:solidFill>
                <a:schemeClr val="tx2">
                  <a:lumMod val="60000"/>
                  <a:lumOff val="40000"/>
                </a:schemeClr>
              </a:solidFill>
            </c:spPr>
          </c:dPt>
          <c:dPt>
            <c:idx val="4"/>
            <c:bubble3D val="0"/>
            <c:spPr>
              <a:solidFill>
                <a:schemeClr val="accent6">
                  <a:lumMod val="40000"/>
                  <a:lumOff val="60000"/>
                </a:schemeClr>
              </a:solidFill>
            </c:spPr>
          </c:dPt>
          <c:dPt>
            <c:idx val="5"/>
            <c:bubble3D val="0"/>
            <c:spPr>
              <a:solidFill>
                <a:schemeClr val="accent6"/>
              </a:solidFill>
            </c:spPr>
          </c:dPt>
          <c:dPt>
            <c:idx val="6"/>
            <c:bubble3D val="0"/>
            <c:spPr>
              <a:solidFill>
                <a:schemeClr val="accent6">
                  <a:lumMod val="75000"/>
                </a:schemeClr>
              </a:solidFill>
            </c:spPr>
          </c:dPt>
          <c:dLbls>
            <c:dLbl>
              <c:idx val="2"/>
              <c:spPr/>
              <c:txPr>
                <a:bodyPr/>
                <a:lstStyle/>
                <a:p>
                  <a:pPr>
                    <a:defRPr/>
                  </a:pPr>
                  <a:endParaRPr lang="en-US"/>
                </a:p>
              </c:txPr>
              <c:dLblPos val="bestFit"/>
              <c:showLegendKey val="0"/>
              <c:showVal val="1"/>
              <c:showCatName val="0"/>
              <c:showSerName val="0"/>
              <c:showPercent val="1"/>
              <c:showBubbleSize val="0"/>
            </c:dLbl>
            <c:dLbl>
              <c:idx val="5"/>
              <c:spPr/>
              <c:txPr>
                <a:bodyPr/>
                <a:lstStyle/>
                <a:p>
                  <a:pPr>
                    <a:defRPr/>
                  </a:pPr>
                  <a:endParaRPr lang="en-US"/>
                </a:p>
              </c:txPr>
              <c:dLblPos val="bestFit"/>
              <c:showLegendKey val="0"/>
              <c:showVal val="1"/>
              <c:showCatName val="0"/>
              <c:showSerName val="0"/>
              <c:showPercent val="1"/>
              <c:showBubbleSize val="0"/>
            </c:dLbl>
            <c:dLbl>
              <c:idx val="6"/>
              <c:spPr/>
              <c:txPr>
                <a:bodyPr/>
                <a:lstStyle/>
                <a:p>
                  <a:pPr>
                    <a:defRPr/>
                  </a:pPr>
                  <a:endParaRPr lang="en-US"/>
                </a:p>
              </c:txPr>
              <c:dLblPos val="bestFit"/>
              <c:showLegendKey val="0"/>
              <c:showVal val="1"/>
              <c:showCatName val="0"/>
              <c:showSerName val="0"/>
              <c:showPercent val="1"/>
              <c:showBubbleSize val="0"/>
            </c:dLbl>
            <c:dLblPos val="bestFit"/>
            <c:showLegendKey val="0"/>
            <c:showVal val="1"/>
            <c:showCatName val="0"/>
            <c:showSerName val="0"/>
            <c:showPercent val="1"/>
            <c:showBubbleSize val="0"/>
            <c:separator>
</c:separator>
            <c:showLeaderLines val="0"/>
          </c:dLbls>
          <c:cat>
            <c:strRef>
              <c:f>'Tot Bud commitments by target'!$C$5:$C$11</c:f>
              <c:strCache>
                <c:ptCount val="7"/>
                <c:pt idx="0">
                  <c:v>Taristu ja energiatõhusus</c:v>
                </c:pt>
                <c:pt idx="1">
                  <c:v>Teadusuuringud ja innovatsioon</c:v>
                </c:pt>
                <c:pt idx="2">
                  <c:v>Sotsiaalsed ettevõtted ja mikroettevõtjad</c:v>
                </c:pt>
                <c:pt idx="3">
                  <c:v>VKEd</c:v>
                </c:pt>
                <c:pt idx="4">
                  <c:v>Arengukoostöö rahastamisvahed</c:v>
                </c:pt>
                <c:pt idx="5">
                  <c:v>Laienemisprotsessis osalevad riigid</c:v>
                </c:pt>
                <c:pt idx="6">
                  <c:v>Euroopa naabruses asuvad riigid</c:v>
                </c:pt>
              </c:strCache>
            </c:strRef>
          </c:cat>
          <c:val>
            <c:numRef>
              <c:f>'Tot Bud commitments by target'!$D$5:$D$11</c:f>
              <c:numCache>
                <c:formatCode>_-* #,##0.00_-;\-* #,##0.00_-;_-* "-"??_-;_-@_-</c:formatCode>
                <c:ptCount val="7"/>
                <c:pt idx="0">
                  <c:v>226.3</c:v>
                </c:pt>
                <c:pt idx="1">
                  <c:v>1830.8899999999999</c:v>
                </c:pt>
                <c:pt idx="2">
                  <c:v>103.6</c:v>
                </c:pt>
                <c:pt idx="3">
                  <c:v>649.9</c:v>
                </c:pt>
                <c:pt idx="4">
                  <c:v>752.38</c:v>
                </c:pt>
                <c:pt idx="5">
                  <c:v>210.41</c:v>
                </c:pt>
                <c:pt idx="6">
                  <c:v>1902.64</c:v>
                </c:pt>
              </c:numCache>
            </c:numRef>
          </c:val>
        </c:ser>
        <c:dLbls>
          <c:showLegendKey val="0"/>
          <c:showVal val="0"/>
          <c:showCatName val="0"/>
          <c:showSerName val="0"/>
          <c:showPercent val="0"/>
          <c:showBubbleSize val="0"/>
          <c:showLeaderLines val="0"/>
        </c:dLbls>
      </c:pie3DChart>
      <c:spPr>
        <a:noFill/>
        <a:ln w="25400">
          <a:noFill/>
        </a:ln>
      </c:spPr>
    </c:plotArea>
    <c:legend>
      <c:legendPos val="b"/>
      <c:layout>
        <c:manualLayout>
          <c:xMode val="edge"/>
          <c:yMode val="edge"/>
          <c:x val="6.1247505352153564E-2"/>
          <c:y val="0.77074179886806182"/>
          <c:w val="0.87279364273014259"/>
          <c:h val="0.20565907137713979"/>
        </c:manualLayout>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011390669854988"/>
          <c:y val="0.29698858089995095"/>
          <c:w val="0.65312260685769641"/>
          <c:h val="0.41178441710313113"/>
        </c:manualLayout>
      </c:layout>
      <c:pie3DChart>
        <c:varyColors val="1"/>
        <c:ser>
          <c:idx val="0"/>
          <c:order val="0"/>
          <c:tx>
            <c:strRef>
              <c:f>'Tot Bud commitments by target'!$H$4</c:f>
              <c:strCache>
                <c:ptCount val="1"/>
                <c:pt idx="0">
                  <c:v>Eelarvelised kulukohustused kokku</c:v>
                </c:pt>
              </c:strCache>
            </c:strRef>
          </c:tx>
          <c:dPt>
            <c:idx val="0"/>
            <c:bubble3D val="0"/>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1-86F6-4539-BAD7-7F33D2BB1A11}"/>
              </c:ext>
            </c:extLst>
          </c:dPt>
          <c:dPt>
            <c:idx val="1"/>
            <c:bubble3D val="0"/>
            <c:spPr>
              <a:solidFill>
                <a:schemeClr val="accent3"/>
              </a:solidFill>
            </c:spPr>
            <c:extLst xmlns:c16r2="http://schemas.microsoft.com/office/drawing/2015/06/chart">
              <c:ext xmlns:c16="http://schemas.microsoft.com/office/drawing/2014/chart" uri="{C3380CC4-5D6E-409C-BE32-E72D297353CC}">
                <c16:uniqueId val="{00000003-86F6-4539-BAD7-7F33D2BB1A11}"/>
              </c:ext>
            </c:extLst>
          </c:dPt>
          <c:dPt>
            <c:idx val="2"/>
            <c:bubble3D val="0"/>
            <c:spPr>
              <a:solidFill>
                <a:schemeClr val="accent3">
                  <a:lumMod val="75000"/>
                </a:schemeClr>
              </a:solidFill>
            </c:spPr>
            <c:extLst xmlns:c16r2="http://schemas.microsoft.com/office/drawing/2015/06/chart">
              <c:ext xmlns:c16="http://schemas.microsoft.com/office/drawing/2014/chart" uri="{C3380CC4-5D6E-409C-BE32-E72D297353CC}">
                <c16:uniqueId val="{00000005-86F6-4539-BAD7-7F33D2BB1A11}"/>
              </c:ext>
            </c:extLst>
          </c:dPt>
          <c:dPt>
            <c:idx val="3"/>
            <c:bubble3D val="0"/>
            <c:spPr>
              <a:solidFill>
                <a:schemeClr val="accent3">
                  <a:lumMod val="50000"/>
                </a:schemeClr>
              </a:solidFill>
            </c:spPr>
            <c:extLst xmlns:c16r2="http://schemas.microsoft.com/office/drawing/2015/06/chart">
              <c:ext xmlns:c16="http://schemas.microsoft.com/office/drawing/2014/chart" uri="{C3380CC4-5D6E-409C-BE32-E72D297353CC}">
                <c16:uniqueId val="{00000007-86F6-4539-BAD7-7F33D2BB1A11}"/>
              </c:ext>
            </c:extLst>
          </c:dPt>
          <c:dPt>
            <c:idx val="4"/>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9-86F6-4539-BAD7-7F33D2BB1A11}"/>
              </c:ext>
            </c:extLst>
          </c:dPt>
          <c:dPt>
            <c:idx val="5"/>
            <c:bubble3D val="0"/>
            <c:spPr>
              <a:solidFill>
                <a:schemeClr val="accent6"/>
              </a:solidFill>
            </c:spPr>
            <c:extLst xmlns:c16r2="http://schemas.microsoft.com/office/drawing/2015/06/chart">
              <c:ext xmlns:c16="http://schemas.microsoft.com/office/drawing/2014/chart" uri="{C3380CC4-5D6E-409C-BE32-E72D297353CC}">
                <c16:uniqueId val="{0000000B-86F6-4539-BAD7-7F33D2BB1A11}"/>
              </c:ext>
            </c:extLst>
          </c:dPt>
          <c:dPt>
            <c:idx val="6"/>
            <c:bubble3D val="0"/>
            <c:spPr>
              <a:solidFill>
                <a:schemeClr val="accent6">
                  <a:lumMod val="75000"/>
                </a:schemeClr>
              </a:solidFill>
              <a:ln w="6350"/>
            </c:spPr>
            <c:extLst xmlns:c16r2="http://schemas.microsoft.com/office/drawing/2015/06/chart">
              <c:ext xmlns:c16="http://schemas.microsoft.com/office/drawing/2014/chart" uri="{C3380CC4-5D6E-409C-BE32-E72D297353CC}">
                <c16:uniqueId val="{0000000D-86F6-4539-BAD7-7F33D2BB1A11}"/>
              </c:ext>
            </c:extLst>
          </c:dPt>
          <c:dLbls>
            <c:dLbl>
              <c:idx val="0"/>
              <c:layout>
                <c:manualLayout>
                  <c:x val="5.2267135697702451E-2"/>
                  <c:y val="-3.4284930473398143E-3"/>
                </c:manualLayout>
              </c:layout>
              <c:tx>
                <c:rich>
                  <a:bodyPr/>
                  <a:lstStyle/>
                  <a:p>
                    <a:pPr>
                      <a:defRPr/>
                    </a:pPr>
                    <a:r>
                      <a:rPr lang="en-US"/>
                      <a:t>130,47 </a:t>
                    </a:r>
                  </a:p>
                  <a:p>
                    <a:pPr>
                      <a:defRPr/>
                    </a:pPr>
                    <a:r>
                      <a:rPr lang="en-US"/>
                      <a:t>3%</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F6-4539-BAD7-7F33D2BB1A11}"/>
                </c:ext>
              </c:extLst>
            </c:dLbl>
            <c:dLbl>
              <c:idx val="1"/>
              <c:tx>
                <c:rich>
                  <a:bodyPr/>
                  <a:lstStyle/>
                  <a:p>
                    <a:pPr>
                      <a:defRPr/>
                    </a:pPr>
                    <a:r>
                      <a:rPr lang="en-US"/>
                      <a:t>908,67 </a:t>
                    </a:r>
                  </a:p>
                  <a:p>
                    <a:pPr>
                      <a:defRPr/>
                    </a:pPr>
                    <a:r>
                      <a:rPr lang="en-US"/>
                      <a:t>21%</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6F6-4539-BAD7-7F33D2BB1A11}"/>
                </c:ext>
              </c:extLst>
            </c:dLbl>
            <c:dLbl>
              <c:idx val="2"/>
              <c:tx>
                <c:rich>
                  <a:bodyPr/>
                  <a:lstStyle/>
                  <a:p>
                    <a:pPr>
                      <a:defRPr/>
                    </a:pPr>
                    <a:r>
                      <a:rPr lang="en-US"/>
                      <a:t>1586,52 </a:t>
                    </a:r>
                  </a:p>
                  <a:p>
                    <a:pPr>
                      <a:defRPr/>
                    </a:pPr>
                    <a:r>
                      <a:rPr lang="en-US"/>
                      <a:t>36%</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6F6-4539-BAD7-7F33D2BB1A11}"/>
                </c:ext>
              </c:extLst>
            </c:dLbl>
            <c:dLbl>
              <c:idx val="3"/>
              <c:layout>
                <c:manualLayout>
                  <c:x val="-1.4782755044242027E-2"/>
                  <c:y val="1.8792341222834592E-3"/>
                </c:manualLayout>
              </c:layout>
              <c:tx>
                <c:rich>
                  <a:bodyPr/>
                  <a:lstStyle/>
                  <a:p>
                    <a:pPr>
                      <a:defRPr/>
                    </a:pPr>
                    <a:r>
                      <a:rPr lang="en-US"/>
                      <a:t>81,51 </a:t>
                    </a:r>
                  </a:p>
                  <a:p>
                    <a:pPr>
                      <a:defRPr/>
                    </a:pPr>
                    <a:r>
                      <a:rPr lang="en-US"/>
                      <a:t>2%</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6F6-4539-BAD7-7F33D2BB1A11}"/>
                </c:ext>
              </c:extLst>
            </c:dLbl>
            <c:dLbl>
              <c:idx val="4"/>
              <c:tx>
                <c:rich>
                  <a:bodyPr/>
                  <a:lstStyle/>
                  <a:p>
                    <a:pPr>
                      <a:defRPr/>
                    </a:pPr>
                    <a:r>
                      <a:rPr lang="en-US"/>
                      <a:t>1371,74 </a:t>
                    </a:r>
                  </a:p>
                  <a:p>
                    <a:pPr>
                      <a:defRPr/>
                    </a:pPr>
                    <a:r>
                      <a:rPr lang="en-US"/>
                      <a:t>32%</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6F6-4539-BAD7-7F33D2BB1A11}"/>
                </c:ext>
              </c:extLst>
            </c:dLbl>
            <c:dLbl>
              <c:idx val="5"/>
              <c:layout>
                <c:manualLayout>
                  <c:x val="1.4278717565327821E-2"/>
                  <c:y val="1.1348524595785539E-2"/>
                </c:manualLayout>
              </c:layout>
              <c:tx>
                <c:rich>
                  <a:bodyPr/>
                  <a:lstStyle/>
                  <a:p>
                    <a:pPr>
                      <a:defRPr/>
                    </a:pPr>
                    <a:r>
                      <a:rPr lang="en-US"/>
                      <a:t>270,31 </a:t>
                    </a:r>
                  </a:p>
                  <a:p>
                    <a:pPr>
                      <a:defRPr/>
                    </a:pPr>
                    <a:r>
                      <a:rPr lang="en-US"/>
                      <a:t>6%</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6F6-4539-BAD7-7F33D2BB1A11}"/>
                </c:ext>
              </c:extLst>
            </c:dLbl>
            <c:dLbl>
              <c:idx val="6"/>
              <c:layout>
                <c:manualLayout>
                  <c:x val="1.6619654901714222E-2"/>
                  <c:y val="-2.0302141280707099E-2"/>
                </c:manualLayout>
              </c:layout>
              <c:tx>
                <c:rich>
                  <a:bodyPr/>
                  <a:lstStyle/>
                  <a:p>
                    <a:pPr>
                      <a:defRPr/>
                    </a:pPr>
                    <a:r>
                      <a:rPr lang="en-US"/>
                      <a:t>17,50 </a:t>
                    </a:r>
                  </a:p>
                  <a:p>
                    <a:pPr>
                      <a:defRPr/>
                    </a:pPr>
                    <a:r>
                      <a:rPr lang="en-US"/>
                      <a:t>0%</a:t>
                    </a:r>
                  </a:p>
                </c:rich>
              </c:tx>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6F6-4539-BAD7-7F33D2BB1A11}"/>
                </c:ext>
              </c:extLst>
            </c:dLbl>
            <c:spPr>
              <a:noFill/>
              <a:ln>
                <a:noFill/>
              </a:ln>
              <a:effectLst/>
            </c:spPr>
            <c:dLblPos val="bestFit"/>
            <c:showLegendKey val="0"/>
            <c:showVal val="1"/>
            <c:showCatName val="0"/>
            <c:showSerName val="0"/>
            <c:showPercent val="1"/>
            <c:showBubbleSize val="0"/>
            <c:separator> </c:separator>
            <c:showLeaderLines val="0"/>
            <c:extLst xmlns:c16r2="http://schemas.microsoft.com/office/drawing/2015/06/chart">
              <c:ext xmlns:c15="http://schemas.microsoft.com/office/drawing/2012/chart" uri="{CE6537A1-D6FC-4f65-9D91-7224C49458BB}"/>
            </c:extLst>
          </c:dLbls>
          <c:cat>
            <c:strRef>
              <c:f>'Tot Bud commitments by target'!$G$5:$G$11</c:f>
              <c:strCache>
                <c:ptCount val="7"/>
                <c:pt idx="0">
                  <c:v>Haridus-, kultuuri- ja loomesektor</c:v>
                </c:pt>
                <c:pt idx="1">
                  <c:v>Taristu ja energiatõhusus</c:v>
                </c:pt>
                <c:pt idx="2">
                  <c:v>Teadusuuringud ja innovatsioon</c:v>
                </c:pt>
                <c:pt idx="3">
                  <c:v>Sotsiaalsed ettevõtted ja mikroettevõtjad</c:v>
                </c:pt>
                <c:pt idx="4">
                  <c:v>VKEd</c:v>
                </c:pt>
                <c:pt idx="5">
                  <c:v>Arengukoostöö rahastamisvahend</c:v>
                </c:pt>
                <c:pt idx="6">
                  <c:v>Laienemisprotsessis osalevad riigid</c:v>
                </c:pt>
              </c:strCache>
            </c:strRef>
          </c:cat>
          <c:val>
            <c:numRef>
              <c:f>'Tot Bud commitments by target'!$H$5:$H$11</c:f>
              <c:numCache>
                <c:formatCode>_-* #,##0.00_-;\-* #,##0.00_-;_-* "-"??_-;_-@_-</c:formatCode>
                <c:ptCount val="7"/>
                <c:pt idx="0">
                  <c:v>130.47</c:v>
                </c:pt>
                <c:pt idx="1">
                  <c:v>908.66700000000003</c:v>
                </c:pt>
                <c:pt idx="2">
                  <c:v>1951.32</c:v>
                </c:pt>
                <c:pt idx="3">
                  <c:v>81.510000000000005</c:v>
                </c:pt>
                <c:pt idx="4">
                  <c:v>1570.52</c:v>
                </c:pt>
                <c:pt idx="5">
                  <c:v>270.31</c:v>
                </c:pt>
                <c:pt idx="6">
                  <c:v>17.5</c:v>
                </c:pt>
              </c:numCache>
            </c:numRef>
          </c:val>
          <c:extLst xmlns:c16r2="http://schemas.microsoft.com/office/drawing/2015/06/chart">
            <c:ext xmlns:c16="http://schemas.microsoft.com/office/drawing/2014/chart" uri="{C3380CC4-5D6E-409C-BE32-E72D297353CC}">
              <c16:uniqueId val="{0000000E-86F6-4539-BAD7-7F33D2BB1A11}"/>
            </c:ext>
          </c:extLst>
        </c:ser>
        <c:dLbls>
          <c:showLegendKey val="0"/>
          <c:showVal val="0"/>
          <c:showCatName val="0"/>
          <c:showSerName val="0"/>
          <c:showPercent val="0"/>
          <c:showBubbleSize val="0"/>
          <c:showLeaderLines val="0"/>
        </c:dLbls>
      </c:pie3DChart>
      <c:spPr>
        <a:noFill/>
        <a:ln w="25400">
          <a:noFill/>
        </a:ln>
      </c:spPr>
    </c:plotArea>
    <c:legend>
      <c:legendPos val="b"/>
      <c:layout>
        <c:manualLayout>
          <c:xMode val="edge"/>
          <c:yMode val="edge"/>
          <c:x val="6.6426280690260409E-2"/>
          <c:y val="0.74353595181133325"/>
          <c:w val="0.8498631045541496"/>
          <c:h val="0.20718896863555769"/>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0.30802</cdr:x>
      <cdr:y>0.38387</cdr:y>
    </cdr:from>
    <cdr:to>
      <cdr:x>0.44409</cdr:x>
      <cdr:y>0.72242</cdr:y>
    </cdr:to>
    <cdr:sp macro="" textlink="">
      <cdr:nvSpPr>
        <cdr:cNvPr id="4" name="Shape 3"/>
        <cdr:cNvSpPr/>
      </cdr:nvSpPr>
      <cdr:spPr>
        <a:xfrm xmlns:a="http://schemas.openxmlformats.org/drawingml/2006/main">
          <a:off x="1863001" y="1314450"/>
          <a:ext cx="823050" cy="1159289"/>
        </a:xfrm>
        <a:prstGeom xmlns:a="http://schemas.openxmlformats.org/drawingml/2006/main" prst="swooshArrow">
          <a:avLst>
            <a:gd name="adj1" fmla="val 16310"/>
            <a:gd name="adj2" fmla="val 31370"/>
          </a:avLst>
        </a:prstGeom>
        <a:noFill xmlns:a="http://schemas.openxmlformats.org/drawingml/2006/main"/>
        <a:ln xmlns:a="http://schemas.openxmlformats.org/drawingml/2006/main" w="76200">
          <a:solidFill>
            <a:schemeClr val="tx2">
              <a:lumMod val="60000"/>
              <a:lumOff val="40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0.56797</cdr:x>
      <cdr:y>0.22063</cdr:y>
    </cdr:from>
    <cdr:to>
      <cdr:x>0.71816</cdr:x>
      <cdr:y>0.36208</cdr:y>
    </cdr:to>
    <cdr:sp macro="" textlink="">
      <cdr:nvSpPr>
        <cdr:cNvPr id="5" name="Shape 4"/>
        <cdr:cNvSpPr/>
      </cdr:nvSpPr>
      <cdr:spPr>
        <a:xfrm xmlns:a="http://schemas.openxmlformats.org/drawingml/2006/main" rot="21198375">
          <a:off x="3576633" y="930549"/>
          <a:ext cx="945781" cy="596627"/>
        </a:xfrm>
        <a:prstGeom xmlns:a="http://schemas.openxmlformats.org/drawingml/2006/main" prst="swooshArrow">
          <a:avLst>
            <a:gd name="adj1" fmla="val 17891"/>
            <a:gd name="adj2" fmla="val 31370"/>
          </a:avLst>
        </a:prstGeom>
        <a:noFill xmlns:a="http://schemas.openxmlformats.org/drawingml/2006/main"/>
        <a:ln xmlns:a="http://schemas.openxmlformats.org/drawingml/2006/main" w="76200">
          <a:solidFill>
            <a:schemeClr val="tx2">
              <a:lumMod val="60000"/>
              <a:lumOff val="40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0.33895</cdr:x>
      <cdr:y>0.61838</cdr:y>
    </cdr:from>
    <cdr:to>
      <cdr:x>0.45636</cdr:x>
      <cdr:y>0.7154</cdr:y>
    </cdr:to>
    <cdr:sp macro="" textlink="">
      <cdr:nvSpPr>
        <cdr:cNvPr id="8" name="Rectangle 5"/>
        <cdr:cNvSpPr/>
      </cdr:nvSpPr>
      <cdr:spPr>
        <a:xfrm xmlns:a="http://schemas.openxmlformats.org/drawingml/2006/main">
          <a:off x="1701800" y="2114550"/>
          <a:ext cx="589484" cy="331757"/>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1493E678-3BBF-4D5C-9E8E-F6549D3224EE}" type="TxLink">
            <a:rPr lang="en-US" sz="800" b="0" i="0" u="none" strike="noStrike">
              <a:solidFill>
                <a:schemeClr val="tx2"/>
              </a:solidFill>
              <a:latin typeface="Calibri"/>
              <a:cs typeface="Arial" panose="020B0604020202020204" pitchFamily="34" charset="0"/>
            </a:rPr>
            <a:pPr algn="ctr"/>
            <a:t>x 
18,3</a:t>
          </a:fld>
          <a:endParaRPr lang="en-GB" sz="800" b="0">
            <a:solidFill>
              <a:schemeClr val="tx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0.59191</cdr:x>
      <cdr:y>0.33674</cdr:y>
    </cdr:from>
    <cdr:to>
      <cdr:x>0.71708</cdr:x>
      <cdr:y>0.44134</cdr:y>
    </cdr:to>
    <cdr:sp macro="" textlink="">
      <cdr:nvSpPr>
        <cdr:cNvPr id="9" name="Rectangle 6"/>
        <cdr:cNvSpPr/>
      </cdr:nvSpPr>
      <cdr:spPr>
        <a:xfrm xmlns:a="http://schemas.openxmlformats.org/drawingml/2006/main">
          <a:off x="2971800" y="1151466"/>
          <a:ext cx="628445" cy="357677"/>
        </a:xfrm>
        <a:prstGeom xmlns:a="http://schemas.openxmlformats.org/drawingml/2006/main" prst="rect">
          <a:avLst/>
        </a:prstGeom>
        <a:solidFill xmlns:a="http://schemas.openxmlformats.org/drawingml/2006/main">
          <a:schemeClr val="accent1">
            <a:lumMod val="20000"/>
            <a:lumOff val="80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D357915E-67AB-4506-A77B-ACB5919C1B32}" type="TxLink">
            <a:rPr lang="en-US" sz="800" b="0" i="0" u="none" strike="noStrike">
              <a:solidFill>
                <a:schemeClr val="tx2"/>
              </a:solidFill>
              <a:latin typeface="Calibri"/>
              <a:cs typeface="Arial" panose="020B0604020202020204" pitchFamily="34" charset="0"/>
            </a:rPr>
            <a:pPr algn="ctr"/>
            <a:t>x 
1,6</a:t>
          </a:fld>
          <a:endParaRPr lang="en-GB" sz="800">
            <a:solidFill>
              <a:schemeClr val="tx2"/>
            </a:solidFill>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0.26828</cdr:x>
      <cdr:y>0.43627</cdr:y>
    </cdr:from>
    <cdr:to>
      <cdr:x>0.42818</cdr:x>
      <cdr:y>0.76821</cdr:y>
    </cdr:to>
    <cdr:sp macro="" textlink="">
      <cdr:nvSpPr>
        <cdr:cNvPr id="4" name="Shape 3"/>
        <cdr:cNvSpPr/>
      </cdr:nvSpPr>
      <cdr:spPr>
        <a:xfrm xmlns:a="http://schemas.openxmlformats.org/drawingml/2006/main">
          <a:off x="1352143" y="1492027"/>
          <a:ext cx="805896" cy="1135235"/>
        </a:xfrm>
        <a:prstGeom xmlns:a="http://schemas.openxmlformats.org/drawingml/2006/main" prst="swooshArrow">
          <a:avLst>
            <a:gd name="adj1" fmla="val 16310"/>
            <a:gd name="adj2" fmla="val 31370"/>
          </a:avLst>
        </a:prstGeom>
        <a:noFill xmlns:a="http://schemas.openxmlformats.org/drawingml/2006/main"/>
        <a:ln xmlns:a="http://schemas.openxmlformats.org/drawingml/2006/main" w="76200">
          <a:solidFill>
            <a:schemeClr val="accent3"/>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0.53916</cdr:x>
      <cdr:y>0.28749</cdr:y>
    </cdr:from>
    <cdr:to>
      <cdr:x>0.69426</cdr:x>
      <cdr:y>0.49198</cdr:y>
    </cdr:to>
    <cdr:sp macro="" textlink="">
      <cdr:nvSpPr>
        <cdr:cNvPr id="5" name="Shape 4"/>
        <cdr:cNvSpPr/>
      </cdr:nvSpPr>
      <cdr:spPr>
        <a:xfrm xmlns:a="http://schemas.openxmlformats.org/drawingml/2006/main" rot="21198375">
          <a:off x="3396726" y="1241957"/>
          <a:ext cx="977130" cy="883397"/>
        </a:xfrm>
        <a:prstGeom xmlns:a="http://schemas.openxmlformats.org/drawingml/2006/main" prst="swooshArrow">
          <a:avLst>
            <a:gd name="adj1" fmla="val 17891"/>
            <a:gd name="adj2" fmla="val 31370"/>
          </a:avLst>
        </a:prstGeom>
        <a:solidFill xmlns:a="http://schemas.openxmlformats.org/drawingml/2006/main">
          <a:sysClr val="window" lastClr="FFFFFF"/>
        </a:solidFill>
        <a:ln xmlns:a="http://schemas.openxmlformats.org/drawingml/2006/main" w="76200">
          <a:solidFill>
            <a:schemeClr val="accent3"/>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0.30387</cdr:x>
      <cdr:y>0.63695</cdr:y>
    </cdr:from>
    <cdr:to>
      <cdr:x>0.43824</cdr:x>
      <cdr:y>0.74528</cdr:y>
    </cdr:to>
    <cdr:sp macro="" textlink="">
      <cdr:nvSpPr>
        <cdr:cNvPr id="8" name="Rectangle 5"/>
        <cdr:cNvSpPr/>
      </cdr:nvSpPr>
      <cdr:spPr>
        <a:xfrm xmlns:a="http://schemas.openxmlformats.org/drawingml/2006/main">
          <a:off x="1437217" y="2178050"/>
          <a:ext cx="635529" cy="370431"/>
        </a:xfrm>
        <a:prstGeom xmlns:a="http://schemas.openxmlformats.org/drawingml/2006/main" prst="rect">
          <a:avLst/>
        </a:prstGeom>
        <a:solidFill xmlns:a="http://schemas.openxmlformats.org/drawingml/2006/main">
          <a:schemeClr val="accent3">
            <a:lumMod val="20000"/>
            <a:lumOff val="80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C122E541-21D4-443B-941B-2C439CE3C815}" type="TxLink">
            <a:rPr lang="en-US" sz="800" b="0" i="0" u="none" strike="noStrike">
              <a:solidFill>
                <a:schemeClr val="accent3"/>
              </a:solidFill>
              <a:latin typeface="Calibri"/>
              <a:cs typeface="Arial" panose="020B0604020202020204" pitchFamily="34" charset="0"/>
            </a:rPr>
            <a:pPr algn="ctr"/>
            <a:t>x 
13,5</a:t>
          </a:fld>
          <a:endParaRPr lang="en-GB" sz="800" b="0">
            <a:solidFill>
              <a:schemeClr val="accent3"/>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0.597</cdr:x>
      <cdr:y>0.4203</cdr:y>
    </cdr:from>
    <cdr:to>
      <cdr:x>0.70747</cdr:x>
      <cdr:y>0.51024</cdr:y>
    </cdr:to>
    <cdr:sp macro="" textlink="">
      <cdr:nvSpPr>
        <cdr:cNvPr id="9" name="Rectangle 6"/>
        <cdr:cNvSpPr/>
      </cdr:nvSpPr>
      <cdr:spPr>
        <a:xfrm xmlns:a="http://schemas.openxmlformats.org/drawingml/2006/main">
          <a:off x="2823633" y="1437217"/>
          <a:ext cx="522489" cy="307548"/>
        </a:xfrm>
        <a:prstGeom xmlns:a="http://schemas.openxmlformats.org/drawingml/2006/main" prst="rect">
          <a:avLst/>
        </a:prstGeom>
        <a:solidFill xmlns:a="http://schemas.openxmlformats.org/drawingml/2006/main">
          <a:schemeClr val="accent3">
            <a:lumMod val="20000"/>
            <a:lumOff val="80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34C3078D-0402-46C8-9842-8AF066830D78}" type="TxLink">
            <a:rPr lang="en-US" sz="800" b="0" i="0" u="none" strike="noStrike">
              <a:solidFill>
                <a:schemeClr val="accent3"/>
              </a:solidFill>
              <a:latin typeface="Calibri"/>
              <a:cs typeface="Arial" panose="020B0604020202020204" pitchFamily="34" charset="0"/>
            </a:rPr>
            <a:pPr algn="ctr"/>
            <a:t>x 
2,1</a:t>
          </a:fld>
          <a:endParaRPr lang="en-GB" sz="800">
            <a:solidFill>
              <a:schemeClr val="accent3"/>
            </a:solidFill>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0.28028</cdr:x>
      <cdr:y>0.48508</cdr:y>
    </cdr:from>
    <cdr:to>
      <cdr:x>0.43877</cdr:x>
      <cdr:y>0.70045</cdr:y>
    </cdr:to>
    <cdr:sp macro="" textlink="">
      <cdr:nvSpPr>
        <cdr:cNvPr id="2" name="Shape 3"/>
        <cdr:cNvSpPr/>
      </cdr:nvSpPr>
      <cdr:spPr>
        <a:xfrm xmlns:a="http://schemas.openxmlformats.org/drawingml/2006/main">
          <a:off x="1614597" y="1469899"/>
          <a:ext cx="913016" cy="652618"/>
        </a:xfrm>
        <a:prstGeom xmlns:a="http://schemas.openxmlformats.org/drawingml/2006/main" prst="swooshArrow">
          <a:avLst>
            <a:gd name="adj1" fmla="val 16310"/>
            <a:gd name="adj2" fmla="val 31370"/>
          </a:avLst>
        </a:prstGeom>
        <a:solidFill xmlns:a="http://schemas.openxmlformats.org/drawingml/2006/main">
          <a:sysClr val="window" lastClr="FFFFFF"/>
        </a:solidFill>
        <a:ln xmlns:a="http://schemas.openxmlformats.org/drawingml/2006/main" w="76200">
          <a:solidFill>
            <a:schemeClr val="accent6"/>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0.53134</cdr:x>
      <cdr:y>0.16457</cdr:y>
    </cdr:from>
    <cdr:to>
      <cdr:x>0.68693</cdr:x>
      <cdr:y>0.3693</cdr:y>
    </cdr:to>
    <cdr:sp macro="" textlink="">
      <cdr:nvSpPr>
        <cdr:cNvPr id="3" name="Shape 4"/>
        <cdr:cNvSpPr/>
      </cdr:nvSpPr>
      <cdr:spPr>
        <a:xfrm xmlns:a="http://schemas.openxmlformats.org/drawingml/2006/main" rot="605916">
          <a:off x="3060914" y="498682"/>
          <a:ext cx="896310" cy="620377"/>
        </a:xfrm>
        <a:prstGeom xmlns:a="http://schemas.openxmlformats.org/drawingml/2006/main" prst="swooshArrow">
          <a:avLst>
            <a:gd name="adj1" fmla="val 17891"/>
            <a:gd name="adj2" fmla="val 31370"/>
          </a:avLst>
        </a:prstGeom>
        <a:solidFill xmlns:a="http://schemas.openxmlformats.org/drawingml/2006/main">
          <a:sysClr val="window" lastClr="FFFFFF"/>
        </a:solidFill>
        <a:ln xmlns:a="http://schemas.openxmlformats.org/drawingml/2006/main" w="76200">
          <a:solidFill>
            <a:schemeClr val="accent6"/>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0.34321</cdr:x>
      <cdr:y>0.671</cdr:y>
    </cdr:from>
    <cdr:to>
      <cdr:x>0.43475</cdr:x>
      <cdr:y>0.75506</cdr:y>
    </cdr:to>
    <cdr:sp macro="" textlink="">
      <cdr:nvSpPr>
        <cdr:cNvPr id="8" name="Rectangle 5"/>
        <cdr:cNvSpPr/>
      </cdr:nvSpPr>
      <cdr:spPr>
        <a:xfrm xmlns:a="http://schemas.openxmlformats.org/drawingml/2006/main">
          <a:off x="2230967" y="2294467"/>
          <a:ext cx="595040" cy="287441"/>
        </a:xfrm>
        <a:prstGeom xmlns:a="http://schemas.openxmlformats.org/drawingml/2006/main" prst="rect">
          <a:avLst/>
        </a:prstGeom>
        <a:solidFill xmlns:a="http://schemas.openxmlformats.org/drawingml/2006/main">
          <a:schemeClr val="accent6">
            <a:lumMod val="20000"/>
            <a:lumOff val="80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A87880B2-B20C-4F05-9779-7D0339938B7E}" type="TxLink">
            <a:rPr lang="en-US" sz="800" b="0" i="0" u="none" strike="noStrike">
              <a:solidFill>
                <a:schemeClr val="accent6"/>
              </a:solidFill>
              <a:latin typeface="Calibri"/>
              <a:cs typeface="Arial" panose="020B0604020202020204" pitchFamily="34" charset="0"/>
            </a:rPr>
            <a:pPr algn="ctr"/>
            <a:t>x 
11,5</a:t>
          </a:fld>
          <a:endParaRPr lang="en-GB" sz="800" b="0">
            <a:solidFill>
              <a:schemeClr val="accent6"/>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0.59557</cdr:x>
      <cdr:y>0.44816</cdr:y>
    </cdr:from>
    <cdr:to>
      <cdr:x>0.69571</cdr:x>
      <cdr:y>0.52651</cdr:y>
    </cdr:to>
    <cdr:sp macro="" textlink="">
      <cdr:nvSpPr>
        <cdr:cNvPr id="9" name="Rectangle 6"/>
        <cdr:cNvSpPr/>
      </cdr:nvSpPr>
      <cdr:spPr>
        <a:xfrm xmlns:a="http://schemas.openxmlformats.org/drawingml/2006/main">
          <a:off x="3871383" y="1532467"/>
          <a:ext cx="650934" cy="267916"/>
        </a:xfrm>
        <a:prstGeom xmlns:a="http://schemas.openxmlformats.org/drawingml/2006/main" prst="rect">
          <a:avLst/>
        </a:prstGeom>
        <a:solidFill xmlns:a="http://schemas.openxmlformats.org/drawingml/2006/main">
          <a:schemeClr val="accent6">
            <a:lumMod val="20000"/>
            <a:lumOff val="80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67AA4FDE-A7E0-4183-9B21-951DA2271272}" type="TxLink">
            <a:rPr lang="en-US" sz="800" b="0" i="0" u="none" strike="noStrike">
              <a:solidFill>
                <a:schemeClr val="accent6"/>
              </a:solidFill>
              <a:latin typeface="Calibri"/>
              <a:cs typeface="Arial" panose="020B0604020202020204" pitchFamily="34" charset="0"/>
            </a:rPr>
            <a:pPr algn="ctr"/>
            <a:t>x 
1,4</a:t>
          </a:fld>
          <a:endParaRPr lang="en-GB" sz="800">
            <a:solidFill>
              <a:schemeClr val="accent6"/>
            </a:solidFill>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0.30896</cdr:x>
      <cdr:y>0.75082</cdr:y>
    </cdr:from>
    <cdr:to>
      <cdr:x>0.3722</cdr:x>
      <cdr:y>0.78557</cdr:y>
    </cdr:to>
    <cdr:sp macro="" textlink="">
      <cdr:nvSpPr>
        <cdr:cNvPr id="16" name="Shape 15"/>
        <cdr:cNvSpPr/>
      </cdr:nvSpPr>
      <cdr:spPr>
        <a:xfrm xmlns:a="http://schemas.openxmlformats.org/drawingml/2006/main" rot="191728">
          <a:off x="1779621" y="2702941"/>
          <a:ext cx="364263" cy="125100"/>
        </a:xfrm>
        <a:prstGeom xmlns:a="http://schemas.openxmlformats.org/drawingml/2006/main" prst="swooshArrow">
          <a:avLst>
            <a:gd name="adj1" fmla="val 17891"/>
            <a:gd name="adj2" fmla="val 31370"/>
          </a:avLst>
        </a:prstGeom>
        <a:solidFill xmlns:a="http://schemas.openxmlformats.org/drawingml/2006/main">
          <a:schemeClr val="bg1">
            <a:lumMod val="65000"/>
          </a:schemeClr>
        </a:solidFill>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0.53157</cdr:x>
      <cdr:y>0.67693</cdr:y>
    </cdr:from>
    <cdr:to>
      <cdr:x>0.59398</cdr:x>
      <cdr:y>0.74573</cdr:y>
    </cdr:to>
    <cdr:sp macro="" textlink="">
      <cdr:nvSpPr>
        <cdr:cNvPr id="20" name="Shape 19"/>
        <cdr:cNvSpPr/>
      </cdr:nvSpPr>
      <cdr:spPr>
        <a:xfrm xmlns:a="http://schemas.openxmlformats.org/drawingml/2006/main" rot="191728">
          <a:off x="3061822" y="2436932"/>
          <a:ext cx="359482" cy="247701"/>
        </a:xfrm>
        <a:prstGeom xmlns:a="http://schemas.openxmlformats.org/drawingml/2006/main" prst="swooshArrow">
          <a:avLst>
            <a:gd name="adj1" fmla="val 17891"/>
            <a:gd name="adj2" fmla="val 31370"/>
          </a:avLst>
        </a:prstGeom>
        <a:solidFill xmlns:a="http://schemas.openxmlformats.org/drawingml/2006/main">
          <a:schemeClr val="bg1">
            <a:lumMod val="65000"/>
          </a:schemeClr>
        </a:solidFill>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0.43555</cdr:x>
      <cdr:y>0.22471</cdr:y>
    </cdr:from>
    <cdr:to>
      <cdr:x>0.59374</cdr:x>
      <cdr:y>0.37125</cdr:y>
    </cdr:to>
    <cdr:sp macro="" textlink="">
      <cdr:nvSpPr>
        <cdr:cNvPr id="22" name="Shape 21"/>
        <cdr:cNvSpPr/>
      </cdr:nvSpPr>
      <cdr:spPr>
        <a:xfrm xmlns:a="http://schemas.openxmlformats.org/drawingml/2006/main" rot="21198375">
          <a:off x="2508761" y="808944"/>
          <a:ext cx="911189" cy="527565"/>
        </a:xfrm>
        <a:prstGeom xmlns:a="http://schemas.openxmlformats.org/drawingml/2006/main" prst="swooshArrow">
          <a:avLst>
            <a:gd name="adj1" fmla="val 17891"/>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0.22044</cdr:x>
      <cdr:y>0.43499</cdr:y>
    </cdr:from>
    <cdr:to>
      <cdr:x>0.36157</cdr:x>
      <cdr:y>0.73855</cdr:y>
    </cdr:to>
    <cdr:sp macro="" textlink="">
      <cdr:nvSpPr>
        <cdr:cNvPr id="23" name="Shape 22"/>
        <cdr:cNvSpPr/>
      </cdr:nvSpPr>
      <cdr:spPr>
        <a:xfrm xmlns:a="http://schemas.openxmlformats.org/drawingml/2006/main">
          <a:off x="1269740" y="1565973"/>
          <a:ext cx="812889" cy="1092814"/>
        </a:xfrm>
        <a:prstGeom xmlns:a="http://schemas.openxmlformats.org/drawingml/2006/main" prst="swooshArrow">
          <a:avLst>
            <a:gd name="adj1" fmla="val 15489"/>
            <a:gd name="adj2" fmla="val 22513"/>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0.43266</cdr:x>
      <cdr:y>0.15902</cdr:y>
    </cdr:from>
    <cdr:to>
      <cdr:x>0.49405</cdr:x>
      <cdr:y>0.23928</cdr:y>
    </cdr:to>
    <cdr:sp macro="" textlink="">
      <cdr:nvSpPr>
        <cdr:cNvPr id="14" name="Rectangle 6"/>
        <cdr:cNvSpPr/>
      </cdr:nvSpPr>
      <cdr:spPr>
        <a:xfrm xmlns:a="http://schemas.openxmlformats.org/drawingml/2006/main">
          <a:off x="2495550" y="675217"/>
          <a:ext cx="354093" cy="340786"/>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18D06AB7-BEE5-4F29-AC83-B2C4B2D3171A}" type="TxLink">
            <a:rPr lang="en-US" sz="800" b="0" i="0" u="none" strike="noStrike">
              <a:solidFill>
                <a:schemeClr val="bg1"/>
              </a:solidFill>
              <a:latin typeface="Calibri"/>
              <a:cs typeface="Arial" panose="020B0604020202020204" pitchFamily="34" charset="0"/>
            </a:rPr>
            <a:pPr algn="ctr"/>
            <a:t>x 
1.3</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0.19046</cdr:x>
      <cdr:y>0.42323</cdr:y>
    </cdr:from>
    <cdr:to>
      <cdr:x>0.27066</cdr:x>
      <cdr:y>0.50349</cdr:y>
    </cdr:to>
    <cdr:sp macro="" textlink="">
      <cdr:nvSpPr>
        <cdr:cNvPr id="15" name="Rectangle 5"/>
        <cdr:cNvSpPr/>
      </cdr:nvSpPr>
      <cdr:spPr>
        <a:xfrm xmlns:a="http://schemas.openxmlformats.org/drawingml/2006/main">
          <a:off x="1098550" y="1797050"/>
          <a:ext cx="462587" cy="340786"/>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61A7294F-8DE9-4F86-B9C5-82666F59AD68}" type="TxLink">
            <a:rPr lang="en-US" sz="800" b="0" i="0" u="none" strike="noStrike">
              <a:solidFill>
                <a:schemeClr val="bg1"/>
              </a:solidFill>
              <a:latin typeface="Calibri"/>
              <a:cs typeface="Arial" panose="020B0604020202020204" pitchFamily="34" charset="0"/>
            </a:rPr>
            <a:pPr algn="ctr"/>
            <a:t>x 
9.7</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0.30789</cdr:x>
      <cdr:y>0.63509</cdr:y>
    </cdr:from>
    <cdr:to>
      <cdr:x>0.38276</cdr:x>
      <cdr:y>0.71077</cdr:y>
    </cdr:to>
    <cdr:sp macro="" textlink="">
      <cdr:nvSpPr>
        <cdr:cNvPr id="17" name="Rectangle 5"/>
        <cdr:cNvSpPr/>
      </cdr:nvSpPr>
      <cdr:spPr>
        <a:xfrm xmlns:a="http://schemas.openxmlformats.org/drawingml/2006/main">
          <a:off x="1775884" y="2696633"/>
          <a:ext cx="431844" cy="321340"/>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2B86DB00-AC38-40AE-B71D-CFC83A1072C5}" type="TxLink">
            <a:rPr lang="en-US" sz="800" b="0" i="0" u="none" strike="noStrike">
              <a:solidFill>
                <a:schemeClr val="bg1"/>
              </a:solidFill>
              <a:latin typeface="Calibri"/>
              <a:cs typeface="Arial" panose="020B0604020202020204" pitchFamily="34" charset="0"/>
            </a:rPr>
            <a:pPr algn="ctr"/>
            <a:t>x 
11.5</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0.53174</cdr:x>
      <cdr:y>0.58026</cdr:y>
    </cdr:from>
    <cdr:to>
      <cdr:x>0.59337</cdr:x>
      <cdr:y>0.65933</cdr:y>
    </cdr:to>
    <cdr:sp macro="" textlink="">
      <cdr:nvSpPr>
        <cdr:cNvPr id="18" name="Rectangle 6"/>
        <cdr:cNvSpPr/>
      </cdr:nvSpPr>
      <cdr:spPr>
        <a:xfrm xmlns:a="http://schemas.openxmlformats.org/drawingml/2006/main">
          <a:off x="3067050" y="2463800"/>
          <a:ext cx="355477" cy="335734"/>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E9A7AABB-CFAA-4230-9B7E-4871136ECA55}" type="TxLink">
            <a:rPr lang="en-US" sz="800" b="0" i="0" u="none" strike="noStrike">
              <a:solidFill>
                <a:schemeClr val="bg1"/>
              </a:solidFill>
              <a:latin typeface="Calibri"/>
              <a:cs typeface="Arial" panose="020B0604020202020204" pitchFamily="34" charset="0"/>
            </a:rPr>
            <a:pPr algn="ctr"/>
            <a:t>x 
1.5</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0.80312</cdr:x>
      <cdr:y>0.22134</cdr:y>
    </cdr:from>
    <cdr:to>
      <cdr:x>0.99578</cdr:x>
      <cdr:y>0.35196</cdr:y>
    </cdr:to>
    <cdr:sp macro="" textlink="">
      <cdr:nvSpPr>
        <cdr:cNvPr id="19" name="TextBox 1"/>
        <cdr:cNvSpPr txBox="1"/>
      </cdr:nvSpPr>
      <cdr:spPr>
        <a:xfrm xmlns:a="http://schemas.openxmlformats.org/drawingml/2006/main">
          <a:off x="4632326" y="939800"/>
          <a:ext cx="1111250" cy="554617"/>
        </a:xfrm>
        <a:prstGeom xmlns:a="http://schemas.openxmlformats.org/drawingml/2006/main" prst="rect">
          <a:avLst/>
        </a:prstGeom>
        <a:solidFill xmlns:a="http://schemas.openxmlformats.org/drawingml/2006/main">
          <a:schemeClr val="accent6">
            <a:lumMod val="75000"/>
            <a:alpha val="81000"/>
          </a:schemeClr>
        </a:solidFill>
        <a:effectLst xmlns:a="http://schemas.openxmlformats.org/drawingml/2006/main">
          <a:innerShdw blurRad="127000" dist="228600" dir="16200000">
            <a:srgbClr val="642F04">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t-EE" sz="1000" b="1" i="1" u="none" strike="noStrike" baseline="0">
              <a:solidFill>
                <a:srgbClr val="FFFFFF"/>
              </a:solidFill>
              <a:latin typeface="Calibri"/>
            </a:rPr>
            <a:t>Eeldatavad investeeringud</a:t>
          </a:r>
        </a:p>
      </cdr:txBody>
    </cdr:sp>
  </cdr:relSizeAnchor>
  <cdr:relSizeAnchor xmlns:cdr="http://schemas.openxmlformats.org/drawingml/2006/chartDrawing">
    <cdr:from>
      <cdr:x>0.80312</cdr:x>
      <cdr:y>0.36341</cdr:y>
    </cdr:from>
    <cdr:to>
      <cdr:x>0.99578</cdr:x>
      <cdr:y>0.49402</cdr:y>
    </cdr:to>
    <cdr:sp macro="" textlink="">
      <cdr:nvSpPr>
        <cdr:cNvPr id="21" name="TextBox 1"/>
        <cdr:cNvSpPr txBox="1"/>
      </cdr:nvSpPr>
      <cdr:spPr>
        <a:xfrm xmlns:a="http://schemas.openxmlformats.org/drawingml/2006/main">
          <a:off x="4632325" y="1543050"/>
          <a:ext cx="1111249" cy="554575"/>
        </a:xfrm>
        <a:prstGeom xmlns:a="http://schemas.openxmlformats.org/drawingml/2006/main" prst="rect">
          <a:avLst/>
        </a:prstGeom>
        <a:solidFill xmlns:a="http://schemas.openxmlformats.org/drawingml/2006/main">
          <a:schemeClr val="accent3">
            <a:lumMod val="75000"/>
            <a:alpha val="81000"/>
          </a:schemeClr>
        </a:solidFill>
        <a:effectLst xmlns:a="http://schemas.openxmlformats.org/drawingml/2006/main">
          <a:innerShdw blurRad="127000" dist="228600" dir="16200000">
            <a:srgbClr val="34411B">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t-EE" sz="1000" b="1" i="1" u="none" strike="noStrike" baseline="0">
              <a:solidFill>
                <a:srgbClr val="FFFFFF"/>
              </a:solidFill>
              <a:latin typeface="Calibri"/>
            </a:rPr>
            <a:t>Eeldatav rahastamistoetus</a:t>
          </a:r>
        </a:p>
      </cdr:txBody>
    </cdr:sp>
  </cdr:relSizeAnchor>
  <cdr:relSizeAnchor xmlns:cdr="http://schemas.openxmlformats.org/drawingml/2006/chartDrawing">
    <cdr:from>
      <cdr:x>0.80128</cdr:x>
      <cdr:y>0.50548</cdr:y>
    </cdr:from>
    <cdr:to>
      <cdr:x>0.99578</cdr:x>
      <cdr:y>0.63609</cdr:y>
    </cdr:to>
    <cdr:sp macro="" textlink="">
      <cdr:nvSpPr>
        <cdr:cNvPr id="27" name="TextBox 1"/>
        <cdr:cNvSpPr txBox="1"/>
      </cdr:nvSpPr>
      <cdr:spPr>
        <a:xfrm xmlns:a="http://schemas.openxmlformats.org/drawingml/2006/main">
          <a:off x="4621742" y="2146300"/>
          <a:ext cx="1121833" cy="554574"/>
        </a:xfrm>
        <a:prstGeom xmlns:a="http://schemas.openxmlformats.org/drawingml/2006/main" prst="rect">
          <a:avLst/>
        </a:prstGeom>
        <a:solidFill xmlns:a="http://schemas.openxmlformats.org/drawingml/2006/main">
          <a:srgbClr val="0070C0">
            <a:alpha val="81000"/>
          </a:srgbClr>
        </a:solidFill>
        <a:effectLst xmlns:a="http://schemas.openxmlformats.org/drawingml/2006/main">
          <a:innerShdw blurRad="127000" dist="228600" dir="16200000">
            <a:schemeClr val="accent1">
              <a:lumMod val="75000"/>
              <a:alpha val="50000"/>
            </a:scheme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t-EE" sz="1000" b="1" i="1" u="none" strike="noStrike" baseline="0">
              <a:solidFill>
                <a:srgbClr val="FFFFFF"/>
              </a:solidFill>
              <a:latin typeface="Calibri"/>
            </a:rPr>
            <a:t>Kulukohustuste koondsumma</a:t>
          </a:r>
        </a:p>
      </cdr:txBody>
    </cdr:sp>
  </cdr:relSizeAnchor>
</c:userShapes>
</file>

<file path=word/drawings/drawing5.xml><?xml version="1.0" encoding="utf-8"?>
<c:userShapes xmlns:c="http://schemas.openxmlformats.org/drawingml/2006/chart">
  <cdr:relSizeAnchor xmlns:cdr="http://schemas.openxmlformats.org/drawingml/2006/chartDrawing">
    <cdr:from>
      <cdr:x>0.22599</cdr:x>
      <cdr:y>0.47573</cdr:y>
    </cdr:from>
    <cdr:to>
      <cdr:x>0.36333</cdr:x>
      <cdr:y>0.72454</cdr:y>
    </cdr:to>
    <cdr:sp macro="" textlink="">
      <cdr:nvSpPr>
        <cdr:cNvPr id="4" name="Shape 3"/>
        <cdr:cNvSpPr/>
      </cdr:nvSpPr>
      <cdr:spPr>
        <a:xfrm xmlns:a="http://schemas.openxmlformats.org/drawingml/2006/main">
          <a:off x="1262592" y="1626747"/>
          <a:ext cx="767312" cy="850811"/>
        </a:xfrm>
        <a:prstGeom xmlns:a="http://schemas.openxmlformats.org/drawingml/2006/main" prst="swooshArrow">
          <a:avLst>
            <a:gd name="adj1" fmla="val 16310"/>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0.42844</cdr:x>
      <cdr:y>0.22414</cdr:y>
    </cdr:from>
    <cdr:to>
      <cdr:x>0.59491</cdr:x>
      <cdr:y>0.37934</cdr:y>
    </cdr:to>
    <cdr:sp macro="" textlink="">
      <cdr:nvSpPr>
        <cdr:cNvPr id="5" name="Shape 4"/>
        <cdr:cNvSpPr/>
      </cdr:nvSpPr>
      <cdr:spPr>
        <a:xfrm xmlns:a="http://schemas.openxmlformats.org/drawingml/2006/main">
          <a:off x="2390709" y="766570"/>
          <a:ext cx="928878" cy="530785"/>
        </a:xfrm>
        <a:prstGeom xmlns:a="http://schemas.openxmlformats.org/drawingml/2006/main" prst="swooshArrow">
          <a:avLst>
            <a:gd name="adj1" fmla="val 17891"/>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0.28684</cdr:x>
      <cdr:y>0.77737</cdr:y>
    </cdr:from>
    <cdr:to>
      <cdr:x>0.36603</cdr:x>
      <cdr:y>0.81654</cdr:y>
    </cdr:to>
    <cdr:sp macro="" textlink="">
      <cdr:nvSpPr>
        <cdr:cNvPr id="18" name="Shape 17"/>
        <cdr:cNvSpPr/>
      </cdr:nvSpPr>
      <cdr:spPr>
        <a:xfrm xmlns:a="http://schemas.openxmlformats.org/drawingml/2006/main" rot="191728">
          <a:off x="1600555" y="2658598"/>
          <a:ext cx="441880" cy="133961"/>
        </a:xfrm>
        <a:prstGeom xmlns:a="http://schemas.openxmlformats.org/drawingml/2006/main" prst="swooshArrow">
          <a:avLst>
            <a:gd name="adj1" fmla="val 17891"/>
            <a:gd name="adj2" fmla="val 31370"/>
          </a:avLst>
        </a:prstGeom>
        <a:solidFill xmlns:a="http://schemas.openxmlformats.org/drawingml/2006/main">
          <a:schemeClr val="bg1">
            <a:lumMod val="65000"/>
          </a:schemeClr>
        </a:solidFill>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0.51446</cdr:x>
      <cdr:y>0.70042</cdr:y>
    </cdr:from>
    <cdr:to>
      <cdr:x>0.57688</cdr:x>
      <cdr:y>0.77046</cdr:y>
    </cdr:to>
    <cdr:sp macro="" textlink="">
      <cdr:nvSpPr>
        <cdr:cNvPr id="19" name="Shape 18"/>
        <cdr:cNvSpPr/>
      </cdr:nvSpPr>
      <cdr:spPr>
        <a:xfrm xmlns:a="http://schemas.openxmlformats.org/drawingml/2006/main" rot="191728">
          <a:off x="2870687" y="2395440"/>
          <a:ext cx="348303" cy="239537"/>
        </a:xfrm>
        <a:prstGeom xmlns:a="http://schemas.openxmlformats.org/drawingml/2006/main" prst="swooshArrow">
          <a:avLst>
            <a:gd name="adj1" fmla="val 17891"/>
            <a:gd name="adj2" fmla="val 31370"/>
          </a:avLst>
        </a:prstGeom>
        <a:solidFill xmlns:a="http://schemas.openxmlformats.org/drawingml/2006/main">
          <a:schemeClr val="bg1">
            <a:lumMod val="65000"/>
          </a:schemeClr>
        </a:solidFill>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0.81739</cdr:x>
      <cdr:y>0.19588</cdr:y>
    </cdr:from>
    <cdr:to>
      <cdr:x>0.81739</cdr:x>
      <cdr:y>0.19588</cdr:y>
    </cdr:to>
    <cdr:grpSp>
      <cdr:nvGrpSpPr>
        <cdr:cNvPr id="16" name="Group 15">
          <a:extLst xmlns:a="http://schemas.openxmlformats.org/drawingml/2006/main">
            <a:ext uri="{FF2B5EF4-FFF2-40B4-BE49-F238E27FC236}">
              <a16:creationId xmlns="" xmlns:a16="http://schemas.microsoft.com/office/drawing/2014/main" id="{9548495C-6AB0-46E3-B652-C08FEF81D043}"/>
            </a:ext>
          </a:extLst>
        </cdr:cNvPr>
        <cdr:cNvGrpSpPr/>
      </cdr:nvGrpSpPr>
      <cdr:grpSpPr>
        <a:xfrm xmlns:a="http://schemas.openxmlformats.org/drawingml/2006/main">
          <a:off x="4566711" y="669807"/>
          <a:ext cx="0" cy="0"/>
          <a:chOff x="0" y="0"/>
          <a:chExt cx="0" cy="0"/>
        </a:xfrm>
      </cdr:grpSpPr>
    </cdr:grpSp>
  </cdr:relSizeAnchor>
  <cdr:relSizeAnchor xmlns:cdr="http://schemas.openxmlformats.org/drawingml/2006/chartDrawing">
    <cdr:from>
      <cdr:x>0.79807</cdr:x>
      <cdr:y>0.39114</cdr:y>
    </cdr:from>
    <cdr:to>
      <cdr:x>0.99697</cdr:x>
      <cdr:y>0.54536</cdr:y>
    </cdr:to>
    <cdr:sp macro="" textlink="">
      <cdr:nvSpPr>
        <cdr:cNvPr id="20" name="TextBox 1"/>
        <cdr:cNvSpPr txBox="1"/>
      </cdr:nvSpPr>
      <cdr:spPr>
        <a:xfrm xmlns:a="http://schemas.openxmlformats.org/drawingml/2006/main">
          <a:off x="4458758" y="1337493"/>
          <a:ext cx="1111249" cy="527352"/>
        </a:xfrm>
        <a:prstGeom xmlns:a="http://schemas.openxmlformats.org/drawingml/2006/main" prst="rect">
          <a:avLst/>
        </a:prstGeom>
        <a:solidFill xmlns:a="http://schemas.openxmlformats.org/drawingml/2006/main">
          <a:schemeClr val="accent3">
            <a:lumMod val="75000"/>
            <a:alpha val="81000"/>
          </a:schemeClr>
        </a:solidFill>
        <a:effectLst xmlns:a="http://schemas.openxmlformats.org/drawingml/2006/main">
          <a:innerShdw blurRad="127000" dist="228600" dir="16200000">
            <a:srgbClr val="34411B">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08B7839C-92E8-4D00-985B-1EB863FC1BBF}" type="TxLink">
            <a:rPr lang="en-US" sz="1000" b="1" i="1" u="none" strike="noStrike">
              <a:solidFill>
                <a:schemeClr val="bg1"/>
              </a:solidFill>
              <a:latin typeface="Calibri"/>
            </a:rPr>
            <a:pPr algn="ctr"/>
            <a:t>Eeldatav rahastamistoetus</a:t>
          </a:fld>
          <a:endParaRPr lang="en-GB" sz="1000" b="1">
            <a:solidFill>
              <a:schemeClr val="bg1"/>
            </a:solidFill>
          </a:endParaRPr>
        </a:p>
      </cdr:txBody>
    </cdr:sp>
  </cdr:relSizeAnchor>
  <cdr:relSizeAnchor xmlns:cdr="http://schemas.openxmlformats.org/drawingml/2006/chartDrawing">
    <cdr:from>
      <cdr:x>0.79807</cdr:x>
      <cdr:y>0.55839</cdr:y>
    </cdr:from>
    <cdr:to>
      <cdr:x>0.99886</cdr:x>
      <cdr:y>0.71261</cdr:y>
    </cdr:to>
    <cdr:sp macro="" textlink="">
      <cdr:nvSpPr>
        <cdr:cNvPr id="21" name="TextBox 1"/>
        <cdr:cNvSpPr txBox="1"/>
      </cdr:nvSpPr>
      <cdr:spPr>
        <a:xfrm xmlns:a="http://schemas.openxmlformats.org/drawingml/2006/main">
          <a:off x="4458759" y="1909401"/>
          <a:ext cx="1121834" cy="527351"/>
        </a:xfrm>
        <a:prstGeom xmlns:a="http://schemas.openxmlformats.org/drawingml/2006/main" prst="rect">
          <a:avLst/>
        </a:prstGeom>
        <a:solidFill xmlns:a="http://schemas.openxmlformats.org/drawingml/2006/main">
          <a:srgbClr val="0070C0">
            <a:alpha val="81000"/>
          </a:srgbClr>
        </a:solidFill>
        <a:effectLst xmlns:a="http://schemas.openxmlformats.org/drawingml/2006/main">
          <a:innerShdw blurRad="127000" dist="228600" dir="16200000">
            <a:schemeClr val="accent1">
              <a:lumMod val="75000"/>
              <a:alpha val="50000"/>
            </a:scheme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3B0CF9CD-6837-4745-85D4-54BB47A65D27}" type="TxLink">
            <a:rPr lang="en-US" sz="1000" b="1" i="1" u="none" strike="noStrike">
              <a:solidFill>
                <a:schemeClr val="bg1"/>
              </a:solidFill>
              <a:latin typeface="Calibri"/>
            </a:rPr>
            <a:pPr algn="ctr"/>
            <a:t>Kulukohustuste koondsumma</a:t>
          </a:fld>
          <a:endParaRPr lang="en-GB" sz="1000" b="1">
            <a:solidFill>
              <a:schemeClr val="bg1"/>
            </a:solidFill>
          </a:endParaRPr>
        </a:p>
      </cdr:txBody>
    </cdr:sp>
  </cdr:relSizeAnchor>
  <cdr:relSizeAnchor xmlns:cdr="http://schemas.openxmlformats.org/drawingml/2006/chartDrawing">
    <cdr:from>
      <cdr:x>0.79807</cdr:x>
      <cdr:y>0.22532</cdr:y>
    </cdr:from>
    <cdr:to>
      <cdr:x>0.99697</cdr:x>
      <cdr:y>0.37954</cdr:y>
    </cdr:to>
    <cdr:sp macro="" textlink="">
      <cdr:nvSpPr>
        <cdr:cNvPr id="22" name="TextBox 1"/>
        <cdr:cNvSpPr txBox="1"/>
      </cdr:nvSpPr>
      <cdr:spPr>
        <a:xfrm xmlns:a="http://schemas.openxmlformats.org/drawingml/2006/main">
          <a:off x="4458758" y="770476"/>
          <a:ext cx="1111249" cy="527352"/>
        </a:xfrm>
        <a:prstGeom xmlns:a="http://schemas.openxmlformats.org/drawingml/2006/main" prst="rect">
          <a:avLst/>
        </a:prstGeom>
        <a:solidFill xmlns:a="http://schemas.openxmlformats.org/drawingml/2006/main">
          <a:schemeClr val="accent6">
            <a:lumMod val="75000"/>
            <a:alpha val="81000"/>
          </a:schemeClr>
        </a:solidFill>
        <a:effectLst xmlns:a="http://schemas.openxmlformats.org/drawingml/2006/main">
          <a:innerShdw blurRad="127000" dist="228600" dir="16200000">
            <a:srgbClr val="642F04">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879278FE-F966-438C-B51C-FDFB0A75826A}" type="TxLink">
            <a:rPr lang="en-US" sz="1000" b="1" i="1" u="none" strike="noStrike">
              <a:solidFill>
                <a:schemeClr val="bg1"/>
              </a:solidFill>
              <a:latin typeface="Calibri"/>
            </a:rPr>
            <a:pPr algn="ctr"/>
            <a:t>Eeldatavad investeeringud</a:t>
          </a:fld>
          <a:endParaRPr lang="en-GB" sz="1000" b="1">
            <a:solidFill>
              <a:schemeClr val="bg1"/>
            </a:solidFill>
          </a:endParaRPr>
        </a:p>
      </cdr:txBody>
    </cdr:sp>
  </cdr:relSizeAnchor>
  <cdr:relSizeAnchor xmlns:cdr="http://schemas.openxmlformats.org/drawingml/2006/chartDrawing">
    <cdr:from>
      <cdr:x>0.43531</cdr:x>
      <cdr:y>0.16961</cdr:y>
    </cdr:from>
    <cdr:to>
      <cdr:x>0.4967</cdr:x>
      <cdr:y>0.24987</cdr:y>
    </cdr:to>
    <cdr:sp macro="" textlink="">
      <cdr:nvSpPr>
        <cdr:cNvPr id="14" name="Rectangle 6"/>
        <cdr:cNvSpPr/>
      </cdr:nvSpPr>
      <cdr:spPr>
        <a:xfrm xmlns:a="http://schemas.openxmlformats.org/drawingml/2006/main">
          <a:off x="2432050" y="579966"/>
          <a:ext cx="342982" cy="27444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D75E5506-9116-433C-93A9-A915794BBC8E}" type="TxLink">
            <a:rPr lang="en-US" sz="800" b="0" i="0" u="none" strike="noStrike">
              <a:solidFill>
                <a:schemeClr val="bg1"/>
              </a:solidFill>
              <a:latin typeface="Calibri"/>
              <a:cs typeface="Arial" panose="020B0604020202020204" pitchFamily="34" charset="0"/>
            </a:rPr>
            <a:pPr algn="ctr"/>
            <a:t>x 
1.3</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0.17579</cdr:x>
      <cdr:y>0.49149</cdr:y>
    </cdr:from>
    <cdr:to>
      <cdr:x>0.24948</cdr:x>
      <cdr:y>0.57175</cdr:y>
    </cdr:to>
    <cdr:sp macro="" textlink="">
      <cdr:nvSpPr>
        <cdr:cNvPr id="15" name="Rectangle 5"/>
        <cdr:cNvSpPr/>
      </cdr:nvSpPr>
      <cdr:spPr>
        <a:xfrm xmlns:a="http://schemas.openxmlformats.org/drawingml/2006/main">
          <a:off x="982133" y="1680633"/>
          <a:ext cx="411702" cy="27444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90440F17-01F3-4F82-987F-3EBFA1C3572A}" type="TxLink">
            <a:rPr lang="en-US" sz="800" b="0" i="0" u="none" strike="noStrike">
              <a:solidFill>
                <a:schemeClr val="bg1"/>
              </a:solidFill>
              <a:latin typeface="Calibri"/>
              <a:cs typeface="Arial" panose="020B0604020202020204" pitchFamily="34" charset="0"/>
            </a:rPr>
            <a:pPr algn="ctr"/>
            <a:t>x 
10.2</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0.49782</cdr:x>
      <cdr:y>0.56886</cdr:y>
    </cdr:from>
    <cdr:to>
      <cdr:x>0.57624</cdr:x>
      <cdr:y>0.64911</cdr:y>
    </cdr:to>
    <cdr:sp macro="" textlink="">
      <cdr:nvSpPr>
        <cdr:cNvPr id="17" name="Rectangle 6"/>
        <cdr:cNvSpPr/>
      </cdr:nvSpPr>
      <cdr:spPr>
        <a:xfrm xmlns:a="http://schemas.openxmlformats.org/drawingml/2006/main">
          <a:off x="2781300" y="1945216"/>
          <a:ext cx="438128" cy="274413"/>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A588D5CC-00E8-4F56-90BF-BAABD00CD1E1}" type="TxLink">
            <a:rPr lang="en-US" sz="800" b="0" i="0" u="none" strike="noStrike">
              <a:solidFill>
                <a:schemeClr val="bg1"/>
              </a:solidFill>
              <a:latin typeface="Calibri"/>
              <a:cs typeface="Arial" panose="020B0604020202020204" pitchFamily="34" charset="0"/>
            </a:rPr>
            <a:pPr algn="ctr"/>
            <a:t>x 
1.5</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0.29892</cdr:x>
      <cdr:y>0.64005</cdr:y>
    </cdr:from>
    <cdr:to>
      <cdr:x>0.37214</cdr:x>
      <cdr:y>0.72031</cdr:y>
    </cdr:to>
    <cdr:sp macro="" textlink="">
      <cdr:nvSpPr>
        <cdr:cNvPr id="23" name="Rectangle 5"/>
        <cdr:cNvSpPr/>
      </cdr:nvSpPr>
      <cdr:spPr>
        <a:xfrm xmlns:a="http://schemas.openxmlformats.org/drawingml/2006/main">
          <a:off x="1670050" y="2188633"/>
          <a:ext cx="409076" cy="27444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443625C9-D2F6-405F-9695-CAF4CC750128}" type="TxLink">
            <a:rPr lang="en-US" sz="800" b="0" i="0" u="none" strike="noStrike">
              <a:solidFill>
                <a:schemeClr val="bg1"/>
              </a:solidFill>
              <a:latin typeface="Calibri"/>
              <a:cs typeface="Arial" panose="020B0604020202020204" pitchFamily="34" charset="0"/>
            </a:rPr>
            <a:pPr algn="ctr"/>
            <a:t>x 
13.7</a:t>
          </a:fld>
          <a:endParaRPr lang="en-GB" sz="800" b="1">
            <a:solidFill>
              <a:schemeClr val="bg1"/>
            </a:solidFill>
            <a:latin typeface="Arial" panose="020B06040202020202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0.29168</cdr:x>
      <cdr:y>0.80754</cdr:y>
    </cdr:from>
    <cdr:to>
      <cdr:x>0.37087</cdr:x>
      <cdr:y>0.84671</cdr:y>
    </cdr:to>
    <cdr:sp macro="" textlink="">
      <cdr:nvSpPr>
        <cdr:cNvPr id="18" name="Shape 17"/>
        <cdr:cNvSpPr/>
      </cdr:nvSpPr>
      <cdr:spPr>
        <a:xfrm xmlns:a="http://schemas.openxmlformats.org/drawingml/2006/main" rot="191728">
          <a:off x="1627558" y="2761801"/>
          <a:ext cx="441880" cy="133962"/>
        </a:xfrm>
        <a:prstGeom xmlns:a="http://schemas.openxmlformats.org/drawingml/2006/main" prst="swooshArrow">
          <a:avLst>
            <a:gd name="adj1" fmla="val 17891"/>
            <a:gd name="adj2" fmla="val 31370"/>
          </a:avLst>
        </a:prstGeom>
        <a:solidFill xmlns:a="http://schemas.openxmlformats.org/drawingml/2006/main">
          <a:schemeClr val="bg1">
            <a:lumMod val="65000"/>
          </a:schemeClr>
        </a:solidFill>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0.51758</cdr:x>
      <cdr:y>0.73616</cdr:y>
    </cdr:from>
    <cdr:to>
      <cdr:x>0.58</cdr:x>
      <cdr:y>0.8062</cdr:y>
    </cdr:to>
    <cdr:sp macro="" textlink="">
      <cdr:nvSpPr>
        <cdr:cNvPr id="19" name="Shape 18"/>
        <cdr:cNvSpPr/>
      </cdr:nvSpPr>
      <cdr:spPr>
        <a:xfrm xmlns:a="http://schemas.openxmlformats.org/drawingml/2006/main" rot="191728">
          <a:off x="2888112" y="2517680"/>
          <a:ext cx="348303" cy="239537"/>
        </a:xfrm>
        <a:prstGeom xmlns:a="http://schemas.openxmlformats.org/drawingml/2006/main" prst="swooshArrow">
          <a:avLst>
            <a:gd name="adj1" fmla="val 17891"/>
            <a:gd name="adj2" fmla="val 31370"/>
          </a:avLst>
        </a:prstGeom>
        <a:solidFill xmlns:a="http://schemas.openxmlformats.org/drawingml/2006/main">
          <a:schemeClr val="bg1">
            <a:lumMod val="65000"/>
          </a:schemeClr>
        </a:solidFill>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0.416</cdr:x>
      <cdr:y>0.24455</cdr:y>
    </cdr:from>
    <cdr:to>
      <cdr:x>0.58448</cdr:x>
      <cdr:y>0.53197</cdr:y>
    </cdr:to>
    <cdr:sp macro="" textlink="">
      <cdr:nvSpPr>
        <cdr:cNvPr id="16" name="Shape 15"/>
        <cdr:cNvSpPr/>
      </cdr:nvSpPr>
      <cdr:spPr>
        <a:xfrm xmlns:a="http://schemas.openxmlformats.org/drawingml/2006/main">
          <a:off x="2321280" y="836361"/>
          <a:ext cx="940118" cy="982976"/>
        </a:xfrm>
        <a:prstGeom xmlns:a="http://schemas.openxmlformats.org/drawingml/2006/main" prst="swooshArrow">
          <a:avLst>
            <a:gd name="adj1" fmla="val 17891"/>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0.21879</cdr:x>
      <cdr:y>0.5498</cdr:y>
    </cdr:from>
    <cdr:to>
      <cdr:x>0.35856</cdr:x>
      <cdr:y>0.7069</cdr:y>
    </cdr:to>
    <cdr:sp macro="" textlink="">
      <cdr:nvSpPr>
        <cdr:cNvPr id="21" name="Shape 20"/>
        <cdr:cNvSpPr/>
      </cdr:nvSpPr>
      <cdr:spPr>
        <a:xfrm xmlns:a="http://schemas.openxmlformats.org/drawingml/2006/main">
          <a:off x="1222375" y="1880028"/>
          <a:ext cx="780879" cy="537206"/>
        </a:xfrm>
        <a:prstGeom xmlns:a="http://schemas.openxmlformats.org/drawingml/2006/main" prst="swooshArrow">
          <a:avLst>
            <a:gd name="adj1" fmla="val 16310"/>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0.81945</cdr:x>
      <cdr:y>0.19588</cdr:y>
    </cdr:from>
    <cdr:to>
      <cdr:x>0.81945</cdr:x>
      <cdr:y>0.19588</cdr:y>
    </cdr:to>
    <cdr:grpSp>
      <cdr:nvGrpSpPr>
        <cdr:cNvPr id="23" name="Group 22">
          <a:extLst xmlns:a="http://schemas.openxmlformats.org/drawingml/2006/main">
            <a:ext uri="{FF2B5EF4-FFF2-40B4-BE49-F238E27FC236}">
              <a16:creationId xmlns="" xmlns:a16="http://schemas.microsoft.com/office/drawing/2014/main" id="{261A28D0-18ED-4B09-A998-B9BC1CB77A57}"/>
            </a:ext>
          </a:extLst>
        </cdr:cNvPr>
        <cdr:cNvGrpSpPr/>
      </cdr:nvGrpSpPr>
      <cdr:grpSpPr>
        <a:xfrm xmlns:a="http://schemas.openxmlformats.org/drawingml/2006/main">
          <a:off x="4578220" y="669807"/>
          <a:ext cx="0" cy="0"/>
          <a:chOff x="0" y="0"/>
          <a:chExt cx="0" cy="0"/>
        </a:xfrm>
      </cdr:grpSpPr>
    </cdr:grpSp>
  </cdr:relSizeAnchor>
  <cdr:relSizeAnchor xmlns:cdr="http://schemas.openxmlformats.org/drawingml/2006/chartDrawing">
    <cdr:from>
      <cdr:x>0.79466</cdr:x>
      <cdr:y>0.36019</cdr:y>
    </cdr:from>
    <cdr:to>
      <cdr:x>0.99356</cdr:x>
      <cdr:y>0.51441</cdr:y>
    </cdr:to>
    <cdr:sp macro="" textlink="">
      <cdr:nvSpPr>
        <cdr:cNvPr id="15" name="TextBox 1"/>
        <cdr:cNvSpPr txBox="1"/>
      </cdr:nvSpPr>
      <cdr:spPr>
        <a:xfrm xmlns:a="http://schemas.openxmlformats.org/drawingml/2006/main">
          <a:off x="4439708" y="1231661"/>
          <a:ext cx="1111250" cy="527351"/>
        </a:xfrm>
        <a:prstGeom xmlns:a="http://schemas.openxmlformats.org/drawingml/2006/main" prst="rect">
          <a:avLst/>
        </a:prstGeom>
        <a:solidFill xmlns:a="http://schemas.openxmlformats.org/drawingml/2006/main">
          <a:schemeClr val="accent3">
            <a:lumMod val="75000"/>
            <a:alpha val="81000"/>
          </a:schemeClr>
        </a:solidFill>
        <a:effectLst xmlns:a="http://schemas.openxmlformats.org/drawingml/2006/main">
          <a:innerShdw blurRad="127000" dist="228600" dir="16200000">
            <a:srgbClr val="34411B">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E3AC2284-037C-494E-80BC-8B95B7AC9E43}" type="TxLink">
            <a:rPr lang="en-US" sz="1000" b="1" i="1" u="none" strike="noStrike">
              <a:solidFill>
                <a:schemeClr val="bg1"/>
              </a:solidFill>
              <a:latin typeface="Calibri"/>
            </a:rPr>
            <a:pPr algn="ctr"/>
            <a:t>Eeldatav rahastamistoetus</a:t>
          </a:fld>
          <a:endParaRPr lang="en-GB" sz="1000" b="1">
            <a:solidFill>
              <a:schemeClr val="bg1"/>
            </a:solidFill>
          </a:endParaRPr>
        </a:p>
      </cdr:txBody>
    </cdr:sp>
  </cdr:relSizeAnchor>
  <cdr:relSizeAnchor xmlns:cdr="http://schemas.openxmlformats.org/drawingml/2006/chartDrawing">
    <cdr:from>
      <cdr:x>0.79655</cdr:x>
      <cdr:y>0.52744</cdr:y>
    </cdr:from>
    <cdr:to>
      <cdr:x>0.99356</cdr:x>
      <cdr:y>0.68166</cdr:y>
    </cdr:to>
    <cdr:sp macro="" textlink="">
      <cdr:nvSpPr>
        <cdr:cNvPr id="22" name="TextBox 1"/>
        <cdr:cNvSpPr txBox="1"/>
      </cdr:nvSpPr>
      <cdr:spPr>
        <a:xfrm xmlns:a="http://schemas.openxmlformats.org/drawingml/2006/main">
          <a:off x="4450292" y="1803568"/>
          <a:ext cx="1100666" cy="527351"/>
        </a:xfrm>
        <a:prstGeom xmlns:a="http://schemas.openxmlformats.org/drawingml/2006/main" prst="rect">
          <a:avLst/>
        </a:prstGeom>
        <a:solidFill xmlns:a="http://schemas.openxmlformats.org/drawingml/2006/main">
          <a:srgbClr val="0070C0">
            <a:alpha val="81000"/>
          </a:srgbClr>
        </a:solidFill>
        <a:effectLst xmlns:a="http://schemas.openxmlformats.org/drawingml/2006/main">
          <a:innerShdw blurRad="127000" dist="228600" dir="16200000">
            <a:schemeClr val="accent1">
              <a:lumMod val="75000"/>
              <a:alpha val="50000"/>
            </a:scheme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903249DB-2F63-4553-BB55-F9A35CF84ADB}" type="TxLink">
            <a:rPr lang="en-US" sz="1000" b="1" i="1" u="none" strike="noStrike">
              <a:solidFill>
                <a:schemeClr val="bg1"/>
              </a:solidFill>
              <a:latin typeface="Calibri"/>
            </a:rPr>
            <a:pPr algn="ctr"/>
            <a:t>Kulukohustuste koondsumma</a:t>
          </a:fld>
          <a:endParaRPr lang="en-GB" sz="1000" b="1">
            <a:solidFill>
              <a:schemeClr val="bg1"/>
            </a:solidFill>
          </a:endParaRPr>
        </a:p>
      </cdr:txBody>
    </cdr:sp>
  </cdr:relSizeAnchor>
  <cdr:relSizeAnchor xmlns:cdr="http://schemas.openxmlformats.org/drawingml/2006/chartDrawing">
    <cdr:from>
      <cdr:x>0.79276</cdr:x>
      <cdr:y>0.19437</cdr:y>
    </cdr:from>
    <cdr:to>
      <cdr:x>0.99545</cdr:x>
      <cdr:y>0.34859</cdr:y>
    </cdr:to>
    <cdr:sp macro="" textlink="">
      <cdr:nvSpPr>
        <cdr:cNvPr id="24" name="TextBox 1"/>
        <cdr:cNvSpPr txBox="1"/>
      </cdr:nvSpPr>
      <cdr:spPr>
        <a:xfrm xmlns:a="http://schemas.openxmlformats.org/drawingml/2006/main">
          <a:off x="4429125" y="664643"/>
          <a:ext cx="1132417" cy="527352"/>
        </a:xfrm>
        <a:prstGeom xmlns:a="http://schemas.openxmlformats.org/drawingml/2006/main" prst="rect">
          <a:avLst/>
        </a:prstGeom>
        <a:solidFill xmlns:a="http://schemas.openxmlformats.org/drawingml/2006/main">
          <a:schemeClr val="accent6">
            <a:lumMod val="75000"/>
            <a:alpha val="81000"/>
          </a:schemeClr>
        </a:solidFill>
        <a:effectLst xmlns:a="http://schemas.openxmlformats.org/drawingml/2006/main">
          <a:innerShdw blurRad="127000" dist="228600" dir="16200000">
            <a:srgbClr val="642F04">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7B355984-594C-4AC6-8907-9BD1E3AA4BB8}" type="TxLink">
            <a:rPr lang="en-US" sz="1000" b="1" i="1" u="none" strike="noStrike">
              <a:solidFill>
                <a:schemeClr val="bg1"/>
              </a:solidFill>
              <a:latin typeface="Calibri"/>
            </a:rPr>
            <a:pPr algn="ctr"/>
            <a:t>Eeldatavad investeeringud</a:t>
          </a:fld>
          <a:endParaRPr lang="en-GB" sz="1000" b="1">
            <a:solidFill>
              <a:schemeClr val="bg1"/>
            </a:solidFill>
          </a:endParaRPr>
        </a:p>
      </cdr:txBody>
    </cdr:sp>
  </cdr:relSizeAnchor>
  <cdr:relSizeAnchor xmlns:cdr="http://schemas.openxmlformats.org/drawingml/2006/chartDrawing">
    <cdr:from>
      <cdr:x>0.43152</cdr:x>
      <cdr:y>0.20365</cdr:y>
    </cdr:from>
    <cdr:to>
      <cdr:x>0.49291</cdr:x>
      <cdr:y>0.28391</cdr:y>
    </cdr:to>
    <cdr:sp macro="" textlink="">
      <cdr:nvSpPr>
        <cdr:cNvPr id="14" name="Rectangle 6"/>
        <cdr:cNvSpPr/>
      </cdr:nvSpPr>
      <cdr:spPr>
        <a:xfrm xmlns:a="http://schemas.openxmlformats.org/drawingml/2006/main">
          <a:off x="2410883" y="696384"/>
          <a:ext cx="342982" cy="27444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6617D8B7-9761-49DF-864B-0D25A9E39405}" type="TxLink">
            <a:rPr lang="en-US" sz="800" b="0" i="0" u="none" strike="noStrike">
              <a:solidFill>
                <a:schemeClr val="bg1"/>
              </a:solidFill>
              <a:latin typeface="Calibri"/>
              <a:cs typeface="Arial" panose="020B0604020202020204" pitchFamily="34" charset="0"/>
            </a:rPr>
            <a:pPr algn="ctr"/>
            <a:t>x 
2.1</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0.20989</cdr:x>
      <cdr:y>0.43887</cdr:y>
    </cdr:from>
    <cdr:to>
      <cdr:x>0.27127</cdr:x>
      <cdr:y>0.51913</cdr:y>
    </cdr:to>
    <cdr:sp macro="" textlink="">
      <cdr:nvSpPr>
        <cdr:cNvPr id="17" name="Rectangle 5"/>
        <cdr:cNvSpPr/>
      </cdr:nvSpPr>
      <cdr:spPr>
        <a:xfrm xmlns:a="http://schemas.openxmlformats.org/drawingml/2006/main">
          <a:off x="1172633" y="1500717"/>
          <a:ext cx="342927" cy="27444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C3B11E91-5CB1-4B91-9CF9-841FEC0BB5EF}" type="TxLink">
            <a:rPr lang="en-US" sz="800" b="0" i="0" u="none" strike="noStrike">
              <a:solidFill>
                <a:schemeClr val="bg1"/>
              </a:solidFill>
              <a:latin typeface="Calibri"/>
              <a:cs typeface="Arial" panose="020B0604020202020204" pitchFamily="34" charset="0"/>
            </a:rPr>
            <a:pPr algn="ctr"/>
            <a:t>x 
6.8</a:t>
          </a:fld>
          <a:endParaRPr lang="en-GB" sz="800" b="1">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0.31029</cdr:x>
      <cdr:y>0.70195</cdr:y>
    </cdr:from>
    <cdr:to>
      <cdr:x>0.37168</cdr:x>
      <cdr:y>0.78221</cdr:y>
    </cdr:to>
    <cdr:sp macro="" textlink="">
      <cdr:nvSpPr>
        <cdr:cNvPr id="20" name="Rectangle 5"/>
        <cdr:cNvSpPr/>
      </cdr:nvSpPr>
      <cdr:spPr>
        <a:xfrm xmlns:a="http://schemas.openxmlformats.org/drawingml/2006/main">
          <a:off x="1733550" y="2400300"/>
          <a:ext cx="342982" cy="274447"/>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26EB1AE2-7842-454C-B4A4-0CFC9F6F14F2}" type="TxLink">
            <a:rPr lang="en-US" sz="800" b="0" i="0" u="none" strike="noStrike">
              <a:solidFill>
                <a:schemeClr val="bg1"/>
              </a:solidFill>
              <a:latin typeface="Calibri"/>
              <a:cs typeface="Arial" panose="020B0604020202020204" pitchFamily="34" charset="0"/>
            </a:rPr>
            <a:pPr algn="ctr"/>
            <a:t>x 
1.9</a:t>
          </a:fld>
          <a:endParaRPr lang="en-US" sz="800">
            <a:solidFill>
              <a:schemeClr val="bg1"/>
            </a:solidFill>
            <a:cs typeface="Arial" panose="020B0604020202020204" pitchFamily="34" charset="0"/>
          </a:endParaRPr>
        </a:p>
      </cdr:txBody>
    </cdr:sp>
  </cdr:relSizeAnchor>
  <cdr:relSizeAnchor xmlns:cdr="http://schemas.openxmlformats.org/drawingml/2006/chartDrawing">
    <cdr:from>
      <cdr:x>0.52434</cdr:x>
      <cdr:y>0.63076</cdr:y>
    </cdr:from>
    <cdr:to>
      <cdr:x>0.58572</cdr:x>
      <cdr:y>0.71101</cdr:y>
    </cdr:to>
    <cdr:sp macro="" textlink="">
      <cdr:nvSpPr>
        <cdr:cNvPr id="25" name="Rectangle 6"/>
        <cdr:cNvSpPr/>
      </cdr:nvSpPr>
      <cdr:spPr>
        <a:xfrm xmlns:a="http://schemas.openxmlformats.org/drawingml/2006/main">
          <a:off x="2929466" y="2156883"/>
          <a:ext cx="342926" cy="274413"/>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660D834D-E1F5-46E6-B5EC-D06714EA2BF4}" type="TxLink">
            <a:rPr lang="en-US" sz="800" b="0" i="0" u="none" strike="noStrike">
              <a:solidFill>
                <a:schemeClr val="bg1"/>
              </a:solidFill>
              <a:latin typeface="Calibri"/>
              <a:cs typeface="Arial" panose="020B0604020202020204" pitchFamily="34" charset="0"/>
            </a:rPr>
            <a:pPr algn="ctr"/>
            <a:t>x 
2.5</a:t>
          </a:fld>
          <a:endParaRPr lang="en-GB" sz="800" b="1">
            <a:solidFill>
              <a:schemeClr val="bg1"/>
            </a:solidFill>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0.49076</cdr:x>
      <cdr:y>0.29329</cdr:y>
    </cdr:from>
    <cdr:to>
      <cdr:x>0.59444</cdr:x>
      <cdr:y>0.44793</cdr:y>
    </cdr:to>
    <cdr:sp macro="" textlink="">
      <cdr:nvSpPr>
        <cdr:cNvPr id="16" name="Shape 15"/>
        <cdr:cNvSpPr/>
      </cdr:nvSpPr>
      <cdr:spPr>
        <a:xfrm xmlns:a="http://schemas.openxmlformats.org/drawingml/2006/main">
          <a:off x="2738437" y="1003048"/>
          <a:ext cx="578524" cy="528889"/>
        </a:xfrm>
        <a:prstGeom xmlns:a="http://schemas.openxmlformats.org/drawingml/2006/main" prst="swooshArrow">
          <a:avLst>
            <a:gd name="adj1" fmla="val 17891"/>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lstStyle xmlns:a="http://schemas.openxmlformats.org/drawingml/2006/main"/>
        <a:p xmlns:a="http://schemas.openxmlformats.org/drawingml/2006/main">
          <a:endParaRPr lang="en-GB"/>
        </a:p>
      </cdr:txBody>
    </cdr:sp>
  </cdr:relSizeAnchor>
  <cdr:relSizeAnchor xmlns:cdr="http://schemas.openxmlformats.org/drawingml/2006/chartDrawing">
    <cdr:from>
      <cdr:x>0.21291</cdr:x>
      <cdr:y>0.47477</cdr:y>
    </cdr:from>
    <cdr:to>
      <cdr:x>0.35951</cdr:x>
      <cdr:y>0.67462</cdr:y>
    </cdr:to>
    <cdr:sp macro="" textlink="">
      <cdr:nvSpPr>
        <cdr:cNvPr id="21" name="Shape 20"/>
        <cdr:cNvSpPr/>
      </cdr:nvSpPr>
      <cdr:spPr>
        <a:xfrm xmlns:a="http://schemas.openxmlformats.org/drawingml/2006/main">
          <a:off x="1187461" y="1623448"/>
          <a:ext cx="817649" cy="683382"/>
        </a:xfrm>
        <a:prstGeom xmlns:a="http://schemas.openxmlformats.org/drawingml/2006/main" prst="swooshArrow">
          <a:avLst>
            <a:gd name="adj1" fmla="val 16310"/>
            <a:gd name="adj2" fmla="val 31370"/>
          </a:avLst>
        </a:prstGeom>
        <a:noFill xmlns:a="http://schemas.openxmlformats.org/drawingml/2006/main"/>
        <a:ln xmlns:a="http://schemas.openxmlformats.org/drawingml/2006/main" w="76200">
          <a:solidFill>
            <a:schemeClr val="bg1">
              <a:lumMod val="65000"/>
            </a:schemeClr>
          </a:solidFill>
        </a:ln>
        <a:effectLst xmlns:a="http://schemas.openxmlformats.org/drawingml/2006/main"/>
        <a:scene3d xmlns:a="http://schemas.openxmlformats.org/drawingml/2006/main">
          <a:camera prst="orthographicFront"/>
          <a:lightRig rig="chilly" dir="t"/>
        </a:scene3d>
        <a:sp3d xmlns:a="http://schemas.openxmlformats.org/drawingml/2006/main" prstMaterial="translucentPowder">
          <a:bevelT w="127000" h="25400" prst="coolSlant"/>
        </a:sp3d>
      </cdr:spPr>
      <cdr:style>
        <a:lnRef xmlns:a="http://schemas.openxmlformats.org/drawingml/2006/main" idx="0">
          <a:scrgbClr r="0" g="0" b="0"/>
        </a:lnRef>
        <a:fillRef xmlns:a="http://schemas.openxmlformats.org/drawingml/2006/main" idx="1">
          <a:scrgbClr r="0" g="0" b="0"/>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GB"/>
        </a:p>
      </cdr:txBody>
    </cdr:sp>
  </cdr:relSizeAnchor>
  <cdr:relSizeAnchor xmlns:cdr="http://schemas.openxmlformats.org/drawingml/2006/chartDrawing">
    <cdr:from>
      <cdr:x>0.81945</cdr:x>
      <cdr:y>0.19588</cdr:y>
    </cdr:from>
    <cdr:to>
      <cdr:x>0.81945</cdr:x>
      <cdr:y>0.19588</cdr:y>
    </cdr:to>
    <cdr:grpSp>
      <cdr:nvGrpSpPr>
        <cdr:cNvPr id="15" name="Group 14">
          <a:extLst xmlns:a="http://schemas.openxmlformats.org/drawingml/2006/main">
            <a:ext uri="{FF2B5EF4-FFF2-40B4-BE49-F238E27FC236}">
              <a16:creationId xmlns="" xmlns:a16="http://schemas.microsoft.com/office/drawing/2014/main" id="{C4233FAF-3A2C-4E8B-8853-0C9E6BC61D66}"/>
            </a:ext>
          </a:extLst>
        </cdr:cNvPr>
        <cdr:cNvGrpSpPr/>
      </cdr:nvGrpSpPr>
      <cdr:grpSpPr>
        <a:xfrm xmlns:a="http://schemas.openxmlformats.org/drawingml/2006/main">
          <a:off x="4570414" y="669807"/>
          <a:ext cx="0" cy="0"/>
          <a:chOff x="0" y="0"/>
          <a:chExt cx="0" cy="0"/>
        </a:xfrm>
      </cdr:grpSpPr>
    </cdr:grpSp>
  </cdr:relSizeAnchor>
  <cdr:relSizeAnchor xmlns:cdr="http://schemas.openxmlformats.org/drawingml/2006/chartDrawing">
    <cdr:from>
      <cdr:x>0.7945</cdr:x>
      <cdr:y>0.37567</cdr:y>
    </cdr:from>
    <cdr:to>
      <cdr:x>0.99374</cdr:x>
      <cdr:y>0.52989</cdr:y>
    </cdr:to>
    <cdr:sp macro="" textlink="">
      <cdr:nvSpPr>
        <cdr:cNvPr id="10" name="TextBox 1"/>
        <cdr:cNvSpPr txBox="1"/>
      </cdr:nvSpPr>
      <cdr:spPr>
        <a:xfrm xmlns:a="http://schemas.openxmlformats.org/drawingml/2006/main">
          <a:off x="4431242" y="1284594"/>
          <a:ext cx="1111250" cy="527352"/>
        </a:xfrm>
        <a:prstGeom xmlns:a="http://schemas.openxmlformats.org/drawingml/2006/main" prst="rect">
          <a:avLst/>
        </a:prstGeom>
        <a:solidFill xmlns:a="http://schemas.openxmlformats.org/drawingml/2006/main">
          <a:schemeClr val="accent3">
            <a:lumMod val="75000"/>
            <a:alpha val="81000"/>
          </a:schemeClr>
        </a:solidFill>
        <a:effectLst xmlns:a="http://schemas.openxmlformats.org/drawingml/2006/main">
          <a:innerShdw blurRad="127000" dist="228600" dir="16200000">
            <a:srgbClr val="34411B">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155247C8-860B-4040-9A8C-A0D1E9596A74}" type="TxLink">
            <a:rPr lang="en-US" sz="1000" b="1" i="1" u="none" strike="noStrike">
              <a:solidFill>
                <a:schemeClr val="bg1"/>
              </a:solidFill>
              <a:latin typeface="Calibri"/>
            </a:rPr>
            <a:pPr algn="ctr"/>
            <a:t>Eeldatav rahastamistoetus</a:t>
          </a:fld>
          <a:endParaRPr lang="en-GB" sz="1000" b="1">
            <a:solidFill>
              <a:schemeClr val="bg1"/>
            </a:solidFill>
          </a:endParaRPr>
        </a:p>
      </cdr:txBody>
    </cdr:sp>
  </cdr:relSizeAnchor>
  <cdr:relSizeAnchor xmlns:cdr="http://schemas.openxmlformats.org/drawingml/2006/chartDrawing">
    <cdr:from>
      <cdr:x>0.79639</cdr:x>
      <cdr:y>0.54291</cdr:y>
    </cdr:from>
    <cdr:to>
      <cdr:x>0.99184</cdr:x>
      <cdr:y>0.69713</cdr:y>
    </cdr:to>
    <cdr:sp macro="" textlink="">
      <cdr:nvSpPr>
        <cdr:cNvPr id="11" name="TextBox 1"/>
        <cdr:cNvSpPr txBox="1"/>
      </cdr:nvSpPr>
      <cdr:spPr>
        <a:xfrm xmlns:a="http://schemas.openxmlformats.org/drawingml/2006/main">
          <a:off x="4441825" y="1856467"/>
          <a:ext cx="1090083" cy="527352"/>
        </a:xfrm>
        <a:prstGeom xmlns:a="http://schemas.openxmlformats.org/drawingml/2006/main" prst="rect">
          <a:avLst/>
        </a:prstGeom>
        <a:solidFill xmlns:a="http://schemas.openxmlformats.org/drawingml/2006/main">
          <a:srgbClr val="0070C0">
            <a:alpha val="81000"/>
          </a:srgbClr>
        </a:solidFill>
        <a:effectLst xmlns:a="http://schemas.openxmlformats.org/drawingml/2006/main">
          <a:innerShdw blurRad="127000" dist="228600" dir="16200000">
            <a:schemeClr val="accent1">
              <a:lumMod val="75000"/>
              <a:alpha val="50000"/>
            </a:scheme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950142B3-F464-4368-89CF-4CAEFDEC8DB8}" type="TxLink">
            <a:rPr lang="en-US" sz="1000" b="1" i="1" u="none" strike="noStrike">
              <a:solidFill>
                <a:schemeClr val="bg1"/>
              </a:solidFill>
              <a:latin typeface="Calibri"/>
            </a:rPr>
            <a:pPr algn="ctr"/>
            <a:t>Kulukohustuste koondsumma</a:t>
          </a:fld>
          <a:endParaRPr lang="en-GB" sz="1000" b="1">
            <a:solidFill>
              <a:schemeClr val="bg1"/>
            </a:solidFill>
          </a:endParaRPr>
        </a:p>
      </cdr:txBody>
    </cdr:sp>
  </cdr:relSizeAnchor>
  <cdr:relSizeAnchor xmlns:cdr="http://schemas.openxmlformats.org/drawingml/2006/chartDrawing">
    <cdr:from>
      <cdr:x>0.7945</cdr:x>
      <cdr:y>0.20984</cdr:y>
    </cdr:from>
    <cdr:to>
      <cdr:x>0.99374</cdr:x>
      <cdr:y>0.36406</cdr:y>
    </cdr:to>
    <cdr:sp macro="" textlink="">
      <cdr:nvSpPr>
        <cdr:cNvPr id="18" name="TextBox 1"/>
        <cdr:cNvSpPr txBox="1"/>
      </cdr:nvSpPr>
      <cdr:spPr>
        <a:xfrm xmlns:a="http://schemas.openxmlformats.org/drawingml/2006/main">
          <a:off x="4431242" y="717543"/>
          <a:ext cx="1111249" cy="527351"/>
        </a:xfrm>
        <a:prstGeom xmlns:a="http://schemas.openxmlformats.org/drawingml/2006/main" prst="rect">
          <a:avLst/>
        </a:prstGeom>
        <a:solidFill xmlns:a="http://schemas.openxmlformats.org/drawingml/2006/main">
          <a:schemeClr val="accent6">
            <a:lumMod val="75000"/>
            <a:alpha val="81000"/>
          </a:schemeClr>
        </a:solidFill>
        <a:effectLst xmlns:a="http://schemas.openxmlformats.org/drawingml/2006/main">
          <a:innerShdw blurRad="127000" dist="228600" dir="16200000">
            <a:srgbClr val="642F04">
              <a:alpha val="49804"/>
            </a:srgbClr>
          </a:innerShdw>
        </a:effectLst>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2F5008B4-E91D-4246-B112-6049270866F3}" type="TxLink">
            <a:rPr lang="en-US" sz="1000" b="1" i="1" u="none" strike="noStrike">
              <a:solidFill>
                <a:schemeClr val="bg1"/>
              </a:solidFill>
              <a:latin typeface="Calibri"/>
            </a:rPr>
            <a:pPr algn="ctr"/>
            <a:t>Eeldatavad investeeringud</a:t>
          </a:fld>
          <a:endParaRPr lang="en-GB" sz="1000" b="1">
            <a:solidFill>
              <a:schemeClr val="bg1"/>
            </a:solidFill>
          </a:endParaRPr>
        </a:p>
      </cdr:txBody>
    </cdr:sp>
  </cdr:relSizeAnchor>
  <cdr:relSizeAnchor xmlns:cdr="http://schemas.openxmlformats.org/drawingml/2006/chartDrawing">
    <cdr:from>
      <cdr:x>0.17799</cdr:x>
      <cdr:y>0.37697</cdr:y>
    </cdr:from>
    <cdr:to>
      <cdr:x>0.26125</cdr:x>
      <cdr:y>0.47247</cdr:y>
    </cdr:to>
    <cdr:sp macro="" textlink="">
      <cdr:nvSpPr>
        <cdr:cNvPr id="14" name="Rectangle 5"/>
        <cdr:cNvSpPr/>
      </cdr:nvSpPr>
      <cdr:spPr>
        <a:xfrm xmlns:a="http://schemas.openxmlformats.org/drawingml/2006/main">
          <a:off x="992717" y="1289050"/>
          <a:ext cx="464376" cy="326559"/>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B6473900-4D97-49D1-853E-C19AA74FA253}" type="TxLink">
            <a:rPr lang="en-US" sz="800" b="0" i="0" u="none" strike="noStrike">
              <a:solidFill>
                <a:schemeClr val="bg1"/>
              </a:solidFill>
              <a:latin typeface="Calibri"/>
              <a:cs typeface="Arial" panose="020B0604020202020204" pitchFamily="34" charset="0"/>
            </a:rPr>
            <a:pPr algn="ctr"/>
            <a:t>x 
6.3</a:t>
          </a:fld>
          <a:endParaRPr lang="en-GB" sz="800" b="1" i="0">
            <a:solidFill>
              <a:schemeClr val="bg1"/>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0.51765</cdr:x>
      <cdr:y>0.1758</cdr:y>
    </cdr:from>
    <cdr:to>
      <cdr:x>0.59816</cdr:x>
      <cdr:y>0.27062</cdr:y>
    </cdr:to>
    <cdr:sp macro="" textlink="">
      <cdr:nvSpPr>
        <cdr:cNvPr id="17" name="Rectangle 6"/>
        <cdr:cNvSpPr/>
      </cdr:nvSpPr>
      <cdr:spPr>
        <a:xfrm xmlns:a="http://schemas.openxmlformats.org/drawingml/2006/main">
          <a:off x="2887133" y="601134"/>
          <a:ext cx="449038" cy="324234"/>
        </a:xfrm>
        <a:prstGeom xmlns:a="http://schemas.openxmlformats.org/drawingml/2006/main" prst="rect">
          <a:avLst/>
        </a:prstGeom>
        <a:solidFill xmlns:a="http://schemas.openxmlformats.org/drawingml/2006/main">
          <a:schemeClr val="bg1">
            <a:lumMod val="75000"/>
          </a:schemeClr>
        </a:solidFill>
        <a:ln xmlns:a="http://schemas.openxmlformats.org/drawingml/2006/main">
          <a:noFill/>
        </a:ln>
        <a:effectLst xmlns:a="http://schemas.openxmlformats.org/drawingml/2006/main"/>
        <a:scene3d xmlns:a="http://schemas.openxmlformats.org/drawingml/2006/main">
          <a:camera prst="orthographicFront">
            <a:rot lat="0" lon="0" rev="0"/>
          </a:camera>
          <a:lightRig rig="contrasting" dir="t">
            <a:rot lat="0" lon="0" rev="1500000"/>
          </a:lightRig>
        </a:scene3d>
        <a:sp3d xmlns:a="http://schemas.openxmlformats.org/drawingml/2006/main" prstMaterial="metal">
          <a:bevelT w="88900" h="88900"/>
        </a:sp3d>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hueOff val="0"/>
            <a:satOff val="0"/>
            <a:lumOff val="0"/>
            <a:alphaOff val="0"/>
          </a:schemeClr>
        </a:fontRef>
      </cdr:style>
      <cdr:txBody>
        <a:bodyPr xmlns:a="http://schemas.openxmlformats.org/drawingml/2006/main" wrap="square" anchor="ctr"/>
        <a:lstStyle xmlns:a="http://schemas.openxmlformats.org/drawingml/2006/main">
          <a:lvl1pPr marL="0" indent="0">
            <a:defRPr sz="1100">
              <a:solidFill>
                <a:schemeClr val="tx1">
                  <a:hueOff val="0"/>
                  <a:satOff val="0"/>
                  <a:lumOff val="0"/>
                  <a:alphaOff val="0"/>
                </a:schemeClr>
              </a:solidFill>
              <a:latin typeface="+mn-lt"/>
              <a:ea typeface="+mn-ea"/>
              <a:cs typeface="+mn-cs"/>
            </a:defRPr>
          </a:lvl1pPr>
          <a:lvl2pPr marL="457200" indent="0">
            <a:defRPr sz="1100">
              <a:solidFill>
                <a:schemeClr val="tx1">
                  <a:hueOff val="0"/>
                  <a:satOff val="0"/>
                  <a:lumOff val="0"/>
                  <a:alphaOff val="0"/>
                </a:schemeClr>
              </a:solidFill>
              <a:latin typeface="+mn-lt"/>
              <a:ea typeface="+mn-ea"/>
              <a:cs typeface="+mn-cs"/>
            </a:defRPr>
          </a:lvl2pPr>
          <a:lvl3pPr marL="914400" indent="0">
            <a:defRPr sz="1100">
              <a:solidFill>
                <a:schemeClr val="tx1">
                  <a:hueOff val="0"/>
                  <a:satOff val="0"/>
                  <a:lumOff val="0"/>
                  <a:alphaOff val="0"/>
                </a:schemeClr>
              </a:solidFill>
              <a:latin typeface="+mn-lt"/>
              <a:ea typeface="+mn-ea"/>
              <a:cs typeface="+mn-cs"/>
            </a:defRPr>
          </a:lvl3pPr>
          <a:lvl4pPr marL="1371600" indent="0">
            <a:defRPr sz="1100">
              <a:solidFill>
                <a:schemeClr val="tx1">
                  <a:hueOff val="0"/>
                  <a:satOff val="0"/>
                  <a:lumOff val="0"/>
                  <a:alphaOff val="0"/>
                </a:schemeClr>
              </a:solidFill>
              <a:latin typeface="+mn-lt"/>
              <a:ea typeface="+mn-ea"/>
              <a:cs typeface="+mn-cs"/>
            </a:defRPr>
          </a:lvl4pPr>
          <a:lvl5pPr marL="1828800" indent="0">
            <a:defRPr sz="1100">
              <a:solidFill>
                <a:schemeClr val="tx1">
                  <a:hueOff val="0"/>
                  <a:satOff val="0"/>
                  <a:lumOff val="0"/>
                  <a:alphaOff val="0"/>
                </a:schemeClr>
              </a:solidFill>
              <a:latin typeface="+mn-lt"/>
              <a:ea typeface="+mn-ea"/>
              <a:cs typeface="+mn-cs"/>
            </a:defRPr>
          </a:lvl5pPr>
          <a:lvl6pPr marL="2286000" indent="0">
            <a:defRPr sz="1100">
              <a:solidFill>
                <a:schemeClr val="tx1">
                  <a:hueOff val="0"/>
                  <a:satOff val="0"/>
                  <a:lumOff val="0"/>
                  <a:alphaOff val="0"/>
                </a:schemeClr>
              </a:solidFill>
              <a:latin typeface="+mn-lt"/>
              <a:ea typeface="+mn-ea"/>
              <a:cs typeface="+mn-cs"/>
            </a:defRPr>
          </a:lvl6pPr>
          <a:lvl7pPr marL="2743200" indent="0">
            <a:defRPr sz="1100">
              <a:solidFill>
                <a:schemeClr val="tx1">
                  <a:hueOff val="0"/>
                  <a:satOff val="0"/>
                  <a:lumOff val="0"/>
                  <a:alphaOff val="0"/>
                </a:schemeClr>
              </a:solidFill>
              <a:latin typeface="+mn-lt"/>
              <a:ea typeface="+mn-ea"/>
              <a:cs typeface="+mn-cs"/>
            </a:defRPr>
          </a:lvl7pPr>
          <a:lvl8pPr marL="3200400" indent="0">
            <a:defRPr sz="1100">
              <a:solidFill>
                <a:schemeClr val="tx1">
                  <a:hueOff val="0"/>
                  <a:satOff val="0"/>
                  <a:lumOff val="0"/>
                  <a:alphaOff val="0"/>
                </a:schemeClr>
              </a:solidFill>
              <a:latin typeface="+mn-lt"/>
              <a:ea typeface="+mn-ea"/>
              <a:cs typeface="+mn-cs"/>
            </a:defRPr>
          </a:lvl8pPr>
          <a:lvl9pPr marL="3657600" indent="0">
            <a:defRPr sz="1100">
              <a:solidFill>
                <a:schemeClr val="tx1">
                  <a:hueOff val="0"/>
                  <a:satOff val="0"/>
                  <a:lumOff val="0"/>
                  <a:alphaOff val="0"/>
                </a:schemeClr>
              </a:solidFill>
              <a:latin typeface="+mn-lt"/>
              <a:ea typeface="+mn-ea"/>
              <a:cs typeface="+mn-cs"/>
            </a:defRPr>
          </a:lvl9pPr>
        </a:lstStyle>
        <a:p xmlns:a="http://schemas.openxmlformats.org/drawingml/2006/main">
          <a:pPr algn="ctr"/>
          <a:fld id="{AA7C6F15-D89D-4CFF-99C3-FF2E252F0CA6}" type="TxLink">
            <a:rPr lang="en-US" sz="800" b="0" i="0" u="none" strike="noStrike">
              <a:solidFill>
                <a:schemeClr val="bg1"/>
              </a:solidFill>
              <a:latin typeface="Calibri"/>
              <a:cs typeface="Arial" panose="020B0604020202020204" pitchFamily="34" charset="0"/>
            </a:rPr>
            <a:pPr algn="ctr"/>
            <a:t>x 
1.1</a:t>
          </a:fld>
          <a:endParaRPr lang="en-GB" sz="800" b="1" i="0">
            <a:solidFill>
              <a:schemeClr val="bg1"/>
            </a:solidFill>
            <a:latin typeface="Arial" panose="020B0604020202020204" pitchFamily="34" charset="0"/>
            <a:cs typeface="Arial" panose="020B0604020202020204"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0.76118</cdr:x>
      <cdr:y>0.19146</cdr:y>
    </cdr:from>
    <cdr:to>
      <cdr:x>0.95008</cdr:x>
      <cdr:y>0.36246</cdr:y>
    </cdr:to>
    <cdr:sp macro="" textlink="">
      <cdr:nvSpPr>
        <cdr:cNvPr id="2" name="TextBox 1"/>
        <cdr:cNvSpPr txBox="1"/>
      </cdr:nvSpPr>
      <cdr:spPr>
        <a:xfrm xmlns:a="http://schemas.openxmlformats.org/drawingml/2006/main">
          <a:off x="4384945" y="581025"/>
          <a:ext cx="1088200" cy="518920"/>
        </a:xfrm>
        <a:prstGeom xmlns:a="http://schemas.openxmlformats.org/drawingml/2006/main" prst="rect">
          <a:avLst/>
        </a:prstGeom>
        <a:solidFill xmlns:a="http://schemas.openxmlformats.org/drawingml/2006/main">
          <a:schemeClr val="accent3">
            <a:lumMod val="75000"/>
            <a:alpha val="81000"/>
          </a:schemeClr>
        </a:solidFill>
        <a:effectLst xmlns:a="http://schemas.openxmlformats.org/drawingml/2006/main">
          <a:innerShdw blurRad="127000" dist="228600" dir="16200000">
            <a:srgbClr val="34411B">
              <a:alpha val="49804"/>
            </a:srgbClr>
          </a:innerShdw>
        </a:effectLst>
      </cdr:spPr>
      <cdr:txBody>
        <a:bodyPr xmlns:a="http://schemas.openxmlformats.org/drawingml/2006/main" vertOverflow="clip" wrap="square" rtlCol="0"/>
        <a:lstStyle xmlns:a="http://schemas.openxmlformats.org/drawingml/2006/main"/>
        <a:p xmlns:a="http://schemas.openxmlformats.org/drawingml/2006/main">
          <a:pPr algn="ctr"/>
          <a:fld id="{4EEBC255-DF02-4E96-A9C1-D0DDCFA14C9B}" type="TxLink">
            <a:rPr lang="en-US" sz="1000" b="1" i="0" u="none" strike="noStrike">
              <a:solidFill>
                <a:schemeClr val="bg1"/>
              </a:solidFill>
              <a:latin typeface="Calibri"/>
            </a:rPr>
            <a:pPr algn="ctr"/>
            <a:t>Strateegilised sihtsektorid</a:t>
          </a:fld>
          <a:endParaRPr lang="en-GB" sz="1000" b="1">
            <a:solidFill>
              <a:schemeClr val="bg1"/>
            </a:solidFill>
          </a:endParaRPr>
        </a:p>
      </cdr:txBody>
    </cdr:sp>
  </cdr:relSizeAnchor>
  <cdr:relSizeAnchor xmlns:cdr="http://schemas.openxmlformats.org/drawingml/2006/chartDrawing">
    <cdr:from>
      <cdr:x>0.75785</cdr:x>
      <cdr:y>0.3861</cdr:y>
    </cdr:from>
    <cdr:to>
      <cdr:x>0.94675</cdr:x>
      <cdr:y>0.51065</cdr:y>
    </cdr:to>
    <cdr:sp macro="" textlink="">
      <cdr:nvSpPr>
        <cdr:cNvPr id="4" name="TextBox 1"/>
        <cdr:cNvSpPr txBox="1"/>
      </cdr:nvSpPr>
      <cdr:spPr>
        <a:xfrm xmlns:a="http://schemas.openxmlformats.org/drawingml/2006/main">
          <a:off x="5421911" y="1455105"/>
          <a:ext cx="1351423" cy="469394"/>
        </a:xfrm>
        <a:prstGeom xmlns:a="http://schemas.openxmlformats.org/drawingml/2006/main" prst="rect">
          <a:avLst/>
        </a:prstGeom>
        <a:solidFill xmlns:a="http://schemas.openxmlformats.org/drawingml/2006/main">
          <a:srgbClr val="0070C0">
            <a:alpha val="81000"/>
          </a:srgbClr>
        </a:solidFill>
        <a:effectLst xmlns:a="http://schemas.openxmlformats.org/drawingml/2006/main">
          <a:innerShdw blurRad="127000" dist="228600" dir="16200000">
            <a:schemeClr val="accent1">
              <a:lumMod val="75000"/>
              <a:alpha val="50000"/>
            </a:schemeClr>
          </a:innerShdw>
        </a:effectLst>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497BF8CC-9EA4-4420-90C8-5EC454D527B7}" type="TxLink">
            <a:rPr lang="en-US" sz="1050" b="1" i="0" u="none" strike="noStrike">
              <a:solidFill>
                <a:schemeClr val="bg1"/>
              </a:solidFill>
              <a:latin typeface="Calibri"/>
            </a:rPr>
            <a:pPr algn="ctr"/>
            <a:t>Strateegilised sihtrühmad</a:t>
          </a:fld>
          <a:endParaRPr lang="en-GB" sz="1050" b="1">
            <a:solidFill>
              <a:schemeClr val="bg1"/>
            </a:solidFill>
          </a:endParaRPr>
        </a:p>
      </cdr:txBody>
    </cdr:sp>
  </cdr:relSizeAnchor>
  <cdr:relSizeAnchor xmlns:cdr="http://schemas.openxmlformats.org/drawingml/2006/chartDrawing">
    <cdr:from>
      <cdr:x>0.75785</cdr:x>
      <cdr:y>0.52704</cdr:y>
    </cdr:from>
    <cdr:to>
      <cdr:x>0.94675</cdr:x>
      <cdr:y>0.72191</cdr:y>
    </cdr:to>
    <cdr:sp macro="" textlink="">
      <cdr:nvSpPr>
        <cdr:cNvPr id="5" name="TextBox 1"/>
        <cdr:cNvSpPr txBox="1"/>
      </cdr:nvSpPr>
      <cdr:spPr>
        <a:xfrm xmlns:a="http://schemas.openxmlformats.org/drawingml/2006/main">
          <a:off x="4365762" y="1599390"/>
          <a:ext cx="1088200" cy="591360"/>
        </a:xfrm>
        <a:prstGeom xmlns:a="http://schemas.openxmlformats.org/drawingml/2006/main" prst="rect">
          <a:avLst/>
        </a:prstGeom>
        <a:solidFill xmlns:a="http://schemas.openxmlformats.org/drawingml/2006/main">
          <a:schemeClr val="accent6">
            <a:lumMod val="75000"/>
            <a:alpha val="81000"/>
          </a:schemeClr>
        </a:solidFill>
        <a:effectLst xmlns:a="http://schemas.openxmlformats.org/drawingml/2006/main">
          <a:innerShdw blurRad="127000" dist="228600" dir="16200000">
            <a:srgbClr val="642F04">
              <a:alpha val="49804"/>
            </a:srgbClr>
          </a:innerShdw>
        </a:effectLst>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12B382F3-9D58-449C-BA66-20E4AE77B6ED}" type="TxLink">
            <a:rPr lang="en-US" sz="1050" b="1" i="0" u="none" strike="noStrike">
              <a:solidFill>
                <a:schemeClr val="bg1"/>
              </a:solidFill>
              <a:latin typeface="Calibri"/>
            </a:rPr>
            <a:pPr algn="ctr"/>
            <a:t>Strateegilised ELi-välised sihtpiirkonnad</a:t>
          </a:fld>
          <a:endParaRPr lang="en-GB" sz="1050" b="1">
            <a:solidFill>
              <a:schemeClr val="bg1"/>
            </a:solidFill>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0.77253</cdr:x>
      <cdr:y>0.21567</cdr:y>
    </cdr:from>
    <cdr:to>
      <cdr:x>0.95134</cdr:x>
      <cdr:y>0.33998</cdr:y>
    </cdr:to>
    <cdr:sp macro="" textlink="">
      <cdr:nvSpPr>
        <cdr:cNvPr id="6" name="TextBox 1"/>
        <cdr:cNvSpPr txBox="1"/>
      </cdr:nvSpPr>
      <cdr:spPr>
        <a:xfrm xmlns:a="http://schemas.openxmlformats.org/drawingml/2006/main">
          <a:off x="5607050" y="812800"/>
          <a:ext cx="1297857" cy="468490"/>
        </a:xfrm>
        <a:prstGeom xmlns:a="http://schemas.openxmlformats.org/drawingml/2006/main" prst="rect">
          <a:avLst/>
        </a:prstGeom>
        <a:solidFill xmlns:a="http://schemas.openxmlformats.org/drawingml/2006/main">
          <a:schemeClr val="accent3">
            <a:lumMod val="75000"/>
            <a:alpha val="81000"/>
          </a:schemeClr>
        </a:solidFill>
        <a:effectLst xmlns:a="http://schemas.openxmlformats.org/drawingml/2006/main">
          <a:innerShdw blurRad="127000" dist="228600" dir="16200000">
            <a:srgbClr val="34411B">
              <a:alpha val="49804"/>
            </a:srgbClr>
          </a:innerShdw>
        </a:effectLst>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t-EE" sz="1000" b="1" i="0" u="none" strike="noStrike" baseline="0">
              <a:solidFill>
                <a:srgbClr val="FFFFFF"/>
              </a:solidFill>
              <a:latin typeface="Calibri"/>
            </a:rPr>
            <a:t>Strateegilised sihtsektorid</a:t>
          </a:r>
        </a:p>
      </cdr:txBody>
    </cdr:sp>
  </cdr:relSizeAnchor>
  <cdr:relSizeAnchor xmlns:cdr="http://schemas.openxmlformats.org/drawingml/2006/chartDrawing">
    <cdr:from>
      <cdr:x>0.77253</cdr:x>
      <cdr:y>0.35889</cdr:y>
    </cdr:from>
    <cdr:to>
      <cdr:x>0.95109</cdr:x>
      <cdr:y>0.48442</cdr:y>
    </cdr:to>
    <cdr:sp macro="" textlink="">
      <cdr:nvSpPr>
        <cdr:cNvPr id="7" name="TextBox 1"/>
        <cdr:cNvSpPr txBox="1"/>
      </cdr:nvSpPr>
      <cdr:spPr>
        <a:xfrm xmlns:a="http://schemas.openxmlformats.org/drawingml/2006/main">
          <a:off x="5607050" y="1352550"/>
          <a:ext cx="1296041" cy="473088"/>
        </a:xfrm>
        <a:prstGeom xmlns:a="http://schemas.openxmlformats.org/drawingml/2006/main" prst="rect">
          <a:avLst/>
        </a:prstGeom>
        <a:solidFill xmlns:a="http://schemas.openxmlformats.org/drawingml/2006/main">
          <a:srgbClr val="0070C0">
            <a:alpha val="81000"/>
          </a:srgbClr>
        </a:solidFill>
        <a:effectLst xmlns:a="http://schemas.openxmlformats.org/drawingml/2006/main">
          <a:innerShdw blurRad="127000" dist="228600" dir="16200000">
            <a:schemeClr val="accent1">
              <a:lumMod val="75000"/>
              <a:alpha val="50000"/>
            </a:schemeClr>
          </a:innerShdw>
        </a:effectLst>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t-EE" sz="1000" b="1" i="0" u="none" strike="noStrike" baseline="0">
              <a:solidFill>
                <a:srgbClr val="FFFFFF"/>
              </a:solidFill>
              <a:latin typeface="Calibri"/>
            </a:rPr>
            <a:t>Strateegilised sihtrühmad</a:t>
          </a:r>
        </a:p>
      </cdr:txBody>
    </cdr:sp>
  </cdr:relSizeAnchor>
  <cdr:relSizeAnchor xmlns:cdr="http://schemas.openxmlformats.org/drawingml/2006/chartDrawing">
    <cdr:from>
      <cdr:x>0.77253</cdr:x>
      <cdr:y>0.4993</cdr:y>
    </cdr:from>
    <cdr:to>
      <cdr:x>0.95109</cdr:x>
      <cdr:y>0.68153</cdr:y>
    </cdr:to>
    <cdr:sp macro="" textlink="">
      <cdr:nvSpPr>
        <cdr:cNvPr id="8" name="TextBox 1"/>
        <cdr:cNvSpPr txBox="1"/>
      </cdr:nvSpPr>
      <cdr:spPr>
        <a:xfrm xmlns:a="http://schemas.openxmlformats.org/drawingml/2006/main">
          <a:off x="4450329" y="1493331"/>
          <a:ext cx="1028634" cy="545019"/>
        </a:xfrm>
        <a:prstGeom xmlns:a="http://schemas.openxmlformats.org/drawingml/2006/main" prst="rect">
          <a:avLst/>
        </a:prstGeom>
        <a:solidFill xmlns:a="http://schemas.openxmlformats.org/drawingml/2006/main">
          <a:schemeClr val="accent6">
            <a:lumMod val="75000"/>
            <a:alpha val="81000"/>
          </a:schemeClr>
        </a:solidFill>
        <a:effectLst xmlns:a="http://schemas.openxmlformats.org/drawingml/2006/main">
          <a:innerShdw blurRad="127000" dist="228600" dir="16200000">
            <a:srgbClr val="642F04">
              <a:alpha val="49804"/>
            </a:srgbClr>
          </a:innerShdw>
        </a:effectLst>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t-EE" sz="1000" b="1" i="0" u="none" strike="noStrike" baseline="0">
              <a:solidFill>
                <a:srgbClr val="FFFFFF"/>
              </a:solidFill>
              <a:latin typeface="Calibri"/>
            </a:rPr>
            <a:t>Strateegilised ELi-välised sihtpiirkonnad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2EA09183044A494EB462BD9436E83560" ma:contentTypeVersion="1" ma:contentTypeDescription="Create a new document in this library." ma:contentTypeScope="" ma:versionID="914ade7bd416978967dc580aa6aa0146">
  <xsd:schema xmlns:xsd="http://www.w3.org/2001/XMLSchema" xmlns:xs="http://www.w3.org/2001/XMLSchema" xmlns:p="http://schemas.microsoft.com/office/2006/metadata/properties" xmlns:ns3="ea468016-af7b-4a03-88cf-296834525c7c" targetNamespace="http://schemas.microsoft.com/office/2006/metadata/properties" ma:root="true" ma:fieldsID="030c0701a3e779b6265ab3fd0ae26f6c" ns3:_="">
    <xsd:import namespace="ea468016-af7b-4a03-88cf-296834525c7c"/>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68016-af7b-4a03-88cf-296834525c7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ea468016-af7b-4a03-88cf-296834525c7c" xsi:nil="true"/>
    <EC_Collab_DocumentLanguage xmlns="ea468016-af7b-4a03-88cf-296834525c7c">EN</EC_Collab_DocumentLanguage>
    <EC_Collab_Status xmlns="ea468016-af7b-4a03-88cf-296834525c7c">Not Started</EC_Collab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F3B086-554B-45D9-A406-68D86626A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68016-af7b-4a03-88cf-296834525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17E03-8FB6-40C9-B5BB-47782E6CAA05}">
  <ds:schemaRefs>
    <ds:schemaRef ds:uri="http://schemas.microsoft.com/office/2006/metadata/properties"/>
    <ds:schemaRef ds:uri="http://schemas.microsoft.com/office/infopath/2007/PartnerControls"/>
    <ds:schemaRef ds:uri="ea468016-af7b-4a03-88cf-296834525c7c"/>
  </ds:schemaRefs>
</ds:datastoreItem>
</file>

<file path=customXml/itemProps4.xml><?xml version="1.0" encoding="utf-8"?>
<ds:datastoreItem xmlns:ds="http://schemas.openxmlformats.org/officeDocument/2006/customXml" ds:itemID="{15A0D52C-72FB-409A-BAE7-8FC1FCA0CDAD}">
  <ds:schemaRefs>
    <ds:schemaRef ds:uri="http://schemas.microsoft.com/sharepoint/v3/contenttype/forms"/>
  </ds:schemaRefs>
</ds:datastoreItem>
</file>

<file path=customXml/itemProps5.xml><?xml version="1.0" encoding="utf-8"?>
<ds:datastoreItem xmlns:ds="http://schemas.openxmlformats.org/officeDocument/2006/customXml" ds:itemID="{079225AA-657A-42B2-9FA1-0164E284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25</Pages>
  <Words>4470</Words>
  <Characters>29731</Characters>
  <Application>Microsoft Office Word</Application>
  <DocSecurity>0</DocSecurity>
  <Lines>512</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34041</CharactersWithSpaces>
  <SharedDoc>false</SharedDoc>
  <HLinks>
    <vt:vector size="60" baseType="variant">
      <vt:variant>
        <vt:i4>1376316</vt:i4>
      </vt:variant>
      <vt:variant>
        <vt:i4>59</vt:i4>
      </vt:variant>
      <vt:variant>
        <vt:i4>0</vt:i4>
      </vt:variant>
      <vt:variant>
        <vt:i4>5</vt:i4>
      </vt:variant>
      <vt:variant>
        <vt:lpwstr/>
      </vt:variant>
      <vt:variant>
        <vt:lpwstr>_Toc420402860</vt:lpwstr>
      </vt:variant>
      <vt:variant>
        <vt:i4>1441852</vt:i4>
      </vt:variant>
      <vt:variant>
        <vt:i4>53</vt:i4>
      </vt:variant>
      <vt:variant>
        <vt:i4>0</vt:i4>
      </vt:variant>
      <vt:variant>
        <vt:i4>5</vt:i4>
      </vt:variant>
      <vt:variant>
        <vt:lpwstr/>
      </vt:variant>
      <vt:variant>
        <vt:lpwstr>_Toc420402859</vt:lpwstr>
      </vt:variant>
      <vt:variant>
        <vt:i4>1441852</vt:i4>
      </vt:variant>
      <vt:variant>
        <vt:i4>47</vt:i4>
      </vt:variant>
      <vt:variant>
        <vt:i4>0</vt:i4>
      </vt:variant>
      <vt:variant>
        <vt:i4>5</vt:i4>
      </vt:variant>
      <vt:variant>
        <vt:lpwstr/>
      </vt:variant>
      <vt:variant>
        <vt:lpwstr>_Toc420402858</vt:lpwstr>
      </vt:variant>
      <vt:variant>
        <vt:i4>1441852</vt:i4>
      </vt:variant>
      <vt:variant>
        <vt:i4>41</vt:i4>
      </vt:variant>
      <vt:variant>
        <vt:i4>0</vt:i4>
      </vt:variant>
      <vt:variant>
        <vt:i4>5</vt:i4>
      </vt:variant>
      <vt:variant>
        <vt:lpwstr/>
      </vt:variant>
      <vt:variant>
        <vt:lpwstr>_Toc420402855</vt:lpwstr>
      </vt:variant>
      <vt:variant>
        <vt:i4>1441852</vt:i4>
      </vt:variant>
      <vt:variant>
        <vt:i4>35</vt:i4>
      </vt:variant>
      <vt:variant>
        <vt:i4>0</vt:i4>
      </vt:variant>
      <vt:variant>
        <vt:i4>5</vt:i4>
      </vt:variant>
      <vt:variant>
        <vt:lpwstr/>
      </vt:variant>
      <vt:variant>
        <vt:lpwstr>_Toc420402854</vt:lpwstr>
      </vt:variant>
      <vt:variant>
        <vt:i4>1441852</vt:i4>
      </vt:variant>
      <vt:variant>
        <vt:i4>29</vt:i4>
      </vt:variant>
      <vt:variant>
        <vt:i4>0</vt:i4>
      </vt:variant>
      <vt:variant>
        <vt:i4>5</vt:i4>
      </vt:variant>
      <vt:variant>
        <vt:lpwstr/>
      </vt:variant>
      <vt:variant>
        <vt:lpwstr>_Toc420402853</vt:lpwstr>
      </vt:variant>
      <vt:variant>
        <vt:i4>1441852</vt:i4>
      </vt:variant>
      <vt:variant>
        <vt:i4>23</vt:i4>
      </vt:variant>
      <vt:variant>
        <vt:i4>0</vt:i4>
      </vt:variant>
      <vt:variant>
        <vt:i4>5</vt:i4>
      </vt:variant>
      <vt:variant>
        <vt:lpwstr/>
      </vt:variant>
      <vt:variant>
        <vt:lpwstr>_Toc420402852</vt:lpwstr>
      </vt:variant>
      <vt:variant>
        <vt:i4>1441852</vt:i4>
      </vt:variant>
      <vt:variant>
        <vt:i4>17</vt:i4>
      </vt:variant>
      <vt:variant>
        <vt:i4>0</vt:i4>
      </vt:variant>
      <vt:variant>
        <vt:i4>5</vt:i4>
      </vt:variant>
      <vt:variant>
        <vt:lpwstr/>
      </vt:variant>
      <vt:variant>
        <vt:lpwstr>_Toc420402851</vt:lpwstr>
      </vt:variant>
      <vt:variant>
        <vt:i4>1441852</vt:i4>
      </vt:variant>
      <vt:variant>
        <vt:i4>11</vt:i4>
      </vt:variant>
      <vt:variant>
        <vt:i4>0</vt:i4>
      </vt:variant>
      <vt:variant>
        <vt:i4>5</vt:i4>
      </vt:variant>
      <vt:variant>
        <vt:lpwstr/>
      </vt:variant>
      <vt:variant>
        <vt:lpwstr>_Toc420402850</vt:lpwstr>
      </vt:variant>
      <vt:variant>
        <vt:i4>1507388</vt:i4>
      </vt:variant>
      <vt:variant>
        <vt:i4>5</vt:i4>
      </vt:variant>
      <vt:variant>
        <vt:i4>0</vt:i4>
      </vt:variant>
      <vt:variant>
        <vt:i4>5</vt:i4>
      </vt:variant>
      <vt:variant>
        <vt:lpwstr/>
      </vt:variant>
      <vt:variant>
        <vt:lpwstr>_Toc420402849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25</cp:revision>
  <cp:lastPrinted>2017-08-01T13:26:00Z</cp:lastPrinted>
  <dcterms:created xsi:type="dcterms:W3CDTF">2017-09-14T12:23:00Z</dcterms:created>
  <dcterms:modified xsi:type="dcterms:W3CDTF">2017-09-25T07:26:00Z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fmtid="{D5CDD505-2E9C-101B-9397-08002B2CF9AE}" pid="6" name="_DocHome">
    <vt:i4>2056080877</vt:i4>
  </property>
  <property fmtid="{D5CDD505-2E9C-101B-9397-08002B2CF9AE}" pid="7" name="ContentTypeId">
    <vt:lpwstr>0x010100258AA79CEB83498886A3A08681123250002EA09183044A494EB462BD9436E83560</vt:lpwstr>
  </property>
</Properties>
</file>