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9E3" w:rsidRDefault="00E45B63" w:rsidP="00E45B63">
      <w:pPr>
        <w:pStyle w:val="Pagedecouverture"/>
        <w:rPr>
          <w:noProof/>
        </w:rPr>
      </w:pPr>
      <w:bookmarkStart w:id="0" w:name="_DMBM_9471"/>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5EC9EB2C828148F7BD91741413E44922" style="width:450.75pt;height:428.25pt">
            <v:imagedata r:id="rId10" o:title=""/>
          </v:shape>
        </w:pict>
      </w:r>
    </w:p>
    <w:bookmarkEnd w:id="2"/>
    <w:p w:rsidR="001609E3" w:rsidRDefault="001609E3">
      <w:pPr>
        <w:rPr>
          <w:noProof/>
        </w:rPr>
        <w:sectPr w:rsidR="001609E3" w:rsidSect="00E45B63">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rsidR="001609E3" w:rsidRDefault="001609E3">
      <w:pPr>
        <w:pStyle w:val="CoverPage"/>
        <w:rPr>
          <w:noProof/>
        </w:rPr>
      </w:pPr>
      <w:bookmarkStart w:id="3" w:name="_GoBack"/>
      <w:bookmarkEnd w:id="3"/>
    </w:p>
    <w:p w:rsidR="001609E3" w:rsidRDefault="001609E3">
      <w:pPr>
        <w:pStyle w:val="CoverPage"/>
        <w:rPr>
          <w:noProof/>
        </w:rPr>
      </w:pPr>
    </w:p>
    <w:p w:rsidR="001609E3" w:rsidRDefault="00E45B63">
      <w:pPr>
        <w:pStyle w:val="CoverPage"/>
        <w:rPr>
          <w:noProof/>
        </w:rPr>
      </w:pPr>
      <w:r>
        <w:rPr>
          <w:noProof/>
        </w:rPr>
        <w:t xml:space="preserve">Jahresrechnungen des </w:t>
      </w:r>
      <w:r>
        <w:rPr>
          <w:noProof/>
        </w:rPr>
        <w:br/>
        <w:t>Europäischen Entwicklungsfonds 2016</w:t>
      </w:r>
    </w:p>
    <w:p w:rsidR="001609E3" w:rsidRDefault="00E45B63">
      <w:pPr>
        <w:pStyle w:val="CoverPage"/>
        <w:rPr>
          <w:noProof/>
        </w:rPr>
        <w:sectPr w:rsidR="001609E3">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r>
        <w:rPr>
          <w:noProof/>
        </w:rPr>
        <w:t xml:space="preserve"> </w:t>
      </w:r>
      <w:bookmarkEnd w:id="0"/>
    </w:p>
    <w:p w:rsidR="001609E3" w:rsidRDefault="00E45B63">
      <w:pPr>
        <w:pStyle w:val="HEADERTABLE"/>
        <w:rPr>
          <w:noProof/>
        </w:rPr>
      </w:pPr>
      <w:bookmarkStart w:id="4" w:name="_DMBM_9447"/>
      <w:r>
        <w:rPr>
          <w:noProof/>
        </w:rPr>
        <w:lastRenderedPageBreak/>
        <w:t>INHALT</w:t>
      </w:r>
    </w:p>
    <w:p w:rsidR="001609E3" w:rsidRDefault="001609E3">
      <w:pPr>
        <w:pStyle w:val="HEADERTABLE"/>
        <w:rPr>
          <w:noProof/>
        </w:rPr>
      </w:pPr>
    </w:p>
    <w:bookmarkStart w:id="5" w:name="_Toc392246586"/>
    <w:bookmarkStart w:id="6" w:name="_Toc392246597"/>
    <w:bookmarkStart w:id="7" w:name="_DMBM_9515"/>
    <w:bookmarkEnd w:id="4"/>
    <w:p w:rsidR="001609E3" w:rsidRDefault="00E45B63">
      <w:pPr>
        <w:pStyle w:val="TOC1"/>
        <w:rPr>
          <w:rFonts w:asciiTheme="minorHAnsi" w:eastAsiaTheme="minorEastAsia" w:hAnsiTheme="minorHAnsi" w:cstheme="minorBidi"/>
          <w:color w:val="auto"/>
          <w:lang w:val="en-GB" w:eastAsia="en-GB" w:bidi="ar-SA"/>
        </w:rPr>
      </w:pPr>
      <w:r>
        <w:fldChar w:fldCharType="begin"/>
      </w:r>
      <w:r>
        <w:instrText xml:space="preserve"> TOC \o "1-3" \h \z \t "FIRST_CHAPTER_PAGE,1,HEADER_TITLE,2,FIRST CHAPTER_PAGE_1,2,HEADER_TITLE_0,1" </w:instrText>
      </w:r>
      <w:r>
        <w:fldChar w:fldCharType="separate"/>
      </w:r>
      <w:hyperlink w:anchor="_Toc491768125" w:history="1">
        <w:r>
          <w:rPr>
            <w:rStyle w:val="Hyperlink"/>
          </w:rPr>
          <w:t>BESCHEINIGUNG DER RECHNUNGSFÜHRUNG</w:t>
        </w:r>
        <w:r>
          <w:rPr>
            <w:webHidden/>
          </w:rPr>
          <w:tab/>
        </w:r>
        <w:r>
          <w:rPr>
            <w:webHidden/>
          </w:rPr>
          <w:fldChar w:fldCharType="begin"/>
        </w:r>
        <w:r>
          <w:rPr>
            <w:webHidden/>
          </w:rPr>
          <w:instrText xml:space="preserve"> PAGEREF _Toc491768125 \h </w:instrText>
        </w:r>
        <w:r>
          <w:rPr>
            <w:webHidden/>
          </w:rPr>
        </w:r>
        <w:r>
          <w:rPr>
            <w:webHidden/>
          </w:rPr>
          <w:fldChar w:fldCharType="separate"/>
        </w:r>
        <w:r>
          <w:rPr>
            <w:webHidden/>
          </w:rPr>
          <w:t>3</w:t>
        </w:r>
        <w:r>
          <w:rPr>
            <w:webHidden/>
          </w:rPr>
          <w:fldChar w:fldCharType="end"/>
        </w:r>
      </w:hyperlink>
    </w:p>
    <w:p w:rsidR="001609E3" w:rsidRDefault="00E45B63">
      <w:pPr>
        <w:pStyle w:val="TOC1"/>
        <w:rPr>
          <w:rFonts w:asciiTheme="minorHAnsi" w:eastAsiaTheme="minorEastAsia" w:hAnsiTheme="minorHAnsi" w:cstheme="minorBidi"/>
          <w:color w:val="auto"/>
          <w:lang w:val="en-GB" w:eastAsia="en-GB" w:bidi="ar-SA"/>
        </w:rPr>
      </w:pPr>
      <w:hyperlink w:anchor="_Toc491768126" w:history="1">
        <w:r>
          <w:rPr>
            <w:rStyle w:val="Hyperlink"/>
          </w:rPr>
          <w:t>HAUSHALTSVOLLZUG UND RECHNUNGSFÜHRUNG FÜR DIE MITTEL DES EEF</w:t>
        </w:r>
        <w:r>
          <w:rPr>
            <w:webHidden/>
          </w:rPr>
          <w:tab/>
        </w:r>
        <w:r>
          <w:rPr>
            <w:webHidden/>
          </w:rPr>
          <w:fldChar w:fldCharType="begin"/>
        </w:r>
        <w:r>
          <w:rPr>
            <w:webHidden/>
          </w:rPr>
          <w:instrText xml:space="preserve"> PAGEREF _Toc491768126 \h </w:instrText>
        </w:r>
        <w:r>
          <w:rPr>
            <w:webHidden/>
          </w:rPr>
        </w:r>
        <w:r>
          <w:rPr>
            <w:webHidden/>
          </w:rPr>
          <w:fldChar w:fldCharType="separate"/>
        </w:r>
        <w:r>
          <w:rPr>
            <w:webHidden/>
          </w:rPr>
          <w:t>4</w:t>
        </w:r>
        <w:r>
          <w:rPr>
            <w:webHidden/>
          </w:rPr>
          <w:fldChar w:fldCharType="end"/>
        </w:r>
      </w:hyperlink>
    </w:p>
    <w:p w:rsidR="001609E3" w:rsidRDefault="00E45B63">
      <w:pPr>
        <w:pStyle w:val="TOC1"/>
        <w:rPr>
          <w:rFonts w:asciiTheme="minorHAnsi" w:eastAsiaTheme="minorEastAsia" w:hAnsiTheme="minorHAnsi" w:cstheme="minorBidi"/>
          <w:color w:val="auto"/>
          <w:lang w:val="en-GB" w:eastAsia="en-GB" w:bidi="ar-SA"/>
        </w:rPr>
      </w:pPr>
      <w:hyperlink w:anchor="_Toc491768127" w:history="1">
        <w:r>
          <w:rPr>
            <w:rStyle w:val="Hyperlink"/>
          </w:rPr>
          <w:t>VON DER EUROPÄISCHEN KOM</w:t>
        </w:r>
        <w:r>
          <w:rPr>
            <w:rStyle w:val="Hyperlink"/>
          </w:rPr>
          <w:t>MISSION VERWALTETE MITTEL</w:t>
        </w:r>
        <w:r>
          <w:rPr>
            <w:webHidden/>
          </w:rPr>
          <w:tab/>
        </w:r>
        <w:r>
          <w:rPr>
            <w:webHidden/>
          </w:rPr>
          <w:fldChar w:fldCharType="begin"/>
        </w:r>
        <w:r>
          <w:rPr>
            <w:webHidden/>
          </w:rPr>
          <w:instrText xml:space="preserve"> PAGEREF _Toc491768127 \h </w:instrText>
        </w:r>
        <w:r>
          <w:rPr>
            <w:webHidden/>
          </w:rPr>
        </w:r>
        <w:r>
          <w:rPr>
            <w:webHidden/>
          </w:rPr>
          <w:fldChar w:fldCharType="separate"/>
        </w:r>
        <w:r>
          <w:rPr>
            <w:webHidden/>
          </w:rPr>
          <w:t>8</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28" w:history="1">
        <w:r>
          <w:rPr>
            <w:rStyle w:val="Hyperlink"/>
          </w:rPr>
          <w:t>JAHRESABSCHLUSS DES EEF</w:t>
        </w:r>
        <w:r>
          <w:rPr>
            <w:webHidden/>
          </w:rPr>
          <w:tab/>
        </w:r>
        <w:r>
          <w:rPr>
            <w:webHidden/>
          </w:rPr>
          <w:fldChar w:fldCharType="begin"/>
        </w:r>
        <w:r>
          <w:rPr>
            <w:webHidden/>
          </w:rPr>
          <w:instrText xml:space="preserve"> PAGEREF _Toc491768128 \h </w:instrText>
        </w:r>
        <w:r>
          <w:rPr>
            <w:webHidden/>
          </w:rPr>
        </w:r>
        <w:r>
          <w:rPr>
            <w:webHidden/>
          </w:rPr>
          <w:fldChar w:fldCharType="separate"/>
        </w:r>
        <w:r>
          <w:rPr>
            <w:webHidden/>
          </w:rPr>
          <w:t>10</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29" w:history="1">
        <w:r>
          <w:rPr>
            <w:rStyle w:val="Hyperlink"/>
          </w:rPr>
          <w:t>ERLÄUTERUNGEN ZU DEN JAHRESABSCHLÜSSEN DES EEF</w:t>
        </w:r>
        <w:r>
          <w:rPr>
            <w:webHidden/>
          </w:rPr>
          <w:tab/>
        </w:r>
        <w:r>
          <w:rPr>
            <w:webHidden/>
          </w:rPr>
          <w:fldChar w:fldCharType="begin"/>
        </w:r>
        <w:r>
          <w:rPr>
            <w:webHidden/>
          </w:rPr>
          <w:instrText xml:space="preserve"> PAGEREF _Toc491768129 \h </w:instrText>
        </w:r>
        <w:r>
          <w:rPr>
            <w:webHidden/>
          </w:rPr>
        </w:r>
        <w:r>
          <w:rPr>
            <w:webHidden/>
          </w:rPr>
          <w:fldChar w:fldCharType="separate"/>
        </w:r>
        <w:r>
          <w:rPr>
            <w:webHidden/>
          </w:rPr>
          <w:t>21</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0" w:history="1">
        <w:r>
          <w:rPr>
            <w:rStyle w:val="Hyperlink"/>
          </w:rPr>
          <w:t>EINNAHMEN</w:t>
        </w:r>
        <w:r>
          <w:rPr>
            <w:webHidden/>
          </w:rPr>
          <w:tab/>
        </w:r>
        <w:r>
          <w:rPr>
            <w:webHidden/>
          </w:rPr>
          <w:fldChar w:fldCharType="begin"/>
        </w:r>
        <w:r>
          <w:rPr>
            <w:webHidden/>
          </w:rPr>
          <w:instrText xml:space="preserve"> PAGEREF _Toc491768130 \h </w:instrText>
        </w:r>
        <w:r>
          <w:rPr>
            <w:webHidden/>
          </w:rPr>
        </w:r>
        <w:r>
          <w:rPr>
            <w:webHidden/>
          </w:rPr>
          <w:fldChar w:fldCharType="separate"/>
        </w:r>
        <w:r>
          <w:rPr>
            <w:webHidden/>
          </w:rPr>
          <w:t>41</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1" w:history="1">
        <w:r>
          <w:rPr>
            <w:rStyle w:val="Hyperlink"/>
          </w:rPr>
          <w:t>AUFWENDUNGEN</w:t>
        </w:r>
        <w:r>
          <w:rPr>
            <w:webHidden/>
          </w:rPr>
          <w:tab/>
        </w:r>
        <w:r>
          <w:rPr>
            <w:webHidden/>
          </w:rPr>
          <w:fldChar w:fldCharType="begin"/>
        </w:r>
        <w:r>
          <w:rPr>
            <w:webHidden/>
          </w:rPr>
          <w:instrText xml:space="preserve"> PAGEREF _Toc491768131 \h </w:instrText>
        </w:r>
        <w:r>
          <w:rPr>
            <w:webHidden/>
          </w:rPr>
        </w:r>
        <w:r>
          <w:rPr>
            <w:webHidden/>
          </w:rPr>
          <w:fldChar w:fldCharType="separate"/>
        </w:r>
        <w:r>
          <w:rPr>
            <w:webHidden/>
          </w:rPr>
          <w:t>42</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2" w:history="1">
        <w:r>
          <w:rPr>
            <w:rStyle w:val="Hyperlink"/>
          </w:rPr>
          <w:t>JAHRESABSCHLÜSSE DER IM EEF KONSOLIDIERTEN EU-TREUHANDFONDS</w:t>
        </w:r>
        <w:r>
          <w:rPr>
            <w:webHidden/>
          </w:rPr>
          <w:tab/>
        </w:r>
        <w:r>
          <w:rPr>
            <w:webHidden/>
          </w:rPr>
          <w:fldChar w:fldCharType="begin"/>
        </w:r>
        <w:r>
          <w:rPr>
            <w:webHidden/>
          </w:rPr>
          <w:instrText xml:space="preserve"> PAGEREF _Toc491768132 \h </w:instrText>
        </w:r>
        <w:r>
          <w:rPr>
            <w:webHidden/>
          </w:rPr>
        </w:r>
        <w:r>
          <w:rPr>
            <w:webHidden/>
          </w:rPr>
          <w:fldChar w:fldCharType="separate"/>
        </w:r>
        <w:r>
          <w:rPr>
            <w:webHidden/>
          </w:rPr>
          <w:t>52</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3" w:history="1">
        <w:r>
          <w:rPr>
            <w:rStyle w:val="Hyperlink"/>
          </w:rPr>
          <w:t>ENDGÜLTIGE JAHRESRECHN</w:t>
        </w:r>
        <w:r>
          <w:rPr>
            <w:rStyle w:val="Hyperlink"/>
          </w:rPr>
          <w:t>UNG DES TREUHANDFONDS BÊKOU</w:t>
        </w:r>
        <w:r>
          <w:rPr>
            <w:webHidden/>
          </w:rPr>
          <w:tab/>
        </w:r>
        <w:r>
          <w:rPr>
            <w:webHidden/>
          </w:rPr>
          <w:fldChar w:fldCharType="begin"/>
        </w:r>
        <w:r>
          <w:rPr>
            <w:webHidden/>
          </w:rPr>
          <w:instrText xml:space="preserve"> PAGEREF _Toc491768133 \h </w:instrText>
        </w:r>
        <w:r>
          <w:rPr>
            <w:webHidden/>
          </w:rPr>
        </w:r>
        <w:r>
          <w:rPr>
            <w:webHidden/>
          </w:rPr>
          <w:fldChar w:fldCharType="separate"/>
        </w:r>
        <w:r>
          <w:rPr>
            <w:webHidden/>
          </w:rPr>
          <w:t>53</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4" w:history="1">
        <w:r>
          <w:rPr>
            <w:rStyle w:val="Hyperlink"/>
          </w:rPr>
          <w:t>HINTERGRUNDINFORMATIONEN ZUM EU-TREUHANDFONDS „BÊKOU“</w:t>
        </w:r>
        <w:r>
          <w:rPr>
            <w:webHidden/>
          </w:rPr>
          <w:tab/>
        </w:r>
        <w:r>
          <w:rPr>
            <w:webHidden/>
          </w:rPr>
          <w:fldChar w:fldCharType="begin"/>
        </w:r>
        <w:r>
          <w:rPr>
            <w:webHidden/>
          </w:rPr>
          <w:instrText xml:space="preserve"> PAGEREF _Toc491768134 \h </w:instrText>
        </w:r>
        <w:r>
          <w:rPr>
            <w:webHidden/>
          </w:rPr>
        </w:r>
        <w:r>
          <w:rPr>
            <w:webHidden/>
          </w:rPr>
          <w:fldChar w:fldCharType="separate"/>
        </w:r>
        <w:r>
          <w:rPr>
            <w:webHidden/>
          </w:rPr>
          <w:t>54</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5" w:history="1">
        <w:r>
          <w:rPr>
            <w:rStyle w:val="Hyperlink"/>
          </w:rPr>
          <w:t>ENDGÜTIGE JAHRESRECHNUNG DES EU-TREUHANDFONDS FÜR AFRIKA</w:t>
        </w:r>
        <w:r>
          <w:rPr>
            <w:webHidden/>
          </w:rPr>
          <w:tab/>
        </w:r>
        <w:r>
          <w:rPr>
            <w:webHidden/>
          </w:rPr>
          <w:fldChar w:fldCharType="begin"/>
        </w:r>
        <w:r>
          <w:rPr>
            <w:webHidden/>
          </w:rPr>
          <w:instrText xml:space="preserve"> PAGEREF _Toc491768135 \h </w:instrText>
        </w:r>
        <w:r>
          <w:rPr>
            <w:webHidden/>
          </w:rPr>
        </w:r>
        <w:r>
          <w:rPr>
            <w:webHidden/>
          </w:rPr>
          <w:fldChar w:fldCharType="separate"/>
        </w:r>
        <w:r>
          <w:rPr>
            <w:webHidden/>
          </w:rPr>
          <w:t>60</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6" w:history="1">
        <w:r>
          <w:rPr>
            <w:rStyle w:val="Hyperlink"/>
          </w:rPr>
          <w:t>HINTERGRUNDINFORMATIONEN ZUM EU-TREUHANDFONDS FÜR AFRIKA</w:t>
        </w:r>
        <w:r>
          <w:rPr>
            <w:webHidden/>
          </w:rPr>
          <w:tab/>
        </w:r>
        <w:r>
          <w:rPr>
            <w:webHidden/>
          </w:rPr>
          <w:fldChar w:fldCharType="begin"/>
        </w:r>
        <w:r>
          <w:rPr>
            <w:webHidden/>
          </w:rPr>
          <w:instrText xml:space="preserve"> PAGEREF _Toc491768136 \h </w:instrText>
        </w:r>
        <w:r>
          <w:rPr>
            <w:webHidden/>
          </w:rPr>
        </w:r>
        <w:r>
          <w:rPr>
            <w:webHidden/>
          </w:rPr>
          <w:fldChar w:fldCharType="separate"/>
        </w:r>
        <w:r>
          <w:rPr>
            <w:webHidden/>
          </w:rPr>
          <w:t>61</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7" w:history="1">
        <w:r>
          <w:rPr>
            <w:rStyle w:val="Hyperlink"/>
          </w:rPr>
          <w:t>KONSOLIDIERTE JAHRESABSCHLÜSSE DES EEF UND DER EU-TREUHANDFONDS</w:t>
        </w:r>
        <w:r>
          <w:rPr>
            <w:webHidden/>
          </w:rPr>
          <w:tab/>
        </w:r>
        <w:r>
          <w:rPr>
            <w:webHidden/>
          </w:rPr>
          <w:fldChar w:fldCharType="begin"/>
        </w:r>
        <w:r>
          <w:rPr>
            <w:webHidden/>
          </w:rPr>
          <w:instrText xml:space="preserve"> PAGEREF _Toc491768137 \h </w:instrText>
        </w:r>
        <w:r>
          <w:rPr>
            <w:webHidden/>
          </w:rPr>
        </w:r>
        <w:r>
          <w:rPr>
            <w:webHidden/>
          </w:rPr>
          <w:fldChar w:fldCharType="separate"/>
        </w:r>
        <w:r>
          <w:rPr>
            <w:webHidden/>
          </w:rPr>
          <w:t>67</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8138" w:history="1">
        <w:r>
          <w:rPr>
            <w:rStyle w:val="Hyperlink"/>
          </w:rPr>
          <w:t>ÜBERSICHT ÜBER DIE FINANZIELLE AUS</w:t>
        </w:r>
        <w:r>
          <w:rPr>
            <w:rStyle w:val="Hyperlink"/>
          </w:rPr>
          <w:t>FÜHRUNG DES EEF</w:t>
        </w:r>
        <w:r>
          <w:rPr>
            <w:webHidden/>
          </w:rPr>
          <w:tab/>
        </w:r>
        <w:r>
          <w:rPr>
            <w:webHidden/>
          </w:rPr>
          <w:fldChar w:fldCharType="begin"/>
        </w:r>
        <w:r>
          <w:rPr>
            <w:webHidden/>
          </w:rPr>
          <w:instrText xml:space="preserve"> PAGEREF _Toc491768138 \h </w:instrText>
        </w:r>
        <w:r>
          <w:rPr>
            <w:webHidden/>
          </w:rPr>
        </w:r>
        <w:r>
          <w:rPr>
            <w:webHidden/>
          </w:rPr>
          <w:fldChar w:fldCharType="separate"/>
        </w:r>
        <w:r>
          <w:rPr>
            <w:webHidden/>
          </w:rPr>
          <w:t>72</w:t>
        </w:r>
        <w:r>
          <w:rPr>
            <w:webHidden/>
          </w:rPr>
          <w:fldChar w:fldCharType="end"/>
        </w:r>
      </w:hyperlink>
    </w:p>
    <w:p w:rsidR="001609E3" w:rsidRDefault="00E45B63">
      <w:pPr>
        <w:pStyle w:val="TOC1"/>
        <w:rPr>
          <w:rFonts w:asciiTheme="minorHAnsi" w:eastAsiaTheme="minorEastAsia" w:hAnsiTheme="minorHAnsi" w:cstheme="minorBidi"/>
          <w:color w:val="auto"/>
          <w:lang w:val="en-GB" w:eastAsia="en-GB" w:bidi="ar-SA"/>
        </w:rPr>
      </w:pPr>
      <w:hyperlink w:anchor="_Toc491768139" w:history="1">
        <w:r>
          <w:rPr>
            <w:rStyle w:val="Hyperlink"/>
          </w:rPr>
          <w:t>JÄHRLICHER DURCHFÜHRUNGSBERICHT – VON DER EUROPÄISCHEN INVESTITIONSBANK VERWALTETE MITTEL</w:t>
        </w:r>
        <w:r>
          <w:rPr>
            <w:webHidden/>
          </w:rPr>
          <w:tab/>
        </w:r>
        <w:r>
          <w:rPr>
            <w:webHidden/>
          </w:rPr>
          <w:fldChar w:fldCharType="begin"/>
        </w:r>
        <w:r>
          <w:rPr>
            <w:webHidden/>
          </w:rPr>
          <w:instrText xml:space="preserve"> PAGEREF _Toc4917681</w:instrText>
        </w:r>
        <w:r>
          <w:rPr>
            <w:webHidden/>
          </w:rPr>
          <w:instrText xml:space="preserve">39 \h </w:instrText>
        </w:r>
        <w:r>
          <w:rPr>
            <w:webHidden/>
          </w:rPr>
        </w:r>
        <w:r>
          <w:rPr>
            <w:webHidden/>
          </w:rPr>
          <w:fldChar w:fldCharType="separate"/>
        </w:r>
        <w:r>
          <w:rPr>
            <w:webHidden/>
          </w:rPr>
          <w:t>89</w:t>
        </w:r>
        <w:r>
          <w:rPr>
            <w:webHidden/>
          </w:rPr>
          <w:fldChar w:fldCharType="end"/>
        </w:r>
      </w:hyperlink>
    </w:p>
    <w:p w:rsidR="001609E3" w:rsidRDefault="00E45B63">
      <w:pPr>
        <w:pStyle w:val="HEADERTABLE"/>
        <w:rPr>
          <w:rFonts w:asciiTheme="minorHAnsi" w:eastAsiaTheme="minorEastAsia" w:hAnsiTheme="minorHAnsi" w:cstheme="minorBidi"/>
          <w:noProof/>
          <w:color w:val="auto"/>
          <w:sz w:val="20"/>
          <w:szCs w:val="20"/>
        </w:rPr>
        <w:sectPr w:rsidR="001609E3">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r>
        <w:rPr>
          <w:noProof/>
          <w:sz w:val="22"/>
          <w:szCs w:val="22"/>
        </w:rPr>
        <w:fldChar w:fldCharType="end"/>
      </w:r>
      <w:r>
        <w:rPr>
          <w:noProof/>
        </w:rPr>
        <w:t xml:space="preserve"> </w:t>
      </w:r>
    </w:p>
    <w:p w:rsidR="001609E3" w:rsidRDefault="00E45B63">
      <w:pPr>
        <w:pStyle w:val="HEADERTITLE0"/>
      </w:pPr>
      <w:bookmarkStart w:id="8" w:name="_Toc491768125"/>
      <w:r>
        <w:lastRenderedPageBreak/>
        <w:t>BESCHEINIGUNG DER RECHNUNGSFÜHRUNG</w:t>
      </w:r>
      <w:bookmarkEnd w:id="5"/>
      <w:bookmarkEnd w:id="6"/>
      <w:bookmarkEnd w:id="8"/>
    </w:p>
    <w:p w:rsidR="001609E3" w:rsidRDefault="001609E3">
      <w:pPr>
        <w:pStyle w:val="HEADERTABLE"/>
        <w:rPr>
          <w:noProof/>
        </w:rPr>
      </w:pPr>
    </w:p>
    <w:p w:rsidR="001609E3" w:rsidRDefault="00E45B63">
      <w:pPr>
        <w:pStyle w:val="Textstand-alone"/>
      </w:pPr>
      <w:r>
        <w:t xml:space="preserve">Die Jahresrechnungen des </w:t>
      </w:r>
      <w:r>
        <w:t>Europäischen Entwicklungsfonds für das Jahr 2016 wurden nach Titel IX der Finanzregelung für den 11. Europäischen Entwicklungsfonds und den im Anhang zum Jahresabschluss dargelegten Rechnungsführungsgrundsätzen, -vorschriften und -methoden erstellt.</w:t>
      </w:r>
    </w:p>
    <w:p w:rsidR="001609E3" w:rsidRDefault="00E45B63">
      <w:pPr>
        <w:pStyle w:val="Textstand-alone"/>
      </w:pPr>
      <w:r>
        <w:t>Ich er</w:t>
      </w:r>
      <w:r>
        <w:t>kenne meine Verantwortung für die Erstellung und Darstellung der Jahresrechnungen des Europäischen Entwicklungsfonds nach Artikel 20 der Finanzregelung für den 11. Europäischen Entwicklungsfonds an.</w:t>
      </w:r>
    </w:p>
    <w:p w:rsidR="001609E3" w:rsidRDefault="00E45B63">
      <w:pPr>
        <w:pStyle w:val="Textstand-alone"/>
      </w:pPr>
      <w:r>
        <w:t>Sämtliche Informationen, die für die Erstellung der Rechn</w:t>
      </w:r>
      <w:r>
        <w:t>ungen, welche die Forderungen und Verbindlichkeiten des Europäischen Entwicklungsfonds und den Haushaltsvollzug aufzeigen, erforderlich sind, habe ich von den Anweisungsbefugten und der EIB erhalten; die Zuverlässigkeit dieser Informationen wurde von den A</w:t>
      </w:r>
      <w:r>
        <w:t>nweisungsbefugten bestätigt.</w:t>
      </w:r>
    </w:p>
    <w:p w:rsidR="001609E3" w:rsidRDefault="00E45B63">
      <w:pPr>
        <w:pStyle w:val="Textstand-alone"/>
      </w:pPr>
      <w:r>
        <w:t>Ich bescheinige hiermit, dass ich anhand dieser Informationen und auf der Grundlage der Prüfungen, die ich zur Abzeichnung der Rechnungen für erforderlich erachtet habe, eine hinreichende Gewähr erlangt habe, dass die Rechnunge</w:t>
      </w:r>
      <w:r>
        <w:t>n ein in jeder Hinsicht den getreues Bild der finanziellen Lage des Europäischen Entwicklungsfonds wiedergeben.</w:t>
      </w:r>
    </w:p>
    <w:p w:rsidR="001609E3" w:rsidRDefault="001609E3">
      <w:pPr>
        <w:pStyle w:val="Textstand-alone"/>
      </w:pPr>
    </w:p>
    <w:p w:rsidR="001609E3" w:rsidRDefault="001609E3">
      <w:pPr>
        <w:pStyle w:val="Textstand-alone"/>
      </w:pPr>
    </w:p>
    <w:p w:rsidR="001609E3" w:rsidRDefault="00E45B63">
      <w:pPr>
        <w:pStyle w:val="SignatureRight"/>
        <w:rPr>
          <w:noProof/>
        </w:rPr>
      </w:pPr>
      <w:r>
        <w:rPr>
          <w:noProof/>
        </w:rPr>
        <w:t>[gezeichnet]</w:t>
      </w:r>
    </w:p>
    <w:p w:rsidR="001609E3" w:rsidRDefault="00E45B63">
      <w:pPr>
        <w:pStyle w:val="SignatureRight"/>
        <w:rPr>
          <w:noProof/>
        </w:rPr>
      </w:pPr>
      <w:r>
        <w:rPr>
          <w:noProof/>
        </w:rPr>
        <w:t>Rosa ALDEA BUSQUETS</w:t>
      </w:r>
    </w:p>
    <w:p w:rsidR="001609E3" w:rsidRDefault="00E45B63">
      <w:pPr>
        <w:pStyle w:val="SignatureRightBold"/>
        <w:rPr>
          <w:noProof/>
        </w:rPr>
      </w:pPr>
      <w:r>
        <w:rPr>
          <w:noProof/>
        </w:rPr>
        <w:t>Rechnungsführerin</w:t>
      </w:r>
    </w:p>
    <w:p w:rsidR="001609E3" w:rsidRDefault="00E45B63">
      <w:pPr>
        <w:pStyle w:val="SignatureRightBold"/>
        <w:rPr>
          <w:b w:val="0"/>
          <w:noProof/>
        </w:rPr>
      </w:pPr>
      <w:r>
        <w:rPr>
          <w:b w:val="0"/>
          <w:noProof/>
        </w:rPr>
        <w:t>23. Juni 2017</w:t>
      </w:r>
    </w:p>
    <w:bookmarkEnd w:id="7"/>
    <w:p w:rsidR="001609E3" w:rsidRDefault="001609E3">
      <w:pPr>
        <w:pStyle w:val="SignatureRightItalic0"/>
        <w:rPr>
          <w:noProof/>
        </w:rPr>
        <w:sectPr w:rsidR="001609E3">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8" w:footer="708" w:gutter="0"/>
          <w:cols w:space="708"/>
          <w:docGrid w:linePitch="360"/>
        </w:sectPr>
      </w:pPr>
    </w:p>
    <w:p w:rsidR="001609E3" w:rsidRDefault="00E45B63">
      <w:pPr>
        <w:pStyle w:val="FIRSTCHAPTERPAGE"/>
        <w:rPr>
          <w:noProof/>
        </w:rPr>
      </w:pPr>
      <w:bookmarkStart w:id="9" w:name="_Toc484164226"/>
      <w:bookmarkStart w:id="10" w:name="_Toc491767258"/>
      <w:bookmarkStart w:id="11" w:name="_Toc491768126"/>
      <w:bookmarkStart w:id="12" w:name="_DMBM_9493"/>
      <w:r>
        <w:rPr>
          <w:noProof/>
        </w:rPr>
        <w:lastRenderedPageBreak/>
        <w:t>HAUSHALTSVOLLZUG UND RECHNUNGSFÜHRUNG FÜR DIE MITTEL DES EEF</w:t>
      </w:r>
      <w:bookmarkEnd w:id="9"/>
      <w:bookmarkEnd w:id="10"/>
      <w:bookmarkEnd w:id="11"/>
    </w:p>
    <w:p w:rsidR="001609E3" w:rsidRDefault="00E45B63">
      <w:pPr>
        <w:pStyle w:val="HEADER1Part1"/>
        <w:rPr>
          <w:noProof/>
        </w:rPr>
      </w:pPr>
      <w:r>
        <w:rPr>
          <w:noProof/>
        </w:rPr>
        <w:t>HINTERGRUND</w:t>
      </w:r>
    </w:p>
    <w:p w:rsidR="001609E3" w:rsidRDefault="00E45B63">
      <w:pPr>
        <w:pStyle w:val="Textstand-alone"/>
      </w:pPr>
      <w:r>
        <w:t xml:space="preserve">Die Europäische Union (EU) unterhält Kooperationsbeziehungen mit einer großen Zahl von Entwicklungsländern. Dabei verfolgt sie vor </w:t>
      </w:r>
      <w:r>
        <w:t xml:space="preserve">Allem das Ziel, durch die Leistung von Entwicklungshilfe und technischer Hilfe für die Empfängerländer deren wirtschaftliche, soziale und ökologische Entwicklung zu fördern, wobei vorrangig der Abbau und auf lange Sicht die Ausrottung der Armut angestrebt </w:t>
      </w:r>
      <w:r>
        <w:t>wird. Zu diesem Zweck entwickelt die EU gemeinsam mit den Partnerländern Kooperationsstrategien und mobilisiert die finanziellen Mittel zur praktischen Umsetzung dieser Strategien. Die für die Entwicklungszusammenarbeit vorgesehenen Mittel der EU stammen a</w:t>
      </w:r>
      <w:r>
        <w:t>us drei Quellen:</w:t>
      </w:r>
    </w:p>
    <w:p w:rsidR="001609E3" w:rsidRDefault="00E45B63">
      <w:pPr>
        <w:pStyle w:val="Textstand-aloneBulletpoint"/>
        <w:numPr>
          <w:ilvl w:val="0"/>
          <w:numId w:val="14"/>
        </w:numPr>
        <w:ind w:left="357" w:hanging="357"/>
        <w:rPr>
          <w:noProof/>
        </w:rPr>
      </w:pPr>
      <w:r>
        <w:rPr>
          <w:noProof/>
        </w:rPr>
        <w:t>dem EU-Haushalt;</w:t>
      </w:r>
    </w:p>
    <w:p w:rsidR="001609E3" w:rsidRDefault="00E45B63">
      <w:pPr>
        <w:pStyle w:val="Textstand-aloneBulletpoint"/>
        <w:numPr>
          <w:ilvl w:val="0"/>
          <w:numId w:val="14"/>
        </w:numPr>
        <w:ind w:left="357" w:hanging="357"/>
        <w:rPr>
          <w:noProof/>
        </w:rPr>
      </w:pPr>
      <w:r>
        <w:rPr>
          <w:noProof/>
        </w:rPr>
        <w:t>dem Europäischen Entwicklungsfonds;</w:t>
      </w:r>
    </w:p>
    <w:p w:rsidR="001609E3" w:rsidRDefault="00E45B63">
      <w:pPr>
        <w:pStyle w:val="Textstand-aloneBulletpoint"/>
        <w:numPr>
          <w:ilvl w:val="0"/>
          <w:numId w:val="14"/>
        </w:numPr>
        <w:ind w:left="357" w:hanging="357"/>
        <w:rPr>
          <w:noProof/>
        </w:rPr>
      </w:pPr>
      <w:r>
        <w:rPr>
          <w:noProof/>
        </w:rPr>
        <w:t>der Europäischen Investitionsbank.</w:t>
      </w:r>
    </w:p>
    <w:p w:rsidR="001609E3" w:rsidRDefault="00E45B63">
      <w:pPr>
        <w:pStyle w:val="Textstand-alone"/>
      </w:pPr>
      <w:r>
        <w:t xml:space="preserve">Der Europäische Entwicklungsfonds (EEF) ist das wichtigste Werkzeug der EU zur Förderung der Entwicklungszusammenarbeit mit den Staaten in Afrika, im </w:t>
      </w:r>
      <w:r>
        <w:t>Karibischen Raum und im Pazifischen Ozean (AKP) sowie den überseeischen Ländern und Gebieten (ÜLG).</w:t>
      </w:r>
    </w:p>
    <w:p w:rsidR="001609E3" w:rsidRDefault="00E45B63">
      <w:pPr>
        <w:pStyle w:val="Textstand-alone"/>
      </w:pPr>
      <w:r>
        <w:t>Der EEF wird nicht aus dem EU-Haushalt finanziert. Er wurde durch ein internes Abkommen zwischen den Vertretern der Mitgliedstaaten, die Mitglieder im Rat s</w:t>
      </w:r>
      <w:r>
        <w:t xml:space="preserve">ind, errichtet und wird von einem besonderen Ausschuss verwaltet. Die Europäische Kommission (im Folgenden „Kommission“) ist für die finanztechnische Durchführung der mit EEF-Mitteln durchgeführten Vorhaben verantwortlich. Die Europäische Investitionsbank </w:t>
      </w:r>
      <w:r>
        <w:t>(EIB) verwaltet die Investitionsfazilität.</w:t>
      </w:r>
    </w:p>
    <w:p w:rsidR="001609E3" w:rsidRDefault="00E45B63">
      <w:pPr>
        <w:pStyle w:val="Textstand-alone"/>
      </w:pPr>
      <w:r>
        <w:t>Auch im Zeitraum 2014-2020 wird die geografisch ausgerichtete Hilfe für die AKP-Staaten und ÜLG überwiegend aus dem EEF finanziert werden. Ein EEF wird gewöhnlich für einen Zeitraum von etwa fünf Jahren eingericht</w:t>
      </w:r>
      <w:r>
        <w:t>et und unterliegt einer eigenen Finanzregelung, die die Erstellung von Jahresabschlüssen für jeden einzelnen EEF verlangt. Dementsprechend werden für jeden EEF bezüglich des von der Kommission verwalteten Teils eigene Jahresabschlüsse erstellt. Um eine Ges</w:t>
      </w:r>
      <w:r>
        <w:t>amtübersicht über die finanziellen Mittel, für die die Kommission verantwortlich ist, zu erhalten, werden diese Jahresabschlüsse darüber hinaus in aggregierter Form vorgelegt.</w:t>
      </w:r>
    </w:p>
    <w:p w:rsidR="001609E3" w:rsidRDefault="00E45B63">
      <w:pPr>
        <w:pStyle w:val="Textstand-alone"/>
      </w:pPr>
      <w:r>
        <w:t>Das Interne Abkommen zur Errichtung des 11. EEF wurde von den mitwirkenden Mitgl</w:t>
      </w:r>
      <w:r>
        <w:t>iedstaaten im Rat im Juni 2013</w:t>
      </w:r>
      <w:r>
        <w:rPr>
          <w:rStyle w:val="FootnoteReference"/>
        </w:rPr>
        <w:footnoteReference w:id="1"/>
      </w:r>
      <w:r>
        <w:t xml:space="preserve"> unterzeichnet. Das Abkommen trat am 1. März 2015 in Kraft. Um die Kontinuität zwischen dem Ende des 10. EEF und dem Inkrafttreten des 11. EEF zu gewährleisten, schlug die Kommission Übergangsmaßnahmen vor, die sogenannte Übe</w:t>
      </w:r>
      <w:r>
        <w:t>rbrückungsfazilität</w:t>
      </w:r>
      <w:r>
        <w:rPr>
          <w:rStyle w:val="FootnoteReference"/>
        </w:rPr>
        <w:footnoteReference w:id="2"/>
      </w:r>
      <w:r>
        <w:t>. Die Überbrückungsfazilität wird im 11. EEF dargestellt.</w:t>
      </w:r>
    </w:p>
    <w:p w:rsidR="001609E3" w:rsidRDefault="00E45B63">
      <w:pPr>
        <w:pStyle w:val="Textstand-alone"/>
      </w:pPr>
      <w:r>
        <w:t>Gleichzeitig wurde die Finanzregelung für den 10. EEF geändert und die neue Finanzregelung</w:t>
      </w:r>
      <w:r>
        <w:rPr>
          <w:vertAlign w:val="superscript"/>
        </w:rPr>
        <w:footnoteReference w:id="3"/>
      </w:r>
      <w:r>
        <w:t xml:space="preserve"> für den Übergangszeitraum wurde verabschiedet.</w:t>
      </w:r>
      <w:r>
        <w:rPr>
          <w:vertAlign w:val="superscript"/>
        </w:rPr>
        <w:footnoteReference w:id="4"/>
      </w:r>
      <w:r>
        <w:t xml:space="preserve"> Sie traten am 30. Mai 2014 in Kraft. A</w:t>
      </w:r>
      <w:r>
        <w:t xml:space="preserve">m 2. März 2015 erließ </w:t>
      </w:r>
      <w:r>
        <w:lastRenderedPageBreak/>
        <w:t>der Rat die Finanzregelung für den 11. EEF</w:t>
      </w:r>
      <w:r>
        <w:rPr>
          <w:rStyle w:val="FootnoteReference"/>
        </w:rPr>
        <w:footnoteReference w:id="5"/>
      </w:r>
      <w:r>
        <w:t xml:space="preserve"> und die Durchführungsbestimmungen</w:t>
      </w:r>
      <w:r>
        <w:rPr>
          <w:rStyle w:val="FootnoteReference"/>
        </w:rPr>
        <w:footnoteReference w:id="6"/>
      </w:r>
      <w:r>
        <w:t>. Sie traten am 6. März 2015 in Kraft.</w:t>
      </w:r>
    </w:p>
    <w:p w:rsidR="001609E3" w:rsidRDefault="00E45B63">
      <w:pPr>
        <w:pStyle w:val="Textstand-alone"/>
      </w:pPr>
      <w:r>
        <w:t xml:space="preserve">Die Investitionsfazilität wurde im Rahmen des AKP-EU-Partnerschaftsabkommens errichtet. Diese Investitionsfazilität </w:t>
      </w:r>
      <w:r>
        <w:t>wird von der EIB verwaltet und zur Förderung der Entwicklung des Privatsektors in den AKP-Staaten genutzt, indem im Wesentlichen – aber nicht ausschließlich – private Investitionen finanziert werden. Die Fazilität ist in der Weise als erneuerbarer Fonds ko</w:t>
      </w:r>
      <w:r>
        <w:t>nzipiert, dass Kreditrückzahlungen in andere Vorhaben investiert werden können und somit eine sich selbst erneuernde, finanziell unabhängige Fazilität entsteht. Da die Investitionsfazilität nicht unter der Verwaltung der Kommission steht, wird sie im erste</w:t>
      </w:r>
      <w:r>
        <w:t>n Teil der Jahresrechnungen – d. h. dem Jahresabschluss des EEF und der zugehörigen Übersicht über die finanztechnische Durchführung – nicht konsolidiert. Die Jahresabschlüsse der Investitionsfazilität sind als separater Teil in den Jahresrechnungen (Teil </w:t>
      </w:r>
      <w:r>
        <w:t>II) enthalten, um ein Gesamtbild der Entwicklungshilfe aus dem EEF zu geben.</w:t>
      </w:r>
      <w:r>
        <w:rPr>
          <w:rStyle w:val="FootnoteReference"/>
        </w:rPr>
        <w:footnoteReference w:id="7"/>
      </w:r>
    </w:p>
    <w:p w:rsidR="001609E3" w:rsidRDefault="00E45B63">
      <w:pPr>
        <w:pStyle w:val="HEADER1Part1"/>
        <w:rPr>
          <w:noProof/>
        </w:rPr>
      </w:pPr>
      <w:r>
        <w:rPr>
          <w:noProof/>
        </w:rPr>
        <w:t>WIE WIRD DER EEF FINANZIERT?</w:t>
      </w:r>
    </w:p>
    <w:p w:rsidR="001609E3" w:rsidRDefault="00E45B63">
      <w:pPr>
        <w:pStyle w:val="Textstand-alone"/>
      </w:pPr>
      <w:r>
        <w:t>Der Europäische Rat vom 2. Dezember 2013 hat den mehrjährigen Finanzrahmen für die Jahre 2014</w:t>
      </w:r>
      <w:r>
        <w:noBreakHyphen/>
        <w:t>2020 verabschiedet. In diesem Zusammenhang wurde beschl</w:t>
      </w:r>
      <w:r>
        <w:t>ossen, dass die geografische Zusammenarbeit mit den AKP-Staaten nicht in den EU-Haushalt aufgenommen (haushaltsmäßig erfasst), sondern weiterhin durch die bestehenden zwischenstaatlichen EEF finanziert werden soll.</w:t>
      </w:r>
    </w:p>
    <w:p w:rsidR="001609E3" w:rsidRDefault="00E45B63">
      <w:pPr>
        <w:pStyle w:val="Textstand-alone"/>
      </w:pPr>
      <w:r>
        <w:t>Der EU-Haushalt ist ein Jahreshaushalt un</w:t>
      </w:r>
      <w:r>
        <w:t xml:space="preserve">d nach dem Haushaltsgrundsatz der Jährlichkeit werden Ausgaben und Einnahmen für jeweils ein Jahr geplant und bewilligt. Der EEF dagegen ist ein Fonds, der auf mehrjähriger Basis arbeitet. Jeder EEF legt für die Durchführung der Entwicklungszusammenarbeit </w:t>
      </w:r>
      <w:r>
        <w:t>einen Gesamtfonds für einen Zeitraum von üblicherweise fünf Jahren fest. Da die Mittel auf mehrjähriger Basis zugewiesen werden, stehen sie über die gesamte Laufzeit des EEF zur Verfügung. Der Umstand, dass keine haushaltsmäßige Jährlichkeit vorliegt, trit</w:t>
      </w:r>
      <w:r>
        <w:t>t in der Haushaltsberichterstattung zutage. Dort wird der Haushaltsvollzug der EEF an den Gesamtmitteln gemessen.</w:t>
      </w:r>
    </w:p>
    <w:p w:rsidR="001609E3" w:rsidRDefault="00E45B63">
      <w:pPr>
        <w:pStyle w:val="Textstand-alone"/>
      </w:pPr>
      <w:r>
        <w:t>Bei den EEF-Mitteln handelt es sich um „Ad-hoc“-Beiträge der EU-Mitgliedstaaten. Etwa alle fünf Jahre treten Vertreter der Mitgliedstaaten auf</w:t>
      </w:r>
      <w:r>
        <w:t xml:space="preserve"> zwischenstaatlicher Ebene zusammen, um eine Entscheidung über den Gesamtbetrag, der dem Fonds zugewiesen werden soll, zu treffen und dessen Durchführung zu beaufsichtigen. Die Kommission verwaltet den Fonds anschließend im Einklang mit der Unionspolitik f</w:t>
      </w:r>
      <w:r>
        <w:t>ür die Entwicklungszusammenarbeit. Da die Mitgliedstaaten parallel zur EU-Strategie ihre eigenen Entwicklungshilfestrategien haben, müssen sie ihre Strategien mit der EU koordinieren, um sicherzustellen, dass sie sich ergänzen.</w:t>
      </w:r>
    </w:p>
    <w:p w:rsidR="001609E3" w:rsidRDefault="00E45B63">
      <w:pPr>
        <w:pStyle w:val="Textstand-alone"/>
      </w:pPr>
      <w:r>
        <w:t>Über die vorstehend erwähnte</w:t>
      </w:r>
      <w:r>
        <w:t>n Beiträge hinaus besteht für die Mitgliedstaaten die Möglichkeit, Kofinanzierungsvereinbarungen zu treffen oder freiwillige finanzielle Beiträge an den EEF zu leisten.</w:t>
      </w:r>
    </w:p>
    <w:p w:rsidR="001609E3" w:rsidRDefault="00E45B63">
      <w:pPr>
        <w:pStyle w:val="HEADER1Part1"/>
        <w:rPr>
          <w:noProof/>
        </w:rPr>
      </w:pPr>
      <w:r>
        <w:rPr>
          <w:noProof/>
        </w:rPr>
        <w:t>BERICHTERSTATTUNG ZUM JAHRESENDE</w:t>
      </w:r>
    </w:p>
    <w:p w:rsidR="001609E3" w:rsidRDefault="00E45B63">
      <w:pPr>
        <w:pStyle w:val="HEADER2Part1"/>
        <w:numPr>
          <w:ilvl w:val="1"/>
          <w:numId w:val="5"/>
        </w:numPr>
        <w:rPr>
          <w:noProof/>
        </w:rPr>
      </w:pPr>
      <w:r>
        <w:rPr>
          <w:noProof/>
        </w:rPr>
        <w:t>JAHRESRECHNUNGEN</w:t>
      </w:r>
    </w:p>
    <w:p w:rsidR="001609E3" w:rsidRDefault="00E45B63">
      <w:pPr>
        <w:pStyle w:val="Textstand-alone"/>
      </w:pPr>
      <w:r>
        <w:t>Gemäß Artikel 46 der Finanzregelung d</w:t>
      </w:r>
      <w:r>
        <w:t>es EEF wird der Jahresabschluss des EEF nach Rechnungslegungsvorschriften auf der Grundlage der Periodenrechnung erstellt, die den IPSAS (International Public Sector Accounting Standards) folgen. Die vom Rechnungsführer der Kommission eingeführten Rechnung</w:t>
      </w:r>
      <w:r>
        <w:t>slegungsvorschriften werden von allen Organen und Einrichtungen der EU angewendet, damit zum Zweck der Harmonisierung des Verfahrens für die Erstellung der Jahresabschlüsse und die Konsolidierung einheitliche Vorschriften für die Rechnungsführung, Bewertun</w:t>
      </w:r>
      <w:r>
        <w:t xml:space="preserve">g und Rechnungslegung festgelegt werden können, wie dies in Artikel 152 der Haushaltsordnung der EU vorgeschrieben ist. Diese Rechnungslegungsvorschriften der EU gelten auch für den EEF, wobei die besondere Art seiner Tätigkeiten berücksichtigt wird. </w:t>
      </w:r>
    </w:p>
    <w:p w:rsidR="001609E3" w:rsidRDefault="00E45B63">
      <w:pPr>
        <w:pStyle w:val="Textstand-alone"/>
      </w:pPr>
      <w:r>
        <w:t xml:space="preserve">Mit </w:t>
      </w:r>
      <w:r>
        <w:t>der Erstellung der Jahresrechnung des EEF wird der Rechnungsführer betraut, bei dem es sich um den Rechnungsführer der Kommission handelt. Der Rechnungsführer bzw. die Rechnungsführerin stellt sicher, dass die Jahresrechnung des EEF ein den tatsächlichen V</w:t>
      </w:r>
      <w:r>
        <w:t>erhältnissen entsprechendes Bild der Finanzlage des EEF vermittelt.</w:t>
      </w:r>
    </w:p>
    <w:p w:rsidR="001609E3" w:rsidRDefault="00E45B63">
      <w:pPr>
        <w:pStyle w:val="Textstand-alone"/>
      </w:pPr>
      <w:r>
        <w:t>Die EEF-Jahresrechnung ist wie folgt gegliedert:</w:t>
      </w:r>
    </w:p>
    <w:p w:rsidR="001609E3" w:rsidRDefault="00E45B63">
      <w:pPr>
        <w:pStyle w:val="SubTextIndentJustified"/>
        <w:rPr>
          <w:noProof/>
        </w:rPr>
      </w:pPr>
      <w:r>
        <w:rPr>
          <w:noProof/>
        </w:rPr>
        <w:t>Teil I: Von der Kommission verwaltete Mittel</w:t>
      </w:r>
    </w:p>
    <w:p w:rsidR="001609E3" w:rsidRDefault="00E45B63">
      <w:pPr>
        <w:pStyle w:val="SubTextIndentJustified"/>
        <w:numPr>
          <w:ilvl w:val="0"/>
          <w:numId w:val="15"/>
        </w:numPr>
        <w:tabs>
          <w:tab w:val="clear" w:pos="0"/>
          <w:tab w:val="left" w:pos="1418"/>
        </w:tabs>
        <w:ind w:left="1440" w:hanging="447"/>
        <w:rPr>
          <w:noProof/>
        </w:rPr>
      </w:pPr>
      <w:r>
        <w:rPr>
          <w:noProof/>
        </w:rPr>
        <w:t>Jahresabschluss und Erläuterungen des EEF</w:t>
      </w:r>
    </w:p>
    <w:p w:rsidR="001609E3" w:rsidRDefault="00E45B63">
      <w:pPr>
        <w:pStyle w:val="SubTextIndentJustified"/>
        <w:numPr>
          <w:ilvl w:val="0"/>
          <w:numId w:val="15"/>
        </w:numPr>
        <w:tabs>
          <w:tab w:val="clear" w:pos="0"/>
          <w:tab w:val="left" w:pos="1418"/>
        </w:tabs>
        <w:ind w:left="1440" w:hanging="447"/>
        <w:rPr>
          <w:noProof/>
        </w:rPr>
      </w:pPr>
      <w:r>
        <w:rPr>
          <w:noProof/>
        </w:rPr>
        <w:t>Jahresabschlüsse der im EEF konsolidierten EU-Treuha</w:t>
      </w:r>
      <w:r>
        <w:rPr>
          <w:noProof/>
        </w:rPr>
        <w:t>ndfonds</w:t>
      </w:r>
    </w:p>
    <w:p w:rsidR="001609E3" w:rsidRDefault="00E45B63">
      <w:pPr>
        <w:pStyle w:val="SubTextIndentJustified"/>
        <w:numPr>
          <w:ilvl w:val="0"/>
          <w:numId w:val="15"/>
        </w:numPr>
        <w:tabs>
          <w:tab w:val="clear" w:pos="0"/>
          <w:tab w:val="left" w:pos="1418"/>
        </w:tabs>
        <w:ind w:left="1440" w:hanging="447"/>
        <w:rPr>
          <w:noProof/>
        </w:rPr>
      </w:pPr>
      <w:r>
        <w:rPr>
          <w:noProof/>
        </w:rPr>
        <w:t>Konsolidierte Jahresabschlüsse des EEF und der EU-Treuhandfonds</w:t>
      </w:r>
    </w:p>
    <w:p w:rsidR="001609E3" w:rsidRDefault="00E45B63">
      <w:pPr>
        <w:pStyle w:val="SubTextIndentJustified"/>
        <w:numPr>
          <w:ilvl w:val="0"/>
          <w:numId w:val="15"/>
        </w:numPr>
        <w:tabs>
          <w:tab w:val="clear" w:pos="0"/>
          <w:tab w:val="left" w:pos="1418"/>
        </w:tabs>
        <w:ind w:left="1440" w:hanging="447"/>
        <w:rPr>
          <w:noProof/>
        </w:rPr>
      </w:pPr>
      <w:r>
        <w:rPr>
          <w:noProof/>
        </w:rPr>
        <w:t>Übersicht über die finanztechnische Durchführung des EEF</w:t>
      </w:r>
    </w:p>
    <w:p w:rsidR="001609E3" w:rsidRDefault="00E45B63">
      <w:pPr>
        <w:pStyle w:val="SubTextIndentJustified"/>
        <w:rPr>
          <w:noProof/>
        </w:rPr>
      </w:pPr>
      <w:r>
        <w:rPr>
          <w:noProof/>
        </w:rPr>
        <w:t>Teil II: Jährlicher Durchführungsbericht – von der EIB verwaltete Mittel</w:t>
      </w:r>
    </w:p>
    <w:p w:rsidR="001609E3" w:rsidRDefault="00E45B63">
      <w:pPr>
        <w:pStyle w:val="SubTextIndentJustified"/>
        <w:numPr>
          <w:ilvl w:val="0"/>
          <w:numId w:val="16"/>
        </w:numPr>
        <w:tabs>
          <w:tab w:val="clear" w:pos="418"/>
          <w:tab w:val="num" w:pos="1418"/>
        </w:tabs>
        <w:ind w:left="1418" w:hanging="425"/>
        <w:rPr>
          <w:noProof/>
        </w:rPr>
      </w:pPr>
      <w:r>
        <w:rPr>
          <w:noProof/>
        </w:rPr>
        <w:t>Jahresabschluss der Investitionsfazilität</w:t>
      </w:r>
    </w:p>
    <w:p w:rsidR="001609E3" w:rsidRDefault="00E45B63">
      <w:pPr>
        <w:pStyle w:val="Textstand-alone"/>
      </w:pPr>
      <w:r>
        <w:t xml:space="preserve">Der Teil </w:t>
      </w:r>
      <w:r>
        <w:t xml:space="preserve">„Jahresabschlüsse der im EEF konsolidierten EU-Treuhandfonds“ enthält die Jahresabschlüsse der folgenden beiden, im Rahmen des EEF geschaffenen Treuhandfonds: EU-Treuhandfonds „Bêkou“ (siehe den Abschnitt „Jahresabschluss des EU-Treuhandfonds „Bêkou“) und </w:t>
      </w:r>
      <w:r>
        <w:t>EU-Treuhandfonds für Afrika</w:t>
      </w:r>
      <w:r>
        <w:rPr>
          <w:rStyle w:val="FootnoteReference"/>
        </w:rPr>
        <w:footnoteReference w:id="8"/>
      </w:r>
      <w:r>
        <w:t xml:space="preserve"> (siehe den Abschnitt „Jahresabschluss des EU-Treuhandfonds für Afrika“). Die Verantwortung für die Erstellung der Einzelabschlüsse der Treuhandfonds liegt beim Rechnungsführer der Europäischen Kommission; sie werden einer exter</w:t>
      </w:r>
      <w:r>
        <w:t>nen Prüfung durch einen privaten Wirtschaftsprüfer unterzogen. Die im vorliegenden Jahresabschluss enthaltenen Jahresabschlüsse der Treuhandfonds sind endgültige Jahresabschlüsse, d. h. an ihnen wurden bereits im Rahmen der Prüfung erforderlich gewordene A</w:t>
      </w:r>
      <w:r>
        <w:t xml:space="preserve">npassungen vorgenommen. </w:t>
      </w:r>
    </w:p>
    <w:p w:rsidR="001609E3" w:rsidRDefault="00E45B63">
      <w:pPr>
        <w:pStyle w:val="Textstand-alone"/>
      </w:pPr>
      <w:r>
        <w:t xml:space="preserve">Es ist darauf hinzuweisen, dass 2016 das Layout des Jahresabschlusses und der Erläuterungen geändert wurde. Die Änderungen betreffen nur die Darstellung der Finanzinformationen und dienen dem Zweck einer engeren Angleichung an die </w:t>
      </w:r>
      <w:r>
        <w:t xml:space="preserve">anderen Rechtssubjekte der EU. Die Vergleichsbeträge aus dem Jahr 2015 werden im neuen Format dargestellt. </w:t>
      </w:r>
    </w:p>
    <w:p w:rsidR="001609E3" w:rsidRDefault="00E45B63">
      <w:pPr>
        <w:pStyle w:val="Textstand-alone"/>
      </w:pPr>
      <w:r>
        <w:t>Die Jahresrechnungen werden von der Kommission bis zum 31. Juli des darauffolgenden Jahres angenommen und dem Europäischen Parlament und dem Rat zur</w:t>
      </w:r>
      <w:r>
        <w:t xml:space="preserve"> Entlastung zugeleitet.</w:t>
      </w:r>
    </w:p>
    <w:p w:rsidR="001609E3" w:rsidRDefault="00E45B63">
      <w:pPr>
        <w:pStyle w:val="HEADER1Part1"/>
        <w:rPr>
          <w:noProof/>
        </w:rPr>
      </w:pPr>
      <w:r>
        <w:rPr>
          <w:noProof/>
        </w:rPr>
        <w:t>PRÜFUNG UND ENTLASTUNG</w:t>
      </w:r>
    </w:p>
    <w:p w:rsidR="001609E3" w:rsidRDefault="00E45B63">
      <w:pPr>
        <w:pStyle w:val="HEADER2Part1"/>
        <w:numPr>
          <w:ilvl w:val="1"/>
          <w:numId w:val="5"/>
        </w:numPr>
        <w:rPr>
          <w:noProof/>
        </w:rPr>
      </w:pPr>
      <w:r>
        <w:rPr>
          <w:noProof/>
        </w:rPr>
        <w:t>PRÜFUNG</w:t>
      </w:r>
    </w:p>
    <w:p w:rsidR="001609E3" w:rsidRDefault="00E45B63">
      <w:pPr>
        <w:pStyle w:val="Textstand-alone"/>
      </w:pPr>
      <w:r>
        <w:t>Die Jahresrechnungen und die Mittelverwaltung des EEF werden durch dessen externen Prüfer, den Europäischen Rechnungshof (EuRH) beaufsichtigt. Der ERH erstellt einen Jahresbericht für das Europäische P</w:t>
      </w:r>
      <w:r>
        <w:t>arlament und den Rat.</w:t>
      </w:r>
    </w:p>
    <w:p w:rsidR="001609E3" w:rsidRDefault="00E45B63">
      <w:pPr>
        <w:pStyle w:val="HEADER2Part1"/>
        <w:numPr>
          <w:ilvl w:val="1"/>
          <w:numId w:val="5"/>
        </w:numPr>
        <w:rPr>
          <w:noProof/>
        </w:rPr>
      </w:pPr>
      <w:r>
        <w:rPr>
          <w:noProof/>
        </w:rPr>
        <w:t>ENTLASTUNG</w:t>
      </w:r>
    </w:p>
    <w:p w:rsidR="001609E3" w:rsidRDefault="00E45B63">
      <w:pPr>
        <w:pStyle w:val="Textstand-alone"/>
      </w:pPr>
      <w:r>
        <w:t>Die abschließende Kontrolle besteht in der Erteilung der Entlastung für die finanztechnische Abwicklung der EEF-Mittel in einem bestimmten Haushaltsjahr. Das Europäische Parlament ist die Entlastungsbehörde des EEF. Demzufo</w:t>
      </w:r>
      <w:r>
        <w:t>lge obliegt es dem Rat, im Anschluss an die Prüfung und abschließende Überarbeitung der Jahresrechnung die Entlastung zu empfehlen. Anschließend hat das Europäische Parlament die Aufgabe, zu entscheiden, ob der Kommission für die finanztechnische Abwicklun</w:t>
      </w:r>
      <w:r>
        <w:t>g der EEF-Mittel in einem bestimmten Haushaltsjahr Entlastung erteilt werden soll. Dieser Entscheidung liegt eine Überprüfung der Jahresrechnung und der Jahresbericht des ERH (der auch eine amtliche Zuverlässigkeitserklärung beinhaltet) zugrunde. Ferner st</w:t>
      </w:r>
      <w:r>
        <w:t>ützt sie sich die Antworten der Kommission auf Fragen und zusätzliche Auskunftsersuchen.</w:t>
      </w:r>
    </w:p>
    <w:p w:rsidR="001609E3" w:rsidRDefault="00E45B63">
      <w:pPr>
        <w:pStyle w:val="Textstand-alone"/>
        <w:sectPr w:rsidR="001609E3">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r>
        <w:t xml:space="preserve"> </w:t>
      </w:r>
      <w:bookmarkEnd w:id="12"/>
    </w:p>
    <w:p w:rsidR="001609E3" w:rsidRDefault="00E45B63">
      <w:pPr>
        <w:pStyle w:val="FinancialYear"/>
        <w:rPr>
          <w:noProof/>
        </w:rPr>
      </w:pPr>
      <w:bookmarkStart w:id="13" w:name="_DMBM_9531"/>
      <w:r>
        <w:rPr>
          <w:noProof/>
        </w:rPr>
        <w:t>EUROPÄISCHER ENTWICKLUNGSFOND</w:t>
      </w:r>
    </w:p>
    <w:p w:rsidR="001609E3" w:rsidRDefault="00E45B63">
      <w:pPr>
        <w:pStyle w:val="FinancialYear"/>
        <w:rPr>
          <w:noProof/>
        </w:rPr>
      </w:pPr>
      <w:r>
        <w:rPr>
          <w:noProof/>
        </w:rPr>
        <w:t>HAUSHALTSJAHR 2016</w:t>
      </w: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
        <w:rPr>
          <w:noProof/>
        </w:rPr>
      </w:pPr>
      <w:bookmarkStart w:id="14" w:name="_Toc382842754"/>
      <w:bookmarkStart w:id="15" w:name="_Toc382842766"/>
      <w:bookmarkStart w:id="16" w:name="_Toc392246587"/>
      <w:bookmarkStart w:id="17" w:name="_Toc392246598"/>
      <w:bookmarkStart w:id="18" w:name="_Toc484164227"/>
      <w:bookmarkStart w:id="19" w:name="_Toc491767259"/>
      <w:bookmarkStart w:id="20" w:name="_Toc491768127"/>
      <w:r>
        <w:rPr>
          <w:noProof/>
        </w:rPr>
        <w:t>VON DER EUROPÄISCHEN KOMMISSION VERWALTETE MITTEL</w:t>
      </w:r>
      <w:bookmarkEnd w:id="14"/>
      <w:bookmarkEnd w:id="15"/>
      <w:bookmarkEnd w:id="16"/>
      <w:bookmarkEnd w:id="17"/>
      <w:bookmarkEnd w:id="18"/>
      <w:bookmarkEnd w:id="19"/>
      <w:bookmarkEnd w:id="20"/>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TOPHEADERNOTE"/>
        <w:rPr>
          <w:noProof/>
        </w:rPr>
      </w:pPr>
      <w:r>
        <w:rPr>
          <w:noProof/>
        </w:rPr>
        <w:t>Aufgrund der Auf- oder Abrundung auf Mio. EUR summieren sich die in den Tabellen weiter unten ausgewiesenen Finanzdaten möglicherweise nicht immer genau.</w:t>
      </w:r>
    </w:p>
    <w:p w:rsidR="001609E3" w:rsidRDefault="00E45B63">
      <w:pPr>
        <w:pStyle w:val="TOPHEADERNOTE"/>
        <w:rPr>
          <w:noProof/>
        </w:rPr>
        <w:sectPr w:rsidR="001609E3">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rPr>
          <w:noProof/>
        </w:rPr>
        <w:t xml:space="preserve"> </w:t>
      </w:r>
      <w:bookmarkEnd w:id="13"/>
    </w:p>
    <w:p w:rsidR="001609E3" w:rsidRDefault="00E45B63">
      <w:pPr>
        <w:pStyle w:val="HEADERTABLE"/>
        <w:rPr>
          <w:noProof/>
        </w:rPr>
      </w:pPr>
      <w:bookmarkStart w:id="21" w:name="_DMBM_9494"/>
      <w:r>
        <w:rPr>
          <w:noProof/>
        </w:rPr>
        <w:t>INHALT</w:t>
      </w:r>
    </w:p>
    <w:p w:rsidR="001609E3" w:rsidRDefault="001609E3">
      <w:pPr>
        <w:pStyle w:val="HEADERTABLE"/>
        <w:rPr>
          <w:noProof/>
        </w:rPr>
      </w:pPr>
    </w:p>
    <w:bookmarkStart w:id="22" w:name="_DMBM_9446"/>
    <w:bookmarkEnd w:id="21"/>
    <w:p w:rsidR="001609E3" w:rsidRDefault="00E45B63">
      <w:pPr>
        <w:pStyle w:val="TOC1"/>
        <w:rPr>
          <w:rFonts w:asciiTheme="minorHAnsi" w:eastAsiaTheme="minorEastAsia" w:hAnsiTheme="minorHAnsi" w:cstheme="minorBidi"/>
          <w:color w:val="auto"/>
          <w:lang w:val="en-GB" w:eastAsia="en-GB" w:bidi="ar-SA"/>
        </w:rPr>
      </w:pPr>
      <w:r>
        <w:fldChar w:fldCharType="begin"/>
      </w:r>
      <w:r>
        <w:instrText xml:space="preserve"> TOC \o "1-3" \h \z \t "FIRST_CHAPTER_PAGE,1,HEADER_TITLE,3,FIRST CHAPTER_PAGE_1,2,HEADER_TITLE_1,3" </w:instrText>
      </w:r>
      <w:r>
        <w:fldChar w:fldCharType="separate"/>
      </w:r>
      <w:hyperlink w:anchor="_Toc491767258" w:history="1">
        <w:r>
          <w:rPr>
            <w:rStyle w:val="Hyperlink"/>
          </w:rPr>
          <w:t>HAUSHALTSVOLLZUG UND RECHNUNGSFÜHRUNG FÜR DIE</w:t>
        </w:r>
        <w:r>
          <w:rPr>
            <w:rStyle w:val="Hyperlink"/>
          </w:rPr>
          <w:t xml:space="preserve"> MITTEL DES EEF</w:t>
        </w:r>
        <w:r>
          <w:rPr>
            <w:webHidden/>
          </w:rPr>
          <w:tab/>
        </w:r>
        <w:r>
          <w:rPr>
            <w:webHidden/>
          </w:rPr>
          <w:fldChar w:fldCharType="begin"/>
        </w:r>
        <w:r>
          <w:rPr>
            <w:webHidden/>
          </w:rPr>
          <w:instrText xml:space="preserve"> PAGEREF _Toc491767258 \h </w:instrText>
        </w:r>
        <w:r>
          <w:rPr>
            <w:webHidden/>
          </w:rPr>
        </w:r>
        <w:r>
          <w:rPr>
            <w:webHidden/>
          </w:rPr>
          <w:fldChar w:fldCharType="separate"/>
        </w:r>
        <w:r>
          <w:rPr>
            <w:webHidden/>
          </w:rPr>
          <w:t>4</w:t>
        </w:r>
        <w:r>
          <w:rPr>
            <w:webHidden/>
          </w:rPr>
          <w:fldChar w:fldCharType="end"/>
        </w:r>
      </w:hyperlink>
    </w:p>
    <w:p w:rsidR="001609E3" w:rsidRDefault="00E45B63">
      <w:pPr>
        <w:pStyle w:val="TOC1"/>
        <w:rPr>
          <w:rFonts w:asciiTheme="minorHAnsi" w:eastAsiaTheme="minorEastAsia" w:hAnsiTheme="minorHAnsi" w:cstheme="minorBidi"/>
          <w:color w:val="auto"/>
          <w:lang w:val="en-GB" w:eastAsia="en-GB" w:bidi="ar-SA"/>
        </w:rPr>
      </w:pPr>
      <w:hyperlink w:anchor="_Toc491767259" w:history="1">
        <w:r>
          <w:rPr>
            <w:rStyle w:val="Hyperlink"/>
          </w:rPr>
          <w:t>VON DER EUROPÄISCHEN KOMMISSION VERWALTETE MITTEL</w:t>
        </w:r>
        <w:r>
          <w:rPr>
            <w:webHidden/>
          </w:rPr>
          <w:tab/>
        </w:r>
        <w:r>
          <w:rPr>
            <w:webHidden/>
          </w:rPr>
          <w:fldChar w:fldCharType="begin"/>
        </w:r>
        <w:r>
          <w:rPr>
            <w:webHidden/>
          </w:rPr>
          <w:instrText xml:space="preserve"> PAGEREF _Toc491767259 \h </w:instrText>
        </w:r>
        <w:r>
          <w:rPr>
            <w:webHidden/>
          </w:rPr>
        </w:r>
        <w:r>
          <w:rPr>
            <w:webHidden/>
          </w:rPr>
          <w:fldChar w:fldCharType="separate"/>
        </w:r>
        <w:r>
          <w:rPr>
            <w:webHidden/>
          </w:rPr>
          <w:t>8</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7260" w:history="1">
        <w:r>
          <w:rPr>
            <w:rStyle w:val="Hyperlink"/>
          </w:rPr>
          <w:t>JAHRESABSCHLUSS DES EEF</w:t>
        </w:r>
        <w:r>
          <w:rPr>
            <w:webHidden/>
          </w:rPr>
          <w:tab/>
        </w:r>
        <w:r>
          <w:rPr>
            <w:webHidden/>
          </w:rPr>
          <w:fldChar w:fldCharType="begin"/>
        </w:r>
        <w:r>
          <w:rPr>
            <w:webHidden/>
          </w:rPr>
          <w:instrText xml:space="preserve"> PAGEREF _Toc491767260 \h </w:instrText>
        </w:r>
        <w:r>
          <w:rPr>
            <w:webHidden/>
          </w:rPr>
        </w:r>
        <w:r>
          <w:rPr>
            <w:webHidden/>
          </w:rPr>
          <w:fldChar w:fldCharType="separate"/>
        </w:r>
        <w:r>
          <w:rPr>
            <w:webHidden/>
          </w:rPr>
          <w:t>10</w:t>
        </w:r>
        <w:r>
          <w:rPr>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1" w:history="1">
        <w:r>
          <w:rPr>
            <w:rStyle w:val="Hyperlink"/>
            <w:noProof/>
          </w:rPr>
          <w:t>VERMÖGENSÜBERSICHT DES EEF</w:t>
        </w:r>
        <w:r>
          <w:rPr>
            <w:noProof/>
            <w:webHidden/>
          </w:rPr>
          <w:tab/>
        </w:r>
        <w:r>
          <w:rPr>
            <w:noProof/>
            <w:webHidden/>
          </w:rPr>
          <w:fldChar w:fldCharType="begin"/>
        </w:r>
        <w:r>
          <w:rPr>
            <w:noProof/>
            <w:webHidden/>
          </w:rPr>
          <w:instrText xml:space="preserve"> PAGEREF </w:instrText>
        </w:r>
        <w:r>
          <w:rPr>
            <w:noProof/>
            <w:webHidden/>
          </w:rPr>
          <w:instrText xml:space="preserve">_Toc491767261 \h </w:instrText>
        </w:r>
        <w:r>
          <w:rPr>
            <w:noProof/>
            <w:webHidden/>
          </w:rPr>
        </w:r>
        <w:r>
          <w:rPr>
            <w:noProof/>
            <w:webHidden/>
          </w:rPr>
          <w:fldChar w:fldCharType="separate"/>
        </w:r>
        <w:r>
          <w:rPr>
            <w:noProof/>
            <w:webHidden/>
          </w:rPr>
          <w:t>10</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2" w:history="1">
        <w:r>
          <w:rPr>
            <w:rStyle w:val="Hyperlink"/>
            <w:noProof/>
          </w:rPr>
          <w:t>ERGEBNISRECHNUNG DES EEF</w:t>
        </w:r>
        <w:r>
          <w:rPr>
            <w:noProof/>
            <w:webHidden/>
          </w:rPr>
          <w:tab/>
        </w:r>
        <w:r>
          <w:rPr>
            <w:noProof/>
            <w:webHidden/>
          </w:rPr>
          <w:fldChar w:fldCharType="begin"/>
        </w:r>
        <w:r>
          <w:rPr>
            <w:noProof/>
            <w:webHidden/>
          </w:rPr>
          <w:instrText xml:space="preserve"> PAGEREF _Toc491767262 \h </w:instrText>
        </w:r>
        <w:r>
          <w:rPr>
            <w:noProof/>
            <w:webHidden/>
          </w:rPr>
        </w:r>
        <w:r>
          <w:rPr>
            <w:noProof/>
            <w:webHidden/>
          </w:rPr>
          <w:fldChar w:fldCharType="separate"/>
        </w:r>
        <w:r>
          <w:rPr>
            <w:noProof/>
            <w:webHidden/>
          </w:rPr>
          <w:t>12</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3" w:history="1">
        <w:r>
          <w:rPr>
            <w:rStyle w:val="Hyperlink"/>
            <w:noProof/>
          </w:rPr>
          <w:t>KAPITALFLUSSRECHNUNG DES EEF</w:t>
        </w:r>
        <w:r>
          <w:rPr>
            <w:noProof/>
            <w:webHidden/>
          </w:rPr>
          <w:tab/>
        </w:r>
        <w:r>
          <w:rPr>
            <w:noProof/>
            <w:webHidden/>
          </w:rPr>
          <w:fldChar w:fldCharType="begin"/>
        </w:r>
        <w:r>
          <w:rPr>
            <w:noProof/>
            <w:webHidden/>
          </w:rPr>
          <w:instrText xml:space="preserve"> PAGEREF _Toc491767263 \h </w:instrText>
        </w:r>
        <w:r>
          <w:rPr>
            <w:noProof/>
            <w:webHidden/>
          </w:rPr>
        </w:r>
        <w:r>
          <w:rPr>
            <w:noProof/>
            <w:webHidden/>
          </w:rPr>
          <w:fldChar w:fldCharType="separate"/>
        </w:r>
        <w:r>
          <w:rPr>
            <w:noProof/>
            <w:webHidden/>
          </w:rPr>
          <w:t>13</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4" w:history="1">
        <w:r>
          <w:rPr>
            <w:rStyle w:val="Hyperlink"/>
            <w:noProof/>
          </w:rPr>
          <w:t>TABELLE DER VERÄNDERUNGEN DES NETTOVERMÖGENS DES EEF</w:t>
        </w:r>
        <w:r>
          <w:rPr>
            <w:noProof/>
            <w:webHidden/>
          </w:rPr>
          <w:tab/>
        </w:r>
        <w:r>
          <w:rPr>
            <w:noProof/>
            <w:webHidden/>
          </w:rPr>
          <w:fldChar w:fldCharType="begin"/>
        </w:r>
        <w:r>
          <w:rPr>
            <w:noProof/>
            <w:webHidden/>
          </w:rPr>
          <w:instrText xml:space="preserve"> PAGEREF _Toc491767264 \h </w:instrText>
        </w:r>
        <w:r>
          <w:rPr>
            <w:noProof/>
            <w:webHidden/>
          </w:rPr>
        </w:r>
        <w:r>
          <w:rPr>
            <w:noProof/>
            <w:webHidden/>
          </w:rPr>
          <w:fldChar w:fldCharType="separate"/>
        </w:r>
        <w:r>
          <w:rPr>
            <w:noProof/>
            <w:webHidden/>
          </w:rPr>
          <w:t>14</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5" w:history="1">
        <w:r>
          <w:rPr>
            <w:rStyle w:val="Hyperlink"/>
            <w:noProof/>
          </w:rPr>
          <w:t>VERMÖGENSÜBERSICHT NACH EEF</w:t>
        </w:r>
        <w:r>
          <w:rPr>
            <w:noProof/>
            <w:webHidden/>
          </w:rPr>
          <w:tab/>
        </w:r>
        <w:r>
          <w:rPr>
            <w:noProof/>
            <w:webHidden/>
          </w:rPr>
          <w:fldChar w:fldCharType="begin"/>
        </w:r>
        <w:r>
          <w:rPr>
            <w:noProof/>
            <w:webHidden/>
          </w:rPr>
          <w:instrText xml:space="preserve"> PAGEREF _Toc491767265 \h </w:instrText>
        </w:r>
        <w:r>
          <w:rPr>
            <w:noProof/>
            <w:webHidden/>
          </w:rPr>
        </w:r>
        <w:r>
          <w:rPr>
            <w:noProof/>
            <w:webHidden/>
          </w:rPr>
          <w:fldChar w:fldCharType="separate"/>
        </w:r>
        <w:r>
          <w:rPr>
            <w:noProof/>
            <w:webHidden/>
          </w:rPr>
          <w:t>15</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6" w:history="1">
        <w:r>
          <w:rPr>
            <w:rStyle w:val="Hyperlink"/>
            <w:noProof/>
          </w:rPr>
          <w:t>ERGEBNISRECHNUNG NACH EEF</w:t>
        </w:r>
        <w:r>
          <w:rPr>
            <w:noProof/>
            <w:webHidden/>
          </w:rPr>
          <w:tab/>
        </w:r>
        <w:r>
          <w:rPr>
            <w:noProof/>
            <w:webHidden/>
          </w:rPr>
          <w:fldChar w:fldCharType="begin"/>
        </w:r>
        <w:r>
          <w:rPr>
            <w:noProof/>
            <w:webHidden/>
          </w:rPr>
          <w:instrText xml:space="preserve"> PAGEREF _Toc491767266 \h </w:instrText>
        </w:r>
        <w:r>
          <w:rPr>
            <w:noProof/>
            <w:webHidden/>
          </w:rPr>
        </w:r>
        <w:r>
          <w:rPr>
            <w:noProof/>
            <w:webHidden/>
          </w:rPr>
          <w:fldChar w:fldCharType="separate"/>
        </w:r>
        <w:r>
          <w:rPr>
            <w:noProof/>
            <w:webHidden/>
          </w:rPr>
          <w:t>17</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7" w:history="1">
        <w:r>
          <w:rPr>
            <w:rStyle w:val="Hyperlink"/>
            <w:noProof/>
          </w:rPr>
          <w:t>TABELLE DER VERÄNDERUNGEN DES NETTOVERMÖGENS NACH EEF</w:t>
        </w:r>
        <w:r>
          <w:rPr>
            <w:noProof/>
            <w:webHidden/>
          </w:rPr>
          <w:tab/>
        </w:r>
        <w:r>
          <w:rPr>
            <w:noProof/>
            <w:webHidden/>
          </w:rPr>
          <w:fldChar w:fldCharType="begin"/>
        </w:r>
        <w:r>
          <w:rPr>
            <w:noProof/>
            <w:webHidden/>
          </w:rPr>
          <w:instrText xml:space="preserve"> PAGEREF _Toc491767267 \h </w:instrText>
        </w:r>
        <w:r>
          <w:rPr>
            <w:noProof/>
            <w:webHidden/>
          </w:rPr>
        </w:r>
        <w:r>
          <w:rPr>
            <w:noProof/>
            <w:webHidden/>
          </w:rPr>
          <w:fldChar w:fldCharType="separate"/>
        </w:r>
        <w:r>
          <w:rPr>
            <w:noProof/>
            <w:webHidden/>
          </w:rPr>
          <w:t>18</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68" w:history="1">
        <w:r>
          <w:rPr>
            <w:rStyle w:val="Hyperlink"/>
            <w:noProof/>
          </w:rPr>
          <w:t>ERLÄUTERUNGEN ZU DEN JAHRESABSCHLÜSSEN DES EEF</w:t>
        </w:r>
        <w:r>
          <w:rPr>
            <w:noProof/>
            <w:webHidden/>
          </w:rPr>
          <w:tab/>
        </w:r>
        <w:r>
          <w:rPr>
            <w:noProof/>
            <w:webHidden/>
          </w:rPr>
          <w:fldChar w:fldCharType="begin"/>
        </w:r>
        <w:r>
          <w:rPr>
            <w:noProof/>
            <w:webHidden/>
          </w:rPr>
          <w:instrText xml:space="preserve"> PAGEREF _Toc491767268 \h </w:instrText>
        </w:r>
        <w:r>
          <w:rPr>
            <w:noProof/>
            <w:webHidden/>
          </w:rPr>
        </w:r>
        <w:r>
          <w:rPr>
            <w:noProof/>
            <w:webHidden/>
          </w:rPr>
          <w:fldChar w:fldCharType="separate"/>
        </w:r>
        <w:r>
          <w:rPr>
            <w:noProof/>
            <w:webHidden/>
          </w:rPr>
          <w:t>21</w:t>
        </w:r>
        <w:r>
          <w:rPr>
            <w:noProof/>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7271" w:history="1">
        <w:r>
          <w:rPr>
            <w:rStyle w:val="Hyperlink"/>
          </w:rPr>
          <w:t>JAHRESABSCHLÜSSE DER IM EEF KONSOLIDIERTEN EU-TREUHANDFONDS</w:t>
        </w:r>
        <w:r>
          <w:rPr>
            <w:webHidden/>
          </w:rPr>
          <w:tab/>
        </w:r>
        <w:r>
          <w:rPr>
            <w:webHidden/>
          </w:rPr>
          <w:fldChar w:fldCharType="begin"/>
        </w:r>
        <w:r>
          <w:rPr>
            <w:webHidden/>
          </w:rPr>
          <w:instrText xml:space="preserve"> PAGEREF _Toc491767271 \h </w:instrText>
        </w:r>
        <w:r>
          <w:rPr>
            <w:webHidden/>
          </w:rPr>
        </w:r>
        <w:r>
          <w:rPr>
            <w:webHidden/>
          </w:rPr>
          <w:fldChar w:fldCharType="separate"/>
        </w:r>
        <w:r>
          <w:rPr>
            <w:webHidden/>
          </w:rPr>
          <w:t>52</w:t>
        </w:r>
        <w:r>
          <w:rPr>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7272" w:history="1">
        <w:r>
          <w:rPr>
            <w:rStyle w:val="Hyperlink"/>
          </w:rPr>
          <w:t>ENDGÜLTIGE JAHRESRECHNUNG DES TREUHA</w:t>
        </w:r>
        <w:r>
          <w:rPr>
            <w:rStyle w:val="Hyperlink"/>
          </w:rPr>
          <w:t>NDFONDS BÊKOU</w:t>
        </w:r>
        <w:r>
          <w:rPr>
            <w:webHidden/>
          </w:rPr>
          <w:tab/>
        </w:r>
        <w:r>
          <w:rPr>
            <w:webHidden/>
          </w:rPr>
          <w:fldChar w:fldCharType="begin"/>
        </w:r>
        <w:r>
          <w:rPr>
            <w:webHidden/>
          </w:rPr>
          <w:instrText xml:space="preserve"> PAGEREF _Toc491767272 \h </w:instrText>
        </w:r>
        <w:r>
          <w:rPr>
            <w:webHidden/>
          </w:rPr>
        </w:r>
        <w:r>
          <w:rPr>
            <w:webHidden/>
          </w:rPr>
          <w:fldChar w:fldCharType="separate"/>
        </w:r>
        <w:r>
          <w:rPr>
            <w:webHidden/>
          </w:rPr>
          <w:t>53</w:t>
        </w:r>
        <w:r>
          <w:rPr>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73" w:history="1">
        <w:r>
          <w:rPr>
            <w:rStyle w:val="Hyperlink"/>
            <w:noProof/>
          </w:rPr>
          <w:t>HINTERGRUNDINFORMATIONEN ZUM EU-TREUHANDFONDS „BÊKOU“</w:t>
        </w:r>
        <w:r>
          <w:rPr>
            <w:noProof/>
            <w:webHidden/>
          </w:rPr>
          <w:tab/>
        </w:r>
        <w:r>
          <w:rPr>
            <w:noProof/>
            <w:webHidden/>
          </w:rPr>
          <w:fldChar w:fldCharType="begin"/>
        </w:r>
        <w:r>
          <w:rPr>
            <w:noProof/>
            <w:webHidden/>
          </w:rPr>
          <w:instrText xml:space="preserve"> PAGEREF _Toc491767273 \h </w:instrText>
        </w:r>
        <w:r>
          <w:rPr>
            <w:noProof/>
            <w:webHidden/>
          </w:rPr>
        </w:r>
        <w:r>
          <w:rPr>
            <w:noProof/>
            <w:webHidden/>
          </w:rPr>
          <w:fldChar w:fldCharType="separate"/>
        </w:r>
        <w:r>
          <w:rPr>
            <w:noProof/>
            <w:webHidden/>
          </w:rPr>
          <w:t>54</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74" w:history="1">
        <w:r>
          <w:rPr>
            <w:rStyle w:val="Hyperlink"/>
            <w:noProof/>
          </w:rPr>
          <w:t>VERMÖGENSÜBERSICHT DES EU-TREUHANDFONDS BÊKOU</w:t>
        </w:r>
        <w:r>
          <w:rPr>
            <w:noProof/>
            <w:webHidden/>
          </w:rPr>
          <w:tab/>
        </w:r>
        <w:r>
          <w:rPr>
            <w:noProof/>
            <w:webHidden/>
          </w:rPr>
          <w:fldChar w:fldCharType="begin"/>
        </w:r>
        <w:r>
          <w:rPr>
            <w:noProof/>
            <w:webHidden/>
          </w:rPr>
          <w:instrText xml:space="preserve"> PAGEREF _Toc491767274 \h </w:instrText>
        </w:r>
        <w:r>
          <w:rPr>
            <w:noProof/>
            <w:webHidden/>
          </w:rPr>
        </w:r>
        <w:r>
          <w:rPr>
            <w:noProof/>
            <w:webHidden/>
          </w:rPr>
          <w:fldChar w:fldCharType="separate"/>
        </w:r>
        <w:r>
          <w:rPr>
            <w:noProof/>
            <w:webHidden/>
          </w:rPr>
          <w:t>56</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75" w:history="1">
        <w:r>
          <w:rPr>
            <w:rStyle w:val="Hyperlink"/>
            <w:noProof/>
          </w:rPr>
          <w:t>ERGEBNIS</w:t>
        </w:r>
        <w:r>
          <w:rPr>
            <w:rStyle w:val="Hyperlink"/>
            <w:noProof/>
          </w:rPr>
          <w:t>RECHNUNG DES EU-TREUHANDFONDS BÊKOU</w:t>
        </w:r>
        <w:r>
          <w:rPr>
            <w:noProof/>
            <w:webHidden/>
          </w:rPr>
          <w:tab/>
        </w:r>
        <w:r>
          <w:rPr>
            <w:noProof/>
            <w:webHidden/>
          </w:rPr>
          <w:fldChar w:fldCharType="begin"/>
        </w:r>
        <w:r>
          <w:rPr>
            <w:noProof/>
            <w:webHidden/>
          </w:rPr>
          <w:instrText xml:space="preserve"> PAGEREF _Toc491767275 \h </w:instrText>
        </w:r>
        <w:r>
          <w:rPr>
            <w:noProof/>
            <w:webHidden/>
          </w:rPr>
        </w:r>
        <w:r>
          <w:rPr>
            <w:noProof/>
            <w:webHidden/>
          </w:rPr>
          <w:fldChar w:fldCharType="separate"/>
        </w:r>
        <w:r>
          <w:rPr>
            <w:noProof/>
            <w:webHidden/>
          </w:rPr>
          <w:t>57</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76" w:history="1">
        <w:r>
          <w:rPr>
            <w:rStyle w:val="Hyperlink"/>
            <w:noProof/>
          </w:rPr>
          <w:t>KAPITALFLUSSRECHNUNG  DES EU-TREUHANDFONDS BÊKOU</w:t>
        </w:r>
        <w:r>
          <w:rPr>
            <w:noProof/>
            <w:webHidden/>
          </w:rPr>
          <w:tab/>
        </w:r>
        <w:r>
          <w:rPr>
            <w:noProof/>
            <w:webHidden/>
          </w:rPr>
          <w:fldChar w:fldCharType="begin"/>
        </w:r>
        <w:r>
          <w:rPr>
            <w:noProof/>
            <w:webHidden/>
          </w:rPr>
          <w:instrText xml:space="preserve"> PAGEREF _Toc491767276 \h </w:instrText>
        </w:r>
        <w:r>
          <w:rPr>
            <w:noProof/>
            <w:webHidden/>
          </w:rPr>
        </w:r>
        <w:r>
          <w:rPr>
            <w:noProof/>
            <w:webHidden/>
          </w:rPr>
          <w:fldChar w:fldCharType="separate"/>
        </w:r>
        <w:r>
          <w:rPr>
            <w:noProof/>
            <w:webHidden/>
          </w:rPr>
          <w:t>58</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77" w:history="1">
        <w:r>
          <w:rPr>
            <w:rStyle w:val="Hyperlink"/>
            <w:noProof/>
          </w:rPr>
          <w:t>VERÄNDERUNGEN DES NETTOVERMÖGENS DES EU-TREUHANDFONDS BÊKOU</w:t>
        </w:r>
        <w:r>
          <w:rPr>
            <w:noProof/>
            <w:webHidden/>
          </w:rPr>
          <w:tab/>
        </w:r>
        <w:r>
          <w:rPr>
            <w:noProof/>
            <w:webHidden/>
          </w:rPr>
          <w:fldChar w:fldCharType="begin"/>
        </w:r>
        <w:r>
          <w:rPr>
            <w:noProof/>
            <w:webHidden/>
          </w:rPr>
          <w:instrText xml:space="preserve"> PAGEREF _Toc491767277 \h </w:instrText>
        </w:r>
        <w:r>
          <w:rPr>
            <w:noProof/>
            <w:webHidden/>
          </w:rPr>
        </w:r>
        <w:r>
          <w:rPr>
            <w:noProof/>
            <w:webHidden/>
          </w:rPr>
          <w:fldChar w:fldCharType="separate"/>
        </w:r>
        <w:r>
          <w:rPr>
            <w:noProof/>
            <w:webHidden/>
          </w:rPr>
          <w:t>59</w:t>
        </w:r>
        <w:r>
          <w:rPr>
            <w:noProof/>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7278" w:history="1">
        <w:r>
          <w:rPr>
            <w:rStyle w:val="Hyperlink"/>
          </w:rPr>
          <w:t>ENDGÜTIGE JAHRESRECHNUNG DES EU-TREUHANDFONDS FÜR AFRIKA</w:t>
        </w:r>
        <w:r>
          <w:rPr>
            <w:webHidden/>
          </w:rPr>
          <w:tab/>
        </w:r>
        <w:r>
          <w:rPr>
            <w:webHidden/>
          </w:rPr>
          <w:fldChar w:fldCharType="begin"/>
        </w:r>
        <w:r>
          <w:rPr>
            <w:webHidden/>
          </w:rPr>
          <w:instrText xml:space="preserve"> PAGEREF _Toc491767278 \h </w:instrText>
        </w:r>
        <w:r>
          <w:rPr>
            <w:webHidden/>
          </w:rPr>
        </w:r>
        <w:r>
          <w:rPr>
            <w:webHidden/>
          </w:rPr>
          <w:fldChar w:fldCharType="separate"/>
        </w:r>
        <w:r>
          <w:rPr>
            <w:webHidden/>
          </w:rPr>
          <w:t>60</w:t>
        </w:r>
        <w:r>
          <w:rPr>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79" w:history="1">
        <w:r>
          <w:rPr>
            <w:rStyle w:val="Hyperlink"/>
            <w:noProof/>
          </w:rPr>
          <w:t>HINTERGRUNDINFORMATIONEN ZUM EU-TREUHA</w:t>
        </w:r>
        <w:r>
          <w:rPr>
            <w:rStyle w:val="Hyperlink"/>
            <w:noProof/>
          </w:rPr>
          <w:t>NDFONDS FÜR AFRIKA</w:t>
        </w:r>
        <w:r>
          <w:rPr>
            <w:noProof/>
            <w:webHidden/>
          </w:rPr>
          <w:tab/>
        </w:r>
        <w:r>
          <w:rPr>
            <w:noProof/>
            <w:webHidden/>
          </w:rPr>
          <w:fldChar w:fldCharType="begin"/>
        </w:r>
        <w:r>
          <w:rPr>
            <w:noProof/>
            <w:webHidden/>
          </w:rPr>
          <w:instrText xml:space="preserve"> PAGEREF _Toc491767279 \h </w:instrText>
        </w:r>
        <w:r>
          <w:rPr>
            <w:noProof/>
            <w:webHidden/>
          </w:rPr>
        </w:r>
        <w:r>
          <w:rPr>
            <w:noProof/>
            <w:webHidden/>
          </w:rPr>
          <w:fldChar w:fldCharType="separate"/>
        </w:r>
        <w:r>
          <w:rPr>
            <w:noProof/>
            <w:webHidden/>
          </w:rPr>
          <w:t>61</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0" w:history="1">
        <w:r>
          <w:rPr>
            <w:rStyle w:val="Hyperlink"/>
            <w:noProof/>
          </w:rPr>
          <w:t>VERMÖGENSÜBERSICHT DES EU-TREUHANDFONDS FÜR AFRIKA</w:t>
        </w:r>
        <w:r>
          <w:rPr>
            <w:noProof/>
            <w:webHidden/>
          </w:rPr>
          <w:tab/>
        </w:r>
        <w:r>
          <w:rPr>
            <w:noProof/>
            <w:webHidden/>
          </w:rPr>
          <w:fldChar w:fldCharType="begin"/>
        </w:r>
        <w:r>
          <w:rPr>
            <w:noProof/>
            <w:webHidden/>
          </w:rPr>
          <w:instrText xml:space="preserve"> PAGEREF _Toc491767280 \h </w:instrText>
        </w:r>
        <w:r>
          <w:rPr>
            <w:noProof/>
            <w:webHidden/>
          </w:rPr>
        </w:r>
        <w:r>
          <w:rPr>
            <w:noProof/>
            <w:webHidden/>
          </w:rPr>
          <w:fldChar w:fldCharType="separate"/>
        </w:r>
        <w:r>
          <w:rPr>
            <w:noProof/>
            <w:webHidden/>
          </w:rPr>
          <w:t>63</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1" w:history="1">
        <w:r>
          <w:rPr>
            <w:rStyle w:val="Hyperlink"/>
            <w:noProof/>
          </w:rPr>
          <w:t>ERGEBNISRECHNUNG DES EU-TREUHANDFONDS FÜR AFRIKA</w:t>
        </w:r>
        <w:r>
          <w:rPr>
            <w:noProof/>
            <w:webHidden/>
          </w:rPr>
          <w:tab/>
        </w:r>
        <w:r>
          <w:rPr>
            <w:noProof/>
            <w:webHidden/>
          </w:rPr>
          <w:fldChar w:fldCharType="begin"/>
        </w:r>
        <w:r>
          <w:rPr>
            <w:noProof/>
            <w:webHidden/>
          </w:rPr>
          <w:instrText xml:space="preserve"> PAGEREF _Toc491767281 \h </w:instrText>
        </w:r>
        <w:r>
          <w:rPr>
            <w:noProof/>
            <w:webHidden/>
          </w:rPr>
        </w:r>
        <w:r>
          <w:rPr>
            <w:noProof/>
            <w:webHidden/>
          </w:rPr>
          <w:fldChar w:fldCharType="separate"/>
        </w:r>
        <w:r>
          <w:rPr>
            <w:noProof/>
            <w:webHidden/>
          </w:rPr>
          <w:t>64</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2" w:history="1">
        <w:r>
          <w:rPr>
            <w:rStyle w:val="Hyperlink"/>
            <w:noProof/>
          </w:rPr>
          <w:t>KAPITALFLUSSRECHNUNG  DES EU-TREUHANDFONDS FÜR AFRIKA</w:t>
        </w:r>
        <w:r>
          <w:rPr>
            <w:noProof/>
            <w:webHidden/>
          </w:rPr>
          <w:tab/>
        </w:r>
        <w:r>
          <w:rPr>
            <w:noProof/>
            <w:webHidden/>
          </w:rPr>
          <w:fldChar w:fldCharType="begin"/>
        </w:r>
        <w:r>
          <w:rPr>
            <w:noProof/>
            <w:webHidden/>
          </w:rPr>
          <w:instrText xml:space="preserve"> PAGEREF _Toc491767282 \h </w:instrText>
        </w:r>
        <w:r>
          <w:rPr>
            <w:noProof/>
            <w:webHidden/>
          </w:rPr>
        </w:r>
        <w:r>
          <w:rPr>
            <w:noProof/>
            <w:webHidden/>
          </w:rPr>
          <w:fldChar w:fldCharType="separate"/>
        </w:r>
        <w:r>
          <w:rPr>
            <w:noProof/>
            <w:webHidden/>
          </w:rPr>
          <w:t>65</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3" w:history="1">
        <w:r>
          <w:rPr>
            <w:rStyle w:val="Hyperlink"/>
            <w:noProof/>
          </w:rPr>
          <w:t>VERÄNDERUNGEN DER NETTOVERMÖGENSWERTE DES EU-TREUHAN</w:t>
        </w:r>
        <w:r>
          <w:rPr>
            <w:rStyle w:val="Hyperlink"/>
            <w:noProof/>
          </w:rPr>
          <w:t>DFONDS FÜR AFRIKA</w:t>
        </w:r>
        <w:r>
          <w:rPr>
            <w:noProof/>
            <w:webHidden/>
          </w:rPr>
          <w:tab/>
        </w:r>
        <w:r>
          <w:rPr>
            <w:noProof/>
            <w:webHidden/>
          </w:rPr>
          <w:fldChar w:fldCharType="begin"/>
        </w:r>
        <w:r>
          <w:rPr>
            <w:noProof/>
            <w:webHidden/>
          </w:rPr>
          <w:instrText xml:space="preserve"> PAGEREF _Toc491767283 \h </w:instrText>
        </w:r>
        <w:r>
          <w:rPr>
            <w:noProof/>
            <w:webHidden/>
          </w:rPr>
        </w:r>
        <w:r>
          <w:rPr>
            <w:noProof/>
            <w:webHidden/>
          </w:rPr>
          <w:fldChar w:fldCharType="separate"/>
        </w:r>
        <w:r>
          <w:rPr>
            <w:noProof/>
            <w:webHidden/>
          </w:rPr>
          <w:t>66</w:t>
        </w:r>
        <w:r>
          <w:rPr>
            <w:noProof/>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7284" w:history="1">
        <w:r>
          <w:rPr>
            <w:rStyle w:val="Hyperlink"/>
          </w:rPr>
          <w:t>KONSOLIDIERTE JAHRESABSCHLÜSSE DES EEF UND DER EU-TREUHANDFONDS</w:t>
        </w:r>
        <w:r>
          <w:rPr>
            <w:webHidden/>
          </w:rPr>
          <w:tab/>
        </w:r>
        <w:r>
          <w:rPr>
            <w:webHidden/>
          </w:rPr>
          <w:fldChar w:fldCharType="begin"/>
        </w:r>
        <w:r>
          <w:rPr>
            <w:webHidden/>
          </w:rPr>
          <w:instrText xml:space="preserve"> PAGEREF _Toc491767284 \h </w:instrText>
        </w:r>
        <w:r>
          <w:rPr>
            <w:webHidden/>
          </w:rPr>
        </w:r>
        <w:r>
          <w:rPr>
            <w:webHidden/>
          </w:rPr>
          <w:fldChar w:fldCharType="separate"/>
        </w:r>
        <w:r>
          <w:rPr>
            <w:webHidden/>
          </w:rPr>
          <w:t>67</w:t>
        </w:r>
        <w:r>
          <w:rPr>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5" w:history="1">
        <w:r>
          <w:rPr>
            <w:rStyle w:val="Hyperlink"/>
            <w:noProof/>
          </w:rPr>
          <w:t>KONSOLIDIERTE VERMÖGENSÜBERSICHT</w:t>
        </w:r>
        <w:r>
          <w:rPr>
            <w:noProof/>
            <w:webHidden/>
          </w:rPr>
          <w:tab/>
        </w:r>
        <w:r>
          <w:rPr>
            <w:noProof/>
            <w:webHidden/>
          </w:rPr>
          <w:fldChar w:fldCharType="begin"/>
        </w:r>
        <w:r>
          <w:rPr>
            <w:noProof/>
            <w:webHidden/>
          </w:rPr>
          <w:instrText xml:space="preserve"> PAGEREF _Toc491767285 \h </w:instrText>
        </w:r>
        <w:r>
          <w:rPr>
            <w:noProof/>
            <w:webHidden/>
          </w:rPr>
        </w:r>
        <w:r>
          <w:rPr>
            <w:noProof/>
            <w:webHidden/>
          </w:rPr>
          <w:fldChar w:fldCharType="separate"/>
        </w:r>
        <w:r>
          <w:rPr>
            <w:noProof/>
            <w:webHidden/>
          </w:rPr>
          <w:t>68</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6" w:history="1">
        <w:r>
          <w:rPr>
            <w:rStyle w:val="Hyperlink"/>
            <w:noProof/>
          </w:rPr>
          <w:t>KONSOLIDIERTE ERGEBNISRECHNUNG</w:t>
        </w:r>
        <w:r>
          <w:rPr>
            <w:noProof/>
            <w:webHidden/>
          </w:rPr>
          <w:tab/>
        </w:r>
        <w:r>
          <w:rPr>
            <w:noProof/>
            <w:webHidden/>
          </w:rPr>
          <w:fldChar w:fldCharType="begin"/>
        </w:r>
        <w:r>
          <w:rPr>
            <w:noProof/>
            <w:webHidden/>
          </w:rPr>
          <w:instrText xml:space="preserve"> PAGEREF _Toc491767286 \h </w:instrText>
        </w:r>
        <w:r>
          <w:rPr>
            <w:noProof/>
            <w:webHidden/>
          </w:rPr>
        </w:r>
        <w:r>
          <w:rPr>
            <w:noProof/>
            <w:webHidden/>
          </w:rPr>
          <w:fldChar w:fldCharType="separate"/>
        </w:r>
        <w:r>
          <w:rPr>
            <w:noProof/>
            <w:webHidden/>
          </w:rPr>
          <w:t>69</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7" w:history="1">
        <w:r>
          <w:rPr>
            <w:rStyle w:val="Hyperlink"/>
            <w:noProof/>
          </w:rPr>
          <w:t>KONSOLIDIERTE KAPITALFLUSSRECHNUNG</w:t>
        </w:r>
        <w:r>
          <w:rPr>
            <w:noProof/>
            <w:webHidden/>
          </w:rPr>
          <w:tab/>
        </w:r>
        <w:r>
          <w:rPr>
            <w:noProof/>
            <w:webHidden/>
          </w:rPr>
          <w:fldChar w:fldCharType="begin"/>
        </w:r>
        <w:r>
          <w:rPr>
            <w:noProof/>
            <w:webHidden/>
          </w:rPr>
          <w:instrText xml:space="preserve"> PAGEREF _Toc491767287 \h </w:instrText>
        </w:r>
        <w:r>
          <w:rPr>
            <w:noProof/>
            <w:webHidden/>
          </w:rPr>
        </w:r>
        <w:r>
          <w:rPr>
            <w:noProof/>
            <w:webHidden/>
          </w:rPr>
          <w:fldChar w:fldCharType="separate"/>
        </w:r>
        <w:r>
          <w:rPr>
            <w:noProof/>
            <w:webHidden/>
          </w:rPr>
          <w:t>70</w:t>
        </w:r>
        <w:r>
          <w:rPr>
            <w:noProof/>
            <w:webHidden/>
          </w:rPr>
          <w:fldChar w:fldCharType="end"/>
        </w:r>
      </w:hyperlink>
    </w:p>
    <w:p w:rsidR="001609E3" w:rsidRDefault="00E45B63">
      <w:pPr>
        <w:pStyle w:val="TOC3"/>
        <w:tabs>
          <w:tab w:val="right" w:leader="dot" w:pos="9628"/>
        </w:tabs>
        <w:rPr>
          <w:rFonts w:asciiTheme="minorHAnsi" w:eastAsiaTheme="minorEastAsia" w:hAnsiTheme="minorHAnsi" w:cstheme="minorBidi"/>
          <w:noProof/>
          <w:sz w:val="22"/>
          <w:szCs w:val="22"/>
          <w:lang w:val="en-GB" w:eastAsia="en-GB" w:bidi="ar-SA"/>
        </w:rPr>
      </w:pPr>
      <w:hyperlink w:anchor="_Toc491767288" w:history="1">
        <w:r>
          <w:rPr>
            <w:rStyle w:val="Hyperlink"/>
            <w:noProof/>
          </w:rPr>
          <w:t>KONSOLIDIERTE TABELLE DER VERÄNDERUNGEN DES NETTOVERMÖGENS</w:t>
        </w:r>
        <w:r>
          <w:rPr>
            <w:noProof/>
            <w:webHidden/>
          </w:rPr>
          <w:tab/>
        </w:r>
        <w:r>
          <w:rPr>
            <w:noProof/>
            <w:webHidden/>
          </w:rPr>
          <w:fldChar w:fldCharType="begin"/>
        </w:r>
        <w:r>
          <w:rPr>
            <w:noProof/>
            <w:webHidden/>
          </w:rPr>
          <w:instrText xml:space="preserve"> PAGEREF _Toc491767288 \h </w:instrText>
        </w:r>
        <w:r>
          <w:rPr>
            <w:noProof/>
            <w:webHidden/>
          </w:rPr>
        </w:r>
        <w:r>
          <w:rPr>
            <w:noProof/>
            <w:webHidden/>
          </w:rPr>
          <w:fldChar w:fldCharType="separate"/>
        </w:r>
        <w:r>
          <w:rPr>
            <w:noProof/>
            <w:webHidden/>
          </w:rPr>
          <w:t>71</w:t>
        </w:r>
        <w:r>
          <w:rPr>
            <w:noProof/>
            <w:webHidden/>
          </w:rPr>
          <w:fldChar w:fldCharType="end"/>
        </w:r>
      </w:hyperlink>
    </w:p>
    <w:p w:rsidR="001609E3" w:rsidRDefault="00E45B63">
      <w:pPr>
        <w:pStyle w:val="TOC2"/>
        <w:rPr>
          <w:rFonts w:asciiTheme="minorHAnsi" w:eastAsiaTheme="minorEastAsia" w:hAnsiTheme="minorHAnsi" w:cstheme="minorBidi"/>
          <w:color w:val="auto"/>
          <w:lang w:val="en-GB" w:eastAsia="en-GB" w:bidi="ar-SA"/>
        </w:rPr>
      </w:pPr>
      <w:hyperlink w:anchor="_Toc491767289" w:history="1">
        <w:r>
          <w:rPr>
            <w:rStyle w:val="Hyperlink"/>
          </w:rPr>
          <w:t>ÜBERSICHT ÜBER DIE FINANZIELLE AUSFÜHRUNG DES EEF</w:t>
        </w:r>
        <w:r>
          <w:rPr>
            <w:webHidden/>
          </w:rPr>
          <w:tab/>
        </w:r>
        <w:r>
          <w:rPr>
            <w:webHidden/>
          </w:rPr>
          <w:fldChar w:fldCharType="begin"/>
        </w:r>
        <w:r>
          <w:rPr>
            <w:webHidden/>
          </w:rPr>
          <w:instrText xml:space="preserve"> PAGEREF _Toc491767289 \h </w:instrText>
        </w:r>
        <w:r>
          <w:rPr>
            <w:webHidden/>
          </w:rPr>
        </w:r>
        <w:r>
          <w:rPr>
            <w:webHidden/>
          </w:rPr>
          <w:fldChar w:fldCharType="separate"/>
        </w:r>
        <w:r>
          <w:rPr>
            <w:webHidden/>
          </w:rPr>
          <w:t>72</w:t>
        </w:r>
        <w:r>
          <w:rPr>
            <w:webHidden/>
          </w:rPr>
          <w:fldChar w:fldCharType="end"/>
        </w:r>
      </w:hyperlink>
    </w:p>
    <w:p w:rsidR="001609E3" w:rsidRDefault="00E45B63">
      <w:pPr>
        <w:pStyle w:val="TOC1"/>
        <w:rPr>
          <w:rFonts w:asciiTheme="minorHAnsi" w:eastAsiaTheme="minorEastAsia" w:hAnsiTheme="minorHAnsi" w:cstheme="minorBidi"/>
          <w:color w:val="auto"/>
          <w:lang w:val="en-GB" w:eastAsia="en-GB" w:bidi="ar-SA"/>
        </w:rPr>
      </w:pPr>
      <w:hyperlink w:anchor="_Toc491767290" w:history="1">
        <w:r>
          <w:rPr>
            <w:rStyle w:val="Hyperlink"/>
          </w:rPr>
          <w:t>JÄHRLICHER DURCHFÜHRUNGSBERICHT – VON DER EUROPÄISCHEN INVESTITIONSBANK VERWALTETE MITTEL</w:t>
        </w:r>
        <w:r>
          <w:rPr>
            <w:webHidden/>
          </w:rPr>
          <w:tab/>
        </w:r>
        <w:r>
          <w:rPr>
            <w:webHidden/>
          </w:rPr>
          <w:fldChar w:fldCharType="begin"/>
        </w:r>
        <w:r>
          <w:rPr>
            <w:webHidden/>
          </w:rPr>
          <w:instrText xml:space="preserve"> PAGEREF _Toc491767290 \h </w:instrText>
        </w:r>
        <w:r>
          <w:rPr>
            <w:webHidden/>
          </w:rPr>
        </w:r>
        <w:r>
          <w:rPr>
            <w:webHidden/>
          </w:rPr>
          <w:fldChar w:fldCharType="separate"/>
        </w:r>
        <w:r>
          <w:rPr>
            <w:webHidden/>
          </w:rPr>
          <w:t>89</w:t>
        </w:r>
        <w:r>
          <w:rPr>
            <w:webHidden/>
          </w:rPr>
          <w:fldChar w:fldCharType="end"/>
        </w:r>
      </w:hyperlink>
    </w:p>
    <w:p w:rsidR="001609E3" w:rsidRDefault="00E45B63">
      <w:pPr>
        <w:pStyle w:val="FinancialYear"/>
        <w:rPr>
          <w:noProof/>
        </w:rPr>
      </w:pPr>
      <w:r>
        <w:rPr>
          <w:noProof/>
        </w:rPr>
        <w:fldChar w:fldCharType="end"/>
      </w:r>
    </w:p>
    <w:p w:rsidR="001609E3" w:rsidRDefault="001609E3">
      <w:pPr>
        <w:pStyle w:val="HEADERTABLE"/>
        <w:rPr>
          <w:noProof/>
        </w:rPr>
        <w:sectPr w:rsidR="001609E3">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1"/>
      </w:pPr>
      <w:bookmarkStart w:id="23" w:name="_Toc484164228"/>
      <w:bookmarkStart w:id="24" w:name="_Toc491767260"/>
      <w:bookmarkStart w:id="25" w:name="_Toc491768128"/>
      <w:r>
        <w:t>JAHRESABSCHLUSS DES EEF</w:t>
      </w:r>
      <w:bookmarkEnd w:id="23"/>
      <w:bookmarkEnd w:id="24"/>
      <w:bookmarkEnd w:id="25"/>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E45B63">
      <w:pPr>
        <w:pStyle w:val="TOPHEADERNOTE"/>
        <w:rPr>
          <w:noProof/>
        </w:rPr>
      </w:pPr>
      <w:r>
        <w:rPr>
          <w:noProof/>
        </w:rPr>
        <w:t xml:space="preserve">Aufgrund der Auf- oder Abrundung auf Mio. EUR summieren sich die in den Tabellen ausgewiesenen </w:t>
      </w:r>
      <w:r>
        <w:rPr>
          <w:noProof/>
        </w:rPr>
        <w:t>Finanzdaten möglicherweise nicht immer genau.</w:t>
      </w:r>
    </w:p>
    <w:p w:rsidR="001609E3" w:rsidRDefault="00E45B63">
      <w:pPr>
        <w:pStyle w:val="TOPHEADERNOTE"/>
        <w:rPr>
          <w:noProof/>
        </w:rPr>
        <w:sectPr w:rsidR="001609E3">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rPr>
          <w:noProof/>
        </w:rPr>
        <w:t xml:space="preserve"> </w:t>
      </w:r>
      <w:bookmarkEnd w:id="22"/>
    </w:p>
    <w:p w:rsidR="001609E3" w:rsidRDefault="00E45B63">
      <w:pPr>
        <w:pStyle w:val="HEADERTITLE1"/>
      </w:pPr>
      <w:bookmarkStart w:id="26" w:name="_Toc484164229"/>
      <w:bookmarkStart w:id="27" w:name="_Toc491767261"/>
      <w:bookmarkStart w:id="28" w:name="_DMBM_9479"/>
      <w:r>
        <w:t>VERMÖGENSÜBERSICHT DES EEF</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020"/>
        <w:gridCol w:w="1809"/>
        <w:gridCol w:w="1810"/>
      </w:tblGrid>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9" w:name="DOC_TBL00001_1_1"/>
            <w:bookmarkEnd w:id="29"/>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bookmarkStart w:id="30" w:name="DOC_TBL00001_1_2"/>
            <w:bookmarkEnd w:id="30"/>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bookmarkStart w:id="31" w:name="DOC_TBL00001_1_3"/>
            <w:bookmarkEnd w:id="31"/>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bookmarkStart w:id="32" w:name="DOC_TBL00001_1_4"/>
            <w:r>
              <w:t xml:space="preserve"> in Mio. EUR</w:t>
            </w:r>
            <w:bookmarkEnd w:id="32"/>
          </w:p>
        </w:tc>
      </w:tr>
      <w:tr w:rsidR="001609E3">
        <w:trPr>
          <w:cantSplit/>
          <w:trHeight w:val="268"/>
        </w:trPr>
        <w:tc>
          <w:tcPr>
            <w:tcW w:w="2673" w:type="pct"/>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bookmarkStart w:id="33" w:name="DOC_TBL00001_2_1"/>
            <w:bookmarkEnd w:id="33"/>
          </w:p>
        </w:tc>
        <w:tc>
          <w:tcPr>
            <w:tcW w:w="437" w:type="pct"/>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bookmarkStart w:id="34" w:name="DOC_TBL00001_2_2"/>
            <w:r>
              <w:t>Erläu</w:t>
            </w:r>
            <w:r>
              <w:softHyphen/>
              <w:t>terung</w:t>
            </w:r>
            <w:bookmarkEnd w:id="34"/>
          </w:p>
        </w:tc>
        <w:tc>
          <w:tcPr>
            <w:tcW w:w="945" w:type="pct"/>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bookmarkStart w:id="35" w:name="DOC_TBL00001_2_3"/>
            <w:r>
              <w:t>31.12.2016</w:t>
            </w:r>
            <w:bookmarkEnd w:id="35"/>
          </w:p>
        </w:tc>
        <w:tc>
          <w:tcPr>
            <w:tcW w:w="945" w:type="pct"/>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bookmarkStart w:id="36" w:name="DOC_TBL00001_2_4"/>
            <w:r>
              <w:t>31.12.2015</w:t>
            </w:r>
            <w:bookmarkEnd w:id="36"/>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37" w:name="DOC_TBL00001_3_1"/>
            <w:r>
              <w:t xml:space="preserve">LANGFRISTIGE </w:t>
            </w:r>
            <w:r>
              <w:t>VERMÖGENSWERTE</w:t>
            </w:r>
            <w:bookmarkEnd w:id="37"/>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bookmarkStart w:id="38" w:name="DOC_TBL00001_3_2"/>
            <w:bookmarkEnd w:id="38"/>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39" w:name="DOC_TBL00001_3_3"/>
            <w:bookmarkEnd w:id="39"/>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40" w:name="DOC_TBL00001_3_4"/>
            <w:bookmarkEnd w:id="40"/>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41" w:name="DOC_TBL00001_4_1"/>
            <w:r>
              <w:t>Vorfinanzierungen</w:t>
            </w:r>
            <w:bookmarkEnd w:id="41"/>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42" w:name="DOC_TBL00001_4_2"/>
            <w:r>
              <w:t>2.1</w:t>
            </w:r>
            <w:bookmarkEnd w:id="42"/>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43" w:name="DOC_TBL00001_4_3"/>
            <w:r>
              <w:t xml:space="preserve"> 409</w:t>
            </w:r>
            <w:bookmarkEnd w:id="43"/>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44" w:name="DOC_TBL00001_4_4"/>
            <w:r>
              <w:t xml:space="preserve"> 516</w:t>
            </w:r>
            <w:bookmarkEnd w:id="44"/>
          </w:p>
        </w:tc>
      </w:tr>
      <w:tr w:rsidR="001609E3">
        <w:trPr>
          <w:cantSplit/>
          <w:trHeight w:val="268"/>
        </w:trPr>
        <w:tc>
          <w:tcPr>
            <w:tcW w:w="2673"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45" w:name="DOC_TBL00001_5_1"/>
            <w:r>
              <w:t>Beiträge zum Treuhandfonds</w:t>
            </w:r>
            <w:bookmarkEnd w:id="45"/>
          </w:p>
        </w:tc>
        <w:tc>
          <w:tcPr>
            <w:tcW w:w="437"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46" w:name="DOC_TBL00001_5_2"/>
            <w:r>
              <w:t>2,2</w:t>
            </w:r>
            <w:bookmarkEnd w:id="46"/>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47" w:name="DOC_TBL00001_5_3"/>
            <w:r>
              <w:t xml:space="preserve"> 98</w:t>
            </w:r>
            <w:bookmarkEnd w:id="47"/>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48" w:name="DOC_TBL00001_5_4"/>
            <w:r>
              <w:t xml:space="preserve"> 34</w:t>
            </w:r>
            <w:bookmarkEnd w:id="48"/>
          </w:p>
        </w:tc>
      </w:tr>
      <w:tr w:rsidR="001609E3">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bookmarkStart w:id="49" w:name="DOC_TBL00001_6_1"/>
            <w:bookmarkEnd w:id="49"/>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bookmarkStart w:id="50" w:name="DOC_TBL00001_6_2"/>
            <w:bookmarkEnd w:id="50"/>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51" w:name="DOC_TBL00001_6_3"/>
            <w:r>
              <w:t xml:space="preserve"> 507</w:t>
            </w:r>
            <w:bookmarkEnd w:id="51"/>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52" w:name="DOC_TBL00001_6_4"/>
            <w:r>
              <w:t xml:space="preserve"> 550</w:t>
            </w:r>
            <w:bookmarkEnd w:id="52"/>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53" w:name="DOC_TBL00001_7_1"/>
            <w:r>
              <w:t>KURZFRISTIGE VERMÖGENSWERTE</w:t>
            </w:r>
            <w:bookmarkEnd w:id="53"/>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bookmarkStart w:id="54" w:name="DOC_TBL00001_7_2"/>
            <w:bookmarkEnd w:id="54"/>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55" w:name="DOC_TBL00001_7_3"/>
            <w:bookmarkEnd w:id="55"/>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56" w:name="DOC_TBL00001_7_4"/>
            <w:bookmarkEnd w:id="56"/>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57" w:name="DOC_TBL00001_8_1"/>
            <w:r>
              <w:t>Vorfinanzierungen</w:t>
            </w:r>
            <w:bookmarkEnd w:id="57"/>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58" w:name="DOC_TBL00001_8_2"/>
            <w:r>
              <w:t>2.1</w:t>
            </w:r>
            <w:bookmarkEnd w:id="58"/>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59" w:name="DOC_TBL00001_8_3"/>
            <w:r>
              <w:t>1 372</w:t>
            </w:r>
            <w:bookmarkEnd w:id="59"/>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60" w:name="DOC_TBL00001_8_4"/>
            <w:r>
              <w:t>1 145</w:t>
            </w:r>
            <w:bookmarkEnd w:id="60"/>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61" w:name="DOC_TBL00001_9_1"/>
            <w:r>
              <w:t>Forderungen mit Leistungsaustausch und einzuziehende Beträge ohne Leistungsaustausch</w:t>
            </w:r>
            <w:bookmarkEnd w:id="61"/>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62" w:name="DOC_TBL00001_9_2"/>
            <w:r>
              <w:t>2.3</w:t>
            </w:r>
            <w:bookmarkEnd w:id="62"/>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63" w:name="DOC_TBL00001_9_3"/>
            <w:r>
              <w:t xml:space="preserve"> 132</w:t>
            </w:r>
            <w:bookmarkEnd w:id="63"/>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64" w:name="DOC_TBL00001_9_4"/>
            <w:r>
              <w:t xml:space="preserve"> 171</w:t>
            </w:r>
            <w:bookmarkEnd w:id="64"/>
          </w:p>
        </w:tc>
      </w:tr>
      <w:tr w:rsidR="001609E3">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65" w:name="DOC_TBL00001_10_1"/>
            <w:r>
              <w:t xml:space="preserve">Zahlungsmittel und Zahlungsmitteläquivalente </w:t>
            </w:r>
            <w:bookmarkEnd w:id="65"/>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66" w:name="DOC_TBL00001_10_2"/>
            <w:r>
              <w:t>2.4</w:t>
            </w:r>
            <w:bookmarkEnd w:id="66"/>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67" w:name="DOC_TBL00001_10_3"/>
            <w:r>
              <w:t xml:space="preserve"> 680</w:t>
            </w:r>
            <w:bookmarkEnd w:id="67"/>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68" w:name="DOC_TBL00001_10_4"/>
            <w:r>
              <w:t xml:space="preserve"> 504</w:t>
            </w:r>
            <w:bookmarkEnd w:id="68"/>
          </w:p>
        </w:tc>
      </w:tr>
      <w:tr w:rsidR="001609E3">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bookmarkStart w:id="69" w:name="DOC_TBL00001_11_1"/>
            <w:bookmarkEnd w:id="69"/>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bookmarkStart w:id="70" w:name="DOC_TBL00001_11_2"/>
            <w:bookmarkEnd w:id="70"/>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71" w:name="DOC_TBL00001_11_3"/>
            <w:r>
              <w:t>2 184</w:t>
            </w:r>
            <w:bookmarkEnd w:id="71"/>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72" w:name="DOC_TBL00001_11_4"/>
            <w:r>
              <w:t>1 820</w:t>
            </w:r>
            <w:bookmarkEnd w:id="72"/>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73" w:name="DOC_TBL00001_12_1"/>
            <w:r>
              <w:t>GESAMTVERMÖGEN</w:t>
            </w:r>
            <w:bookmarkEnd w:id="73"/>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i w:val="0"/>
              </w:rPr>
            </w:pPr>
            <w:bookmarkStart w:id="74" w:name="DOC_TBL00001_12_2"/>
            <w:bookmarkEnd w:id="74"/>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75" w:name="DOC_TBL00001_12_3"/>
            <w:r>
              <w:t>2 691</w:t>
            </w:r>
            <w:bookmarkEnd w:id="75"/>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76" w:name="DOC_TBL00001_12_4"/>
            <w:r>
              <w:t>2 370</w:t>
            </w:r>
            <w:bookmarkEnd w:id="76"/>
          </w:p>
        </w:tc>
      </w:tr>
      <w:tr w:rsidR="001609E3">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bookmarkStart w:id="77" w:name="DOC_TBL00001_13_1"/>
            <w:bookmarkEnd w:id="77"/>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bookmarkStart w:id="78" w:name="DOC_TBL00001_13_2"/>
            <w:bookmarkEnd w:id="78"/>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bookmarkStart w:id="79" w:name="DOC_TBL00001_13_3"/>
            <w:bookmarkEnd w:id="79"/>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bookmarkStart w:id="80" w:name="DOC_TBL00001_13_4"/>
            <w:bookmarkEnd w:id="80"/>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81" w:name="DOC_TBL00001_14_1"/>
            <w:r>
              <w:t>LANGFRISTIGE VERBINDLICHKEITEN</w:t>
            </w:r>
            <w:bookmarkEnd w:id="81"/>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bookmarkStart w:id="82" w:name="DOC_TBL00001_14_2"/>
            <w:bookmarkEnd w:id="82"/>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83" w:name="DOC_TBL00001_14_3"/>
            <w:bookmarkEnd w:id="83"/>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84" w:name="DOC_TBL00001_14_4"/>
            <w:bookmarkEnd w:id="84"/>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85" w:name="DOC_TBL00001_15_1"/>
            <w:r>
              <w:t>Rückstellungen</w:t>
            </w:r>
            <w:bookmarkEnd w:id="85"/>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86" w:name="DOC_TBL00001_15_2"/>
            <w:r>
              <w:t>2.5</w:t>
            </w:r>
            <w:bookmarkEnd w:id="86"/>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87" w:name="DOC_TBL00001_15_3"/>
            <w:r>
              <w:t xml:space="preserve"> (4)</w:t>
            </w:r>
            <w:bookmarkEnd w:id="87"/>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88" w:name="DOC_TBL00001_15_4"/>
            <w:r>
              <w:t xml:space="preserve"> (4)</w:t>
            </w:r>
            <w:bookmarkEnd w:id="88"/>
          </w:p>
        </w:tc>
      </w:tr>
      <w:tr w:rsidR="001609E3">
        <w:trPr>
          <w:cantSplit/>
          <w:trHeight w:val="268"/>
        </w:trPr>
        <w:tc>
          <w:tcPr>
            <w:tcW w:w="2673"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89" w:name="DOC_TBL00001_16_1"/>
            <w:r>
              <w:t>Finanzielle Verbindlichkeiten</w:t>
            </w:r>
            <w:bookmarkEnd w:id="89"/>
          </w:p>
        </w:tc>
        <w:tc>
          <w:tcPr>
            <w:tcW w:w="437"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90" w:name="DOC_TBL00001_16_2"/>
            <w:r>
              <w:t>2.6</w:t>
            </w:r>
            <w:bookmarkEnd w:id="90"/>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91" w:name="DOC_TBL00001_16_3"/>
            <w:r>
              <w:t xml:space="preserve"> (6)</w:t>
            </w:r>
            <w:bookmarkEnd w:id="91"/>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92" w:name="DOC_TBL00001_16_4"/>
            <w:r>
              <w:t xml:space="preserve"> (10)</w:t>
            </w:r>
            <w:bookmarkEnd w:id="92"/>
          </w:p>
        </w:tc>
      </w:tr>
      <w:tr w:rsidR="001609E3">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bookmarkStart w:id="93" w:name="DOC_TBL00001_17_1"/>
            <w:bookmarkEnd w:id="93"/>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bookmarkStart w:id="94" w:name="DOC_TBL00001_17_2"/>
            <w:bookmarkEnd w:id="94"/>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95" w:name="DOC_TBL00001_17_3"/>
            <w:r>
              <w:t xml:space="preserve"> (10)</w:t>
            </w:r>
            <w:bookmarkEnd w:id="95"/>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96" w:name="DOC_TBL00001_17_4"/>
            <w:r>
              <w:t xml:space="preserve"> (14)</w:t>
            </w:r>
            <w:bookmarkEnd w:id="96"/>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97" w:name="DOC_TBL00001_18_1"/>
            <w:r>
              <w:t>KURZFRISTIGE VERBINDLICHKEITEN</w:t>
            </w:r>
            <w:bookmarkEnd w:id="97"/>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bookmarkStart w:id="98" w:name="DOC_TBL00001_18_2"/>
            <w:bookmarkEnd w:id="98"/>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99" w:name="DOC_TBL00001_18_3"/>
            <w:bookmarkEnd w:id="99"/>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100" w:name="DOC_TBL00001_18_4"/>
            <w:bookmarkEnd w:id="100"/>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01" w:name="DOC_TBL00001_19_1"/>
            <w:r>
              <w:t>Verbindlichkeiten</w:t>
            </w:r>
            <w:bookmarkEnd w:id="101"/>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102" w:name="DOC_TBL00001_19_2"/>
            <w:r>
              <w:t>2.7</w:t>
            </w:r>
            <w:bookmarkEnd w:id="102"/>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03" w:name="DOC_TBL00001_19_3"/>
            <w:r>
              <w:t xml:space="preserve"> (549)</w:t>
            </w:r>
            <w:bookmarkEnd w:id="103"/>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04" w:name="DOC_TBL00001_19_4"/>
            <w:r>
              <w:t xml:space="preserve"> (520)</w:t>
            </w:r>
            <w:bookmarkEnd w:id="104"/>
          </w:p>
        </w:tc>
      </w:tr>
      <w:tr w:rsidR="001609E3">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05" w:name="DOC_TBL00001_20_1"/>
            <w:r>
              <w:t>Antizipative und transitorische Passiva</w:t>
            </w:r>
            <w:bookmarkEnd w:id="105"/>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106" w:name="DOC_TBL00001_20_2"/>
            <w:r>
              <w:t>2.8</w:t>
            </w:r>
            <w:bookmarkEnd w:id="106"/>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07" w:name="DOC_TBL00001_20_3"/>
            <w:r>
              <w:t xml:space="preserve"> (776)</w:t>
            </w:r>
            <w:bookmarkEnd w:id="107"/>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08" w:name="DOC_TBL00001_20_4"/>
            <w:r>
              <w:t xml:space="preserve"> (855)</w:t>
            </w:r>
            <w:bookmarkEnd w:id="108"/>
          </w:p>
        </w:tc>
      </w:tr>
      <w:tr w:rsidR="001609E3">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bookmarkStart w:id="109" w:name="DOC_TBL00001_21_1"/>
            <w:bookmarkEnd w:id="109"/>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bookmarkStart w:id="110" w:name="DOC_TBL00001_21_2"/>
            <w:bookmarkEnd w:id="110"/>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111" w:name="DOC_TBL00001_21_3"/>
            <w:r>
              <w:t>(1 324)</w:t>
            </w:r>
            <w:bookmarkEnd w:id="111"/>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bookmarkStart w:id="112" w:name="DOC_TBL00001_21_4"/>
            <w:r>
              <w:t>(1 376)</w:t>
            </w:r>
            <w:bookmarkEnd w:id="112"/>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113" w:name="DOC_TBL00001_22_1"/>
            <w:r>
              <w:t>GESAMTVERBINDLICHKEITEN</w:t>
            </w:r>
            <w:bookmarkEnd w:id="113"/>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114" w:name="DOC_TBL00001_22_2"/>
            <w:bookmarkEnd w:id="114"/>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115" w:name="DOC_TBL00001_22_3"/>
            <w:r>
              <w:t>(1 334)</w:t>
            </w:r>
            <w:bookmarkEnd w:id="115"/>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116" w:name="DOC_TBL00001_22_4"/>
            <w:r>
              <w:t>(1 389)</w:t>
            </w:r>
            <w:bookmarkEnd w:id="116"/>
          </w:p>
        </w:tc>
      </w:tr>
      <w:tr w:rsidR="001609E3">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bookmarkStart w:id="117" w:name="DOC_TBL00001_23_1"/>
            <w:bookmarkEnd w:id="117"/>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bookmarkStart w:id="118" w:name="DOC_TBL00001_23_2"/>
            <w:bookmarkEnd w:id="118"/>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bookmarkStart w:id="119" w:name="DOC_TBL00001_23_3"/>
            <w:bookmarkEnd w:id="119"/>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bookmarkStart w:id="120" w:name="DOC_TBL00001_23_4"/>
            <w:bookmarkEnd w:id="120"/>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121" w:name="DOC_TBL00001_24_1"/>
            <w:r>
              <w:t>NETTOVERMÖGEN</w:t>
            </w:r>
            <w:bookmarkEnd w:id="121"/>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i w:val="0"/>
              </w:rPr>
            </w:pPr>
            <w:bookmarkStart w:id="122" w:name="DOC_TBL00001_24_2"/>
            <w:bookmarkEnd w:id="122"/>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123" w:name="DOC_TBL00001_24_3"/>
            <w:r>
              <w:t>1 357</w:t>
            </w:r>
            <w:bookmarkEnd w:id="123"/>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124" w:name="DOC_TBL00001_24_4"/>
            <w:r>
              <w:t xml:space="preserve"> 980</w:t>
            </w:r>
            <w:bookmarkEnd w:id="124"/>
          </w:p>
        </w:tc>
      </w:tr>
      <w:tr w:rsidR="001609E3">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bookmarkStart w:id="125" w:name="DOC_TBL00001_25_1"/>
            <w:bookmarkEnd w:id="125"/>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bookmarkStart w:id="126" w:name="DOC_TBL00001_25_2"/>
            <w:bookmarkEnd w:id="126"/>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bookmarkStart w:id="127" w:name="DOC_TBL00001_25_3"/>
            <w:bookmarkEnd w:id="127"/>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bookmarkStart w:id="128" w:name="DOC_TBL00001_25_4"/>
            <w:bookmarkEnd w:id="128"/>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129" w:name="DOC_TBL00001_26_1"/>
            <w:r>
              <w:t>MITTEL UND RÜCKLAGEN</w:t>
            </w:r>
            <w:bookmarkEnd w:id="129"/>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bookmarkStart w:id="130" w:name="DOC_TBL00001_26_2"/>
            <w:bookmarkEnd w:id="130"/>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131" w:name="DOC_TBL00001_26_3"/>
            <w:bookmarkEnd w:id="131"/>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bookmarkStart w:id="132" w:name="DOC_TBL00001_26_4"/>
            <w:bookmarkEnd w:id="132"/>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33" w:name="DOC_TBL00001_27_1"/>
            <w:r>
              <w:t>Abgerufenes Fondskapitel - aktive EEF</w:t>
            </w:r>
            <w:bookmarkEnd w:id="133"/>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134" w:name="DOC_TBL00001_27_2"/>
            <w:r>
              <w:t>2.9</w:t>
            </w:r>
            <w:bookmarkEnd w:id="134"/>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35" w:name="DOC_TBL00001_27_3"/>
            <w:r>
              <w:t>42 323</w:t>
            </w:r>
            <w:bookmarkEnd w:id="135"/>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36" w:name="DOC_TBL00001_27_4"/>
            <w:r>
              <w:t>38 873</w:t>
            </w:r>
            <w:bookmarkEnd w:id="136"/>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37" w:name="DOC_TBL00001_28_1"/>
            <w:r>
              <w:t>Übertragung von abgerufenem Fondskapital aus abgeschlossenen EEF</w:t>
            </w:r>
            <w:bookmarkEnd w:id="137"/>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138" w:name="DOC_TBL00001_28_2"/>
            <w:r>
              <w:t>2.9</w:t>
            </w:r>
            <w:bookmarkEnd w:id="138"/>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39" w:name="DOC_TBL00001_28_3"/>
            <w:r>
              <w:t>2 252</w:t>
            </w:r>
            <w:bookmarkEnd w:id="139"/>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40" w:name="DOC_TBL00001_28_4"/>
            <w:r>
              <w:t>2 252</w:t>
            </w:r>
            <w:bookmarkEnd w:id="140"/>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41" w:name="DOC_TBL00001_29_1"/>
            <w:r>
              <w:t>Übertragung von abgerufenem Fondskapital zwischen aktiven EEF</w:t>
            </w:r>
            <w:bookmarkEnd w:id="141"/>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bookmarkStart w:id="142" w:name="DOC_TBL00001_29_2"/>
            <w:r>
              <w:t>2.9</w:t>
            </w:r>
            <w:bookmarkEnd w:id="142"/>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43" w:name="DOC_TBL00001_29_3"/>
            <w:r>
              <w:t>–</w:t>
            </w:r>
            <w:bookmarkEnd w:id="143"/>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44" w:name="DOC_TBL00001_29_4"/>
            <w:r>
              <w:t>–</w:t>
            </w:r>
            <w:bookmarkEnd w:id="144"/>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45" w:name="DOC_TBL00001_30_1"/>
            <w:r>
              <w:t>Ergebnisvortrag aus Vorjahren</w:t>
            </w:r>
            <w:bookmarkEnd w:id="145"/>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bookmarkStart w:id="146" w:name="DOC_TBL00001_30_2"/>
            <w:bookmarkEnd w:id="146"/>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47" w:name="DOC_TBL00001_30_3"/>
            <w:r>
              <w:t>(40 146)</w:t>
            </w:r>
            <w:bookmarkEnd w:id="147"/>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48" w:name="DOC_TBL00001_30_4"/>
            <w:r>
              <w:t>(36 994)</w:t>
            </w:r>
            <w:bookmarkEnd w:id="148"/>
          </w:p>
        </w:tc>
      </w:tr>
      <w:tr w:rsidR="001609E3">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bookmarkStart w:id="149" w:name="DOC_TBL00001_31_1"/>
            <w:r>
              <w:t>Wirtschaftliches Ergebnis des Haushaltsjahres</w:t>
            </w:r>
            <w:bookmarkEnd w:id="149"/>
          </w:p>
        </w:tc>
        <w:tc>
          <w:tcPr>
            <w:tcW w:w="437" w:type="pct"/>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bookmarkStart w:id="150" w:name="DOC_TBL00001_31_2"/>
            <w:bookmarkEnd w:id="150"/>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51" w:name="DOC_TBL00001_31_3"/>
            <w:r>
              <w:t>(3 073)</w:t>
            </w:r>
            <w:bookmarkEnd w:id="151"/>
          </w:p>
        </w:tc>
        <w:tc>
          <w:tcPr>
            <w:tcW w:w="945" w:type="pct"/>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bookmarkStart w:id="152" w:name="DOC_TBL00001_31_4"/>
            <w:r>
              <w:t>(3 152)</w:t>
            </w:r>
            <w:bookmarkEnd w:id="152"/>
          </w:p>
        </w:tc>
      </w:tr>
      <w:tr w:rsidR="001609E3">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bookmarkStart w:id="153" w:name="DOC_TBL00001_32_1"/>
            <w:r>
              <w:t>NETTOVERMÖGEN</w:t>
            </w:r>
            <w:bookmarkEnd w:id="153"/>
          </w:p>
        </w:tc>
        <w:tc>
          <w:tcPr>
            <w:tcW w:w="437" w:type="pct"/>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i w:val="0"/>
              </w:rPr>
            </w:pPr>
            <w:bookmarkStart w:id="154" w:name="DOC_TBL00001_32_2"/>
            <w:bookmarkEnd w:id="154"/>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155" w:name="DOC_TBL00001_32_3"/>
            <w:r>
              <w:t>1 357</w:t>
            </w:r>
            <w:bookmarkEnd w:id="155"/>
          </w:p>
        </w:tc>
        <w:tc>
          <w:tcPr>
            <w:tcW w:w="945" w:type="pct"/>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bookmarkStart w:id="156" w:name="DOC_TBL00001_32_4"/>
            <w:r>
              <w:t xml:space="preserve"> 980</w:t>
            </w:r>
            <w:bookmarkEnd w:id="156"/>
          </w:p>
        </w:tc>
      </w:tr>
    </w:tbl>
    <w:p w:rsidR="001609E3" w:rsidRDefault="00E45B63">
      <w:pPr>
        <w:rPr>
          <w:noProof/>
        </w:rPr>
        <w:sectPr w:rsidR="001609E3">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134" w:right="1134" w:bottom="1134" w:left="1134" w:header="709" w:footer="709" w:gutter="0"/>
          <w:cols w:space="708"/>
          <w:docGrid w:linePitch="360"/>
        </w:sectPr>
      </w:pPr>
      <w:r>
        <w:rPr>
          <w:noProof/>
        </w:rPr>
        <w:t xml:space="preserve"> </w:t>
      </w:r>
      <w:bookmarkEnd w:id="28"/>
    </w:p>
    <w:p w:rsidR="001609E3" w:rsidRDefault="00E45B63">
      <w:pPr>
        <w:pStyle w:val="HEADERTITLE1"/>
      </w:pPr>
      <w:bookmarkStart w:id="157" w:name="_Toc484164230"/>
      <w:bookmarkStart w:id="158" w:name="_Toc491767262"/>
      <w:bookmarkStart w:id="159" w:name="_DMBM_9463"/>
      <w:r>
        <w:t>ERGEBNISRECHNUNG DES EEF</w:t>
      </w:r>
      <w:bookmarkEnd w:id="157"/>
      <w:bookmarkEnd w:id="15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1020"/>
        <w:gridCol w:w="1809"/>
        <w:gridCol w:w="1810"/>
      </w:tblGrid>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160" w:name="DOC_TBL00002_1_1"/>
            <w:bookmarkEnd w:id="160"/>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 xml:space="preserve">in </w:t>
            </w:r>
            <w:r>
              <w:t>Mio. EUR</w:t>
            </w:r>
          </w:p>
        </w:tc>
      </w:tr>
      <w:tr w:rsidR="001609E3">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r>
      <w:tr w:rsidR="001609E3">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Einnahmen aus Transaktionen ohne Leistungsaustausch</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Centered"/>
              <w:rPr>
                <w:rFonts w:eastAsia="Verdana" w:cs="Verdana"/>
              </w:rPr>
            </w:pPr>
            <w:r>
              <w:t>3.1</w:t>
            </w: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Einziehung von Aufwendungen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90</w:t>
            </w:r>
          </w:p>
        </w:tc>
      </w:tr>
      <w:tr w:rsidR="001609E3">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8</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90</w:t>
            </w:r>
          </w:p>
        </w:tc>
      </w:tr>
      <w:tr w:rsidR="001609E3">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Einnahmen aus Transaktionen mit Leistungsaustausch</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Centered"/>
              <w:rPr>
                <w:rFonts w:eastAsia="Verdana" w:cs="Verdana"/>
              </w:rPr>
            </w:pPr>
            <w:r>
              <w:t>3.2</w:t>
            </w: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Finanzerträge</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w:t>
            </w:r>
          </w:p>
        </w:tc>
      </w:tr>
      <w:tr w:rsidR="001609E3">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Erträge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62</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42</w:t>
            </w:r>
          </w:p>
        </w:tc>
      </w:tr>
      <w:tr w:rsidR="001609E3">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66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50</w:t>
            </w:r>
          </w:p>
        </w:tc>
      </w:tr>
      <w:tr w:rsidR="001609E3">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insgesamt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73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140</w:t>
            </w:r>
          </w:p>
        </w:tc>
      </w:tr>
      <w:tr w:rsidR="001609E3">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AUFWENDUNGEN</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Hilfsinstrumente</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(2 970)</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(3 059)</w:t>
            </w: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Kofinanzierungsaufwendungen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(69)</w:t>
            </w: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Finanzierungskosten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3.6</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r>
      <w:tr w:rsidR="001609E3">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Aufwendungen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3.7</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(162)</w:t>
            </w:r>
          </w:p>
        </w:tc>
      </w:tr>
      <w:tr w:rsidR="001609E3">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Aufwendungen insgesamt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(3 146)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(3 291)</w:t>
            </w:r>
          </w:p>
        </w:tc>
      </w:tr>
      <w:tr w:rsidR="001609E3">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WIRTSCHAFTLICHES ERGEBNIS DES HAUSHALTSJAHRES</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(3 073)</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(3 152)</w:t>
            </w:r>
          </w:p>
        </w:tc>
      </w:tr>
    </w:tbl>
    <w:p w:rsidR="001609E3" w:rsidRDefault="00E45B63">
      <w:pPr>
        <w:pStyle w:val="Textstand-alone"/>
        <w:sectPr w:rsidR="001609E3">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t xml:space="preserve"> </w:t>
      </w:r>
      <w:bookmarkEnd w:id="159"/>
    </w:p>
    <w:p w:rsidR="001609E3" w:rsidRDefault="00E45B63">
      <w:pPr>
        <w:pStyle w:val="HEADERTITLE1"/>
      </w:pPr>
      <w:bookmarkStart w:id="161" w:name="_Toc484164231"/>
      <w:bookmarkStart w:id="162" w:name="_Toc491767263"/>
      <w:bookmarkStart w:id="163" w:name="_DMBM_9500"/>
      <w:r>
        <w:t>KAPITALFLUSSRECHNUNG DES EEF</w:t>
      </w:r>
      <w:bookmarkEnd w:id="161"/>
      <w:bookmarkEnd w:id="16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1020"/>
        <w:gridCol w:w="1807"/>
        <w:gridCol w:w="1809"/>
      </w:tblGrid>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164" w:name="DOC_TBL00003_1_1"/>
            <w:bookmarkEnd w:id="164"/>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(3 073)</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(3 152)</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Operative Tätigkeiten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Kapitalzunahme — Beiträge</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3 450</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3 200</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von Beiträgen zum Treuhandfonds</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(64)</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Vorfinanzierungen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(120)</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214</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(Zunahme)/Abnahme bei Forderungen mit Leistungsaustausch und </w:t>
            </w:r>
            <w:r>
              <w:br/>
              <w:t>einzuziehenden Beträgen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39</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(87)</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Rückstellungen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Finanzverbindlichkeiten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(24)</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Zunahme/(Abnahme) bei </w:t>
            </w:r>
            <w:r>
              <w:t>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(179)</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antizipativer und transitorischer Passiva</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(80)</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131</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NETTOCASHFLOW</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177</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113</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Nettozunahme/(-abnahme) der Zahlungsmittel und Zahlungsmitteläquivalente</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177</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113</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Zahlungsmittel und </w:t>
            </w:r>
            <w:r>
              <w:t>Zahlungsmitteläquivalente zum Jahresbeginn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504</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391</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Zahlungsmittel und Zahlungsmitteläquivalente zum Jahresende</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680</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504</w:t>
            </w:r>
          </w:p>
        </w:tc>
      </w:tr>
      <w:bookmarkEnd w:id="163"/>
    </w:tbl>
    <w:p w:rsidR="001609E3" w:rsidRDefault="001609E3">
      <w:pPr>
        <w:pStyle w:val="TOPHEADERNOTE"/>
        <w:rPr>
          <w:noProof/>
        </w:rPr>
        <w:sectPr w:rsidR="001609E3">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rsidR="001609E3" w:rsidRDefault="00E45B63">
      <w:pPr>
        <w:pStyle w:val="HEADERTITLE1"/>
      </w:pPr>
      <w:bookmarkStart w:id="165" w:name="_Toc484164232"/>
      <w:bookmarkStart w:id="166" w:name="_Toc491767264"/>
      <w:bookmarkStart w:id="167" w:name="_DMBM_9450"/>
      <w:r>
        <w:t>TABELLE DER VERÄNDERUNGEN DES NETTOVERMÖGENS DES EEF</w:t>
      </w:r>
      <w:bookmarkEnd w:id="165"/>
      <w:bookmarkEnd w:id="166"/>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rsidR="001609E3">
        <w:tc>
          <w:tcPr>
            <w:tcW w:w="3652"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168" w:name="DOC_TBL00004_1_1"/>
            <w:bookmarkEnd w:id="168"/>
          </w:p>
        </w:tc>
        <w:tc>
          <w:tcPr>
            <w:tcW w:w="170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2055"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2056"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Times New Roman"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Fonds</w:t>
            </w:r>
            <w:r>
              <w:softHyphen/>
              <w:t>kapital – aktive EEF (A)</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Nicht abgerufene Fondsmittel - aktive EEF (B)</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Abgerufenes Fondskapital - aktive EEF (C) = (A)-(B)</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Kumulative Rücklagen</w:t>
            </w:r>
          </w:p>
        </w:tc>
        <w:tc>
          <w:tcPr>
            <w:tcW w:w="205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 xml:space="preserve">Übertragung von abgerufenem </w:t>
            </w:r>
            <w:r>
              <w:t>Fondskapital aus abgeschlos</w:t>
            </w:r>
            <w:r>
              <w:softHyphen/>
              <w:t>senen EEF (E)</w:t>
            </w:r>
          </w:p>
        </w:tc>
        <w:tc>
          <w:tcPr>
            <w:tcW w:w="205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Netto</w:t>
            </w:r>
            <w:r>
              <w:softHyphen/>
              <w:t>vermögen insgesamt (C)+(D)+(E)</w:t>
            </w:r>
          </w:p>
        </w:tc>
      </w:tr>
      <w:tr w:rsidR="001609E3">
        <w:tc>
          <w:tcPr>
            <w:tcW w:w="36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BoldLeft"/>
              <w:rPr>
                <w:rFonts w:eastAsia="Times New Roman" w:cs="Verdana"/>
              </w:rPr>
            </w:pPr>
            <w:r>
              <w:t>SALDO ZUM 31.12.2014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10 018</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35 673</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(36 994)</w:t>
            </w:r>
          </w:p>
        </w:tc>
        <w:tc>
          <w:tcPr>
            <w:tcW w:w="205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932</w:t>
            </w:r>
          </w:p>
        </w:tc>
      </w:tr>
      <w:tr w:rsidR="001609E3">
        <w:tc>
          <w:tcPr>
            <w:tcW w:w="3652"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Kapitalzunahme  — Beiträge</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(4 795)</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4 795</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205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205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4 795</w:t>
            </w:r>
          </w:p>
        </w:tc>
      </w:tr>
      <w:tr w:rsidR="001609E3">
        <w:tc>
          <w:tcPr>
            <w:tcW w:w="3652"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 xml:space="preserve">Kapitalabnahme — im Rahmen der Überbrückungsfazilität </w:t>
            </w:r>
            <w:r>
              <w:t>gebundene Mittel</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(1 595)</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(1 595)</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(1 595)</w:t>
            </w:r>
          </w:p>
        </w:tc>
      </w:tr>
      <w:tr w:rsidR="001609E3">
        <w:tc>
          <w:tcPr>
            <w:tcW w:w="3652"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Ansatz des Kapitals des 11. EEF</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29 367</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29 367</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r>
      <w:tr w:rsidR="001609E3">
        <w:tc>
          <w:tcPr>
            <w:tcW w:w="3652"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Wirtschaftliches Ergebnis des Haushaltsjahres</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(3 152)</w:t>
            </w:r>
          </w:p>
        </w:tc>
        <w:tc>
          <w:tcPr>
            <w:tcW w:w="205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205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(3 152)</w:t>
            </w:r>
          </w:p>
        </w:tc>
      </w:tr>
      <w:tr w:rsidR="001609E3">
        <w:tc>
          <w:tcPr>
            <w:tcW w:w="36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BoldLeft"/>
              <w:rPr>
                <w:rFonts w:eastAsia="Times New Roman" w:cs="Verdana"/>
              </w:rPr>
            </w:pPr>
            <w:r>
              <w:t>SALDO ZUM 31.12.2015</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34 590</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38 873</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(40 146)</w:t>
            </w:r>
          </w:p>
        </w:tc>
        <w:tc>
          <w:tcPr>
            <w:tcW w:w="205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980</w:t>
            </w:r>
          </w:p>
        </w:tc>
      </w:tr>
      <w:tr w:rsidR="001609E3">
        <w:tc>
          <w:tcPr>
            <w:tcW w:w="3652"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 xml:space="preserve">Kapitalzunahme — </w:t>
            </w:r>
            <w:r>
              <w:t>Beiträge</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(3 450)</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3 450</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3 450</w:t>
            </w:r>
          </w:p>
        </w:tc>
      </w:tr>
      <w:tr w:rsidR="001609E3">
        <w:tc>
          <w:tcPr>
            <w:tcW w:w="3652"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Wirtschaftliches Ergebnis des Haushaltsjahres</w:t>
            </w: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(3 073)</w:t>
            </w:r>
          </w:p>
        </w:tc>
        <w:tc>
          <w:tcPr>
            <w:tcW w:w="205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(3 073)</w:t>
            </w:r>
          </w:p>
        </w:tc>
      </w:tr>
      <w:tr w:rsidR="001609E3">
        <w:tc>
          <w:tcPr>
            <w:tcW w:w="36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BoldLeft"/>
              <w:rPr>
                <w:rFonts w:eastAsia="Times New Roman" w:cs="Verdana"/>
              </w:rPr>
            </w:pPr>
            <w:r>
              <w:t>SALDO ZUM 31.12.2016</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31 140</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42 323</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1 357</w:t>
            </w:r>
          </w:p>
        </w:tc>
      </w:tr>
    </w:tbl>
    <w:p w:rsidR="001609E3" w:rsidRDefault="00E45B63">
      <w:pPr>
        <w:pStyle w:val="Textstand-alone"/>
        <w:sectPr w:rsidR="001609E3">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8" w:footer="708" w:gutter="0"/>
          <w:cols w:space="708"/>
          <w:docGrid w:linePitch="360"/>
        </w:sectPr>
      </w:pPr>
      <w:r>
        <w:t xml:space="preserve"> </w:t>
      </w:r>
      <w:bookmarkEnd w:id="167"/>
    </w:p>
    <w:p w:rsidR="001609E3" w:rsidRDefault="00E45B63">
      <w:pPr>
        <w:pStyle w:val="Textstand-alone"/>
        <w:sectPr w:rsidR="001609E3">
          <w:headerReference w:type="even" r:id="rId83"/>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8" w:footer="708" w:gutter="0"/>
          <w:cols w:space="708"/>
          <w:docGrid w:linePitch="360"/>
        </w:sectPr>
      </w:pPr>
      <w:bookmarkStart w:id="169" w:name="_DMBM_9505"/>
      <w:r>
        <w:t xml:space="preserve"> </w:t>
      </w:r>
      <w:bookmarkEnd w:id="169"/>
    </w:p>
    <w:p w:rsidR="001609E3" w:rsidRDefault="00E45B63">
      <w:pPr>
        <w:pStyle w:val="HEADERTITLE1"/>
      </w:pPr>
      <w:bookmarkStart w:id="170" w:name="_Toc484164233"/>
      <w:bookmarkStart w:id="171" w:name="_Toc491767265"/>
      <w:bookmarkStart w:id="172" w:name="_DMBM_9525"/>
      <w:r>
        <w:t>VERMÖGENSÜBERSICHT NACH EEF</w:t>
      </w:r>
      <w:bookmarkEnd w:id="170"/>
      <w:bookmarkEnd w:id="171"/>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1134"/>
        <w:gridCol w:w="993"/>
        <w:gridCol w:w="1275"/>
        <w:gridCol w:w="1276"/>
        <w:gridCol w:w="284"/>
        <w:gridCol w:w="1275"/>
        <w:gridCol w:w="1418"/>
        <w:gridCol w:w="992"/>
        <w:gridCol w:w="1418"/>
      </w:tblGrid>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173" w:name="DOC_TBL00005_1_1"/>
            <w:bookmarkEnd w:id="173"/>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i w:val="0"/>
              </w:rPr>
            </w:pPr>
            <w:r>
              <w:rPr>
                <w:i w:val="0"/>
              </w:rPr>
              <w:t xml:space="preserve"> in Mio. EUR</w:t>
            </w:r>
          </w:p>
        </w:tc>
      </w:tr>
      <w:tr w:rsidR="001609E3">
        <w:trPr>
          <w:trHeight w:val="437"/>
        </w:trPr>
        <w:tc>
          <w:tcPr>
            <w:tcW w:w="2518"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31.12.2016</w:t>
            </w:r>
          </w:p>
        </w:tc>
        <w:tc>
          <w:tcPr>
            <w:tcW w:w="99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284"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31.12.2015</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r>
      <w:tr w:rsidR="001609E3">
        <w:trPr>
          <w:trHeight w:val="437"/>
        </w:trPr>
        <w:tc>
          <w:tcPr>
            <w:tcW w:w="2518"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Erläu</w:t>
            </w:r>
            <w:r>
              <w:rPr>
                <w:noProof/>
              </w:rPr>
              <w:softHyphen/>
              <w:t>terung</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8. EEF</w:t>
            </w:r>
          </w:p>
        </w:tc>
        <w:tc>
          <w:tcPr>
            <w:tcW w:w="99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9. EEF</w:t>
            </w:r>
          </w:p>
        </w:tc>
        <w:tc>
          <w:tcPr>
            <w:tcW w:w="127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10. EEF</w:t>
            </w:r>
          </w:p>
        </w:tc>
        <w:tc>
          <w:tcPr>
            <w:tcW w:w="127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11. EEF</w:t>
            </w:r>
          </w:p>
        </w:tc>
        <w:tc>
          <w:tcPr>
            <w:tcW w:w="284"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Right01"/>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8. EEF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9.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10. EEF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Right01"/>
              <w:rPr>
                <w:rFonts w:eastAsia="Verdana" w:cs="Verdana"/>
                <w:noProof/>
              </w:rPr>
            </w:pPr>
            <w:r>
              <w:rPr>
                <w:noProof/>
              </w:rPr>
              <w:t>11. EEF</w:t>
            </w: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LANGFRISTIGE VERMÖGENSWERTE</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Vorfinanzierungen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2.1</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32</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242</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135</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368</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84</w:t>
            </w:r>
          </w:p>
        </w:tc>
      </w:tr>
      <w:tr w:rsidR="001609E3">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Beiträge zum Treuhandfonds</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2.2</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98</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34</w:t>
            </w:r>
          </w:p>
        </w:tc>
      </w:tr>
      <w:tr w:rsidR="001609E3">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32</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242</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232</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63</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368</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118</w:t>
            </w: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 xml:space="preserve">KURZFRISTIGE </w:t>
            </w:r>
            <w:r>
              <w:t>VERMÖGENSWERTE</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Vorfinanzierungen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2.1</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50</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909</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412</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67</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195</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Forderungen mit Leistungsaustausch und einzuziehende Beträge ohne Leistungsaustausch</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2.3</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71</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103</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Verbindungskonten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2.3</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196</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424</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3 424</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214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657</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1 190</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r>
      <w:tr w:rsidR="001609E3">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Zahlungsmittel und Zahlungsmitteläquivalente</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2.4</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680</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504</w:t>
            </w:r>
          </w:p>
        </w:tc>
      </w:tr>
      <w:tr w:rsidR="001609E3">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198</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544</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4 391</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1 094</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218</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790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2 172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701</w:t>
            </w: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GESAMTVERMÖGEN</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198</w:t>
            </w: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577</w:t>
            </w: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4 633</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1 327</w:t>
            </w: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218</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853</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2 541</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819</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7pItalicLeft"/>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LANGFRISTIGE VERBINDLICHKEITEN</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Rückstellungen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2.5</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w:t>
            </w:r>
          </w:p>
        </w:tc>
      </w:tr>
      <w:tr w:rsidR="001609E3">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Finanzielle Verbindlichkeiten</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2.6</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(10)</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r>
      <w:tr w:rsidR="001609E3">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(6)</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(4)</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(10)</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(4)</w:t>
            </w: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KURZFRISTIGE VERBINDLICHKEITEN</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Verbindlichkeiten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2.7</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(438)</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(99)</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(14)</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(492)</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(14)</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Verbindungskonten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2.3</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(4 043)</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(2 062)</w:t>
            </w:r>
          </w:p>
        </w:tc>
      </w:tr>
      <w:tr w:rsidR="001609E3">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Antizipative und transitorische Passiva</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2.8</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(93)</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(567)</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(115)</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(114)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(682)</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(57)</w:t>
            </w:r>
          </w:p>
        </w:tc>
      </w:tr>
      <w:tr w:rsidR="001609E3">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(1)</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(104)</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(1 005)</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(4 257)</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(3)</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 xml:space="preserve"> (128)</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(1 174)</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7pBoldRight025"/>
              <w:rPr>
                <w:rFonts w:eastAsia="Verdana" w:cs="Verdana"/>
              </w:rPr>
            </w:pPr>
            <w:r>
              <w:t>(2 132)</w:t>
            </w: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GESAMTVERBINDLICHKEITEN</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(1)</w:t>
            </w: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(104)</w:t>
            </w: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(1 011)</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(4 261)</w:t>
            </w: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(3)</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(128)</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(1 184)</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(2 136)</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7pItalicLeft"/>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NETTOVERMÖGEN</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197</w:t>
            </w: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472</w:t>
            </w: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3 622</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(2 934)</w:t>
            </w: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214</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726</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1 357</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(1 317)</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7pItalicLeft"/>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r>
      <w:tr w:rsidR="001609E3">
        <w:tc>
          <w:tcPr>
            <w:tcW w:w="25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MITTEL UND RÜCKLAGEN</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Abgerufenes Fondskapitel - aktive EEF</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2.9</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12 164</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10 973</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19 187</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12 164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10 973</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15 737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Übertragung von abgerufenem Fondskapital aus abgeschlossenen EEF</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2.9</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627</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1 625</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627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1 625</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Übertragung von abgerufenem Fondskapital zwischen aktiven EEF</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2.9</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(2 496)</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2 214</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247</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35</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(2 476)</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2 376</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35</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65</w:t>
            </w:r>
          </w:p>
        </w:tc>
      </w:tr>
      <w:tr w:rsidR="001609E3">
        <w:tc>
          <w:tcPr>
            <w:tcW w:w="25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Ergebnisvortrag aus Vorjahren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(10 100)</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(14 248)</w:t>
            </w: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(14 415)</w:t>
            </w: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(1 382)</w:t>
            </w:r>
          </w:p>
        </w:tc>
        <w:tc>
          <w:tcPr>
            <w:tcW w:w="28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(10 107)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(14 223)</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(12 183)</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(481)</w:t>
            </w:r>
          </w:p>
        </w:tc>
      </w:tr>
      <w:tr w:rsidR="001609E3">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Wirtschaftliches Ergebnis des Haushaltsjahres</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(91)</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(1 397)</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(1 587)</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(2 232)</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(901)</w:t>
            </w:r>
          </w:p>
        </w:tc>
      </w:tr>
      <w:tr w:rsidR="001609E3">
        <w:tc>
          <w:tcPr>
            <w:tcW w:w="251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7pBoldLeft"/>
              <w:rPr>
                <w:rFonts w:eastAsia="Verdana" w:cs="Verdana"/>
              </w:rPr>
            </w:pPr>
            <w:r>
              <w:t>NETTOVERMÖGEN</w:t>
            </w:r>
          </w:p>
        </w:tc>
        <w:tc>
          <w:tcPr>
            <w:tcW w:w="99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134"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197</w:t>
            </w:r>
          </w:p>
        </w:tc>
        <w:tc>
          <w:tcPr>
            <w:tcW w:w="99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472</w:t>
            </w:r>
          </w:p>
        </w:tc>
        <w:tc>
          <w:tcPr>
            <w:tcW w:w="1275"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3 622</w:t>
            </w: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(2 934)</w:t>
            </w:r>
          </w:p>
        </w:tc>
        <w:tc>
          <w:tcPr>
            <w:tcW w:w="284"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7pBoldRight025"/>
              <w:rPr>
                <w:rFonts w:eastAsia="Verdana" w:cs="Verdana"/>
              </w:rPr>
            </w:pPr>
          </w:p>
        </w:tc>
        <w:tc>
          <w:tcPr>
            <w:tcW w:w="1275"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214</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 xml:space="preserve"> 726</w:t>
            </w:r>
          </w:p>
        </w:tc>
        <w:tc>
          <w:tcPr>
            <w:tcW w:w="99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1 357</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7pBoldRight025"/>
              <w:rPr>
                <w:rFonts w:eastAsia="Verdana" w:cs="Verdana"/>
              </w:rPr>
            </w:pPr>
            <w:r>
              <w:t>(1 317)</w:t>
            </w:r>
          </w:p>
        </w:tc>
      </w:tr>
    </w:tbl>
    <w:p w:rsidR="001609E3" w:rsidRDefault="00E45B63">
      <w:pPr>
        <w:pStyle w:val="Textstand-alone"/>
        <w:sectPr w:rsidR="001609E3">
          <w:headerReference w:type="even" r:id="rId89"/>
          <w:headerReference w:type="default" r:id="rId90"/>
          <w:footerReference w:type="even" r:id="rId91"/>
          <w:footerReference w:type="default" r:id="rId92"/>
          <w:headerReference w:type="first" r:id="rId93"/>
          <w:footerReference w:type="first" r:id="rId94"/>
          <w:type w:val="continuous"/>
          <w:pgSz w:w="16838" w:h="11906" w:orient="landscape"/>
          <w:pgMar w:top="1134" w:right="1134" w:bottom="1134" w:left="1134" w:header="708" w:footer="708" w:gutter="0"/>
          <w:cols w:space="708"/>
          <w:docGrid w:linePitch="360"/>
        </w:sectPr>
      </w:pPr>
      <w:r>
        <w:t xml:space="preserve"> </w:t>
      </w:r>
      <w:bookmarkEnd w:id="172"/>
    </w:p>
    <w:p w:rsidR="001609E3" w:rsidRDefault="00E45B63">
      <w:pPr>
        <w:pStyle w:val="HEADERTITLE1"/>
      </w:pPr>
      <w:bookmarkStart w:id="174" w:name="_Toc484164234"/>
      <w:bookmarkStart w:id="175" w:name="_Toc491767266"/>
      <w:bookmarkStart w:id="176" w:name="_DMBM_9470"/>
      <w:r>
        <w:t>ERGEBNISRECHNUNG NACH EEF</w:t>
      </w:r>
      <w:bookmarkEnd w:id="174"/>
      <w:bookmarkEnd w:id="175"/>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850"/>
        <w:gridCol w:w="1276"/>
        <w:gridCol w:w="1230"/>
        <w:gridCol w:w="1191"/>
        <w:gridCol w:w="1191"/>
        <w:gridCol w:w="397"/>
        <w:gridCol w:w="1378"/>
        <w:gridCol w:w="1275"/>
        <w:gridCol w:w="1276"/>
        <w:gridCol w:w="1276"/>
      </w:tblGrid>
      <w:tr w:rsidR="001609E3">
        <w:trPr>
          <w:trHeight w:val="234"/>
        </w:trPr>
        <w:tc>
          <w:tcPr>
            <w:tcW w:w="3227" w:type="dxa"/>
            <w:tcBorders>
              <w:top w:val="nil"/>
              <w:left w:val="nil"/>
              <w:bottom w:val="nil"/>
              <w:right w:val="nil"/>
            </w:tcBorders>
            <w:tcMar>
              <w:top w:w="0" w:type="dxa"/>
              <w:left w:w="108" w:type="dxa"/>
              <w:bottom w:w="0" w:type="dxa"/>
              <w:right w:w="108" w:type="dxa"/>
            </w:tcMar>
          </w:tcPr>
          <w:p w:rsidR="001609E3" w:rsidRDefault="001609E3">
            <w:pPr>
              <w:pStyle w:val="Text9pItalicLeft"/>
              <w:rPr>
                <w:rFonts w:eastAsia="Times New Roman" w:cs="Verdana"/>
              </w:rPr>
            </w:pPr>
            <w:bookmarkStart w:id="177" w:name="DOC_TBL00006_1_1"/>
            <w:bookmarkEnd w:id="177"/>
          </w:p>
        </w:tc>
        <w:tc>
          <w:tcPr>
            <w:tcW w:w="850"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397"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1378"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1609E3" w:rsidRDefault="001609E3">
            <w:pPr>
              <w:pStyle w:val="Text9pItalicLeft025"/>
              <w:ind w:left="0"/>
              <w:rPr>
                <w:rFonts w:eastAsia="Times New Roman" w:cs="Verdana"/>
                <w:i w:val="0"/>
              </w:rPr>
            </w:pPr>
          </w:p>
        </w:tc>
        <w:tc>
          <w:tcPr>
            <w:tcW w:w="2552" w:type="dxa"/>
            <w:gridSpan w:val="2"/>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rPr>
          <w:trHeight w:val="312"/>
        </w:trPr>
        <w:tc>
          <w:tcPr>
            <w:tcW w:w="3227"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1609E3">
            <w:pPr>
              <w:pStyle w:val="Heading9pNormalCentered"/>
              <w:rPr>
                <w:rFonts w:cs="Verdana"/>
                <w:noProof/>
              </w:rPr>
            </w:pPr>
          </w:p>
        </w:tc>
        <w:tc>
          <w:tcPr>
            <w:tcW w:w="850"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1609E3">
            <w:pPr>
              <w:pStyle w:val="Heading9pNormalCentered"/>
              <w:rPr>
                <w:rFonts w:cs="Verdana"/>
                <w:noProof/>
              </w:rPr>
            </w:pPr>
          </w:p>
        </w:tc>
        <w:tc>
          <w:tcPr>
            <w:tcW w:w="4888" w:type="dxa"/>
            <w:gridSpan w:val="4"/>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10pNormalCentered"/>
              <w:rPr>
                <w:rFonts w:eastAsia="Times New Roman" w:cs="Verdana"/>
              </w:rPr>
            </w:pPr>
            <w:r>
              <w:t>2016</w:t>
            </w:r>
          </w:p>
        </w:tc>
        <w:tc>
          <w:tcPr>
            <w:tcW w:w="39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Centered"/>
              <w:rPr>
                <w:rFonts w:eastAsia="Times New Roman" w:cs="Verdana"/>
                <w:color w:val="auto"/>
              </w:rPr>
            </w:pPr>
          </w:p>
        </w:tc>
        <w:tc>
          <w:tcPr>
            <w:tcW w:w="5205" w:type="dxa"/>
            <w:gridSpan w:val="4"/>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10pNormalCentered"/>
              <w:rPr>
                <w:rFonts w:eastAsia="Times New Roman" w:cs="Verdana"/>
              </w:rPr>
            </w:pPr>
            <w:r>
              <w:t>2015</w:t>
            </w:r>
          </w:p>
        </w:tc>
      </w:tr>
      <w:tr w:rsidR="001609E3">
        <w:trPr>
          <w:trHeight w:val="471"/>
        </w:trPr>
        <w:tc>
          <w:tcPr>
            <w:tcW w:w="3227"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1609E3">
            <w:pPr>
              <w:pStyle w:val="Heading9pNormalCentered"/>
              <w:rPr>
                <w:rFonts w:cs="Verdana"/>
                <w:noProof/>
              </w:rPr>
            </w:pPr>
          </w:p>
        </w:tc>
        <w:tc>
          <w:tcPr>
            <w:tcW w:w="850"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Erläu</w:t>
            </w:r>
            <w:r>
              <w:rPr>
                <w:noProof/>
              </w:rPr>
              <w:softHyphen/>
              <w:t>terung</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8. EEF</w:t>
            </w:r>
          </w:p>
        </w:tc>
        <w:tc>
          <w:tcPr>
            <w:tcW w:w="1230"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9. EEF</w:t>
            </w:r>
          </w:p>
        </w:tc>
        <w:tc>
          <w:tcPr>
            <w:tcW w:w="1191"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10. EEF</w:t>
            </w:r>
          </w:p>
        </w:tc>
        <w:tc>
          <w:tcPr>
            <w:tcW w:w="1191"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11. EEF</w:t>
            </w:r>
          </w:p>
        </w:tc>
        <w:tc>
          <w:tcPr>
            <w:tcW w:w="397" w:type="dxa"/>
            <w:tcBorders>
              <w:top w:val="nil"/>
              <w:left w:val="nil"/>
              <w:bottom w:val="nil"/>
              <w:right w:val="single" w:sz="4" w:space="0" w:color="016794"/>
            </w:tcBorders>
            <w:shd w:val="clear" w:color="auto" w:fill="016794"/>
            <w:tcMar>
              <w:top w:w="0" w:type="dxa"/>
              <w:left w:w="108" w:type="dxa"/>
              <w:bottom w:w="0" w:type="dxa"/>
              <w:right w:w="108" w:type="dxa"/>
            </w:tcMar>
          </w:tcPr>
          <w:p w:rsidR="001609E3" w:rsidRDefault="001609E3">
            <w:pPr>
              <w:pStyle w:val="Heading9pNormalCentered"/>
              <w:rPr>
                <w:rFonts w:cs="Verdana"/>
                <w:noProof/>
                <w:color w:val="auto"/>
              </w:rPr>
            </w:pPr>
          </w:p>
        </w:tc>
        <w:tc>
          <w:tcPr>
            <w:tcW w:w="1378" w:type="dxa"/>
            <w:tcBorders>
              <w:top w:val="nil"/>
              <w:left w:val="single" w:sz="4" w:space="0" w:color="016794"/>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8. EEF</w:t>
            </w:r>
          </w:p>
        </w:tc>
        <w:tc>
          <w:tcPr>
            <w:tcW w:w="1275"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10. EEF</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E45B63">
            <w:pPr>
              <w:pStyle w:val="Heading9pNormalCentered"/>
              <w:rPr>
                <w:rFonts w:cs="Verdana"/>
                <w:noProof/>
              </w:rPr>
            </w:pPr>
            <w:r>
              <w:rPr>
                <w:noProof/>
              </w:rPr>
              <w:t>11. EEF</w:t>
            </w:r>
          </w:p>
        </w:tc>
      </w:tr>
      <w:tr w:rsidR="001609E3">
        <w:trPr>
          <w:trHeight w:val="220"/>
        </w:trPr>
        <w:tc>
          <w:tcPr>
            <w:tcW w:w="322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p>
        </w:tc>
        <w:tc>
          <w:tcPr>
            <w:tcW w:w="85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397" w:type="dxa"/>
            <w:tcBorders>
              <w:top w:val="nil"/>
              <w:left w:val="nil"/>
              <w:bottom w:val="nil"/>
              <w:right w:val="single" w:sz="4" w:space="0" w:color="016794"/>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r>
      <w:tr w:rsidR="001609E3">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EINNAHMEN</w:t>
            </w:r>
          </w:p>
        </w:tc>
        <w:tc>
          <w:tcPr>
            <w:tcW w:w="850"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Italic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r>
      <w:tr w:rsidR="001609E3">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Einnahmen aus Transaktionen ohne Leistungsaustausch</w:t>
            </w:r>
          </w:p>
        </w:tc>
        <w:tc>
          <w:tcPr>
            <w:tcW w:w="85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Times New Roman" w:cs="Verdana"/>
              </w:rPr>
            </w:pPr>
            <w:r>
              <w:t>3.1</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r>
      <w:tr w:rsidR="001609E3">
        <w:trPr>
          <w:trHeight w:val="234"/>
        </w:trPr>
        <w:tc>
          <w:tcPr>
            <w:tcW w:w="3227" w:type="dxa"/>
            <w:tcBorders>
              <w:top w:val="nil"/>
              <w:left w:val="nil"/>
              <w:bottom w:val="single" w:sz="4" w:space="0" w:color="016794"/>
              <w:right w:val="nil"/>
            </w:tcBorders>
            <w:tcMar>
              <w:top w:w="0" w:type="dxa"/>
              <w:left w:w="108" w:type="dxa"/>
              <w:bottom w:w="0" w:type="dxa"/>
              <w:right w:w="108" w:type="dxa"/>
            </w:tcMar>
          </w:tcPr>
          <w:p w:rsidR="001609E3" w:rsidRDefault="00E45B63">
            <w:pPr>
              <w:pStyle w:val="Text9pItalicLeft"/>
              <w:rPr>
                <w:rFonts w:eastAsia="Times New Roman" w:cs="Verdana"/>
              </w:rPr>
            </w:pPr>
            <w:r>
              <w:t>Einziehung von Aufwendungen</w:t>
            </w:r>
          </w:p>
        </w:tc>
        <w:tc>
          <w:tcPr>
            <w:tcW w:w="850" w:type="dxa"/>
            <w:tcBorders>
              <w:top w:val="nil"/>
              <w:left w:val="nil"/>
              <w:bottom w:val="single" w:sz="4" w:space="0" w:color="016794"/>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230"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5</w:t>
            </w:r>
          </w:p>
        </w:tc>
        <w:tc>
          <w:tcPr>
            <w:tcW w:w="1191"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191"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275"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10</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77</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r>
      <w:tr w:rsidR="001609E3">
        <w:trPr>
          <w:trHeight w:val="249"/>
        </w:trPr>
        <w:tc>
          <w:tcPr>
            <w:tcW w:w="3227"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1609E3">
            <w:pPr>
              <w:pStyle w:val="Text9pBoldLeft"/>
              <w:rPr>
                <w:rFonts w:eastAsia="Times New Roman"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1609E3">
            <w:pPr>
              <w:pStyle w:val="Figures9pItalicBoldRight025"/>
              <w:rPr>
                <w:rFonts w:eastAsia="Times New Roman" w:cs="Verdana"/>
              </w:rPr>
            </w:pP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1</w:t>
            </w:r>
          </w:p>
        </w:tc>
        <w:tc>
          <w:tcPr>
            <w:tcW w:w="1230"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5</w:t>
            </w:r>
          </w:p>
        </w:tc>
        <w:tc>
          <w:tcPr>
            <w:tcW w:w="1191"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191"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397" w:type="dxa"/>
            <w:tcBorders>
              <w:top w:val="single" w:sz="4" w:space="0" w:color="016794"/>
              <w:left w:val="nil"/>
              <w:bottom w:val="nil"/>
              <w:right w:val="single" w:sz="4" w:space="0" w:color="016794"/>
            </w:tcBorders>
            <w:shd w:val="clear" w:color="auto" w:fill="FFFFFF"/>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single" w:sz="4" w:space="0" w:color="016794"/>
              <w:left w:val="single" w:sz="4" w:space="0" w:color="016794"/>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1</w:t>
            </w:r>
          </w:p>
        </w:tc>
        <w:tc>
          <w:tcPr>
            <w:tcW w:w="1275"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10</w:t>
            </w: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77</w:t>
            </w: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r>
      <w:tr w:rsidR="001609E3">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Einnahmen aus Transaktionen mit Leistungsaustausch</w:t>
            </w:r>
          </w:p>
        </w:tc>
        <w:tc>
          <w:tcPr>
            <w:tcW w:w="85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Times New Roman" w:cs="Verdana"/>
              </w:rPr>
            </w:pPr>
            <w:r>
              <w:t>3.2</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r>
      <w:tr w:rsidR="001609E3">
        <w:trPr>
          <w:trHeight w:val="234"/>
        </w:trPr>
        <w:tc>
          <w:tcPr>
            <w:tcW w:w="3227"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Finanzerträge</w:t>
            </w:r>
          </w:p>
        </w:tc>
        <w:tc>
          <w:tcPr>
            <w:tcW w:w="850"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3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2</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397" w:type="dxa"/>
            <w:tcBorders>
              <w:top w:val="nil"/>
              <w:left w:val="nil"/>
              <w:bottom w:val="nil"/>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r>
      <w:tr w:rsidR="001609E3">
        <w:trPr>
          <w:trHeight w:val="234"/>
        </w:trPr>
        <w:tc>
          <w:tcPr>
            <w:tcW w:w="3227" w:type="dxa"/>
            <w:tcBorders>
              <w:top w:val="nil"/>
              <w:left w:val="nil"/>
              <w:bottom w:val="single" w:sz="4" w:space="0" w:color="016794"/>
              <w:right w:val="nil"/>
            </w:tcBorders>
            <w:tcMar>
              <w:top w:w="0" w:type="dxa"/>
              <w:left w:w="108" w:type="dxa"/>
              <w:bottom w:w="0" w:type="dxa"/>
              <w:right w:w="108" w:type="dxa"/>
            </w:tcMar>
          </w:tcPr>
          <w:p w:rsidR="001609E3" w:rsidRDefault="00E45B63">
            <w:pPr>
              <w:pStyle w:val="Text9pItalicLeft"/>
              <w:rPr>
                <w:rFonts w:eastAsia="Times New Roman" w:cs="Verdana"/>
              </w:rPr>
            </w:pPr>
            <w:r>
              <w:t>Sonstige Erträge</w:t>
            </w:r>
          </w:p>
        </w:tc>
        <w:tc>
          <w:tcPr>
            <w:tcW w:w="850" w:type="dxa"/>
            <w:tcBorders>
              <w:top w:val="nil"/>
              <w:left w:val="nil"/>
              <w:bottom w:val="single" w:sz="4" w:space="0" w:color="016794"/>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230"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17</w:t>
            </w:r>
          </w:p>
        </w:tc>
        <w:tc>
          <w:tcPr>
            <w:tcW w:w="1191"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40</w:t>
            </w:r>
          </w:p>
        </w:tc>
        <w:tc>
          <w:tcPr>
            <w:tcW w:w="1191"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275"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15</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22</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r>
      <w:tr w:rsidR="001609E3">
        <w:trPr>
          <w:trHeight w:val="249"/>
        </w:trPr>
        <w:tc>
          <w:tcPr>
            <w:tcW w:w="322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Text9pBoldLeft"/>
              <w:rPr>
                <w:rFonts w:eastAsia="Times New Roman" w:cs="Verdana"/>
              </w:rPr>
            </w:pPr>
          </w:p>
        </w:tc>
        <w:tc>
          <w:tcPr>
            <w:tcW w:w="85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Figures9pItalicBoldRight025"/>
              <w:rPr>
                <w:rFonts w:eastAsia="Times New Roman" w:cs="Verdana"/>
              </w:rPr>
            </w:pP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23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19</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43</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39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3</w:t>
            </w:r>
          </w:p>
        </w:tc>
        <w:tc>
          <w:tcPr>
            <w:tcW w:w="1275"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21</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22</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r>
      <w:tr w:rsidR="001609E3">
        <w:trPr>
          <w:trHeight w:val="249"/>
        </w:trPr>
        <w:tc>
          <w:tcPr>
            <w:tcW w:w="322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Text9pBoldLeft"/>
              <w:rPr>
                <w:rFonts w:eastAsia="Times New Roman" w:cs="Verdana"/>
              </w:rPr>
            </w:pPr>
            <w:r>
              <w:t>Einnahmen insgesamt</w:t>
            </w:r>
          </w:p>
        </w:tc>
        <w:tc>
          <w:tcPr>
            <w:tcW w:w="85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Figures9pItalicBoldRight025"/>
              <w:rPr>
                <w:rFonts w:eastAsia="Times New Roman" w:cs="Verdana"/>
              </w:rPr>
            </w:pP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3</w:t>
            </w:r>
          </w:p>
        </w:tc>
        <w:tc>
          <w:tcPr>
            <w:tcW w:w="123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23</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41</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7</w:t>
            </w:r>
          </w:p>
        </w:tc>
        <w:tc>
          <w:tcPr>
            <w:tcW w:w="39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1275"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30</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99</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6</w:t>
            </w:r>
          </w:p>
        </w:tc>
      </w:tr>
      <w:tr w:rsidR="001609E3">
        <w:trPr>
          <w:trHeight w:val="234"/>
        </w:trPr>
        <w:tc>
          <w:tcPr>
            <w:tcW w:w="3227"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AUFWENDUNGEN</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ItalicRight025"/>
              <w:rPr>
                <w:rFonts w:eastAsia="Times New Roman"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30"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19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397" w:type="dxa"/>
            <w:tcBorders>
              <w:top w:val="single" w:sz="4" w:space="0" w:color="016794"/>
              <w:left w:val="nil"/>
              <w:bottom w:val="nil"/>
              <w:right w:val="single" w:sz="4" w:space="0" w:color="016794"/>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single" w:sz="4" w:space="0" w:color="016794"/>
              <w:left w:val="single" w:sz="4" w:space="0" w:color="016794"/>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5"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r>
      <w:tr w:rsidR="001609E3">
        <w:trPr>
          <w:trHeight w:val="234"/>
        </w:trPr>
        <w:tc>
          <w:tcPr>
            <w:tcW w:w="3227"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Hilfsinstrumente</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3.3</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23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(95)</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(1 411)</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(1 465)</w:t>
            </w:r>
          </w:p>
        </w:tc>
        <w:tc>
          <w:tcPr>
            <w:tcW w:w="397" w:type="dxa"/>
            <w:tcBorders>
              <w:top w:val="nil"/>
              <w:left w:val="nil"/>
              <w:bottom w:val="nil"/>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c>
          <w:tcPr>
            <w:tcW w:w="127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(47)</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(2 197)</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(820)</w:t>
            </w:r>
          </w:p>
        </w:tc>
      </w:tr>
      <w:tr w:rsidR="001609E3">
        <w:trPr>
          <w:trHeight w:val="234"/>
        </w:trPr>
        <w:tc>
          <w:tcPr>
            <w:tcW w:w="3227"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Kofinanzierungsaufwendungen</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3.4</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23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15</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397" w:type="dxa"/>
            <w:tcBorders>
              <w:top w:val="nil"/>
              <w:left w:val="nil"/>
              <w:bottom w:val="nil"/>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(68)</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r>
      <w:tr w:rsidR="001609E3">
        <w:trPr>
          <w:trHeight w:val="234"/>
        </w:trPr>
        <w:tc>
          <w:tcPr>
            <w:tcW w:w="3227"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Finanzierungskosten</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3.6</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30"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397" w:type="dxa"/>
            <w:tcBorders>
              <w:top w:val="nil"/>
              <w:left w:val="nil"/>
              <w:bottom w:val="nil"/>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7</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w:t>
            </w:r>
          </w:p>
        </w:tc>
        <w:tc>
          <w:tcPr>
            <w:tcW w:w="127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r>
      <w:tr w:rsidR="001609E3">
        <w:trPr>
          <w:trHeight w:val="234"/>
        </w:trPr>
        <w:tc>
          <w:tcPr>
            <w:tcW w:w="3227" w:type="dxa"/>
            <w:tcBorders>
              <w:top w:val="nil"/>
              <w:left w:val="nil"/>
              <w:bottom w:val="single" w:sz="4" w:space="0" w:color="016794"/>
              <w:right w:val="nil"/>
            </w:tcBorders>
            <w:tcMar>
              <w:top w:w="0" w:type="dxa"/>
              <w:left w:w="108" w:type="dxa"/>
              <w:bottom w:w="0" w:type="dxa"/>
              <w:right w:w="108" w:type="dxa"/>
            </w:tcMar>
          </w:tcPr>
          <w:p w:rsidR="001609E3" w:rsidRDefault="00E45B63">
            <w:pPr>
              <w:pStyle w:val="Text9pItalicLeft"/>
              <w:rPr>
                <w:rFonts w:eastAsia="Times New Roman" w:cs="Verdana"/>
              </w:rPr>
            </w:pPr>
            <w:r>
              <w:t>Sonstige Aufwendungen</w:t>
            </w:r>
          </w:p>
        </w:tc>
        <w:tc>
          <w:tcPr>
            <w:tcW w:w="850"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3.7</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230"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(19)</w:t>
            </w:r>
          </w:p>
        </w:tc>
        <w:tc>
          <w:tcPr>
            <w:tcW w:w="1191"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(46)</w:t>
            </w:r>
          </w:p>
        </w:tc>
        <w:tc>
          <w:tcPr>
            <w:tcW w:w="1191"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(129)</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rsidR="001609E3" w:rsidRDefault="001609E3">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275"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(15)</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(58)</w:t>
            </w:r>
          </w:p>
        </w:tc>
        <w:tc>
          <w:tcPr>
            <w:tcW w:w="1276" w:type="dxa"/>
            <w:tcBorders>
              <w:top w:val="nil"/>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(86)</w:t>
            </w:r>
          </w:p>
        </w:tc>
      </w:tr>
      <w:tr w:rsidR="001609E3">
        <w:trPr>
          <w:trHeight w:val="249"/>
        </w:trPr>
        <w:tc>
          <w:tcPr>
            <w:tcW w:w="322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Text9pBoldLeft"/>
              <w:rPr>
                <w:rFonts w:eastAsia="Times New Roman" w:cs="Verdana"/>
              </w:rPr>
            </w:pPr>
            <w:r>
              <w:t>Aufwendungen insgesamt</w:t>
            </w:r>
          </w:p>
        </w:tc>
        <w:tc>
          <w:tcPr>
            <w:tcW w:w="85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Figures9pItalicBoldRight025"/>
              <w:rPr>
                <w:rFonts w:eastAsia="Times New Roman" w:cs="Verdana"/>
              </w:rPr>
            </w:pP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(1)</w:t>
            </w:r>
          </w:p>
        </w:tc>
        <w:tc>
          <w:tcPr>
            <w:tcW w:w="123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(114)</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(1 437)</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(1 594)</w:t>
            </w:r>
          </w:p>
        </w:tc>
        <w:tc>
          <w:tcPr>
            <w:tcW w:w="39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275"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(56)</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(2 331)</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9pBoldRight025"/>
              <w:rPr>
                <w:rFonts w:eastAsia="Times New Roman" w:cs="Verdana"/>
              </w:rPr>
            </w:pPr>
            <w:r>
              <w:t xml:space="preserve"> (907)</w:t>
            </w:r>
          </w:p>
        </w:tc>
      </w:tr>
      <w:tr w:rsidR="001609E3">
        <w:trPr>
          <w:trHeight w:val="220"/>
        </w:trPr>
        <w:tc>
          <w:tcPr>
            <w:tcW w:w="3227"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p>
        </w:tc>
        <w:tc>
          <w:tcPr>
            <w:tcW w:w="850"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30"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397" w:type="dxa"/>
            <w:tcBorders>
              <w:top w:val="single" w:sz="4" w:space="0" w:color="016794"/>
              <w:left w:val="nil"/>
              <w:bottom w:val="nil"/>
              <w:right w:val="single" w:sz="4" w:space="0" w:color="016794"/>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378" w:type="dxa"/>
            <w:tcBorders>
              <w:top w:val="single" w:sz="4" w:space="0" w:color="016794"/>
              <w:left w:val="single" w:sz="4" w:space="0" w:color="016794"/>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5"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r>
      <w:tr w:rsidR="001609E3">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WIRTSCHAFTLICHES ERGEBNIS DES HAUSHALTSJAHRES</w:t>
            </w:r>
          </w:p>
        </w:tc>
        <w:tc>
          <w:tcPr>
            <w:tcW w:w="850"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b w:val="0"/>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23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(91)</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(1 397)</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(1 587)</w:t>
            </w: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6</w:t>
            </w:r>
          </w:p>
        </w:tc>
        <w:tc>
          <w:tcPr>
            <w:tcW w:w="12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(25)</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(901)</w:t>
            </w:r>
          </w:p>
        </w:tc>
      </w:tr>
    </w:tbl>
    <w:p w:rsidR="001609E3" w:rsidRDefault="00E45B63">
      <w:pPr>
        <w:pStyle w:val="Textstand-alone"/>
        <w:sectPr w:rsidR="001609E3">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8" w:footer="708" w:gutter="0"/>
          <w:cols w:space="708"/>
          <w:docGrid w:linePitch="360"/>
        </w:sectPr>
      </w:pPr>
      <w:r>
        <w:t xml:space="preserve"> </w:t>
      </w:r>
      <w:bookmarkEnd w:id="176"/>
    </w:p>
    <w:p w:rsidR="001609E3" w:rsidRDefault="00E45B63">
      <w:pPr>
        <w:pStyle w:val="HEADERTITLE1"/>
      </w:pPr>
      <w:bookmarkStart w:id="178" w:name="_Toc484164235"/>
      <w:bookmarkStart w:id="179" w:name="_Toc491767267"/>
      <w:bookmarkStart w:id="180" w:name="_DMBM_9507"/>
      <w:r>
        <w:t xml:space="preserve">TABELLE DER </w:t>
      </w:r>
      <w:r>
        <w:t>VERÄNDERUNGEN DES NETTOVERMÖGENS NACH EEF</w:t>
      </w:r>
      <w:bookmarkEnd w:id="178"/>
      <w:bookmarkEnd w:id="179"/>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418"/>
        <w:gridCol w:w="142"/>
        <w:gridCol w:w="1275"/>
        <w:gridCol w:w="284"/>
        <w:gridCol w:w="1559"/>
        <w:gridCol w:w="1559"/>
        <w:gridCol w:w="1418"/>
      </w:tblGrid>
      <w:tr w:rsidR="001609E3">
        <w:trPr>
          <w:trHeight w:val="250"/>
        </w:trPr>
        <w:tc>
          <w:tcPr>
            <w:tcW w:w="407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181" w:name="DOC_TBL00007_1_1"/>
            <w:bookmarkEnd w:id="181"/>
          </w:p>
        </w:tc>
        <w:tc>
          <w:tcPr>
            <w:tcW w:w="162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7" w:type="dxa"/>
            <w:gridSpan w:val="2"/>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Left"/>
              <w:rPr>
                <w:rFonts w:eastAsia="Times New Roman" w:cs="Verdana"/>
              </w:rPr>
            </w:pPr>
            <w:r>
              <w:t>8. EEF</w:t>
            </w:r>
          </w:p>
        </w:tc>
        <w:tc>
          <w:tcPr>
            <w:tcW w:w="162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Fonds</w:t>
            </w:r>
            <w:r>
              <w:softHyphen/>
              <w:t>kapital – aktive EEF (A)</w:t>
            </w:r>
          </w:p>
        </w:tc>
        <w:tc>
          <w:tcPr>
            <w:tcW w:w="178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Nicht abgerufene Fondsmittel - aktive EEF (B)</w:t>
            </w:r>
          </w:p>
        </w:tc>
        <w:tc>
          <w:tcPr>
            <w:tcW w:w="1560" w:type="dxa"/>
            <w:gridSpan w:val="2"/>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Abgerufenes Fondskapital - aktive EEF (C) = (A)-(B)</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Kumulative Rücklagen</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 xml:space="preserve">Übertragung von abgerufenem </w:t>
            </w:r>
            <w:r>
              <w:t>Fondskapital aus abgeschlos</w:t>
            </w:r>
            <w:r>
              <w:softHyphen/>
              <w:t>senen EEF (E)</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zwischen aktiven EEF (F)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Nettover</w:t>
            </w:r>
            <w:r>
              <w:softHyphen/>
              <w:t>mögen ins</w:t>
            </w:r>
            <w:r>
              <w:softHyphen/>
              <w:t>gesamt (C)+(D)+(E)+(F)</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31.12.2014</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12 840</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12 840</w:t>
            </w:r>
          </w:p>
        </w:tc>
        <w:tc>
          <w:tcPr>
            <w:tcW w:w="1417" w:type="dxa"/>
            <w:gridSpan w:val="2"/>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(10 107)</w:t>
            </w:r>
          </w:p>
        </w:tc>
        <w:tc>
          <w:tcPr>
            <w:tcW w:w="1843" w:type="dxa"/>
            <w:gridSpan w:val="2"/>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627</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(3 147)</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214</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 xml:space="preserve">Kapitalabnahme — im Rahmen der </w:t>
            </w:r>
            <w:r>
              <w:t>Überbrückungsfazilität gebundene Mittel</w:t>
            </w:r>
          </w:p>
        </w:tc>
        <w:tc>
          <w:tcPr>
            <w:tcW w:w="162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(676)</w:t>
            </w: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(676)</w:t>
            </w:r>
          </w:p>
        </w:tc>
        <w:tc>
          <w:tcPr>
            <w:tcW w:w="1417"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(676)</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10.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11.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7"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676</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676</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w:t>
            </w: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31.12.2015</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12 164</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12 164</w:t>
            </w:r>
          </w:p>
        </w:tc>
        <w:tc>
          <w:tcPr>
            <w:tcW w:w="1417" w:type="dxa"/>
            <w:gridSpan w:val="2"/>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(10 100)</w:t>
            </w:r>
          </w:p>
        </w:tc>
        <w:tc>
          <w:tcPr>
            <w:tcW w:w="1843" w:type="dxa"/>
            <w:gridSpan w:val="2"/>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627</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(2 476)</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214</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10.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(20)</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(20)</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11.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w:t>
            </w:r>
          </w:p>
        </w:tc>
        <w:tc>
          <w:tcPr>
            <w:tcW w:w="1843"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31.12.2016</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12 164</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12 164</w:t>
            </w:r>
          </w:p>
        </w:tc>
        <w:tc>
          <w:tcPr>
            <w:tcW w:w="1417" w:type="dxa"/>
            <w:gridSpan w:val="2"/>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(10 098)</w:t>
            </w:r>
          </w:p>
        </w:tc>
        <w:tc>
          <w:tcPr>
            <w:tcW w:w="1843" w:type="dxa"/>
            <w:gridSpan w:val="2"/>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627</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(2 496)</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197</w:t>
            </w:r>
          </w:p>
        </w:tc>
      </w:tr>
    </w:tbl>
    <w:p w:rsidR="001609E3" w:rsidRDefault="001609E3">
      <w:pPr>
        <w:pStyle w:val="HEADERTABLE"/>
        <w:rPr>
          <w:noProof/>
          <w:sz w:val="4"/>
          <w:szCs w:val="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560"/>
        <w:gridCol w:w="1559"/>
        <w:gridCol w:w="1559"/>
        <w:gridCol w:w="1559"/>
        <w:gridCol w:w="1418"/>
      </w:tblGrid>
      <w:tr w:rsidR="001609E3">
        <w:trPr>
          <w:trHeight w:val="250"/>
        </w:trPr>
        <w:tc>
          <w:tcPr>
            <w:tcW w:w="407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182" w:name="DOC_TBL00008_1_1"/>
            <w:bookmarkEnd w:id="182"/>
          </w:p>
        </w:tc>
        <w:tc>
          <w:tcPr>
            <w:tcW w:w="162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Left"/>
              <w:rPr>
                <w:rFonts w:eastAsia="Times New Roman" w:cs="Verdana"/>
              </w:rPr>
            </w:pPr>
            <w:r>
              <w:t>9. EEF</w:t>
            </w:r>
          </w:p>
        </w:tc>
        <w:tc>
          <w:tcPr>
            <w:tcW w:w="162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Fonds</w:t>
            </w:r>
            <w:r>
              <w:softHyphen/>
              <w:t>kapital – aktive EEF (A)</w:t>
            </w:r>
          </w:p>
        </w:tc>
        <w:tc>
          <w:tcPr>
            <w:tcW w:w="178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Nicht abgerufene Fondsmittel - aktive EEF (B)</w:t>
            </w:r>
          </w:p>
        </w:tc>
        <w:tc>
          <w:tcPr>
            <w:tcW w:w="156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Abgerufenes Fondskapital - aktive EEF (C) = (A)-(B)</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Kumulative Rücklagen (D)</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aus abgeschlos</w:t>
            </w:r>
            <w:r>
              <w:softHyphen/>
              <w:t>senen EEF (E)</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zwischen aktiven EEF (F)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Nettover</w:t>
            </w:r>
            <w:r>
              <w:softHyphen/>
              <w:t>mögen ins</w:t>
            </w:r>
            <w:r>
              <w:softHyphen/>
              <w:t>gesamt (C)+(D)+(E)+(F)</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31.12.2014</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11 699</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11 699</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(14 223)</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1 625</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1 758</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860</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 xml:space="preserve">Kapitalabnahme — im Rahmen der Überbrückungsfazilität gebundene </w:t>
            </w:r>
            <w:r>
              <w:t>Mittel</w:t>
            </w:r>
          </w:p>
        </w:tc>
        <w:tc>
          <w:tcPr>
            <w:tcW w:w="162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(727)</w:t>
            </w:r>
          </w:p>
        </w:tc>
        <w:tc>
          <w:tcPr>
            <w:tcW w:w="178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(727)</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(727)</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10.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(109)</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(109)</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11.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727</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727</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(26)</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(26)</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31.12.2015</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10 973</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10 973</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(14 249)</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1 625</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2 376</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726</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10.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(163)</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(163)</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11.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(91)</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(91)</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31.12.2016</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10 973</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10 973</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(14 339)</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1 625</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2 214</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472</w:t>
            </w:r>
          </w:p>
        </w:tc>
      </w:tr>
    </w:tbl>
    <w:p w:rsidR="001609E3" w:rsidRDefault="001609E3">
      <w:pPr>
        <w:pStyle w:val="HEADERTABLE"/>
        <w:rPr>
          <w:noProof/>
          <w:sz w:val="4"/>
          <w:szCs w:val="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560"/>
        <w:gridCol w:w="1559"/>
        <w:gridCol w:w="1559"/>
        <w:gridCol w:w="1559"/>
        <w:gridCol w:w="1418"/>
      </w:tblGrid>
      <w:tr w:rsidR="001609E3">
        <w:trPr>
          <w:trHeight w:val="250"/>
        </w:trPr>
        <w:tc>
          <w:tcPr>
            <w:tcW w:w="407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183" w:name="DOC_TBL00009_1_1"/>
            <w:bookmarkEnd w:id="183"/>
          </w:p>
        </w:tc>
        <w:tc>
          <w:tcPr>
            <w:tcW w:w="162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rPr>
            </w:pPr>
          </w:p>
          <w:p w:rsidR="001609E3" w:rsidRDefault="00E45B63">
            <w:pPr>
              <w:pStyle w:val="Text8pItalicRight025EUR"/>
              <w:rPr>
                <w:rFonts w:eastAsia="Times New Roman" w:cs="Verdana"/>
              </w:rPr>
            </w:pPr>
            <w:r>
              <w:t>in Mio. EUR</w:t>
            </w:r>
          </w:p>
        </w:tc>
      </w:tr>
      <w:tr w:rsidR="001609E3">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Left"/>
              <w:rPr>
                <w:rFonts w:eastAsia="Times New Roman" w:cs="Verdana"/>
              </w:rPr>
            </w:pPr>
            <w:r>
              <w:t>10. EEF</w:t>
            </w:r>
          </w:p>
        </w:tc>
        <w:tc>
          <w:tcPr>
            <w:tcW w:w="162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Fonds</w:t>
            </w:r>
            <w:r>
              <w:softHyphen/>
              <w:t>kapital – aktive EEF (A)</w:t>
            </w:r>
          </w:p>
        </w:tc>
        <w:tc>
          <w:tcPr>
            <w:tcW w:w="178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Nicht abgerufene Fondsmittel - aktive EEF (B)</w:t>
            </w:r>
          </w:p>
        </w:tc>
        <w:tc>
          <w:tcPr>
            <w:tcW w:w="156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Abgerufenes Fondskapital - aktive EEF (C) = (A)-(B)</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Kumulative Rücklagen (D)</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aus abgeschlos</w:t>
            </w:r>
            <w:r>
              <w:softHyphen/>
            </w:r>
            <w:r>
              <w:t>senen EEF (E)</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zwischen aktiven EEF (F)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Nettover</w:t>
            </w:r>
            <w:r>
              <w:softHyphen/>
              <w:t>mögen ins</w:t>
            </w:r>
            <w:r>
              <w:softHyphen/>
              <w:t>gesamt (C)+(D)+(E)+(F)</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31.12.2014</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21 152</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10 018</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11 134</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(12 183)</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(209)</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(1 258)</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Kapitalzunahme — Beiträge</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(4 795)</w:t>
            </w: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4 795</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4 795</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Kapitalabnahme — im Rahmen der Überbrückungsfazilität gebundene Mittel</w:t>
            </w:r>
          </w:p>
        </w:tc>
        <w:tc>
          <w:tcPr>
            <w:tcW w:w="162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(192)</w:t>
            </w: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(192)</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(192)</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8. und 9.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84</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84</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11.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160</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160</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(2 232)</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(2 232)</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31.12.2015</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20 960</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5 223</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15 737</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(14 415)</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35</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1 357</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Kapitalzunahme — Beiträge</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(3 450)</w:t>
            </w: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3 450</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3 450</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8. und 9.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182</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182</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11.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30</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30</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(1 397)</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(1 397)</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31.12.2016</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20 960</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1 773</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19 187</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(15 812)</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247</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3 622</w:t>
            </w:r>
          </w:p>
        </w:tc>
      </w:tr>
    </w:tbl>
    <w:p w:rsidR="001609E3" w:rsidRDefault="001609E3">
      <w:pPr>
        <w:pStyle w:val="HEADERTABLE"/>
        <w:rPr>
          <w:noProof/>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560"/>
        <w:gridCol w:w="1559"/>
        <w:gridCol w:w="1559"/>
        <w:gridCol w:w="1559"/>
        <w:gridCol w:w="1418"/>
      </w:tblGrid>
      <w:tr w:rsidR="001609E3">
        <w:trPr>
          <w:trHeight w:val="250"/>
        </w:trPr>
        <w:tc>
          <w:tcPr>
            <w:tcW w:w="407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184" w:name="DOC_TBL00010_1_1"/>
            <w:bookmarkEnd w:id="184"/>
          </w:p>
        </w:tc>
        <w:tc>
          <w:tcPr>
            <w:tcW w:w="162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Left"/>
              <w:rPr>
                <w:rFonts w:eastAsia="Times New Roman" w:cs="Verdana"/>
              </w:rPr>
            </w:pPr>
            <w:r>
              <w:t>11. EEF</w:t>
            </w:r>
          </w:p>
        </w:tc>
        <w:tc>
          <w:tcPr>
            <w:tcW w:w="162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Fonds</w:t>
            </w:r>
            <w:r>
              <w:softHyphen/>
              <w:t>kapital – aktive EEF (A)</w:t>
            </w:r>
          </w:p>
        </w:tc>
        <w:tc>
          <w:tcPr>
            <w:tcW w:w="178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Nicht abgerufene Fondsmittel - aktive EEF (B)</w:t>
            </w:r>
          </w:p>
        </w:tc>
        <w:tc>
          <w:tcPr>
            <w:tcW w:w="156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 xml:space="preserve">Abgerufenes </w:t>
            </w:r>
            <w:r>
              <w:t>Fondskapital - aktive EEF (C) = (A)-(B)</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Kumulative Rücklagen (D)</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aus abgeschlos</w:t>
            </w:r>
            <w:r>
              <w:softHyphen/>
              <w:t>senen EEF (E)</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Übertragung von abgerufenem Fondskapital zwischen aktiven EEF (F)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Nettover</w:t>
            </w:r>
            <w:r>
              <w:softHyphen/>
              <w:t>mögen ins</w:t>
            </w:r>
            <w:r>
              <w:softHyphen/>
              <w:t>gesamt (C)+(D)+(E)+(F)</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w:t>
            </w:r>
            <w:r>
              <w:t>.12.2014</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(481)</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1 597</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1 116</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Ansatz des Kapitals des 11. EEF gemäß dem Internen Abkommen</w:t>
            </w:r>
          </w:p>
        </w:tc>
        <w:tc>
          <w:tcPr>
            <w:tcW w:w="162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29 367</w:t>
            </w:r>
          </w:p>
        </w:tc>
        <w:tc>
          <w:tcPr>
            <w:tcW w:w="178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(29 367)</w:t>
            </w: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8., 9. und 10.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(1 532)</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(1 532)</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(901)</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(901)</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31.12.2015</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29 367</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(29 367)</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(1 382)</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8pBoldRight025"/>
              <w:rPr>
                <w:rFonts w:eastAsia="Times New Roman"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65</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(1 317)</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Übertragungen aus dem/auf den 8., 9. und 10. EEF</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(30)</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(30)</w:t>
            </w:r>
          </w:p>
        </w:tc>
      </w:tr>
      <w:tr w:rsidR="001609E3">
        <w:trPr>
          <w:trHeight w:val="218"/>
        </w:trPr>
        <w:tc>
          <w:tcPr>
            <w:tcW w:w="4077"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Wirtschaftliches Ergebnis des Haushaltsjahres</w:t>
            </w:r>
          </w:p>
        </w:tc>
        <w:tc>
          <w:tcPr>
            <w:tcW w:w="162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(1 587)</w:t>
            </w: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(1 587)</w:t>
            </w:r>
          </w:p>
        </w:tc>
      </w:tr>
      <w:tr w:rsidR="001609E3">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8pBoldLeft"/>
              <w:rPr>
                <w:rFonts w:eastAsia="Times New Roman" w:cs="Verdana"/>
              </w:rPr>
            </w:pPr>
            <w:r>
              <w:t>SALDO ZUM 31.12.2016</w:t>
            </w:r>
          </w:p>
        </w:tc>
        <w:tc>
          <w:tcPr>
            <w:tcW w:w="162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29 367</w:t>
            </w:r>
          </w:p>
        </w:tc>
        <w:tc>
          <w:tcPr>
            <w:tcW w:w="178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(29 367)</w:t>
            </w:r>
          </w:p>
        </w:tc>
        <w:tc>
          <w:tcPr>
            <w:tcW w:w="156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(2 969)</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35</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(2 934)</w:t>
            </w:r>
          </w:p>
        </w:tc>
      </w:tr>
    </w:tbl>
    <w:p w:rsidR="001609E3" w:rsidRDefault="00E45B63">
      <w:pPr>
        <w:rPr>
          <w:noProof/>
        </w:rPr>
        <w:sectPr w:rsidR="001609E3">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r>
        <w:rPr>
          <w:noProof/>
        </w:rPr>
        <w:t xml:space="preserve"> </w:t>
      </w:r>
      <w:bookmarkEnd w:id="180"/>
    </w:p>
    <w:p w:rsidR="001609E3" w:rsidRDefault="001609E3">
      <w:pPr>
        <w:pStyle w:val="HEADERTITLE"/>
      </w:pPr>
      <w:bookmarkStart w:id="185" w:name="_DMBM_9549"/>
    </w:p>
    <w:p w:rsidR="001609E3" w:rsidRDefault="001609E3">
      <w:pPr>
        <w:pStyle w:val="HEADERTITLE"/>
      </w:pPr>
    </w:p>
    <w:p w:rsidR="001609E3" w:rsidRDefault="001609E3">
      <w:pPr>
        <w:pStyle w:val="HEADERTITLE"/>
      </w:pPr>
    </w:p>
    <w:p w:rsidR="001609E3" w:rsidRDefault="001609E3">
      <w:pPr>
        <w:pStyle w:val="HEADERTITLE"/>
      </w:pPr>
    </w:p>
    <w:p w:rsidR="001609E3" w:rsidRDefault="001609E3">
      <w:pPr>
        <w:pStyle w:val="HEADERTITLE"/>
      </w:pPr>
    </w:p>
    <w:p w:rsidR="001609E3" w:rsidRDefault="001609E3">
      <w:pPr>
        <w:pStyle w:val="HEADERTITLE"/>
      </w:pPr>
    </w:p>
    <w:p w:rsidR="001609E3" w:rsidRDefault="001609E3">
      <w:pPr>
        <w:pStyle w:val="HEADERTITLE"/>
      </w:pPr>
    </w:p>
    <w:p w:rsidR="001609E3" w:rsidRDefault="001609E3">
      <w:pPr>
        <w:pStyle w:val="HEADERTITLE"/>
      </w:pPr>
    </w:p>
    <w:p w:rsidR="001609E3" w:rsidRDefault="001609E3">
      <w:pPr>
        <w:pStyle w:val="HEADERTITLE"/>
      </w:pPr>
    </w:p>
    <w:p w:rsidR="001609E3" w:rsidRDefault="001609E3">
      <w:pPr>
        <w:pStyle w:val="HEADERTITLE"/>
      </w:pPr>
    </w:p>
    <w:p w:rsidR="001609E3" w:rsidRDefault="00E45B63">
      <w:pPr>
        <w:pStyle w:val="HEADERTITLE"/>
        <w:rPr>
          <w:sz w:val="40"/>
          <w:szCs w:val="40"/>
        </w:rPr>
      </w:pPr>
      <w:bookmarkStart w:id="186" w:name="_Toc484164236"/>
      <w:bookmarkStart w:id="187" w:name="_Toc491767268"/>
      <w:bookmarkStart w:id="188" w:name="_Toc491768129"/>
      <w:r>
        <w:rPr>
          <w:sz w:val="40"/>
        </w:rPr>
        <w:t>ERLÄUTERUNGEN ZU DEN JAHRESABSCHLÜSSEN DES EEF</w:t>
      </w:r>
      <w:bookmarkEnd w:id="186"/>
      <w:bookmarkEnd w:id="187"/>
      <w:bookmarkEnd w:id="188"/>
    </w:p>
    <w:p w:rsidR="001609E3" w:rsidRDefault="00E45B63">
      <w:pPr>
        <w:pStyle w:val="TOPHEADERNOTE"/>
        <w:rPr>
          <w:noProof/>
        </w:rPr>
      </w:pPr>
      <w:r>
        <w:rPr>
          <w:noProof/>
        </w:rPr>
        <w:t xml:space="preserve"> </w:t>
      </w: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1609E3">
      <w:pPr>
        <w:pStyle w:val="TOPHEADERNOTE"/>
        <w:rPr>
          <w:noProof/>
        </w:rPr>
      </w:pPr>
    </w:p>
    <w:p w:rsidR="001609E3" w:rsidRDefault="00E45B63">
      <w:pPr>
        <w:pStyle w:val="TOPHEADERNOTE"/>
        <w:rPr>
          <w:noProof/>
        </w:rPr>
      </w:pPr>
      <w:r>
        <w:rPr>
          <w:noProof/>
        </w:rPr>
        <w:t xml:space="preserve">Aufgrund der Auf- oder Abrundung auf Mio. EUR </w:t>
      </w:r>
      <w:r>
        <w:rPr>
          <w:noProof/>
        </w:rPr>
        <w:t>summieren sich die in den Tabellen ausgewiesenen Finanzdaten möglicherweise nicht immer genau.</w:t>
      </w:r>
    </w:p>
    <w:bookmarkEnd w:id="185"/>
    <w:p w:rsidR="001609E3" w:rsidRDefault="001609E3">
      <w:pPr>
        <w:pStyle w:val="Textstand-alone"/>
        <w:sectPr w:rsidR="001609E3">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p>
    <w:p w:rsidR="001609E3" w:rsidRDefault="00E45B63">
      <w:pPr>
        <w:pStyle w:val="HEADER1Part2"/>
        <w:rPr>
          <w:noProof/>
        </w:rPr>
      </w:pPr>
      <w:bookmarkStart w:id="189" w:name="Significant_acc_pol"/>
      <w:bookmarkStart w:id="190" w:name="_Toc393205650"/>
      <w:bookmarkStart w:id="191" w:name="_Toc457387394"/>
      <w:bookmarkStart w:id="192" w:name="_CSF_TOC_1_0"/>
      <w:bookmarkStart w:id="193" w:name="_DMBM_9578"/>
      <w:r>
        <w:rPr>
          <w:noProof/>
        </w:rPr>
        <w:t>MASSGEBLICHE RECHNUNGSLEGUNGSREGELN</w:t>
      </w:r>
      <w:bookmarkEnd w:id="189"/>
      <w:bookmarkEnd w:id="190"/>
      <w:bookmarkEnd w:id="191"/>
    </w:p>
    <w:p w:rsidR="001609E3" w:rsidRDefault="00E45B63">
      <w:pPr>
        <w:pStyle w:val="HEADER2Part2"/>
        <w:rPr>
          <w:noProof/>
        </w:rPr>
      </w:pPr>
      <w:r>
        <w:rPr>
          <w:noProof/>
        </w:rPr>
        <w:t>GRUNDSÄTZE</w:t>
      </w:r>
      <w:r>
        <w:rPr>
          <w:noProof/>
        </w:rPr>
        <w:t xml:space="preserve"> DER RECHNUNGSLEGUNG</w:t>
      </w:r>
    </w:p>
    <w:p w:rsidR="001609E3" w:rsidRDefault="00E45B63">
      <w:pPr>
        <w:pStyle w:val="Textstand-alone"/>
      </w:pPr>
      <w:r>
        <w:t xml:space="preserve">Grundsätzlich besteht der Zweck von Jahresabschlüssen in der Vermittlung von Informationen über Finanzlage, Leistungen und Cashflow eines Rechtssubjekts, die für verschiedenste Benutzer von Interesse sind. </w:t>
      </w:r>
    </w:p>
    <w:p w:rsidR="001609E3" w:rsidRDefault="00E45B63">
      <w:pPr>
        <w:pStyle w:val="Textstand-alone"/>
      </w:pPr>
      <w:r>
        <w:t>Die allgemeinen Erwägungen (</w:t>
      </w:r>
      <w:r>
        <w:t>oder Grundsätze der Rechnungslegung), die bei der Erstellung der Jahresabschlüsse zu berücksichtigen sind, sind in der EU-Rechnungsführungsvorschrift 1 „Jahresabschlüsse“ festgelegt und entsprechen den im IPSAS 1 beschriebenen Bestimmungen: sachgerechte Da</w:t>
      </w:r>
      <w:r>
        <w:t>rstellung, periodengerechte Rechnungslegung, Kontinuität der Tätigkeiten, Kohärenz der Darstellung, Wesentlichkeit, Aggregation, Verrechnung und Vergleichsinformation. Die qualitativen Merkmale der Finanzberichterstattung sind Stichhaltigkeit, Zuverlässigk</w:t>
      </w:r>
      <w:r>
        <w:t>eit, Verständlichkeit und Vergleichbarkeit.</w:t>
      </w:r>
    </w:p>
    <w:p w:rsidR="001609E3" w:rsidRDefault="00E45B63">
      <w:pPr>
        <w:pStyle w:val="HEADER2Part2"/>
        <w:rPr>
          <w:noProof/>
        </w:rPr>
      </w:pPr>
      <w:r>
        <w:rPr>
          <w:noProof/>
        </w:rPr>
        <w:t>ERSTELLUNGSGRUNDLAGE</w:t>
      </w:r>
    </w:p>
    <w:p w:rsidR="001609E3" w:rsidRDefault="00E45B63">
      <w:pPr>
        <w:pStyle w:val="HEADER3Part2"/>
        <w:rPr>
          <w:noProof/>
        </w:rPr>
      </w:pPr>
      <w:r>
        <w:rPr>
          <w:noProof/>
        </w:rPr>
        <w:t>Berichtszeitraum</w:t>
      </w:r>
    </w:p>
    <w:p w:rsidR="001609E3" w:rsidRDefault="00E45B63">
      <w:pPr>
        <w:pStyle w:val="HEADER2Part2"/>
        <w:numPr>
          <w:ilvl w:val="0"/>
          <w:numId w:val="0"/>
        </w:numPr>
        <w:rPr>
          <w:b w:val="0"/>
          <w:noProof/>
          <w:color w:val="auto"/>
          <w:sz w:val="18"/>
          <w:szCs w:val="18"/>
        </w:rPr>
      </w:pPr>
      <w:r>
        <w:rPr>
          <w:b w:val="0"/>
          <w:noProof/>
          <w:color w:val="auto"/>
          <w:sz w:val="18"/>
        </w:rPr>
        <w:t xml:space="preserve">Jahresabschlüsse werden jährlich vorgelegt. Das Rechnungsjahr beginnt am 1. Januar und endet am 31. Dezember. </w:t>
      </w:r>
    </w:p>
    <w:p w:rsidR="001609E3" w:rsidRDefault="00E45B63">
      <w:pPr>
        <w:pStyle w:val="HEADER3Part2"/>
        <w:rPr>
          <w:noProof/>
        </w:rPr>
      </w:pPr>
      <w:r>
        <w:rPr>
          <w:noProof/>
        </w:rPr>
        <w:t>Währung und Umrechnungsgrundlage</w:t>
      </w:r>
    </w:p>
    <w:p w:rsidR="001609E3" w:rsidRDefault="00E45B63">
      <w:pPr>
        <w:pStyle w:val="Textstand-alone"/>
      </w:pPr>
      <w:r>
        <w:t>Die Jahresrechnungen werden in</w:t>
      </w:r>
      <w:r>
        <w:t xml:space="preserve"> Millionen Euro ausgewiesen, da der Euro die Funktions- und Berichtswährung der EU ist. Fremdwährungstransaktionen werden zu den Wechselkursen der Tage, an denen die Transaktionen erfolgten, umgerechnet. Fremdwährungsgewinne und -verluste aus der Verrechnu</w:t>
      </w:r>
      <w:r>
        <w:t>ng solcher Transaktionen sowie aus der Rückumrechnung von auf Fremdwährung lautenden monetären Vermögenswerten und Verbindlichkeiten zum Jahresendkurs werden in der Ergebnisrechnung ausgewiesen. Für Grundstücke und Gebäude, Betriebs- und Geschäftsausstattu</w:t>
      </w:r>
      <w:r>
        <w:t>ng sowie immaterielle Vermögenswerte gelten andere Umrechnungsmethoden. Sie werden mit ihrem zum Anschaffungszeitpunkt geltenden Erstanschaffungswert in Euro erfasst.</w:t>
      </w:r>
    </w:p>
    <w:p w:rsidR="001609E3" w:rsidRDefault="00E45B63">
      <w:pPr>
        <w:pStyle w:val="Textstand-alone"/>
      </w:pPr>
      <w:r>
        <w:t>Die Jahresendstände der auf Fremdwährungen lautenden monetären Vermögenswerte und Verbind</w:t>
      </w:r>
      <w:r>
        <w:t>lichkeiten werden anhand der am 31. Dezember geltenden Wechselkurse der Europäischen Zentralbank (EZB) wie folgt umgerechnet:</w:t>
      </w:r>
    </w:p>
    <w:p w:rsidR="001609E3" w:rsidRDefault="00E45B63">
      <w:pPr>
        <w:pStyle w:val="HEADER5"/>
        <w:rPr>
          <w:noProof/>
        </w:rPr>
      </w:pPr>
      <w:r>
        <w:rPr>
          <w:noProof/>
        </w:rPr>
        <w:t>Euro-Wechselkurse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770"/>
        <w:gridCol w:w="1770"/>
        <w:gridCol w:w="1470"/>
        <w:gridCol w:w="1770"/>
        <w:gridCol w:w="1770"/>
      </w:tblGrid>
      <w:tr w:rsidR="001609E3">
        <w:trPr>
          <w:cantSplit/>
        </w:trPr>
        <w:tc>
          <w:tcPr>
            <w:tcW w:w="662" w:type="pct"/>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Left"/>
              <w:rPr>
                <w:rFonts w:eastAsia="Times New Roman" w:cs="Verdana"/>
              </w:rPr>
            </w:pPr>
            <w:bookmarkStart w:id="194" w:name="DOC_TBL00011_1_1"/>
            <w:r>
              <w:t>Währung</w:t>
            </w:r>
            <w:bookmarkEnd w:id="194"/>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bookmarkStart w:id="195" w:name="DOC_TBL00011_1_2"/>
            <w:r>
              <w:t>31.12.2016</w:t>
            </w:r>
            <w:bookmarkEnd w:id="195"/>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bookmarkStart w:id="196" w:name="DOC_TBL00011_1_3"/>
            <w:r>
              <w:t>31.12.2015</w:t>
            </w:r>
            <w:bookmarkEnd w:id="196"/>
          </w:p>
        </w:tc>
        <w:tc>
          <w:tcPr>
            <w:tcW w:w="746" w:type="pct"/>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bookmarkStart w:id="197" w:name="DOC_TBL00011_1_4"/>
            <w:r>
              <w:t>Währung</w:t>
            </w:r>
            <w:bookmarkEnd w:id="197"/>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bookmarkStart w:id="198" w:name="DOC_TBL00011_1_5"/>
            <w:r>
              <w:t>31.12.2016</w:t>
            </w:r>
            <w:bookmarkEnd w:id="198"/>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bookmarkStart w:id="199" w:name="DOC_TBL00011_1_6"/>
            <w:r>
              <w:t>31.12.2015</w:t>
            </w:r>
            <w:bookmarkEnd w:id="199"/>
          </w:p>
        </w:tc>
      </w:tr>
      <w:tr w:rsidR="001609E3">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Text9pBoldLeft025"/>
              <w:ind w:left="0"/>
              <w:rPr>
                <w:rFonts w:eastAsia="Times New Roman" w:cs="Verdana"/>
              </w:rPr>
            </w:pPr>
            <w:bookmarkStart w:id="200" w:name="DOC_TBL00011_2_1"/>
            <w:r>
              <w:t>BGN</w:t>
            </w:r>
            <w:bookmarkEnd w:id="200"/>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01" w:name="DOC_TBL00011_2_2"/>
            <w:r>
              <w:t>1.9558</w:t>
            </w:r>
            <w:bookmarkEnd w:id="201"/>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02" w:name="DOC_TBL00011_2_3"/>
            <w:r>
              <w:t>1.9558</w:t>
            </w:r>
            <w:bookmarkEnd w:id="202"/>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03" w:name="DOC_TBL00011_2_4"/>
            <w:r>
              <w:t>PLN</w:t>
            </w:r>
            <w:bookmarkEnd w:id="203"/>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04" w:name="DOC_TBL00011_2_5"/>
            <w:r>
              <w:t>4.4103</w:t>
            </w:r>
            <w:bookmarkEnd w:id="204"/>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05" w:name="DOC_TBL00011_2_6"/>
            <w:r>
              <w:t>4.2639</w:t>
            </w:r>
            <w:bookmarkEnd w:id="205"/>
          </w:p>
        </w:tc>
      </w:tr>
      <w:tr w:rsidR="001609E3">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Text9pBoldLeft025"/>
              <w:ind w:left="0"/>
              <w:rPr>
                <w:rFonts w:eastAsia="Times New Roman" w:cs="Verdana"/>
              </w:rPr>
            </w:pPr>
            <w:bookmarkStart w:id="206" w:name="DOC_TBL00011_3_1"/>
            <w:r>
              <w:t>CZK</w:t>
            </w:r>
            <w:bookmarkEnd w:id="206"/>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07" w:name="DOC_TBL00011_3_2"/>
            <w:r>
              <w:t>27.0210</w:t>
            </w:r>
            <w:bookmarkEnd w:id="207"/>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08" w:name="DOC_TBL00011_3_3"/>
            <w:r>
              <w:t>27.0230</w:t>
            </w:r>
            <w:bookmarkEnd w:id="208"/>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09" w:name="DOC_TBL00011_3_4"/>
            <w:r>
              <w:t>RON</w:t>
            </w:r>
            <w:bookmarkEnd w:id="209"/>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10" w:name="DOC_TBL00011_3_5"/>
            <w:r>
              <w:t>4.5390</w:t>
            </w:r>
            <w:bookmarkEnd w:id="210"/>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11" w:name="DOC_TBL00011_3_6"/>
            <w:r>
              <w:t>4.5240</w:t>
            </w:r>
            <w:bookmarkEnd w:id="211"/>
          </w:p>
        </w:tc>
      </w:tr>
      <w:tr w:rsidR="001609E3">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Text9pBoldLeft025"/>
              <w:ind w:left="0"/>
              <w:rPr>
                <w:rFonts w:eastAsia="Times New Roman" w:cs="Verdana"/>
              </w:rPr>
            </w:pPr>
            <w:bookmarkStart w:id="212" w:name="DOC_TBL00011_4_1"/>
            <w:r>
              <w:t>DKK</w:t>
            </w:r>
            <w:bookmarkEnd w:id="212"/>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13" w:name="DOC_TBL00011_4_2"/>
            <w:r>
              <w:t>7.4344</w:t>
            </w:r>
            <w:bookmarkEnd w:id="213"/>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14" w:name="DOC_TBL00011_4_3"/>
            <w:r>
              <w:t>7.4626</w:t>
            </w:r>
            <w:bookmarkEnd w:id="214"/>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15" w:name="DOC_TBL00011_4_4"/>
            <w:r>
              <w:t>SEK</w:t>
            </w:r>
            <w:bookmarkEnd w:id="215"/>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16" w:name="DOC_TBL00011_4_5"/>
            <w:r>
              <w:t>9.5525</w:t>
            </w:r>
            <w:bookmarkEnd w:id="216"/>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17" w:name="DOC_TBL00011_4_6"/>
            <w:r>
              <w:t>9.1895</w:t>
            </w:r>
            <w:bookmarkEnd w:id="217"/>
          </w:p>
        </w:tc>
      </w:tr>
      <w:tr w:rsidR="001609E3">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Text9pBoldLeft025"/>
              <w:ind w:left="0"/>
              <w:rPr>
                <w:rFonts w:eastAsia="Times New Roman" w:cs="Verdana"/>
              </w:rPr>
            </w:pPr>
            <w:bookmarkStart w:id="218" w:name="DOC_TBL00011_5_1"/>
            <w:r>
              <w:t>GBP</w:t>
            </w:r>
            <w:bookmarkEnd w:id="218"/>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19" w:name="DOC_TBL00011_5_2"/>
            <w:r>
              <w:t>0.8562</w:t>
            </w:r>
            <w:bookmarkEnd w:id="219"/>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20" w:name="DOC_TBL00011_5_3"/>
            <w:r>
              <w:t>0.7340</w:t>
            </w:r>
            <w:bookmarkEnd w:id="220"/>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21" w:name="DOC_TBL00011_5_4"/>
            <w:r>
              <w:t>CHF</w:t>
            </w:r>
            <w:bookmarkEnd w:id="221"/>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22" w:name="DOC_TBL00011_5_5"/>
            <w:r>
              <w:t>1.0739</w:t>
            </w:r>
            <w:bookmarkEnd w:id="222"/>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23" w:name="DOC_TBL00011_5_6"/>
            <w:r>
              <w:t>1.0835</w:t>
            </w:r>
            <w:bookmarkEnd w:id="223"/>
          </w:p>
        </w:tc>
      </w:tr>
      <w:tr w:rsidR="001609E3">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Text9pBoldLeft025"/>
              <w:ind w:left="0"/>
              <w:rPr>
                <w:rFonts w:eastAsia="Times New Roman" w:cs="Verdana"/>
              </w:rPr>
            </w:pPr>
            <w:bookmarkStart w:id="224" w:name="DOC_TBL00011_6_1"/>
            <w:r>
              <w:t>HRK</w:t>
            </w:r>
            <w:bookmarkEnd w:id="224"/>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25" w:name="DOC_TBL00011_6_2"/>
            <w:r>
              <w:t>7.5597</w:t>
            </w:r>
            <w:bookmarkEnd w:id="225"/>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26" w:name="DOC_TBL00011_6_3"/>
            <w:r>
              <w:t>7.6380</w:t>
            </w:r>
            <w:bookmarkEnd w:id="226"/>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27" w:name="DOC_TBL00011_6_4"/>
            <w:r>
              <w:t>JPY</w:t>
            </w:r>
            <w:bookmarkEnd w:id="227"/>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28" w:name="DOC_TBL00011_6_5"/>
            <w:r>
              <w:t>123.4000</w:t>
            </w:r>
            <w:bookmarkEnd w:id="228"/>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29" w:name="DOC_TBL00011_6_6"/>
            <w:r>
              <w:t>131.0700</w:t>
            </w:r>
            <w:bookmarkEnd w:id="229"/>
          </w:p>
        </w:tc>
      </w:tr>
      <w:tr w:rsidR="001609E3">
        <w:trPr>
          <w:cantSplit/>
        </w:trPr>
        <w:tc>
          <w:tcPr>
            <w:tcW w:w="662" w:type="pct"/>
            <w:tcBorders>
              <w:top w:val="single" w:sz="4" w:space="0" w:color="016794"/>
              <w:left w:val="nil"/>
              <w:bottom w:val="nil"/>
              <w:right w:val="nil"/>
            </w:tcBorders>
            <w:tcMar>
              <w:top w:w="0" w:type="dxa"/>
              <w:left w:w="108" w:type="dxa"/>
              <w:bottom w:w="0" w:type="dxa"/>
              <w:right w:w="108" w:type="dxa"/>
            </w:tcMar>
          </w:tcPr>
          <w:p w:rsidR="001609E3" w:rsidRDefault="00E45B63">
            <w:pPr>
              <w:pStyle w:val="Text9pBoldLeft025"/>
              <w:ind w:left="0"/>
              <w:rPr>
                <w:rFonts w:eastAsia="Times New Roman" w:cs="Verdana"/>
              </w:rPr>
            </w:pPr>
            <w:bookmarkStart w:id="230" w:name="DOC_TBL00011_7_1"/>
            <w:r>
              <w:t>HUF</w:t>
            </w:r>
            <w:bookmarkEnd w:id="230"/>
          </w:p>
        </w:tc>
        <w:tc>
          <w:tcPr>
            <w:tcW w:w="898" w:type="pct"/>
            <w:tcBorders>
              <w:top w:val="single" w:sz="4" w:space="0" w:color="016794"/>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31" w:name="DOC_TBL00011_7_2"/>
            <w:r>
              <w:t>309.8300</w:t>
            </w:r>
            <w:bookmarkEnd w:id="231"/>
          </w:p>
        </w:tc>
        <w:tc>
          <w:tcPr>
            <w:tcW w:w="898" w:type="pct"/>
            <w:tcBorders>
              <w:top w:val="single" w:sz="4" w:space="0" w:color="016794"/>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32" w:name="DOC_TBL00011_7_3"/>
            <w:r>
              <w:t>315.9800</w:t>
            </w:r>
            <w:bookmarkEnd w:id="232"/>
          </w:p>
        </w:tc>
        <w:tc>
          <w:tcPr>
            <w:tcW w:w="746" w:type="pct"/>
            <w:tcBorders>
              <w:top w:val="single" w:sz="4" w:space="0" w:color="016794"/>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33" w:name="DOC_TBL00011_7_4"/>
            <w:r>
              <w:t>USD</w:t>
            </w:r>
            <w:bookmarkEnd w:id="233"/>
          </w:p>
        </w:tc>
        <w:tc>
          <w:tcPr>
            <w:tcW w:w="898" w:type="pct"/>
            <w:tcBorders>
              <w:top w:val="single" w:sz="4" w:space="0" w:color="016794"/>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bookmarkStart w:id="234" w:name="DOC_TBL00011_7_5"/>
            <w:r>
              <w:t>1.0541</w:t>
            </w:r>
            <w:bookmarkEnd w:id="234"/>
          </w:p>
        </w:tc>
        <w:tc>
          <w:tcPr>
            <w:tcW w:w="898" w:type="pct"/>
            <w:tcBorders>
              <w:top w:val="single" w:sz="4" w:space="0" w:color="016794"/>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bookmarkStart w:id="235" w:name="DOC_TBL00011_7_6"/>
            <w:r>
              <w:t>1.0887</w:t>
            </w:r>
            <w:bookmarkEnd w:id="235"/>
          </w:p>
        </w:tc>
      </w:tr>
    </w:tbl>
    <w:p w:rsidR="001609E3" w:rsidRDefault="00E45B63">
      <w:pPr>
        <w:pStyle w:val="HEADER3Part2"/>
        <w:rPr>
          <w:noProof/>
        </w:rPr>
      </w:pPr>
      <w:r>
        <w:rPr>
          <w:noProof/>
        </w:rPr>
        <w:t>Heranziehung von Schätzungen</w:t>
      </w:r>
    </w:p>
    <w:p w:rsidR="001609E3" w:rsidRDefault="00E45B63">
      <w:pPr>
        <w:pStyle w:val="HEADER3Part2"/>
        <w:numPr>
          <w:ilvl w:val="0"/>
          <w:numId w:val="0"/>
        </w:numPr>
        <w:rPr>
          <w:noProof/>
          <w:color w:val="auto"/>
          <w:sz w:val="18"/>
          <w:szCs w:val="18"/>
        </w:rPr>
      </w:pPr>
      <w:r>
        <w:rPr>
          <w:noProof/>
          <w:color w:val="auto"/>
          <w:sz w:val="18"/>
        </w:rPr>
        <w:t>Nach IPSAS und den allgemein anerkannten Grundsätzen der Rechnungsführung beinhalten die Jahresabschlüsse auch immer Beträge, die auf Schätzungen und Annahmen beruhen, die von den jeweiligen Entscheidungsträgern auf der Grundlage der zuverlässigsten verfüg</w:t>
      </w:r>
      <w:r>
        <w:rPr>
          <w:noProof/>
          <w:color w:val="auto"/>
          <w:sz w:val="18"/>
        </w:rPr>
        <w:t>baren Informationen vorgenommen werden. Zu den wichtigen Schätzungen gehören unter anderem antizipative Aktiva und Passiva, Eventualforderungen und -verbindlichkeiten, Rückstellungen, das finanzielle Risiko bei Forderungen, Eventualforderungen und -verbind</w:t>
      </w:r>
      <w:r>
        <w:rPr>
          <w:noProof/>
          <w:color w:val="auto"/>
          <w:sz w:val="18"/>
        </w:rPr>
        <w:t xml:space="preserve">lichkeiten sowie die Höhe der Wertminderung bei Vermögenswerten. Die tatsächlichen Ergebnisse können von solchen Schätzungen abweichen. </w:t>
      </w:r>
    </w:p>
    <w:p w:rsidR="001609E3" w:rsidRDefault="00E45B63">
      <w:pPr>
        <w:pStyle w:val="HEADER3Part2"/>
        <w:numPr>
          <w:ilvl w:val="0"/>
          <w:numId w:val="0"/>
        </w:numPr>
        <w:rPr>
          <w:noProof/>
        </w:rPr>
      </w:pPr>
      <w:r>
        <w:rPr>
          <w:noProof/>
          <w:color w:val="auto"/>
          <w:sz w:val="18"/>
        </w:rPr>
        <w:t>Angemessene Schätzungen sind ein wesentlicher Bestandteil der Erstellung von Jahresabschlüssen und beeinträchtigen dere</w:t>
      </w:r>
      <w:r>
        <w:rPr>
          <w:noProof/>
          <w:color w:val="auto"/>
          <w:sz w:val="18"/>
        </w:rPr>
        <w:t>n Zuverlässigkeit nicht. Eine Schätzung muss möglicherweise überarbeitet werden, wenn in den Umständen, auf die sich die Schätzung stützte, Veränderungen eintreten, wenn neue Informationen vorliegen oder mehr Erfahrungen gesammelt wurden. Die Überarbeitung</w:t>
      </w:r>
      <w:r>
        <w:rPr>
          <w:noProof/>
          <w:color w:val="auto"/>
          <w:sz w:val="18"/>
        </w:rPr>
        <w:t xml:space="preserve"> einer Schätzung bezieht sich allein schon aufgrund ihrer Art nicht auf frühere Zeiträume und stellt keine Berichtigung eines Irrtums dar. Die Auswirkungen einer Änderung in den rechnungslegungsbezogenen Schätzungen werden in den Zeiträumen, in denen sie b</w:t>
      </w:r>
      <w:r>
        <w:rPr>
          <w:noProof/>
          <w:color w:val="auto"/>
          <w:sz w:val="18"/>
        </w:rPr>
        <w:t xml:space="preserve">ekannt werden, im Überschuss oder Defizit angesetzt. </w:t>
      </w:r>
    </w:p>
    <w:p w:rsidR="001609E3" w:rsidRDefault="00E45B63">
      <w:pPr>
        <w:pStyle w:val="HEADER2Part2"/>
        <w:rPr>
          <w:noProof/>
        </w:rPr>
      </w:pPr>
      <w:r>
        <w:rPr>
          <w:noProof/>
        </w:rPr>
        <w:t>VERMÖGENSÜBERSICHT</w:t>
      </w:r>
    </w:p>
    <w:p w:rsidR="001609E3" w:rsidRDefault="00E45B63">
      <w:pPr>
        <w:pStyle w:val="HEADER3Part2"/>
        <w:rPr>
          <w:noProof/>
        </w:rPr>
      </w:pPr>
      <w:r>
        <w:rPr>
          <w:noProof/>
        </w:rPr>
        <w:t>Immaterielle Vermögenswerte</w:t>
      </w:r>
    </w:p>
    <w:p w:rsidR="001609E3" w:rsidRDefault="00E45B63">
      <w:pPr>
        <w:pStyle w:val="Textstand-alone"/>
      </w:pPr>
      <w:r>
        <w:t>Durch Kauf erworbene Computer-Softwarelizenzen werden zu ihren Anschaffungskosten abzüglich der kumulierten Abschreibungen und der Wertminderungsaufwendung</w:t>
      </w:r>
      <w:r>
        <w:t xml:space="preserve">en ausgewiesen. Die Abschreibung dieser Vermögenswerte erfolgt linear unter Berücksichtigung der geschätzten Nutzungsdauer. Die geschätzte Nutzungsdauer von immateriellen Vermögenswerten hängt von ihrer jeweiligen wirtschaftlichen Nutzungsdauer oder ihrer </w:t>
      </w:r>
      <w:r>
        <w:t>durch eine Vereinbarung festgelegten rechtlichen Nutzungsdauer ab. Intern entwickelte immaterielle Vermögenswerte werden aktiviert, wenn die maßgeblichen Kriterien der EU</w:t>
      </w:r>
      <w:r>
        <w:noBreakHyphen/>
        <w:t xml:space="preserve">Rechnungsführungsvorschriften erfüllt sind. Zu den aktivierbaren Kosten gehören alle </w:t>
      </w:r>
      <w:r>
        <w:t>unmittelbar zurechenbaren Kosten, die bei der Erzeugung, Herstellung und Vorbereitung des Vermögenswertes unvermeidbar sind, damit dieser in der von den Entscheidungsträgern vorgesehenen Weise arbeiten kann. Mit Forschungstätigkeiten verbundene Kosten, nic</w:t>
      </w:r>
      <w:r>
        <w:t>ht aktivierbare Entwicklungskosten sowie Instandhaltungskosten werden als Aufwendungen verbucht, sobald sie entstanden sind.</w:t>
      </w:r>
      <w:r>
        <w:tab/>
      </w:r>
    </w:p>
    <w:p w:rsidR="001609E3" w:rsidRDefault="00E45B63">
      <w:pPr>
        <w:pStyle w:val="HEADER3Part2"/>
        <w:rPr>
          <w:noProof/>
        </w:rPr>
      </w:pPr>
      <w:r>
        <w:rPr>
          <w:noProof/>
        </w:rPr>
        <w:t>Grundstücke und Gebäude, Betriebs- und Geschäftsausstattung</w:t>
      </w:r>
    </w:p>
    <w:p w:rsidR="001609E3" w:rsidRDefault="00E45B63">
      <w:pPr>
        <w:pStyle w:val="Textstand-alone"/>
      </w:pPr>
      <w:r>
        <w:t>Alle Grundstücke und Gebäude, Betriebs- und Geschäftsausstattungen wer</w:t>
      </w:r>
      <w:r>
        <w:t>den nach dem Anschaffungswertprinzip abzüglich kumulierter Abschreibung und Wertminderungsaufwendungen ausgewiesen. Zu den historischen Kosten zählen Ausgaben, die unmittelbar der Anschaffung oder dem Bau des Vermögenswerts zuzuordnen sind. Folgekosten sin</w:t>
      </w:r>
      <w:r>
        <w:t>d im Buchwert der betreffenden Position enthalten bzw. werden als gesonderte Position ausgewiesen, wenn künftige wirtschaftliche Vorteile oder das mit dem Posten verbundene Nutzungspotenzial voraussichtlich dem Rechtssubjekt zugutekommen und die Kosten ver</w:t>
      </w:r>
      <w:r>
        <w:t>lässlich ermittelt werden können. Reparatur- und Instandhaltungskosten werden in dem Haushaltszeitraum, in dem sie entstehen, der Ergebnisrechnung belastet. Grundstücke und Kunstwerke werden nicht abgeschrieben, da bei ihnen von einer unbegrenzten Nutzungs</w:t>
      </w:r>
      <w:r>
        <w:t>dauer ausgegangen wird. „Anlagen im Bau“ werden nicht abgeschrieben, weil sie noch nicht zur Nutzung verfügbar sind. Die Abschreibung auf andere Vermögenswerte wird linear berechnet, sodass die Kosten abzüglich des Restwerts wie folgt über die geschätzte N</w:t>
      </w:r>
      <w:r>
        <w:t>utzungsdauer zugeordnet werden.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1609E3">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Left"/>
              <w:rPr>
                <w:rFonts w:eastAsia="Verdana" w:cs="Verdana"/>
              </w:rPr>
            </w:pPr>
            <w:bookmarkStart w:id="236" w:name="DOC_TBL00012_1_1"/>
            <w:bookmarkEnd w:id="236"/>
            <w:r>
              <w:t>Art des Vermögenswerts</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Linearer Abschreibungssatz</w:t>
            </w:r>
          </w:p>
        </w:tc>
      </w:tr>
      <w:tr w:rsidR="001609E3">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Gebäude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Centered"/>
              <w:rPr>
                <w:rFonts w:eastAsia="Verdana" w:cs="Verdana"/>
              </w:rPr>
            </w:pPr>
            <w:r>
              <w:t>4 % bis 10 %</w:t>
            </w:r>
          </w:p>
        </w:tc>
      </w:tr>
      <w:tr w:rsidR="001609E3">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Anlagen und Ausstattung</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Centered"/>
              <w:rPr>
                <w:rFonts w:eastAsia="Verdana" w:cs="Verdana"/>
              </w:rPr>
            </w:pPr>
            <w:r>
              <w:t>10 % bis 25 %</w:t>
            </w:r>
          </w:p>
        </w:tc>
      </w:tr>
      <w:tr w:rsidR="001609E3">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Mobiliar und Fuhrpark</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Centered"/>
              <w:rPr>
                <w:rFonts w:eastAsia="Verdana" w:cs="Verdana"/>
              </w:rPr>
            </w:pPr>
            <w:r>
              <w:t>10 % bis 25 %</w:t>
            </w:r>
          </w:p>
        </w:tc>
      </w:tr>
      <w:tr w:rsidR="001609E3">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Computer-Hardware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Centered"/>
              <w:rPr>
                <w:rFonts w:eastAsia="Verdana" w:cs="Verdana"/>
              </w:rPr>
            </w:pPr>
            <w:r>
              <w:t>25 % bis 33 %</w:t>
            </w:r>
          </w:p>
        </w:tc>
      </w:tr>
      <w:tr w:rsidR="001609E3">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Sonstiges</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ItalicCentered"/>
              <w:rPr>
                <w:rFonts w:eastAsia="Verdana" w:cs="Verdana"/>
              </w:rPr>
            </w:pPr>
            <w:r>
              <w:t>10 % bis 33 %</w:t>
            </w:r>
          </w:p>
        </w:tc>
      </w:tr>
    </w:tbl>
    <w:p w:rsidR="001609E3" w:rsidRDefault="00E45B63">
      <w:pPr>
        <w:pStyle w:val="Textstand-alone"/>
      </w:pPr>
      <w:r>
        <w:t>Veräußerungsgewinne oder -verluste werden durch Vergleich der Erlöse abzüglich Verkaufskosten mit dem Buchwert des veräußerten Vermögenswerts ermittelt und in der Ergebnisrechnung ausgewiesen.</w:t>
      </w:r>
    </w:p>
    <w:p w:rsidR="001609E3" w:rsidRDefault="00E45B63">
      <w:pPr>
        <w:pStyle w:val="HEADER5"/>
        <w:rPr>
          <w:noProof/>
        </w:rPr>
      </w:pPr>
      <w:r>
        <w:rPr>
          <w:noProof/>
        </w:rPr>
        <w:t>Leasingtransaktionen</w:t>
      </w:r>
    </w:p>
    <w:p w:rsidR="001609E3" w:rsidRDefault="00E45B63">
      <w:pPr>
        <w:pStyle w:val="Textstand-alone"/>
      </w:pPr>
      <w:r>
        <w:t>Das Leasing von materiellen Vermögenswerte</w:t>
      </w:r>
      <w:r>
        <w:t>n wird dann als Finanzleasing eingestuft, wenn Risiken und Einnahmen im Wesentlichen auf das Rechtssubjekt entfallen. Finanzleasing wird zu Beginn des Leasingverhältnisses mit dem beizulegenden Barwert des Leasinggegenstands oder dem Barwert der Mindestlea</w:t>
      </w:r>
      <w:r>
        <w:t>singzahlungen angesetzt, je nachdem, welcher der beiden Werte niedriger ist. Der Zinsanteil an der Finanzleasingzahlung wird der Ergebnisrechnung über die Leasingdauer zu einem konstanten periodischen Satz im Zusammenhang mit dem noch nicht beglichenen Sal</w:t>
      </w:r>
      <w:r>
        <w:t>do belastet. Die Mietzahlungsverpflichtungen werden abzüglich der Finanzaufwendungen in die (lang- und kurzfristigen) finanziellen Verbindlichkeiten aufgenommen. Der Zinsanteil an den Finanzierungskosten wird der Ergebnisrechnung über die Leasingdauer bela</w:t>
      </w:r>
      <w:r>
        <w:t>stet, sodass sich ein konstanter periodischer Zinssatz auf den noch nicht beglichenen Saldo der Verbindlichkeit für den jeweiligen Zeitraum ergibt. Die durch Finanzleasing gehaltenen Vermögenswerte werden über die Nutzungs- bzw. Leasingdauer des Vermögensw</w:t>
      </w:r>
      <w:r>
        <w:t>erts abgeschrieben, je nachdem, welcher von beiden Zeiträumen kürzer ist.</w:t>
      </w:r>
    </w:p>
    <w:p w:rsidR="001609E3" w:rsidRDefault="00E45B63">
      <w:pPr>
        <w:pStyle w:val="Textstand-alone"/>
      </w:pPr>
      <w:r>
        <w:t>Leasingverhältnisse, bei denen ein wesentlicher Anteil der dem Eigentum innewohnenden Risiken und Chancen beim Leasinggeber verbleiben, werden als Operating-Leasingverhältnisse klass</w:t>
      </w:r>
      <w:r>
        <w:t>ifiziert. Zahlungen im Rahmen von Operating-Leasingverhältnissen werden in der Ergebnisrechnung linear über die Dauer des Leasingverhältnisses angesetzt.</w:t>
      </w:r>
    </w:p>
    <w:p w:rsidR="001609E3" w:rsidRDefault="00E45B63">
      <w:pPr>
        <w:pStyle w:val="HEADER3Part2"/>
        <w:rPr>
          <w:noProof/>
        </w:rPr>
      </w:pPr>
      <w:r>
        <w:rPr>
          <w:noProof/>
        </w:rPr>
        <w:t>Wertminderung nicht finanzieller Vermögenswerte</w:t>
      </w:r>
    </w:p>
    <w:p w:rsidR="001609E3" w:rsidRDefault="00E45B63">
      <w:pPr>
        <w:pStyle w:val="Textstand-alone"/>
      </w:pPr>
      <w:r>
        <w:t>Vermögenswerte mit unbegrenzter Nutzungsdauer unterlie</w:t>
      </w:r>
      <w:r>
        <w:t>gen keiner Abschreibung, sondern werden einem jährlichen Werthaltigkeitstest (Impairment-Test) unterzogen. Vermögenswerte, die der Abschreibung unterliegen, werden immer dann einem Werthaltigkeitstest unterzogen, wenn Ereignisse oder Veränderungen der Umst</w:t>
      </w:r>
      <w:r>
        <w:t>ände darauf hinweisen, dass ihr Buchwert womöglich nicht erzielbar ist. Ein Wertminderungsaufwand wird in Höhe der Differenz zwischen Buchwert und erzielbarem Veräußerungswert der Vermögenswerte abgeschrieben. Der erzielbare Veräußerungswert ist der beizul</w:t>
      </w:r>
      <w:r>
        <w:t>egende Zeitwert des Vermögenswerts abzüglich Verkaufskosten bzw. sein Nutzungswert, je nachdem, welcher von beiden Werten höher ist.</w:t>
      </w:r>
    </w:p>
    <w:p w:rsidR="001609E3" w:rsidRDefault="00E45B63">
      <w:pPr>
        <w:pStyle w:val="Textstand-alone"/>
      </w:pPr>
      <w:r>
        <w:t xml:space="preserve">Restwert und Nutzungsdauer von immateriellen Vermögenswerten und Grundstücken und Gebäuden, Betriebs- und </w:t>
      </w:r>
      <w:r>
        <w:t>Geschäftsausstattung werden mindestens einmal pro Jahr überprüft und gegebenenfalls berichtigt. Der Buchwert eines Vermögenswerts wird, wenn er höher ist als der durch Veräußerung erzielbare Wert, unmittelbar auf den erzielbaren Wert abgeschrieben. Wenn di</w:t>
      </w:r>
      <w:r>
        <w:t>e Ursachen für in vorangehenden Jahren erfasste Wertminderungen nicht mehr gültig sind, werden die Wertminderungsaufwendungen entsprechend aufgehoben.</w:t>
      </w:r>
      <w:r>
        <w:tab/>
      </w:r>
    </w:p>
    <w:p w:rsidR="001609E3" w:rsidRDefault="00E45B63">
      <w:pPr>
        <w:pStyle w:val="HEADER3Part2"/>
        <w:rPr>
          <w:noProof/>
        </w:rPr>
      </w:pPr>
      <w:bookmarkStart w:id="237" w:name="_Ref471899148"/>
      <w:r>
        <w:rPr>
          <w:noProof/>
        </w:rPr>
        <w:t>Finanzielle Vermögenswerte</w:t>
      </w:r>
      <w:bookmarkEnd w:id="237"/>
    </w:p>
    <w:p w:rsidR="001609E3" w:rsidRDefault="00E45B63">
      <w:pPr>
        <w:pStyle w:val="Textstand-alone"/>
      </w:pPr>
      <w:r>
        <w:t>Die finanziellen Vermögenswerte werden in folgende Kategorien eingeteilt: erg</w:t>
      </w:r>
      <w:r>
        <w:t xml:space="preserve">ebniswirksam zum beizulegenden Zeitwert erfasste finanzielle Vermögenswerte, Kredite und Forderungen, bis zur Endfälligkeit zu haltende Investitionen und zur Veräußerung verfügbare finanzielle Vermögenswerte. Die Einstufung der Finanzinstrumente wird beim </w:t>
      </w:r>
      <w:r>
        <w:t>erstmaligen Ansatz festgelegt und an jedem Abschlussstichtag erneut bewertet.</w:t>
      </w:r>
    </w:p>
    <w:p w:rsidR="001609E3" w:rsidRDefault="00E45B63">
      <w:pPr>
        <w:pStyle w:val="TextSubtitlenumberingRCItalic"/>
        <w:numPr>
          <w:ilvl w:val="0"/>
          <w:numId w:val="17"/>
        </w:numPr>
        <w:ind w:left="426" w:hanging="426"/>
        <w:rPr>
          <w:noProof/>
        </w:rPr>
      </w:pPr>
      <w:r>
        <w:rPr>
          <w:noProof/>
        </w:rPr>
        <w:t>Zum beizulegenden Zeitwert erfolgswirksam erfasste finanzielle Vermögenswerte</w:t>
      </w:r>
    </w:p>
    <w:p w:rsidR="001609E3" w:rsidRDefault="00E45B63">
      <w:pPr>
        <w:pStyle w:val="Textstand-alone"/>
      </w:pPr>
      <w:r>
        <w:t>Ein finanzieller Vermögenswert wird in diese Kategorie eingestuft, wenn er hauptsächlich zum Zweck d</w:t>
      </w:r>
      <w:r>
        <w:t>er kurzfristigen Veräußerung erworben oder von dem Rechtssubjekt als solcher ausgewiesen wird. Auch Derivate werden in dieser Kategorie erfasst. Vermögenswerte dieser Kategorie werden als kurzfristige Vermögenswerte behandelt, falls von einem Verkauf inner</w:t>
      </w:r>
      <w:r>
        <w:t>halb von 12 Monaten nach dem Abschlussstichtag auszugehen ist. In diesem Haushaltsjahr hielt das Rechtssubjekt keine Investitionen dieser Kategorie.</w:t>
      </w:r>
    </w:p>
    <w:p w:rsidR="001609E3" w:rsidRDefault="00E45B63">
      <w:pPr>
        <w:pStyle w:val="TextSubtitlenumberingRCItalic"/>
        <w:numPr>
          <w:ilvl w:val="0"/>
          <w:numId w:val="17"/>
        </w:numPr>
        <w:ind w:left="426" w:hanging="426"/>
        <w:rPr>
          <w:noProof/>
        </w:rPr>
      </w:pPr>
      <w:r>
        <w:rPr>
          <w:noProof/>
        </w:rPr>
        <w:t>Kredite und Forderungen</w:t>
      </w:r>
    </w:p>
    <w:p w:rsidR="001609E3" w:rsidRDefault="00E45B63">
      <w:pPr>
        <w:pStyle w:val="Textstand-alone"/>
      </w:pPr>
      <w:r>
        <w:t>Kredite und Forderungen sind nicht derivative finanzielle Vermögenswerte mit festen</w:t>
      </w:r>
      <w:r>
        <w:t xml:space="preserve"> oder bestimmbaren Zahlungen, die nicht an einem aktiven Markt notiert sind. Sie entstehen, wenn das Rechtssubjekt einem Schuldner unmittelbar Geld, Waren oder Dienstleistungen bereitstellt, dabei aber keinen Handel mit der Forderung beabsichtigt. Mit Ausn</w:t>
      </w:r>
      <w:r>
        <w:t>ahme von Anleihen mit Fälligkeiten unter 12 Monaten nach dem Abschlussstichtag werden sie als langfristige Verbindlichkeiten erfasst. Auch Termingelder mit einer ursprünglichen Laufzeit von über drei Monaten zählen zu den Krediten und Forderungen.</w:t>
      </w:r>
    </w:p>
    <w:p w:rsidR="001609E3" w:rsidRDefault="00E45B63">
      <w:pPr>
        <w:pStyle w:val="TextSubtitlenumberingRCItalic"/>
        <w:numPr>
          <w:ilvl w:val="0"/>
          <w:numId w:val="17"/>
        </w:numPr>
        <w:ind w:left="426" w:hanging="426"/>
        <w:rPr>
          <w:noProof/>
        </w:rPr>
      </w:pPr>
      <w:r>
        <w:rPr>
          <w:noProof/>
        </w:rPr>
        <w:t xml:space="preserve">Bis zur </w:t>
      </w:r>
      <w:r>
        <w:rPr>
          <w:noProof/>
        </w:rPr>
        <w:t>Endfälligkeit zu haltende Investitionen</w:t>
      </w:r>
    </w:p>
    <w:p w:rsidR="001609E3" w:rsidRDefault="00E45B63">
      <w:pPr>
        <w:pStyle w:val="Textstand-alone"/>
      </w:pPr>
      <w:r>
        <w:t>Bis zur Endfälligkeit zu haltende Investitionen sind nicht derivative finanzielle Vermögenswerte mit festen oder bestimmbaren Zahlungen und festen Endfälligkeiten, bei denen das Rechtssubjekt die Absicht und Fähigkei</w:t>
      </w:r>
      <w:r>
        <w:t xml:space="preserve">t hat, sie bis zu Endfälligkeit zu halten. In diesem Haushaltsjahr hielt das Rechtssubjekt keine Investitionen dieser Kategorie. </w:t>
      </w:r>
    </w:p>
    <w:p w:rsidR="001609E3" w:rsidRDefault="00E45B63">
      <w:pPr>
        <w:pStyle w:val="TextSubtitlenumberingRCItalic"/>
        <w:numPr>
          <w:ilvl w:val="0"/>
          <w:numId w:val="17"/>
        </w:numPr>
        <w:ind w:left="426" w:hanging="426"/>
        <w:rPr>
          <w:noProof/>
        </w:rPr>
      </w:pPr>
      <w:r>
        <w:rPr>
          <w:noProof/>
        </w:rPr>
        <w:t>Zur Veräußerung verfügbaren finanziellen Vermögenswerten</w:t>
      </w:r>
    </w:p>
    <w:p w:rsidR="001609E3" w:rsidRDefault="00E45B63">
      <w:pPr>
        <w:pStyle w:val="Textstand-alone"/>
      </w:pPr>
      <w:r>
        <w:t>Zur Veräußerung verfügbare finanzielle Vermögenswerte sind nicht derivative Anlagen, die entweder ausdrücklich in diese Kategorie eingeordnet werden oder unter keine der anderen Kategorien fallen. Sie werden entweder als kurzfristige oder langfristige Verm</w:t>
      </w:r>
      <w:r>
        <w:t xml:space="preserve">ögenswerte klassifiziert, je nachdem, in welchem Zeitraum das Rechtssubjekt beabsichtigt, sie zu halten (in der Regel bis zum Fälligkeitstermin). </w:t>
      </w:r>
    </w:p>
    <w:p w:rsidR="001609E3" w:rsidRDefault="00E45B63">
      <w:pPr>
        <w:pStyle w:val="HEADER5"/>
        <w:keepNext/>
        <w:keepLines/>
        <w:rPr>
          <w:noProof/>
        </w:rPr>
      </w:pPr>
      <w:r>
        <w:rPr>
          <w:noProof/>
        </w:rPr>
        <w:t>Erstmaliger Ansatz und Bewertung</w:t>
      </w:r>
    </w:p>
    <w:p w:rsidR="001609E3" w:rsidRDefault="00E45B63">
      <w:pPr>
        <w:pStyle w:val="Textstand-alone"/>
        <w:keepNext/>
        <w:keepLines/>
      </w:pPr>
      <w:r>
        <w:t>Käufe und Verkäufe von finanziellen Vermögenswerten der Kategorien „erfolgsw</w:t>
      </w:r>
      <w:r>
        <w:t>irksam zum beizulegenden Zeitwert erfasst“, „bis zur Endfälligkeit zu haltend“ und „zur Veräußerung verfügbar“ werden am Handelstag – dem Datum, an dem das Rechtssubjekt sich zum Kauf oder Verkauf des Vermögenswerts verpflichtet – erfasst. Zahlungsmitteläq</w:t>
      </w:r>
      <w:r>
        <w:t>uivalente, Kredite und Termingelder werden am Erfüllungstag angesetzt. Finanzinstrumente werden erstmalig zum beizulegenden Zeitwert angesetzt. Alle finanziellen Vermögenswerte, die nicht zum beizulegenden Zeitwert erfolgswirksam erfasst werden, werden anf</w:t>
      </w:r>
      <w:r>
        <w:t>angs zum beizulegenden Zeitwert zuzüglich Transaktionskosten erfasst.</w:t>
      </w:r>
    </w:p>
    <w:p w:rsidR="001609E3" w:rsidRDefault="00E45B63">
      <w:pPr>
        <w:pStyle w:val="Textstand-alone"/>
      </w:pPr>
      <w:r>
        <w:t>Finanzinstrumente werden ausgebucht, wenn die Zahlungsansprüche aus den Investitionen erloschen sind oder das Rechtssubjekt im Wesentlichen alle diesbezüglichen Risiken und Erträge an ei</w:t>
      </w:r>
      <w:r>
        <w:t>ne andere Partei übertragen hat.</w:t>
      </w:r>
    </w:p>
    <w:p w:rsidR="001609E3" w:rsidRDefault="00E45B63">
      <w:pPr>
        <w:pStyle w:val="HEADER5"/>
        <w:keepNext/>
        <w:keepLines/>
        <w:rPr>
          <w:noProof/>
        </w:rPr>
      </w:pPr>
      <w:r>
        <w:rPr>
          <w:noProof/>
        </w:rPr>
        <w:t>Folgebewertung</w:t>
      </w:r>
    </w:p>
    <w:p w:rsidR="001609E3" w:rsidRDefault="00E45B63">
      <w:pPr>
        <w:pStyle w:val="Textstand-alone"/>
        <w:keepNext/>
        <w:keepLines/>
      </w:pPr>
      <w:r>
        <w:t>Zum beizulegenden Zeitwert erfolgswirksam erfasste finanzielle Vermögenswerte werden anschließend zum beizulegenden Zeitwert verbucht, wobei die aus Gewinnen und Verlusten entstehenden Änderungen in die Ergeb</w:t>
      </w:r>
      <w:r>
        <w:t>nisrechnung für den Zeitraum, in dem diese Änderungen entstehen, aufgenommen werden.</w:t>
      </w:r>
    </w:p>
    <w:p w:rsidR="001609E3" w:rsidRDefault="00E45B63">
      <w:pPr>
        <w:pStyle w:val="Textstand-alone"/>
      </w:pPr>
      <w:r>
        <w:t>Kredite und Forderungen sowie bis zur Endfälligkeit zu haltende Investitionen werden anhand der Effektivzinsmethode zu fortgeführten Anschaffungskosten bewertet.</w:t>
      </w:r>
    </w:p>
    <w:p w:rsidR="001609E3" w:rsidRDefault="00E45B63">
      <w:pPr>
        <w:pStyle w:val="Textstand-alone"/>
      </w:pPr>
      <w:r>
        <w:t>Zur Veräu</w:t>
      </w:r>
      <w:r>
        <w:t>ßerung verfügbare finanzielle Vermögenswerte werden anschließend zum beizulegenden Zeitwert verbucht. Gewinne und Verluste, die aufgrund von Änderungen des in der Neubewertungsreserve angesetzten beizulegenden Zeitwerts entstehen. Nach der Effektivzinsmeth</w:t>
      </w:r>
      <w:r>
        <w:t xml:space="preserve">ode berechnete Zinsen auf zur Veräußerung verfügbare finanziellen Vermögenswerten werden in der Ergebnisrechnung angesetzt. </w:t>
      </w:r>
    </w:p>
    <w:p w:rsidR="001609E3" w:rsidRDefault="00E45B63">
      <w:pPr>
        <w:pStyle w:val="Textstand-alone"/>
      </w:pPr>
      <w:r>
        <w:t>Das Rechtssubjekt prüft zu jedem Abschlussstichtag, ob objektive Hinweise darauf schließen lassen, dass eine Wertminderung eines fi</w:t>
      </w:r>
      <w:r>
        <w:t xml:space="preserve">nanziellen Vermögenswertes vorliegt. Es prüft ferner, ob in der Ergebnisrechnung Wertminderungsaufwendungen erfasst werden sollten.     </w:t>
      </w:r>
    </w:p>
    <w:p w:rsidR="001609E3" w:rsidRDefault="00E45B63">
      <w:pPr>
        <w:pStyle w:val="HEADER3Part2"/>
        <w:rPr>
          <w:noProof/>
        </w:rPr>
      </w:pPr>
      <w:r>
        <w:rPr>
          <w:noProof/>
        </w:rPr>
        <w:t>Vorfinanzierungen</w:t>
      </w:r>
    </w:p>
    <w:p w:rsidR="001609E3" w:rsidRDefault="00E45B63">
      <w:pPr>
        <w:pStyle w:val="Textstand-alone"/>
      </w:pPr>
      <w:r>
        <w:t xml:space="preserve">Vorfinanzierungen sind Zahlungen, mit denen dem Empfänger ein Vorschuss, d. h. Startkapital, gewährt </w:t>
      </w:r>
      <w:r>
        <w:t>werden soll. Sie können auf mehrere Teilzahlungen über einen in dem jeweiligen Vertrag, Beschluss, der Vereinbarung oder dem Basisrechtsakt festgelegten Zeitraum aufgeteilt werden. Das Startkapital bzw. der Vorschuss muss innerhalb der vertraglich festgele</w:t>
      </w:r>
      <w:r>
        <w:t>gten Frist für die vereinbarten Zwecke verwendet oder zurückgezahlt werden. Tätigt der Empfänger keine förderfähigen Ausgaben, ist er zur Rückzahlung der Vorfinanzierung an das Rechtssubjekt verpflichtet. Der Vorfinanzierungsbetrag kann (ganz oder teilweis</w:t>
      </w:r>
      <w:r>
        <w:t>e) durch die Anerkennung förderfähiger Kosten (die als Aufwendungen erfasst werden) gesenkt werden.</w:t>
      </w:r>
    </w:p>
    <w:p w:rsidR="001609E3" w:rsidRDefault="00E45B63">
      <w:pPr>
        <w:pStyle w:val="Textstand-alone"/>
      </w:pPr>
      <w:r>
        <w:t>Vorfinanzierungen werden an darauffolgenden Abschlussstichtagen zum anfänglich in der Vermögensübersicht angesetzten Betrag abzüglich während des Berichtsze</w:t>
      </w:r>
      <w:r>
        <w:t>itraums entstandener förderfähiger Aufwendungen (gegebenenfalls unter Einschluss von Schätzungen) bewertet.</w:t>
      </w:r>
    </w:p>
    <w:p w:rsidR="001609E3" w:rsidRDefault="00E45B63">
      <w:pPr>
        <w:pStyle w:val="HEADER3Part2"/>
        <w:rPr>
          <w:noProof/>
        </w:rPr>
      </w:pPr>
      <w:r>
        <w:rPr>
          <w:noProof/>
        </w:rPr>
        <w:t>Forderungen und einzuziehende Beträge</w:t>
      </w:r>
    </w:p>
    <w:p w:rsidR="001609E3" w:rsidRDefault="00E45B63">
      <w:pPr>
        <w:pStyle w:val="Textstand-alone"/>
      </w:pPr>
      <w:r>
        <w:t>Da die EU-Rechnungslegungsvorschriften eine separate Ausweisung von Transaktionen mit und ohne Leistungsaustau</w:t>
      </w:r>
      <w:r>
        <w:t xml:space="preserve">sch verlangen, werden für die Erstellung des Jahresabschlusses „Forderungen“ als Ansprüche aus Transaktionen ohne Leistungsaustausch definiert und „einzuziehende Beträge“ als Ansprüche aus Transaktionen mit Leistungsaustausch (d. h. wenn das Rechtssubjekt </w:t>
      </w:r>
      <w:r>
        <w:t>von einem anderen Rechtssubjekt einen Wert erhält, ohne im Gegenzug einen annähernd gleichen Wert zu übergeben).</w:t>
      </w:r>
    </w:p>
    <w:p w:rsidR="001609E3" w:rsidRDefault="00E45B63">
      <w:pPr>
        <w:pStyle w:val="Textstand-alone"/>
      </w:pPr>
      <w:r>
        <w:t>Forderungen aus Transaktionen mit Leistungsaustausch erfüllen die Definition von Finanzinstrumenten und werden deshalb als Kredite und Forderun</w:t>
      </w:r>
      <w:r>
        <w:t>gen klassifiziert und entsprechend erfasst (siehe 1.3.4 oben).</w:t>
      </w:r>
    </w:p>
    <w:p w:rsidR="001609E3" w:rsidRDefault="00E45B63">
      <w:pPr>
        <w:pStyle w:val="Textstand-alone"/>
      </w:pPr>
      <w:r>
        <w:t>Einzuziehende Beträge aus Transaktionen ohne Leistungsaustausch werden in ihrer ursprünglichen Höhe (um Zinsen und Geldbußen angepasst) abzüglich Wertminderungsabschreibungen erfasst. Eine Wert</w:t>
      </w:r>
      <w:r>
        <w:t>minderungsabschreibung erfolgt, wenn objektive Hinweise vorliegen, dass es dem Rechtssubjekt nicht möglich sein wird, alle Beträge entsprechend den ursprünglichen Konditionen einzuziehen. Die Höhe der Abschreibung entspricht der Differenz zwischen dem Buch</w:t>
      </w:r>
      <w:r>
        <w:t>wert des Vermögenswerts und dem einzuziehenden Betrag. Die Höhe der Abschreibungen wird in der Ergebnisrechnung erfasst.</w:t>
      </w:r>
    </w:p>
    <w:p w:rsidR="001609E3" w:rsidRDefault="00E45B63">
      <w:pPr>
        <w:pStyle w:val="HEADER3Part2"/>
        <w:rPr>
          <w:noProof/>
        </w:rPr>
      </w:pPr>
      <w:r>
        <w:rPr>
          <w:noProof/>
        </w:rPr>
        <w:t>Zahlungsmitteln und Zahlungsmitteläquivalenten</w:t>
      </w:r>
    </w:p>
    <w:p w:rsidR="001609E3" w:rsidRDefault="00E45B63">
      <w:pPr>
        <w:pStyle w:val="Textstand-alone"/>
      </w:pPr>
      <w:r>
        <w:t>Zahlungsmittel und Zahlungsmitteläquivalente sind Finanzinstrumente und umfassen Kassenb</w:t>
      </w:r>
      <w:r>
        <w:t>estände, kurzfristig verfügbare Bankeinlagen und sonstige kurzfristige hochliquide Anlagen mit einer ursprünglichen Laufzeit von höchstens drei Monaten.</w:t>
      </w:r>
    </w:p>
    <w:p w:rsidR="001609E3" w:rsidRDefault="00E45B63">
      <w:pPr>
        <w:pStyle w:val="HEADER3Part2"/>
        <w:keepNext/>
        <w:rPr>
          <w:noProof/>
        </w:rPr>
      </w:pPr>
      <w:r>
        <w:rPr>
          <w:noProof/>
        </w:rPr>
        <w:t>Rückstellungen</w:t>
      </w:r>
    </w:p>
    <w:p w:rsidR="001609E3" w:rsidRDefault="00E45B63">
      <w:pPr>
        <w:pStyle w:val="Textstand-alone"/>
        <w:keepNext/>
      </w:pPr>
      <w:r>
        <w:t>Rückstellungen werden angesetzt, wenn das Rechtssubjekt aufgrund früherer Ereignisse Dri</w:t>
      </w:r>
      <w:r>
        <w:t>tten gegenüber eine gegenwärtige rechtliche oder faktische Verpflichtung hat und zur Erfüllung dieser Verpflichtung höchstwahrscheinlich ein Mittelabfluss erforderlich sein wird, dessen Höhe zuverlässig geschätzt werden kann. Für künftige operative Verlust</w:t>
      </w:r>
      <w:r>
        <w:t>e werden keine Rückstellungen angesetzt. Die Höhe der Rückstellungen entspricht den bestmöglichen Schätzungen der Ausgaben, die voraussichtlich zur Erfüllung der jeweiligen Verpflichtungen am Abschlussstichtag getätigt werden müssen. Umfasst eine Rückstell</w:t>
      </w:r>
      <w:r>
        <w:t>ung eine große Anzahl an Positionen, wird die Verpflichtung durch Gewichtung aller möglichen Ergebnisse nach ihrem jeweiligen Wahrscheinlichkeitsgrad („Erwartungswertmethode“) geschätzt.</w:t>
      </w:r>
    </w:p>
    <w:p w:rsidR="001609E3" w:rsidRDefault="00E45B63">
      <w:pPr>
        <w:pStyle w:val="HEADER3Part2"/>
        <w:keepNext/>
        <w:rPr>
          <w:noProof/>
        </w:rPr>
      </w:pPr>
      <w:r>
        <w:rPr>
          <w:noProof/>
        </w:rPr>
        <w:t>Verbindlichkeiten</w:t>
      </w:r>
    </w:p>
    <w:p w:rsidR="001609E3" w:rsidRDefault="00E45B63">
      <w:pPr>
        <w:pStyle w:val="Textstand-alone"/>
        <w:keepNext/>
      </w:pPr>
      <w:r>
        <w:t>Unter den Verbindlichkeiten erscheinen sowohl Beträ</w:t>
      </w:r>
      <w:r>
        <w:t>ge im Zusammenhang mit Transaktionen mit Leistungsaustausch, beispielsweise der Erwerb von Lieferungen oder Leistungen, als auch Beträge im Zusammenhang mit Transaktion ohne Leistungsaustausch wie beispielsweise Zahlungsanträge von Empfängern von Finanzhil</w:t>
      </w:r>
      <w:r>
        <w:t xml:space="preserve">fen oder sonstigen EU-Finanzmitteln. </w:t>
      </w:r>
    </w:p>
    <w:p w:rsidR="001609E3" w:rsidRDefault="00E45B63">
      <w:pPr>
        <w:pStyle w:val="Textstand-alone"/>
        <w:keepNext/>
      </w:pPr>
      <w:r>
        <w:t>Erhalten die Empfänger Finanzhilfen oder sonstige Finanzmittel, werden die Zahlungsanträge in Höhe der beantragten Summe als Verbindlichkeiten ausgewiesen, sobald der Zahlungsantrag eingeht. Im Anschluss an die Überprü</w:t>
      </w:r>
      <w:r>
        <w:t>fung und Annahme der förderfähigen Kosten werden die Verbindlichkeiten in Höhe des Betrags bewertet, der als förderfähig akzeptiert wurde.</w:t>
      </w:r>
    </w:p>
    <w:p w:rsidR="001609E3" w:rsidRDefault="00E45B63">
      <w:pPr>
        <w:pStyle w:val="Textstand-alone"/>
      </w:pPr>
      <w:r>
        <w:t>Verbindlichkeiten aus dem Erwerb von Lieferungen und Leistungen werden bei Rechnungseingang in der Höhe des ursprüngl</w:t>
      </w:r>
      <w:r>
        <w:t>ichen Betrages erfasst und die zugehörigen Aufwendungen werden verbucht, sobald die betreffenden Lieferungen und Leistungen erbracht und von dem Rechtssubjekt abgenommen wurden.</w:t>
      </w:r>
    </w:p>
    <w:p w:rsidR="001609E3" w:rsidRDefault="00E45B63">
      <w:pPr>
        <w:pStyle w:val="HEADER3Part2"/>
        <w:rPr>
          <w:noProof/>
        </w:rPr>
      </w:pPr>
      <w:r>
        <w:rPr>
          <w:noProof/>
        </w:rPr>
        <w:t>Antizipative Aktiva und transitorische Passiva</w:t>
      </w:r>
    </w:p>
    <w:p w:rsidR="001609E3" w:rsidRDefault="00E45B63">
      <w:pPr>
        <w:pStyle w:val="DGTextstand-alone"/>
      </w:pPr>
      <w:r>
        <w:t xml:space="preserve">Im Jahresabschluss werden </w:t>
      </w:r>
      <w:r>
        <w:t>Transaktionen und Ereignisse in dem Zeitraum ausgewiesen, auf den sie sich beziehen. Wenn bis zum Jahresende keine Rechnung ausgestellt wurde, aber die Leistung erbracht wurde, die Lieferungen durch das Rechtssubjekt erfolgt sind oder (z. B. aufgrund eines</w:t>
      </w:r>
      <w:r>
        <w:t xml:space="preserve"> Vertrags) eine vertragliche Vereinbarung besteht, dann wird in den Jahresabschlüssen ein antizipativer Aktivposten erfasst. Wenn vor dem Jahresende eine Rechnung ausgestellt wurde, aber die Leistungen noch nicht erbracht oder die Lieferungen noch nicht vo</w:t>
      </w:r>
      <w:r>
        <w:t>rgenommen wurden, dann werden die Einnahmen  passiv abgegrenzt und in der nächsten Rechnungsperiode erfasst.</w:t>
      </w:r>
    </w:p>
    <w:p w:rsidR="001609E3" w:rsidRDefault="00E45B63">
      <w:pPr>
        <w:pStyle w:val="DGTextstand-alone"/>
      </w:pPr>
      <w:r>
        <w:t>Auch Aufwendungen werden in dem Zeitraum erfasst, auf den sie sich beziehen. Am Ende der Rechnungsperiode werden antizipative Passiva auf der Grund</w:t>
      </w:r>
      <w:r>
        <w:t>lage eines Betrags erfasst, der der geschätzten Höhe der für die Periode fälligen Transferverpflichtung entspricht. Die Berechnung antizipativer Passiva erfolgt gemäß detaillierten operationellen und praktischen Leitlinien, die der Rechnungsführer herausge</w:t>
      </w:r>
      <w:r>
        <w:t>geben hat, um sicherzustellen, dass die Jahresabschlüsse gemäß ihrem Anspruch ein den tatsächlichen Verhältnissen entsprechendes Bild der wirtschaftlichen und sonstigen Verhältnisse abgeben. Analog dazu werden Ausgaben, die dadurch entstanden, dass Zahlung</w:t>
      </w:r>
      <w:r>
        <w:t xml:space="preserve">en für noch nicht empfangene Waren oder Dienstleistungen geleistet wurden, passiv abgegrenzt und in der nächsten Rechnungsperiode erfasst. </w:t>
      </w:r>
    </w:p>
    <w:p w:rsidR="001609E3" w:rsidRDefault="00E45B63">
      <w:pPr>
        <w:rPr>
          <w:rFonts w:ascii="Verdana" w:hAnsi="Verdana"/>
          <w:b/>
          <w:noProof/>
          <w:color w:val="016794"/>
          <w:sz w:val="28"/>
          <w:szCs w:val="28"/>
        </w:rPr>
      </w:pPr>
      <w:r>
        <w:rPr>
          <w:noProof/>
        </w:rPr>
        <w:br w:type="page"/>
      </w:r>
    </w:p>
    <w:p w:rsidR="001609E3" w:rsidRDefault="00E45B63">
      <w:pPr>
        <w:pStyle w:val="HEADER2Part2"/>
        <w:rPr>
          <w:noProof/>
        </w:rPr>
      </w:pPr>
      <w:r>
        <w:rPr>
          <w:noProof/>
        </w:rPr>
        <w:t>ERGEBNISRECHNUNG</w:t>
      </w:r>
    </w:p>
    <w:p w:rsidR="001609E3" w:rsidRDefault="00E45B63">
      <w:pPr>
        <w:pStyle w:val="HEADER3Part2"/>
        <w:rPr>
          <w:noProof/>
        </w:rPr>
      </w:pPr>
      <w:r>
        <w:rPr>
          <w:noProof/>
        </w:rPr>
        <w:t>Einnahmen</w:t>
      </w:r>
    </w:p>
    <w:p w:rsidR="001609E3" w:rsidRDefault="00E45B63">
      <w:pPr>
        <w:pStyle w:val="Textstand-alone"/>
      </w:pPr>
      <w:r>
        <w:t>Unter Einnahmen fallen Bruttozuflüsse an wirtschaftlichem Nutzen oder Nutzungspotenzial</w:t>
      </w:r>
      <w:r>
        <w:t xml:space="preserve">, die das Rechtssubjekt empfängt und auf die es Anspruch hat und die eine Erhöhung des Nettovermögens darstellen; Erhöhungen im Zusammenhang mit Beiträgen von Eigentümern zählen nicht dazu. </w:t>
      </w:r>
    </w:p>
    <w:p w:rsidR="001609E3" w:rsidRDefault="00E45B63">
      <w:pPr>
        <w:pStyle w:val="Textstand-alone"/>
      </w:pPr>
      <w:r>
        <w:t xml:space="preserve">Je nach Beschaffenheit der zugrunde liegenden Transaktionen wird </w:t>
      </w:r>
      <w:r>
        <w:t xml:space="preserve">in der Ergebnisrechnung unterschieden zwischen:  </w:t>
      </w:r>
    </w:p>
    <w:p w:rsidR="001609E3" w:rsidRDefault="00E45B63">
      <w:pPr>
        <w:pStyle w:val="TextSubtitlenumberingRCItalic"/>
        <w:numPr>
          <w:ilvl w:val="0"/>
          <w:numId w:val="18"/>
        </w:numPr>
        <w:rPr>
          <w:noProof/>
        </w:rPr>
      </w:pPr>
      <w:r>
        <w:rPr>
          <w:noProof/>
        </w:rPr>
        <w:t>Einnahmen aus Transaktionen ohne Leistungsaustausch</w:t>
      </w:r>
    </w:p>
    <w:p w:rsidR="001609E3" w:rsidRDefault="00E45B63">
      <w:pPr>
        <w:rPr>
          <w:rFonts w:ascii="Verdana" w:hAnsi="Verdana"/>
          <w:noProof/>
          <w:sz w:val="18"/>
          <w:szCs w:val="18"/>
        </w:rPr>
      </w:pPr>
      <w:r>
        <w:rPr>
          <w:rFonts w:ascii="Verdana" w:hAnsi="Verdana"/>
          <w:noProof/>
          <w:sz w:val="18"/>
        </w:rPr>
        <w:t>Bei Einnahmen aus Transaktionen ohne Leistungsaustausch handelt es sich um Steuern und Transferleistungen, da der Übertragende dem empfangenden Rechtssubjekt Mittel zur Verfügung stellt, ohne dass das empfangende Rechtssubjekt dafür unmittelbar einen ungef</w:t>
      </w:r>
      <w:r>
        <w:rPr>
          <w:rFonts w:ascii="Verdana" w:hAnsi="Verdana"/>
          <w:noProof/>
          <w:sz w:val="18"/>
        </w:rPr>
        <w:t xml:space="preserve">ähr gleichen Wert bereitstellt. </w:t>
      </w:r>
    </w:p>
    <w:p w:rsidR="001609E3" w:rsidRDefault="00E45B63">
      <w:pPr>
        <w:rPr>
          <w:rFonts w:ascii="Verdana" w:hAnsi="Verdana"/>
          <w:noProof/>
          <w:sz w:val="18"/>
          <w:szCs w:val="18"/>
        </w:rPr>
      </w:pPr>
      <w:r>
        <w:rPr>
          <w:rFonts w:ascii="Verdana" w:hAnsi="Verdana"/>
          <w:noProof/>
          <w:sz w:val="18"/>
        </w:rPr>
        <w:t>Bei Transferleistungen handelt es sich um das Eintreten eines künftigen wirtschaftlichen Nutzens oder Nutzungspotenzials aus Transaktionen ohne Leistungsaustausch (außer Steuern). Das Rechtssubjekt setzt für Transferleistun</w:t>
      </w:r>
      <w:r>
        <w:rPr>
          <w:rFonts w:ascii="Verdana" w:hAnsi="Verdana"/>
          <w:noProof/>
          <w:sz w:val="18"/>
        </w:rPr>
        <w:t>gen einen Vermögenswert an, wenn es aufgrund eines früheren Ereignisses (den Transfer) die Kontrolle über die Ressourcen hat und erwartet, aus diesen Ressourcen künftigen wirtschaftlichen Nutzen oder künftige Nutzungspotenziale zu erhalten. Eine weitere Vo</w:t>
      </w:r>
      <w:r>
        <w:rPr>
          <w:rFonts w:ascii="Verdana" w:hAnsi="Verdana"/>
          <w:noProof/>
          <w:sz w:val="18"/>
        </w:rPr>
        <w:t>raussetzung ist die verlässliche Bewertung des beizulegenden Zeitwerts. Ein Zufluss an Ressourcen aus einer als Vermögenswert angesetzten Transaktion ohne Leistungsaustausch (d. h. Zahlungsmittel) wird darüber hinaus als Einnahme erfasst, sofern für das Re</w:t>
      </w:r>
      <w:r>
        <w:rPr>
          <w:rFonts w:ascii="Verdana" w:hAnsi="Verdana"/>
          <w:noProof/>
          <w:sz w:val="18"/>
        </w:rPr>
        <w:t>chtssubjekt keine aktuelle Verpflichtung bezüglich dieses Transfers gilt (Bedingung), die erst erfüllt werden muss, bevor die Einnahme erfasst werden kann. Bis zur Erfüllung der Bedingung wird die Einnahme passiv abgegrenzt und als Verbindlichkeit angesetz</w:t>
      </w:r>
      <w:r>
        <w:rPr>
          <w:rFonts w:ascii="Verdana" w:hAnsi="Verdana"/>
          <w:noProof/>
          <w:sz w:val="18"/>
        </w:rPr>
        <w:t>t (empfangene Vorfinanzierung).</w:t>
      </w:r>
    </w:p>
    <w:p w:rsidR="001609E3" w:rsidRDefault="001609E3">
      <w:pPr>
        <w:rPr>
          <w:rFonts w:ascii="Verdana" w:hAnsi="Verdana"/>
          <w:noProof/>
          <w:sz w:val="18"/>
          <w:szCs w:val="18"/>
        </w:rPr>
      </w:pPr>
    </w:p>
    <w:p w:rsidR="001609E3" w:rsidRDefault="00E45B63">
      <w:pPr>
        <w:pStyle w:val="TextSubtitlenumberingRCItalic"/>
        <w:numPr>
          <w:ilvl w:val="0"/>
          <w:numId w:val="18"/>
        </w:numPr>
        <w:rPr>
          <w:noProof/>
        </w:rPr>
      </w:pPr>
      <w:r>
        <w:rPr>
          <w:noProof/>
        </w:rPr>
        <w:t>Einnahmen aus Transaktionen mit Leistungsaustausch</w:t>
      </w:r>
    </w:p>
    <w:p w:rsidR="001609E3" w:rsidRDefault="00E45B63">
      <w:pPr>
        <w:pStyle w:val="Textstand-alone"/>
      </w:pPr>
      <w:r>
        <w:t>Einnahmen aus dem Verkauf von Gütern und Dienstleistungen werden zum Zeitpunkt des Übergangs der wesentlichen Risiken und Einnahmen in Verbindung mit den Gütern auf den Käu</w:t>
      </w:r>
      <w:r>
        <w:t>fer erfasst. Einnahmen im Zusammenhang mit Transaktionen, die die Bereitstellung von Dienstleistungen umfassen, werden unter Bezugnahme auf die Phase der Fertigstellung zum Abschlussstichtag erfasst.</w:t>
      </w:r>
    </w:p>
    <w:p w:rsidR="001609E3" w:rsidRDefault="00E45B63">
      <w:pPr>
        <w:pStyle w:val="HEADER3Part2"/>
        <w:rPr>
          <w:noProof/>
        </w:rPr>
      </w:pPr>
      <w:r>
        <w:rPr>
          <w:noProof/>
        </w:rPr>
        <w:t>Aufwendungen</w:t>
      </w:r>
    </w:p>
    <w:p w:rsidR="001609E3" w:rsidRDefault="00E45B63">
      <w:pPr>
        <w:pStyle w:val="Textstand-alone"/>
      </w:pPr>
      <w:r>
        <w:t>Aufwendungen sind Minderungen des wirtschaf</w:t>
      </w:r>
      <w:r>
        <w:t>tlichen Nutzens oder Nutzungspotenzials, die während des Berichtszeitraums in Form von Abflüssen oder Verbrauch von Vermögenswerten oder Eingehen von Verbindlichkeiten eintreten und zu einem Rückgang des Nettovermögens bzw. Eigenkapitals führen. Sie umfass</w:t>
      </w:r>
      <w:r>
        <w:t xml:space="preserve">en sowohl Aufwendungen aus Transaktionen mit Leistungsaustausch als auch Aufwendungen aus Transaktion ohne Leistungsaustausch. </w:t>
      </w:r>
    </w:p>
    <w:p w:rsidR="001609E3" w:rsidRDefault="00E45B63">
      <w:pPr>
        <w:pStyle w:val="Textstand-alone"/>
      </w:pPr>
      <w:r>
        <w:t xml:space="preserve">Aufwendungen aus Transaktionen mit Leistungsaustausch, die aus dem Erwerb von Gütern und Leistungen entstehen, werden mit ihrer </w:t>
      </w:r>
      <w:r>
        <w:t>Lieferung und Annahme durch das Rechtssubjekt erfasst. Sie werden zum ursprünglichen Rechnungsbetrag bewertet. Zudem werden zum Abschlussstichtag Aufwendungen im Zusammenhang mit der in dem Zeitraum erbrachten Leistung, für die noch keine Rechnung eingegan</w:t>
      </w:r>
      <w:r>
        <w:t xml:space="preserve">gen ist oder akzeptiert wurde, in der Ergebnisrechnung ausgewiesen. </w:t>
      </w:r>
    </w:p>
    <w:p w:rsidR="001609E3" w:rsidRDefault="00E45B63">
      <w:pPr>
        <w:pStyle w:val="Textstand-alone"/>
      </w:pPr>
      <w:r>
        <w:t>Aufwendungen aus Transaktionen ohne Leistungsaustausch machen den überwiegenden Teil der Aufwendungen des Rechtssubjekts aus. Sie beziehen sich auf Transferleistungen an Empfänger und kön</w:t>
      </w:r>
      <w:r>
        <w:t>nen in drei Arten unterteilt werden: Ansprüche, vertragliche Transferzahlungen und Finanzhilfen, Beiträge und Schenkungen nach Ermessen. Transferzahlungen werden im Rechnungszeitraum der Ereignisse, die Anlass zu der betreffenden Zahlung gegeben haben, als</w:t>
      </w:r>
      <w:r>
        <w:t xml:space="preserve"> Aufwendungen verbucht, wenn die Art der Transferzahlung durch eine Rechtsvorschrift gedeckt ist oder zur Genehmigung der Transferzahlung eine Vereinbarung unterzeichnet wurde und wenn außerdem der Empfänger alle Förderkriterien erfüllt und eine vernünftig</w:t>
      </w:r>
      <w:r>
        <w:t>e Schätzung des Betrages möglich ist.</w:t>
      </w:r>
    </w:p>
    <w:p w:rsidR="001609E3" w:rsidRDefault="00E45B63">
      <w:pPr>
        <w:pStyle w:val="Textstand-alone"/>
      </w:pPr>
      <w:r>
        <w:t>Geht ein Antrag auf Zahlung oder Kostenvergütung ein und entspricht er den Zulassungskriterien, so wird er in Höhe des förderfähigen Betrages als Aufwand verbucht. Bis zum Jahresende entstandene förderfähige Aufwendung</w:t>
      </w:r>
      <w:r>
        <w:t>en, die bereits zur Zahlung an die Empfänger fällig sind, aber noch nicht gemeldet wurden, werden geschätzt und als antizipative Passiva erfasst.</w:t>
      </w:r>
    </w:p>
    <w:p w:rsidR="001609E3" w:rsidRDefault="00E45B63">
      <w:pPr>
        <w:pStyle w:val="HEADER2Part2"/>
        <w:keepNext/>
        <w:keepLines/>
        <w:rPr>
          <w:noProof/>
        </w:rPr>
      </w:pPr>
      <w:r>
        <w:rPr>
          <w:noProof/>
        </w:rPr>
        <w:t xml:space="preserve">EVENTUALFORDERUNGEN UND </w:t>
      </w:r>
      <w:r>
        <w:rPr>
          <w:noProof/>
        </w:rPr>
        <w:noBreakHyphen/>
        <w:t>VERBINDLICHKEITEN</w:t>
      </w:r>
    </w:p>
    <w:p w:rsidR="001609E3" w:rsidRDefault="00E45B63">
      <w:pPr>
        <w:pStyle w:val="HEADER3Part2"/>
        <w:keepNext/>
        <w:keepLines/>
        <w:rPr>
          <w:noProof/>
        </w:rPr>
      </w:pPr>
      <w:r>
        <w:rPr>
          <w:noProof/>
        </w:rPr>
        <w:t xml:space="preserve">Eventualforderungen </w:t>
      </w:r>
    </w:p>
    <w:p w:rsidR="001609E3" w:rsidRDefault="00E45B63">
      <w:pPr>
        <w:pStyle w:val="Textstand-alone"/>
        <w:keepNext/>
        <w:keepLines/>
      </w:pPr>
      <w:r>
        <w:t>Eine Eventualforderung ist ein möglicher, info</w:t>
      </w:r>
      <w:r>
        <w:t>lge vergangener Ereignisse entstehender Vermögenswert, dessen Existenz erst durch das Eintreten oder Nichteintreten eines oder mehrerer ungewisser künftiger Ereignisse, die nicht gänzlich in der Kontrolle des Rechtssubjekts liegen, bestätigt wird. Eine Eve</w:t>
      </w:r>
      <w:r>
        <w:t>ntualforderung wird offengelegt, wenn ein Zufluss an wirtschaftlichem Nutzen oder Nutzungspotenzial wahrscheinlich ist.</w:t>
      </w:r>
    </w:p>
    <w:p w:rsidR="001609E3" w:rsidRDefault="00E45B63">
      <w:pPr>
        <w:pStyle w:val="HEADER3Part2"/>
        <w:rPr>
          <w:noProof/>
        </w:rPr>
      </w:pPr>
      <w:r>
        <w:rPr>
          <w:noProof/>
        </w:rPr>
        <w:t xml:space="preserve">Eventualverbindlichkeiten </w:t>
      </w:r>
    </w:p>
    <w:p w:rsidR="001609E3" w:rsidRDefault="00E45B63">
      <w:pPr>
        <w:pStyle w:val="Textstand-alone"/>
      </w:pPr>
      <w:r>
        <w:t>Eine Eventualverbindlichkeit ist eine mögliche Verpflichtung infolge vergangener Ereignisse, deren Existenz e</w:t>
      </w:r>
      <w:r>
        <w:t xml:space="preserve">rst durch das Eintreten oder Nichteintreten eines oder mehrerer ungewisser künftiger Ereignisse, die nicht gänzlich in der Kontrolle des Rechtssubjekts liegen, bestätigt wird; eine Eventualverbindlichkeit kann auch eine gegenwärtige, Verpflichtung infolge </w:t>
      </w:r>
      <w:r>
        <w:t>vergangener Ereignisse sein, die nicht angesetzt wird, weil es nicht wahrscheinlich ist, dass Mittel, mit denen ein wirtschaftlicher Nutzen oder ein Nutzungspotenzial verbunden ist, zur Erfüllung der Verpflichtung abgeführt werden müssen, oder weil in selt</w:t>
      </w:r>
      <w:r>
        <w:t>enen Fällen die Höhe der Verpflichtung nicht ausreichend zuverlässig ermittelt werden kann.</w:t>
      </w:r>
    </w:p>
    <w:bookmarkEnd w:id="192"/>
    <w:bookmarkEnd w:id="193"/>
    <w:p w:rsidR="001609E3" w:rsidRDefault="001609E3">
      <w:pPr>
        <w:pStyle w:val="Textstand-alone"/>
        <w:sectPr w:rsidR="001609E3">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p>
    <w:p w:rsidR="001609E3" w:rsidRDefault="00E45B63">
      <w:pPr>
        <w:pStyle w:val="HEADER2Part2"/>
        <w:rPr>
          <w:noProof/>
        </w:rPr>
      </w:pPr>
      <w:bookmarkStart w:id="238" w:name="_DMBM_9579"/>
      <w:r>
        <w:rPr>
          <w:noProof/>
        </w:rPr>
        <w:t>KOFINANZIERUNG</w:t>
      </w:r>
    </w:p>
    <w:p w:rsidR="001609E3" w:rsidRDefault="00E45B63">
      <w:pPr>
        <w:pStyle w:val="Textstand-alone"/>
      </w:pPr>
      <w:r>
        <w:t xml:space="preserve">Erhaltene Kofinanzierungsbeiträge </w:t>
      </w:r>
      <w:r>
        <w:t>erfüllen die Kriterien von Einnahmen aus bedingten Transaktionen ohne Leistungsaustausch und werden als Verbindlichkeiten gegenüber den Mitgliedstaaten, Nicht-Mitgliedstaaten und Sonstigen ausgewiesen. Der EEF muss die Beiträge für die Erbringung von Diens</w:t>
      </w:r>
      <w:r>
        <w:t>tleistungen an Dritte verwenden. Andernfalls muss er die Vermögenswerte (d. h. die empfangenen Beiträge) zurückzahlen. Die offenen Verbindlichkeiten in Bezug auf Kofinanzierungsvereinbarungen stellen die empfangenen Kofinanzierungsbeiträge abzüglich der im</w:t>
      </w:r>
      <w:r>
        <w:t xml:space="preserve"> Zusammenhang mit dem Projekt entstandenen Aufwendungen dar. Auswirkungen auf das Nettovermögen entstehen nicht.</w:t>
      </w:r>
    </w:p>
    <w:p w:rsidR="001609E3" w:rsidRDefault="00E45B63">
      <w:pPr>
        <w:pStyle w:val="Textstand-alone"/>
      </w:pPr>
      <w:r>
        <w:t>Aufwendungen in Bezug auf Kofinanzierungsprojekte werden angesetzt, sobald sie entstehen. Der entsprechende Betrag der Beiträge wird unter oper</w:t>
      </w:r>
      <w:r>
        <w:t>ativen Einnahmen ausgewiesen; das wirtschaftliche Jahresergebnis ändert sich dadurch nicht.</w:t>
      </w:r>
    </w:p>
    <w:p w:rsidR="001609E3" w:rsidRDefault="001609E3">
      <w:pPr>
        <w:pStyle w:val="Textstand-alone"/>
      </w:pPr>
    </w:p>
    <w:bookmarkEnd w:id="238"/>
    <w:p w:rsidR="001609E3" w:rsidRDefault="001609E3">
      <w:pPr>
        <w:pStyle w:val="Textstand-alone"/>
        <w:spacing w:before="0" w:after="0"/>
        <w:sectPr w:rsidR="001609E3">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8" w:footer="708" w:gutter="0"/>
          <w:cols w:space="708"/>
          <w:docGrid w:linePitch="360"/>
        </w:sectPr>
      </w:pPr>
    </w:p>
    <w:p w:rsidR="001609E3" w:rsidRDefault="00E45B63">
      <w:pPr>
        <w:pStyle w:val="HEADER1Part2"/>
        <w:rPr>
          <w:noProof/>
        </w:rPr>
      </w:pPr>
      <w:bookmarkStart w:id="239" w:name="_DMBM_9514"/>
      <w:r>
        <w:rPr>
          <w:noProof/>
        </w:rPr>
        <w:t>ERLÄUTERUNGEN ZUR VERMÖGENSÜBERSICHT</w:t>
      </w:r>
    </w:p>
    <w:p w:rsidR="001609E3" w:rsidRDefault="00E45B63">
      <w:pPr>
        <w:pStyle w:val="HEADERTABLE"/>
        <w:rPr>
          <w:noProof/>
        </w:rPr>
      </w:pPr>
      <w:r>
        <w:rPr>
          <w:noProof/>
        </w:rPr>
        <w:t xml:space="preserve"> </w:t>
      </w:r>
      <w:bookmarkStart w:id="240" w:name="_DMBM_9448"/>
      <w:bookmarkEnd w:id="239"/>
      <w:r>
        <w:rPr>
          <w:noProof/>
        </w:rPr>
        <w:t>AKTIVA</w:t>
      </w:r>
      <w:bookmarkEnd w:id="240"/>
    </w:p>
    <w:p w:rsidR="001609E3" w:rsidRDefault="00E45B63">
      <w:pPr>
        <w:pStyle w:val="HEADER2Part2"/>
        <w:rPr>
          <w:noProof/>
        </w:rPr>
      </w:pPr>
      <w:bookmarkStart w:id="241" w:name="_DMBM_10674"/>
      <w:r>
        <w:rPr>
          <w:noProof/>
        </w:rPr>
        <w:t>VO</w:t>
      </w:r>
      <w:r>
        <w:rPr>
          <w:noProof/>
        </w:rPr>
        <w:t>RFINANZIERUNGEN</w:t>
      </w:r>
    </w:p>
    <w:p w:rsidR="001609E3" w:rsidRDefault="00E45B63">
      <w:pPr>
        <w:pStyle w:val="Textstand-alone"/>
        <w:spacing w:before="0"/>
      </w:pPr>
      <w:r>
        <w:t xml:space="preserve"> In zahlreichen Verträgen ist vorgesehen, dass vor Beginn der vereinbarten Arbeiten, Lieferungen oder Dienstleistungen Vorschüsse zu zahlen sind. Mitunter sind in den Zahlungsplänen von Verträgen Zahlungen auf der Grundlage von Fortschritts</w:t>
      </w:r>
      <w:r>
        <w:t>berichten vorgesehen. Vorfinanzierungen werden gewöhnlich in der Währung des Landes oder Territoriums geleistet, in der das betreffende Projekt durchgeführt wird.</w:t>
      </w:r>
    </w:p>
    <w:p w:rsidR="001609E3" w:rsidRDefault="00E45B63">
      <w:pPr>
        <w:pStyle w:val="Textstand-alone"/>
        <w:spacing w:after="0"/>
      </w:pPr>
      <w:r>
        <w:t>Die Zeitvorgabe für die Einziehung oder die Verwendung der Vorfinanzierungen bestimmt, ob sie</w:t>
      </w:r>
      <w:r>
        <w:t xml:space="preserve"> als kurz- oder langfristige Vorfinanzierungen ausgewiesen werden. Ihre Verwendung wird in der dem Projekt zugrundeliegenden Vereinbarung festgelegt. Alle Rückzahlungen oder jede Verwendung, die innerhalb von zwölf Monaten nach dem Berichtstermin fällig si</w:t>
      </w:r>
      <w:r>
        <w:t>nd, werden als kurzfristige Vorfinanzierungen ausgewiesen. Da viele EEF-Projekte langfristig angelegt sind, müssen die entsprechenden Vorschüsse länger als ein Jahr zur Verfügung stehen. Aus diesem Grund werden einige Vorfinanzierungen als langfristige Ver</w:t>
      </w:r>
      <w:r>
        <w:t>mögenswerte ausgewiesen.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992"/>
        <w:gridCol w:w="992"/>
        <w:gridCol w:w="993"/>
        <w:gridCol w:w="850"/>
        <w:gridCol w:w="1418"/>
        <w:gridCol w:w="1417"/>
      </w:tblGrid>
      <w:tr w:rsidR="001609E3">
        <w:trPr>
          <w:trHeight w:val="274"/>
        </w:trPr>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42" w:name="DOC_TBL00013_1_1"/>
            <w:bookmarkEnd w:id="242"/>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2376"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eastAsia="Verdana" w:cs="Verdana"/>
                <w:noProof/>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Erläu</w:t>
            </w:r>
            <w:r>
              <w:rPr>
                <w:noProof/>
              </w:rPr>
              <w:softHyphen/>
              <w:t>terung</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Langfristige Vorfinanzierungen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2.1.1</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32</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242</w:t>
            </w:r>
          </w:p>
        </w:tc>
        <w:tc>
          <w:tcPr>
            <w:tcW w:w="85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135</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409</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516</w:t>
            </w:r>
          </w:p>
        </w:tc>
      </w:tr>
      <w:tr w:rsidR="001609E3">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Kurzfristige Vorfinanzierungen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2.1.2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50</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909</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412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1 372</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1 145</w:t>
            </w:r>
          </w:p>
        </w:tc>
      </w:tr>
      <w:tr w:rsidR="001609E3">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1609E3">
            <w:pPr>
              <w:pStyle w:val="Text8pBoldLeft"/>
              <w:rPr>
                <w:rFonts w:eastAsia="Verdana" w:cs="Verdana"/>
              </w:rPr>
            </w:pPr>
          </w:p>
        </w:tc>
        <w:tc>
          <w:tcPr>
            <w:tcW w:w="851"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1609E3">
            <w:pPr>
              <w:pStyle w:val="Figures7pItalicRight025"/>
              <w:rPr>
                <w:rFonts w:eastAsia="Verdana" w:cs="Verdana"/>
              </w:rPr>
            </w:pP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1</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82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1 151</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546</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1 781</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1 661</w:t>
            </w:r>
          </w:p>
        </w:tc>
      </w:tr>
    </w:tbl>
    <w:p w:rsidR="001609E3" w:rsidRDefault="00E45B63">
      <w:pPr>
        <w:pStyle w:val="HEADER3Part2"/>
        <w:rPr>
          <w:noProof/>
        </w:rPr>
      </w:pPr>
      <w:bookmarkStart w:id="243" w:name="_DMBM_9430"/>
      <w:bookmarkEnd w:id="241"/>
      <w:r>
        <w:rPr>
          <w:noProof/>
        </w:rPr>
        <w:t>Langfristige Vorfinanzierungen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44" w:name="DOC_TBL00014_1_1"/>
            <w:bookmarkEnd w:id="244"/>
          </w:p>
        </w:tc>
        <w:tc>
          <w:tcPr>
            <w:tcW w:w="2126" w:type="dxa"/>
            <w:tcBorders>
              <w:top w:val="nil"/>
              <w:left w:val="nil"/>
              <w:bottom w:val="nil"/>
              <w:right w:val="nil"/>
            </w:tcBorders>
            <w:tcMar>
              <w:top w:w="0" w:type="dxa"/>
              <w:left w:w="108" w:type="dxa"/>
              <w:bottom w:w="0" w:type="dxa"/>
              <w:right w:w="108" w:type="dxa"/>
            </w:tcMar>
          </w:tcPr>
          <w:p w:rsidR="001609E3" w:rsidRDefault="001609E3">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31.12.2015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71</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65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Kommission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39</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Exekutivagenturen der EU</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EU-Delegationen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29</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Indirekte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338</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451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EIB und EIF</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180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323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Internationalen Organisationen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87</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Privatrechtlichen Einrichtungen, die im öffentlichen Auftrag tätig werden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25</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Öffentlichen Einrichtungen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13</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Drittländern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34</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25</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516</w:t>
            </w:r>
          </w:p>
        </w:tc>
      </w:tr>
    </w:tbl>
    <w:p w:rsidR="001609E3" w:rsidRDefault="00E45B63">
      <w:pPr>
        <w:pStyle w:val="HEADER3Part2"/>
        <w:rPr>
          <w:noProof/>
        </w:rPr>
      </w:pPr>
      <w:bookmarkStart w:id="245" w:name="_DMBM_9533"/>
      <w:bookmarkEnd w:id="243"/>
      <w:r>
        <w:rPr>
          <w:noProof/>
        </w:rPr>
        <w:t>Kurzfristige Vorfinanzierungen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rsidR="001609E3">
        <w:tc>
          <w:tcPr>
            <w:tcW w:w="2376"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46" w:name="DOC_TBL00015_1_1"/>
            <w:bookmarkEnd w:id="246"/>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1609E3" w:rsidRDefault="00E45B63">
            <w:pPr>
              <w:pStyle w:val="Text7pItalicRight025"/>
              <w:rPr>
                <w:rFonts w:eastAsia="Times New Roman" w:cs="Verdana"/>
              </w:rPr>
            </w:pPr>
            <w:r>
              <w:t>in Mio. EUR</w:t>
            </w:r>
          </w:p>
        </w:tc>
      </w:tr>
      <w:tr w:rsidR="001609E3">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31.12.2015</w:t>
            </w:r>
          </w:p>
        </w:tc>
      </w:tr>
      <w:tr w:rsidR="001609E3">
        <w:trPr>
          <w:trHeight w:val="247"/>
        </w:trPr>
        <w:tc>
          <w:tcPr>
            <w:tcW w:w="2376" w:type="dxa"/>
            <w:tcBorders>
              <w:top w:val="nil"/>
              <w:left w:val="nil"/>
              <w:bottom w:val="nil"/>
              <w:right w:val="nil"/>
            </w:tcBorders>
            <w:tcMar>
              <w:top w:w="0" w:type="dxa"/>
              <w:left w:w="108" w:type="dxa"/>
              <w:bottom w:w="0" w:type="dxa"/>
              <w:right w:w="108" w:type="dxa"/>
            </w:tcMar>
            <w:vAlign w:val="center"/>
          </w:tcPr>
          <w:p w:rsidR="001609E3" w:rsidRDefault="00E45B63">
            <w:pPr>
              <w:pStyle w:val="Text9pItalicLeft"/>
              <w:rPr>
                <w:rFonts w:eastAsia="Times New Roman" w:cs="Verdana"/>
              </w:rPr>
            </w:pPr>
            <w:r>
              <w:t>Vorfinanzierungen (brutto)</w:t>
            </w:r>
          </w:p>
        </w:tc>
        <w:tc>
          <w:tcPr>
            <w:tcW w:w="1276"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 xml:space="preserve"> 9</w:t>
            </w:r>
          </w:p>
        </w:tc>
        <w:tc>
          <w:tcPr>
            <w:tcW w:w="1134"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 xml:space="preserve"> 231</w:t>
            </w:r>
          </w:p>
        </w:tc>
        <w:tc>
          <w:tcPr>
            <w:tcW w:w="1276"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2 945</w:t>
            </w:r>
          </w:p>
        </w:tc>
        <w:tc>
          <w:tcPr>
            <w:tcW w:w="1134"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1 560</w:t>
            </w:r>
          </w:p>
        </w:tc>
        <w:tc>
          <w:tcPr>
            <w:tcW w:w="1276"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4 745</w:t>
            </w:r>
          </w:p>
        </w:tc>
        <w:tc>
          <w:tcPr>
            <w:tcW w:w="1275"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4 250</w:t>
            </w:r>
          </w:p>
        </w:tc>
      </w:tr>
      <w:tr w:rsidR="001609E3">
        <w:trPr>
          <w:trHeight w:val="247"/>
        </w:trPr>
        <w:tc>
          <w:tcPr>
            <w:tcW w:w="2376" w:type="dxa"/>
            <w:tcBorders>
              <w:top w:val="nil"/>
              <w:left w:val="nil"/>
              <w:bottom w:val="nil"/>
              <w:right w:val="nil"/>
            </w:tcBorders>
            <w:tcMar>
              <w:top w:w="0" w:type="dxa"/>
              <w:left w:w="108" w:type="dxa"/>
              <w:bottom w:w="0" w:type="dxa"/>
              <w:right w:w="108" w:type="dxa"/>
            </w:tcMar>
            <w:vAlign w:val="center"/>
          </w:tcPr>
          <w:p w:rsidR="001609E3" w:rsidRDefault="00E45B63">
            <w:pPr>
              <w:pStyle w:val="Text9pItalicLeft"/>
              <w:rPr>
                <w:rFonts w:eastAsia="Times New Roman" w:cs="Verdana"/>
              </w:rPr>
            </w:pPr>
            <w:r>
              <w:t>Durch perioden</w:t>
            </w:r>
            <w:r>
              <w:softHyphen/>
              <w:t>gerechte Abgrenzung abgerechnet</w:t>
            </w:r>
          </w:p>
        </w:tc>
        <w:tc>
          <w:tcPr>
            <w:tcW w:w="1276"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 xml:space="preserve"> (8)</w:t>
            </w:r>
          </w:p>
        </w:tc>
        <w:tc>
          <w:tcPr>
            <w:tcW w:w="1134"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 xml:space="preserve"> (181)</w:t>
            </w:r>
          </w:p>
        </w:tc>
        <w:tc>
          <w:tcPr>
            <w:tcW w:w="1276"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(2 037)</w:t>
            </w:r>
          </w:p>
        </w:tc>
        <w:tc>
          <w:tcPr>
            <w:tcW w:w="1134"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(1 148)</w:t>
            </w:r>
          </w:p>
        </w:tc>
        <w:tc>
          <w:tcPr>
            <w:tcW w:w="1276"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(3 373)</w:t>
            </w:r>
          </w:p>
        </w:tc>
        <w:tc>
          <w:tcPr>
            <w:tcW w:w="1275" w:type="dxa"/>
            <w:tcBorders>
              <w:top w:val="nil"/>
              <w:left w:val="nil"/>
              <w:bottom w:val="nil"/>
              <w:right w:val="nil"/>
            </w:tcBorders>
            <w:tcMar>
              <w:top w:w="0" w:type="dxa"/>
              <w:left w:w="108" w:type="dxa"/>
              <w:bottom w:w="0" w:type="dxa"/>
              <w:right w:w="108" w:type="dxa"/>
            </w:tcMar>
            <w:vAlign w:val="center"/>
          </w:tcPr>
          <w:p w:rsidR="001609E3" w:rsidRDefault="00E45B63">
            <w:pPr>
              <w:pStyle w:val="Figures9pItalicRight025"/>
              <w:rPr>
                <w:rFonts w:eastAsia="Times New Roman" w:cs="Verdana"/>
              </w:rPr>
            </w:pPr>
            <w:r>
              <w:t>(3 105)</w:t>
            </w:r>
          </w:p>
        </w:tc>
      </w:tr>
      <w:tr w:rsidR="001609E3">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Times New Roman"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Times New Roman" w:cs="Verdana"/>
              </w:rPr>
            </w:pPr>
            <w: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Times New Roman" w:cs="Verdana"/>
              </w:rPr>
            </w:pPr>
            <w:r>
              <w:t xml:space="preserve"> 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Times New Roman" w:cs="Verdana"/>
              </w:rPr>
            </w:pPr>
            <w:r>
              <w:t xml:space="preserve"> 909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Times New Roman" w:cs="Verdana"/>
              </w:rPr>
            </w:pPr>
            <w:r>
              <w:t xml:space="preserve"> 412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Times New Roman" w:cs="Verdana"/>
              </w:rPr>
            </w:pPr>
            <w:r>
              <w:t>1 372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Times New Roman" w:cs="Verdana"/>
              </w:rPr>
            </w:pPr>
            <w:r>
              <w:t>1 145</w:t>
            </w:r>
          </w:p>
        </w:tc>
      </w:tr>
    </w:tbl>
    <w:p w:rsidR="001609E3" w:rsidRDefault="00E45B63">
      <w:pPr>
        <w:pStyle w:val="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47" w:name="DOC_TBL00016_1_1"/>
            <w:bookmarkEnd w:id="247"/>
          </w:p>
        </w:tc>
        <w:tc>
          <w:tcPr>
            <w:tcW w:w="2126" w:type="dxa"/>
            <w:tcBorders>
              <w:top w:val="nil"/>
              <w:left w:val="nil"/>
              <w:bottom w:val="nil"/>
              <w:right w:val="nil"/>
            </w:tcBorders>
            <w:tcMar>
              <w:top w:w="0" w:type="dxa"/>
              <w:left w:w="108" w:type="dxa"/>
              <w:bottom w:w="0" w:type="dxa"/>
              <w:right w:w="108" w:type="dxa"/>
            </w:tcMar>
          </w:tcPr>
          <w:p w:rsidR="001609E3" w:rsidRDefault="001609E3">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31.12.2015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246</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283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Kommission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115</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Exekutivagenturen der EU</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EU-Delegationen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122</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159</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 xml:space="preserve">Indirekte </w:t>
            </w:r>
            <w:r>
              <w:t>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1 125</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861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EIB und EIF</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372</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235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Internationalen Organisationen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432</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336</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Privatrechtlichen Einrichtungen, die im öffentlichen Auftrag tätig werden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121</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Öffentlichen Einrichtungen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53</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56</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Drittländern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148</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229</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1 372</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1 145</w:t>
            </w:r>
          </w:p>
        </w:tc>
      </w:tr>
    </w:tbl>
    <w:p w:rsidR="001609E3" w:rsidRDefault="001609E3">
      <w:pPr>
        <w:pStyle w:val="Textstand-alone"/>
        <w:spacing w:before="0"/>
      </w:pPr>
    </w:p>
    <w:p w:rsidR="001609E3" w:rsidRDefault="00E45B63">
      <w:pPr>
        <w:pStyle w:val="Textstand-alone"/>
      </w:pPr>
      <w:r>
        <w:t>Insgesamt bewegen sich die Vorfinanzierungen am 31. Dezember 2016 (1781 Mio. EUR) auf etwa der gleichen Höhe wie der Gesamtbetrag der Vorfinanzierungen am 31. Dezember 2015 (1661 Mio. EUR).</w:t>
      </w:r>
    </w:p>
    <w:p w:rsidR="001609E3" w:rsidRDefault="00E45B63">
      <w:pPr>
        <w:pStyle w:val="Textstand-alone"/>
      </w:pPr>
      <w:r>
        <w:t xml:space="preserve">Die gegenüber dem 31. Dezember 2015 </w:t>
      </w:r>
      <w:r>
        <w:t>zu beobachtende leichte Zunahme kurzfristiger Vorfinanzierungen um 227 Mio. EUR ist durch die hohe Zahl neuer Verträge, für die 2016 noch keine Kosten entstanden sind, zu erklären. Dieser Anstieg wird durch einen Rückgang der langfristigen Vorfinanzierunge</w:t>
      </w:r>
      <w:r>
        <w:t>n ausgeglichen (siehe Erläuterung </w:t>
      </w:r>
      <w:r>
        <w:rPr>
          <w:b/>
        </w:rPr>
        <w:t>2.1.1</w:t>
      </w:r>
      <w:r>
        <w:t>).</w:t>
      </w:r>
    </w:p>
    <w:p w:rsidR="001609E3" w:rsidRDefault="00E45B63">
      <w:pPr>
        <w:pStyle w:val="HEADER3Part2"/>
        <w:rPr>
          <w:noProof/>
        </w:rPr>
      </w:pPr>
      <w:bookmarkStart w:id="248" w:name="_DMBM_9534"/>
      <w:bookmarkEnd w:id="245"/>
      <w:r>
        <w:rPr>
          <w:noProof/>
        </w:rPr>
        <w:t>Garantien für Vorfinanzierungen</w:t>
      </w:r>
    </w:p>
    <w:p w:rsidR="001609E3" w:rsidRDefault="00E45B63">
      <w:pPr>
        <w:pStyle w:val="Textstand-alone"/>
        <w:rPr>
          <w:iCs/>
        </w:rPr>
      </w:pPr>
      <w:r>
        <w:t>Garantien werden zur Besicherung von Vorfinanzierungen gehalten. Sie werden freigegeben, sobald die letzte Forderung aus einem Projekt beglichen worden ist.</w:t>
      </w:r>
      <w:r>
        <w:rPr>
          <w:b/>
        </w:rPr>
        <w:t xml:space="preserve"> </w:t>
      </w:r>
      <w:r>
        <w:t xml:space="preserve">Am 31. Dezember 2016 </w:t>
      </w:r>
      <w:r>
        <w:t>beliefen sich die vom EEF empfangenen Garantien für Vorfinanzierungen auf 53 Mio. EUR (2015 83 Mio. EUR).</w:t>
      </w:r>
    </w:p>
    <w:p w:rsidR="001609E3" w:rsidRDefault="00E45B63">
      <w:pPr>
        <w:pStyle w:val="Textstand-alone"/>
      </w:pPr>
      <w:r>
        <w:t>Der größte Teil der Vorfinanzierungen wird im Rahmen der indirekten Mittelverwaltung ausgezahlt. In diesem Fall ist nicht der EEF, sondern die Vergabe</w:t>
      </w:r>
      <w:r>
        <w:t xml:space="preserve">behörde Begünstigte der Garantie. </w:t>
      </w:r>
      <w:bookmarkEnd w:id="248"/>
    </w:p>
    <w:p w:rsidR="001609E3" w:rsidRDefault="00E45B63">
      <w:pPr>
        <w:pStyle w:val="HEADER2Part2"/>
        <w:rPr>
          <w:noProof/>
        </w:rPr>
      </w:pPr>
      <w:bookmarkStart w:id="249" w:name="_DMBM_10673"/>
      <w:r>
        <w:rPr>
          <w:noProof/>
        </w:rPr>
        <w:t>BEITRÄGE ZU TREUHANDFONDS</w:t>
      </w:r>
    </w:p>
    <w:p w:rsidR="001609E3" w:rsidRDefault="00E45B63">
      <w:pPr>
        <w:pStyle w:val="Textstand-alone"/>
      </w:pPr>
      <w:r>
        <w:t>Unter dieser Rubrik werden die als Beiträge zum EU-Treuhandfonds „Bêkou“ und zum EU-Treuhandfonds für Afrika gezahlten Beträge ausgewiesen. Die Beiträge verstehen sich abzüglich der Kosten, die d</w:t>
      </w:r>
      <w:r>
        <w:t>en Treuhandfonds entstanden und dem EEF zuzuordnen sind.</w:t>
      </w:r>
    </w:p>
    <w:p w:rsidR="001609E3" w:rsidRDefault="00E45B63">
      <w:pPr>
        <w:pStyle w:val="Textstand-alone"/>
      </w:pPr>
      <w:r>
        <w:t>Die Beiträge zu Treuhandfonds werden vom EEF in direkter Mittelverwaltung abgewickelt.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1559"/>
        <w:gridCol w:w="2126"/>
        <w:gridCol w:w="1701"/>
      </w:tblGrid>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50" w:name="DOC_TBL00017_1_1"/>
            <w:bookmarkEnd w:id="250"/>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237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Left"/>
              <w:rPr>
                <w:rFonts w:eastAsia="Verdana" w:cs="Verdana"/>
                <w:noProof/>
              </w:rPr>
            </w:pPr>
            <w:r>
              <w:rPr>
                <w:noProof/>
              </w:rPr>
              <w:t>Treuhandfonds</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Centered"/>
              <w:rPr>
                <w:rFonts w:eastAsia="Verdana" w:cs="Verdana"/>
              </w:rPr>
            </w:pPr>
            <w:r>
              <w:t>Nettobeitrag zum 31.12.2015</w:t>
            </w:r>
          </w:p>
        </w:tc>
        <w:tc>
          <w:tcPr>
            <w:tcW w:w="1559"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Centered"/>
              <w:rPr>
                <w:rFonts w:eastAsia="Verdana" w:cs="Verdana"/>
              </w:rPr>
            </w:pPr>
            <w:r>
              <w:t>2016 gezahlte Beiträge</w:t>
            </w: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Centered"/>
              <w:rPr>
                <w:rFonts w:eastAsia="Verdana" w:cs="Verdana"/>
              </w:rPr>
            </w:pPr>
            <w:r>
              <w:t>Zuweisung der Netoaufwendungen</w:t>
            </w:r>
            <w:r>
              <w:t xml:space="preserve"> des Treuhandfonds - 2016</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Centered"/>
              <w:rPr>
                <w:rFonts w:eastAsia="Verdana" w:cs="Verdana"/>
              </w:rPr>
            </w:pPr>
            <w:r>
              <w:t>Nettobeitrag zum 31.12.2016</w:t>
            </w:r>
          </w:p>
        </w:tc>
      </w:tr>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Afrika</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99</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(27)</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72</w:t>
            </w:r>
          </w:p>
        </w:tc>
      </w:tr>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NormalLeft"/>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(8)</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26</w:t>
            </w:r>
          </w:p>
        </w:tc>
      </w:tr>
      <w:tr w:rsidR="001609E3">
        <w:tc>
          <w:tcPr>
            <w:tcW w:w="237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t>
            </w:r>
            <w:r>
              <w:softHyphen/>
              <w:t>betrag</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34</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99</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(35)</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98</w:t>
            </w:r>
          </w:p>
        </w:tc>
      </w:tr>
      <w:bookmarkEnd w:id="249"/>
    </w:tbl>
    <w:p w:rsidR="001609E3" w:rsidRDefault="001609E3">
      <w:pPr>
        <w:rPr>
          <w:noProof/>
        </w:rPr>
        <w:sectPr w:rsidR="001609E3">
          <w:headerReference w:type="even" r:id="rId125"/>
          <w:headerReference w:type="default" r:id="rId126"/>
          <w:footerReference w:type="even" r:id="rId127"/>
          <w:footerReference w:type="default" r:id="rId128"/>
          <w:headerReference w:type="first" r:id="rId129"/>
          <w:footerReference w:type="first" r:id="rId130"/>
          <w:pgSz w:w="12240" w:h="15840"/>
          <w:pgMar w:top="1417" w:right="1417" w:bottom="1417" w:left="1417" w:header="708" w:footer="708" w:gutter="0"/>
          <w:cols w:space="708"/>
          <w:docGrid w:linePitch="360"/>
        </w:sectPr>
      </w:pPr>
    </w:p>
    <w:p w:rsidR="001609E3" w:rsidRDefault="00E45B63">
      <w:pPr>
        <w:pStyle w:val="HEADER2Part2"/>
        <w:rPr>
          <w:noProof/>
        </w:rPr>
      </w:pPr>
      <w:bookmarkStart w:id="251" w:name="_DMBM_9458"/>
      <w:r>
        <w:rPr>
          <w:noProof/>
        </w:rPr>
        <w:t xml:space="preserve">EINZUZIEHENDE BETRÄGE </w:t>
      </w:r>
      <w:r>
        <w:rPr>
          <w:noProof/>
        </w:rPr>
        <w:t>AUS TRANSAKTIONEN OHNE LEISTUNGSAUSTAUSCH UND FORDERUNGEN MIT LEISTUNGSAUSTAUSCH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20"/>
        <w:gridCol w:w="1828"/>
        <w:gridCol w:w="1829"/>
      </w:tblGrid>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52" w:name="DOC_TBL00018_1_1"/>
            <w:bookmarkEnd w:id="252"/>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31.12.2015</w:t>
            </w: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Einzuziehende Beträge aus Transaktionen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2.3.1</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62</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104</w:t>
            </w:r>
          </w:p>
        </w:tc>
      </w:tr>
      <w:tr w:rsidR="001609E3">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Forderungen aus Transaktionen mit </w:t>
            </w:r>
            <w:r>
              <w:t>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Centered"/>
              <w:rPr>
                <w:rFonts w:eastAsia="Verdana" w:cs="Verdana"/>
              </w:rPr>
            </w:pPr>
            <w:r>
              <w:t>2.3.2</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67</w:t>
            </w:r>
          </w:p>
        </w:tc>
      </w:tr>
      <w:tr w:rsidR="001609E3">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t>
            </w:r>
            <w:r>
              <w:softHyphen/>
              <w:t>betrag</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132</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171</w:t>
            </w:r>
          </w:p>
        </w:tc>
      </w:tr>
    </w:tbl>
    <w:p w:rsidR="001609E3" w:rsidRDefault="00E45B63">
      <w:pPr>
        <w:pStyle w:val="HEADER3Part2"/>
        <w:rPr>
          <w:noProof/>
        </w:rPr>
      </w:pPr>
      <w:r>
        <w:rPr>
          <w:noProof/>
        </w:rPr>
        <w:t>Einzuziehende Beträge aus Transaktionen ohne Leistungsaustausch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134"/>
        <w:gridCol w:w="1418"/>
        <w:gridCol w:w="1417"/>
      </w:tblGrid>
      <w:tr w:rsidR="001609E3">
        <w:tc>
          <w:tcPr>
            <w:tcW w:w="1809"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53" w:name="DOC_TBL00019_1_1"/>
            <w:bookmarkEnd w:id="253"/>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1609E3">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1"/>
              <w:rPr>
                <w:rFonts w:eastAsia="Verdana" w:cs="Verdana"/>
                <w:noProof/>
              </w:rPr>
            </w:pPr>
            <w:r>
              <w:rPr>
                <w:noProof/>
              </w:rPr>
              <w:t>9. EEF</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BoldRight01"/>
              <w:rPr>
                <w:rFonts w:eastAsia="Verdana" w:cs="Verdana"/>
                <w:b w:val="0"/>
              </w:rPr>
            </w:pPr>
            <w:r>
              <w:rPr>
                <w:b w:val="0"/>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1"/>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1"/>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BoldRight01"/>
              <w:rPr>
                <w:rFonts w:eastAsia="Verdana" w:cs="Verdana"/>
                <w:b w:val="0"/>
              </w:rPr>
            </w:pPr>
            <w:r>
              <w:rPr>
                <w:b w:val="0"/>
              </w:rPr>
              <w:t>31.12.2015</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Mitgliedstaaten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90</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Kunden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23</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Öffentliche Einrichtungen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16</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Drittstaaten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Abschreibung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(29)</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Verbindungskonten bei EU-Organen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51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2</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62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104</w:t>
            </w:r>
          </w:p>
        </w:tc>
      </w:tr>
    </w:tbl>
    <w:p w:rsidR="001609E3" w:rsidRDefault="00E45B63">
      <w:pPr>
        <w:pStyle w:val="Textstand-alone"/>
      </w:pPr>
      <w:r>
        <w:t>Zu den bei Mitgliedstaaten einzuziehenden Beträgen zählen reguläre Beiträge sowie Beträge, die infolge von Anpassungen im Rahmen der Überbrückungsfazilität noch ausstehen.  Die Finanzierung der Tätigkeiten im Rahmen der Überbrückungsfazilität erfolgte durc</w:t>
      </w:r>
      <w:r>
        <w:t xml:space="preserve">h freigegebene Beträge aus früheren EEF; die entsprechenden Kapitalbewegungen wurden 2015 erfasst. </w:t>
      </w:r>
    </w:p>
    <w:p w:rsidR="001609E3" w:rsidRDefault="00E45B63">
      <w:pPr>
        <w:pStyle w:val="Textstand-alone"/>
      </w:pPr>
      <w:r>
        <w:t>Diese Beträge werden in der folgenden Tabelle zusammengefasst: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895"/>
        <w:gridCol w:w="2835"/>
        <w:gridCol w:w="1842"/>
      </w:tblGrid>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keepNext/>
              <w:keepLines/>
              <w:rPr>
                <w:rFonts w:eastAsia="Verdana" w:cs="Verdana"/>
                <w:color w:val="FFFFFF"/>
              </w:rPr>
            </w:pPr>
            <w:bookmarkStart w:id="254" w:name="DOC_TBL00020_1_1"/>
            <w:bookmarkEnd w:id="254"/>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1609E3">
            <w:pPr>
              <w:keepNext/>
              <w:keepLines/>
              <w:jc w:val="both"/>
              <w:rPr>
                <w:noProof/>
              </w:rPr>
            </w:pP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1609E3">
            <w:pPr>
              <w:keepNext/>
              <w:keepLines/>
              <w:jc w:val="both"/>
              <w:rPr>
                <w:noProof/>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keepNext/>
              <w:keepLines/>
              <w:rPr>
                <w:rFonts w:eastAsia="Verdana" w:cs="Verdana"/>
              </w:rPr>
            </w:pPr>
            <w:r>
              <w:t>in Mio. EUR</w:t>
            </w:r>
          </w:p>
        </w:tc>
      </w:tr>
      <w:tr w:rsidR="001609E3">
        <w:tc>
          <w:tcPr>
            <w:tcW w:w="317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Left"/>
              <w:keepNext/>
              <w:keepLines/>
              <w:rPr>
                <w:rFonts w:eastAsia="Verdana" w:cs="Verdana"/>
              </w:rPr>
            </w:pPr>
            <w:r>
              <w:t>Mitgliedstaaten</w:t>
            </w:r>
          </w:p>
        </w:tc>
        <w:tc>
          <w:tcPr>
            <w:tcW w:w="189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keepNext/>
              <w:keepLines/>
              <w:rPr>
                <w:rFonts w:eastAsia="Verdana" w:cs="Verdana"/>
              </w:rPr>
            </w:pPr>
            <w:r>
              <w:t>Bei Mitgliedstaaten ausstehende Beträge</w:t>
            </w:r>
          </w:p>
        </w:tc>
        <w:tc>
          <w:tcPr>
            <w:tcW w:w="283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keepNext/>
              <w:keepLines/>
              <w:rPr>
                <w:rFonts w:eastAsia="Verdana" w:cs="Verdana"/>
              </w:rPr>
            </w:pPr>
            <w:r>
              <w:t>Von den Beiträgen der</w:t>
            </w:r>
            <w:r>
              <w:t xml:space="preserve"> Mitgliedstaaten abzuziehende Beträge</w:t>
            </w: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keepNext/>
              <w:keepLines/>
              <w:rPr>
                <w:rFonts w:eastAsia="Verdana" w:cs="Verdana"/>
              </w:rPr>
            </w:pPr>
            <w:r>
              <w:t>Nettobuchwert am 31.12.2016</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Belgien</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25</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25</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Zypern</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Tschechische Republik</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2</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2</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Griechenland</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Lett</w:t>
            </w:r>
            <w:r>
              <w:softHyphen/>
              <w:t>land</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Portu</w:t>
            </w:r>
            <w:r>
              <w:softHyphen/>
              <w:t>gal</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0</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Rumänien</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2</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2</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Slowenien</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1</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1</w:t>
            </w:r>
          </w:p>
        </w:tc>
      </w:tr>
      <w:tr w:rsidR="001609E3">
        <w:tc>
          <w:tcPr>
            <w:tcW w:w="31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keepNext/>
              <w:keepLines/>
              <w:rPr>
                <w:rFonts w:eastAsia="Verdana" w:cs="Verdana"/>
              </w:rPr>
            </w:pPr>
            <w:r>
              <w:t>Vereinigtes Königreich</w:t>
            </w:r>
          </w:p>
        </w:tc>
        <w:tc>
          <w:tcPr>
            <w:tcW w:w="189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10</w:t>
            </w:r>
          </w:p>
        </w:tc>
        <w:tc>
          <w:tcPr>
            <w:tcW w:w="283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keepNext/>
              <w:keepLines/>
              <w:rPr>
                <w:rFonts w:eastAsia="Verdana" w:cs="Verdana"/>
              </w:rPr>
            </w:pPr>
            <w:r>
              <w:t xml:space="preserve"> 10</w:t>
            </w:r>
          </w:p>
        </w:tc>
      </w:tr>
      <w:tr w:rsidR="001609E3">
        <w:tc>
          <w:tcPr>
            <w:tcW w:w="317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keepNext/>
              <w:keepLines/>
              <w:rPr>
                <w:rFonts w:eastAsia="Verdana" w:cs="Verdana"/>
              </w:rPr>
            </w:pPr>
            <w:r>
              <w:t>Gesamt</w:t>
            </w:r>
            <w:r>
              <w:softHyphen/>
              <w:t>betrag</w:t>
            </w:r>
          </w:p>
        </w:tc>
        <w:tc>
          <w:tcPr>
            <w:tcW w:w="189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keepNext/>
              <w:keepLines/>
              <w:rPr>
                <w:rFonts w:eastAsia="Verdana" w:cs="Verdana"/>
              </w:rPr>
            </w:pPr>
            <w:r>
              <w:t>40</w:t>
            </w:r>
          </w:p>
        </w:tc>
        <w:tc>
          <w:tcPr>
            <w:tcW w:w="283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keepNext/>
              <w:keepLines/>
              <w:rPr>
                <w:rFonts w:eastAsia="Verdana" w:cs="Verdana"/>
              </w:rPr>
            </w:pPr>
            <w:r>
              <w:t>–</w:t>
            </w: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keepNext/>
              <w:keepLines/>
              <w:rPr>
                <w:rFonts w:eastAsia="Verdana" w:cs="Verdana"/>
              </w:rPr>
            </w:pPr>
            <w:r>
              <w:t>40</w:t>
            </w:r>
          </w:p>
        </w:tc>
      </w:tr>
    </w:tbl>
    <w:p w:rsidR="001609E3" w:rsidRDefault="00E45B63">
      <w:pPr>
        <w:pStyle w:val="HEADER3Part2"/>
        <w:keepNext/>
        <w:keepLines/>
        <w:rPr>
          <w:noProof/>
        </w:rPr>
      </w:pPr>
      <w:r>
        <w:rPr>
          <w:noProof/>
        </w:rPr>
        <w:t>Forderungen aus Transaktionen mit Leistungsaustausch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134"/>
        <w:gridCol w:w="1418"/>
        <w:gridCol w:w="1417"/>
      </w:tblGrid>
      <w:tr w:rsidR="001609E3">
        <w:tc>
          <w:tcPr>
            <w:tcW w:w="1809"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55" w:name="DOC_TBL00021_1_1"/>
            <w:bookmarkEnd w:id="255"/>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rsidR="001609E3" w:rsidRDefault="001609E3">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1"/>
              <w:rPr>
                <w:rFonts w:eastAsia="Verdana" w:cs="Verdana"/>
                <w:noProof/>
              </w:rPr>
            </w:pPr>
            <w:r>
              <w:rPr>
                <w:noProof/>
              </w:rPr>
              <w:t>9. EEF</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BoldRight01"/>
              <w:rPr>
                <w:rFonts w:eastAsia="Verdana" w:cs="Verdana"/>
                <w:b w:val="0"/>
              </w:rPr>
            </w:pPr>
            <w:r>
              <w:rPr>
                <w:b w:val="0"/>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1"/>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1"/>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BoldRight01"/>
              <w:rPr>
                <w:rFonts w:eastAsia="Verdana" w:cs="Verdana"/>
                <w:b w:val="0"/>
              </w:rPr>
            </w:pPr>
            <w:r>
              <w:rPr>
                <w:b w:val="0"/>
              </w:rPr>
              <w:t>31.12.2015</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Antizipative Aktiva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70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67</w:t>
            </w:r>
          </w:p>
        </w:tc>
      </w:tr>
      <w:tr w:rsidR="001609E3">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Verbindungskonten zwischen EEF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424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3 424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(4 043)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r>
      <w:tr w:rsidR="001609E3">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196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487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3 431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(4 043)</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70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67</w:t>
            </w:r>
          </w:p>
        </w:tc>
      </w:tr>
    </w:tbl>
    <w:p w:rsidR="001609E3" w:rsidRDefault="00E45B63">
      <w:pPr>
        <w:pStyle w:val="Textstand-alone"/>
      </w:pPr>
      <w:r>
        <w:t>In den antizipativen Aktiva sind vorwiegend aufgelaufene Zinsen auf Vorfinanzierungen für Projekte (63 Mio. EUR) und den EU-Treuhandfonds für Afrika (7 Mio. EUR) enthalten.</w:t>
      </w:r>
    </w:p>
    <w:p w:rsidR="001609E3" w:rsidRDefault="00E45B63">
      <w:pPr>
        <w:pStyle w:val="Textstand-alone"/>
      </w:pPr>
      <w:r>
        <w:t xml:space="preserve">Aus Effizienzgründen wird </w:t>
      </w:r>
      <w:r>
        <w:t>das gemeinsame Konto für alle in Ausführung befindlichen EEF dem 11. EEF</w:t>
      </w:r>
      <w:r>
        <w:rPr>
          <w:rStyle w:val="FootnoteReference"/>
        </w:rPr>
        <w:footnoteReference w:id="9"/>
      </w:r>
      <w:r>
        <w:t xml:space="preserve"> zugewiesen; daraus ergeben sich Transaktionen zwischen den verschiedenen EEF, die in den Verbindungskosten zwischen den Bilanzen der verschiedenen EEF ausgeglichen werden. Die Verbin</w:t>
      </w:r>
      <w:r>
        <w:t>dungskonten werden nur bei den einzelnen EEF ausgewiesen.</w:t>
      </w:r>
      <w:bookmarkEnd w:id="251"/>
    </w:p>
    <w:p w:rsidR="001609E3" w:rsidRDefault="00E45B63">
      <w:pPr>
        <w:pStyle w:val="HEADER2Part2"/>
        <w:rPr>
          <w:noProof/>
        </w:rPr>
      </w:pPr>
      <w:bookmarkStart w:id="256" w:name="_DMBM_9537"/>
      <w:r>
        <w:rPr>
          <w:noProof/>
        </w:rPr>
        <w:t>ZAHLUNGSMITTEL UND ZAHLUNGSMITTELÄQUIVALENTE</w:t>
      </w:r>
      <w:r>
        <w:rPr>
          <w:rStyle w:val="FootnoteReference"/>
          <w:noProof/>
        </w:rPr>
        <w:footnoteReference w:id="10"/>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050"/>
        <w:gridCol w:w="1134"/>
        <w:gridCol w:w="992"/>
        <w:gridCol w:w="1417"/>
        <w:gridCol w:w="1418"/>
      </w:tblGrid>
      <w:tr w:rsidR="001609E3">
        <w:trPr>
          <w:cantSplit/>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57" w:name="DOC_TBL00022_1_1"/>
            <w:bookmarkEnd w:id="257"/>
          </w:p>
        </w:tc>
        <w:tc>
          <w:tcPr>
            <w:tcW w:w="107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05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in Mio. EUR</w:t>
            </w:r>
          </w:p>
        </w:tc>
      </w:tr>
      <w:tr w:rsidR="001609E3">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eastAsia="Verdana"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8. EEF</w:t>
            </w:r>
          </w:p>
        </w:tc>
        <w:tc>
          <w:tcPr>
            <w:tcW w:w="105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9.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10.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11. EEF</w:t>
            </w:r>
          </w:p>
        </w:tc>
        <w:tc>
          <w:tcPr>
            <w:tcW w:w="141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31.12.2016</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31.12.2015</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 xml:space="preserve">Sonderkonten: </w:t>
            </w:r>
          </w:p>
        </w:tc>
        <w:tc>
          <w:tcPr>
            <w:tcW w:w="107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05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Finanzinstitute der Mitgliedstaaten</w:t>
            </w:r>
          </w:p>
        </w:tc>
        <w:tc>
          <w:tcPr>
            <w:tcW w:w="107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05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291</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291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126</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 xml:space="preserve">Sichtkonten: </w:t>
            </w:r>
          </w:p>
        </w:tc>
        <w:tc>
          <w:tcPr>
            <w:tcW w:w="107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05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Geschäftsbanken</w:t>
            </w:r>
          </w:p>
        </w:tc>
        <w:tc>
          <w:tcPr>
            <w:tcW w:w="107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05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389</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389</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377</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Sondermittel für die Demokratische Republik Kongo*</w:t>
            </w:r>
          </w:p>
        </w:tc>
        <w:tc>
          <w:tcPr>
            <w:tcW w:w="107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05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r>
      <w:tr w:rsidR="001609E3">
        <w:trPr>
          <w:cantSplit/>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t>
            </w:r>
            <w:r>
              <w:softHyphen/>
              <w:t>betrag</w:t>
            </w:r>
          </w:p>
        </w:tc>
        <w:tc>
          <w:tcPr>
            <w:tcW w:w="1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05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680</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680</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504</w:t>
            </w:r>
          </w:p>
        </w:tc>
      </w:tr>
    </w:tbl>
    <w:p w:rsidR="001609E3" w:rsidRDefault="00E45B63">
      <w:pPr>
        <w:pStyle w:val="Textstand-alone"/>
        <w:spacing w:before="0" w:after="0"/>
      </w:pPr>
      <w:r>
        <w:t>*Dieser Saldo entspricht den gemäß der Entscheidung 2003/583/EG des Rates für die Demokratische</w:t>
      </w:r>
      <w:r>
        <w:t xml:space="preserve"> Republik Kongo verfügbaren Beträgen.</w:t>
      </w:r>
    </w:p>
    <w:p w:rsidR="001609E3" w:rsidRDefault="001609E3">
      <w:pPr>
        <w:pStyle w:val="Textstand-alone"/>
        <w:spacing w:before="0" w:after="0"/>
      </w:pPr>
    </w:p>
    <w:p w:rsidR="001609E3" w:rsidRDefault="00E45B63">
      <w:pPr>
        <w:pStyle w:val="Textstand-alone"/>
        <w:spacing w:before="0" w:after="0"/>
      </w:pPr>
      <w:r>
        <w:t>Die allgemeine Zunahme bei den Zahlungsmitteln und Zahlungsmitteläquivalenten ist im Wesentlichen dadurch zu erklären, dass einige Mitgliedstaaten die ersten Beiträge für 2017 bereits im Dezember 2016 zahlten.</w:t>
      </w:r>
    </w:p>
    <w:p w:rsidR="001609E3" w:rsidRDefault="001609E3">
      <w:pPr>
        <w:pStyle w:val="Textstand-alone"/>
        <w:spacing w:before="0" w:after="0"/>
      </w:pPr>
    </w:p>
    <w:p w:rsidR="001609E3" w:rsidRDefault="00E45B63">
      <w:pPr>
        <w:pStyle w:val="Textstand-alone"/>
        <w:spacing w:before="0" w:after="0"/>
      </w:pPr>
      <w:r>
        <w:t xml:space="preserve">Auch </w:t>
      </w:r>
      <w:r>
        <w:t>ist darauf hinzuweisen, dass Empfängerländer unter den AKP-Staaten STABEX-Mittel halten und dass diese  nicht in der Bilanz des EEF enthalten sind. STABEX ist die Kurzform für das Finanzausgleichssystem der EU zur Stabilisierung von Exporterlösen der AKP-S</w:t>
      </w:r>
      <w:r>
        <w:t>taaten. Sobald die Kommission und der begünstigte AKP-Staat eine Einigung über die Verwendung der STABEX-Mittel erzielt haben, unterzeichnen beide Parteien ein Tansferübereinkommen. Entsprechend Artikel 211 des Lomé-IV-Abkommens</w:t>
      </w:r>
      <w:r>
        <w:rPr>
          <w:rStyle w:val="FootnoteReference"/>
        </w:rPr>
        <w:footnoteReference w:id="11"/>
      </w:r>
      <w:r>
        <w:t xml:space="preserve"> (in der geänderten Fassung) werden die Mittel auf ein im Namen des AKP-Staats eröffnetes zinstragendes Konto mit zweifacher Zeichnungsbefugnis (Kommission und Empfängerstaat) überwiesen. Die Mittel verbleiben auf diesen Konten mit zweifacher Zeichnungsbef</w:t>
      </w:r>
      <w:r>
        <w:t>ugnis, bis ein Rahmen gegenseitiger Verpflichtungen einen Transfer für ein Projekt rechtfertigt. Der Anweisungsbefugte der Kommission behält die Zeichnungsbefugnis für das Konto, damit sichergestellt wird, dass die Mittel planungsgemäß ausgezahlt werden. D</w:t>
      </w:r>
      <w:r>
        <w:t xml:space="preserve">ie auf den Konten mit zweifacher Zeichnungsbefugnis befindlichen Mittel sind Eigentum des betreffenden AKP-Staats und werden demzufolge in den Büchern des EEF nicht als Vermögenswerte erfasst. Die Überweisungen auf diese Konten werden als STABEX-Zahlungen </w:t>
      </w:r>
      <w:r>
        <w:t xml:space="preserve">erfasst. Weitere Informationen sind Erläuterung </w:t>
      </w:r>
      <w:r>
        <w:rPr>
          <w:b/>
        </w:rPr>
        <w:t>3.1.1</w:t>
      </w:r>
      <w:r>
        <w:t xml:space="preserve"> zu entnehmen.</w:t>
      </w:r>
    </w:p>
    <w:p w:rsidR="001609E3" w:rsidRDefault="001609E3">
      <w:pPr>
        <w:pStyle w:val="Textstand-alone"/>
        <w:spacing w:before="0" w:after="0"/>
      </w:pPr>
    </w:p>
    <w:p w:rsidR="001609E3" w:rsidRDefault="00E45B63">
      <w:pPr>
        <w:pStyle w:val="Textstand-alone"/>
        <w:spacing w:before="0" w:after="0"/>
      </w:pPr>
      <w:r>
        <w:t>Die Einstufung der Finanzinstitute und Banken wurde überarbeitet, um die Darstellung in den Jahresrechnungen für 2016 zu verbessern. Die Vergleichswerte für 2015 werden entsprechend ausge</w:t>
      </w:r>
      <w:r>
        <w:t>wiesen.</w:t>
      </w:r>
    </w:p>
    <w:p w:rsidR="001609E3" w:rsidRDefault="001609E3">
      <w:pPr>
        <w:pStyle w:val="Textstand-alone"/>
        <w:spacing w:before="0" w:after="0"/>
      </w:pPr>
    </w:p>
    <w:p w:rsidR="001609E3" w:rsidRDefault="00E45B63">
      <w:pPr>
        <w:pStyle w:val="HEADERTABLE"/>
        <w:rPr>
          <w:noProof/>
        </w:rPr>
      </w:pPr>
      <w:bookmarkStart w:id="258" w:name="_DMBM_9464"/>
      <w:bookmarkEnd w:id="256"/>
      <w:r>
        <w:rPr>
          <w:noProof/>
        </w:rPr>
        <w:t>VERBINDLICHKEITEN</w:t>
      </w:r>
    </w:p>
    <w:p w:rsidR="001609E3" w:rsidRDefault="00E45B63">
      <w:pPr>
        <w:pStyle w:val="HEADER2Part2"/>
        <w:rPr>
          <w:noProof/>
        </w:rPr>
      </w:pPr>
      <w:bookmarkStart w:id="259" w:name="_DMBM_9499"/>
      <w:bookmarkEnd w:id="258"/>
      <w:r>
        <w:rPr>
          <w:noProof/>
        </w:rPr>
        <w:t>RÜCKSTELLUNGEN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993"/>
        <w:gridCol w:w="992"/>
        <w:gridCol w:w="1417"/>
        <w:gridCol w:w="1418"/>
      </w:tblGrid>
      <w:tr w:rsidR="001609E3">
        <w:tc>
          <w:tcPr>
            <w:tcW w:w="2943"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60" w:name="DOC_TBL00023_1_1"/>
            <w:bookmarkEnd w:id="260"/>
          </w:p>
        </w:tc>
        <w:tc>
          <w:tcPr>
            <w:tcW w:w="107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E45B63">
            <w:pPr>
              <w:pStyle w:val="Text7pItalicLeft"/>
              <w:rPr>
                <w:rFonts w:eastAsia="Times New Roman" w:cs="Verdana"/>
              </w:rPr>
            </w:pPr>
            <w:r>
              <w:t>in Mio. EUR</w:t>
            </w:r>
          </w:p>
        </w:tc>
      </w:tr>
      <w:tr w:rsidR="001609E3">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8. EEF</w:t>
            </w:r>
          </w:p>
        </w:tc>
        <w:tc>
          <w:tcPr>
            <w:tcW w:w="119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9. EEF</w:t>
            </w:r>
          </w:p>
        </w:tc>
        <w:tc>
          <w:tcPr>
            <w:tcW w:w="99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10.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11. EEF</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31.12.2016</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31.12.2015</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Rückstellungen</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41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r>
      <w:tr w:rsidR="001609E3">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1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w:t>
            </w: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r>
    </w:tbl>
    <w:p w:rsidR="001609E3" w:rsidRDefault="00E45B63">
      <w:pPr>
        <w:pStyle w:val="Textstand-alone"/>
        <w:spacing w:after="0"/>
      </w:pPr>
      <w:r>
        <w:t>Die Rückstellung stellt die bestmögliche Schätzung des Betrags dar, den der EEF wahrscheinlich zur Finanzierung der ordnungsgemäßen Schließung des Entwicklungszentrums (Centre de Development – CDE) zahlen muss. Die Schließung wurde vom Botschafterausschuss</w:t>
      </w:r>
      <w:r>
        <w:t xml:space="preserve"> AKP-EU beschlossen (Beschluss Nr. 4/2014 vom 23. Oktober 2014). </w:t>
      </w:r>
    </w:p>
    <w:p w:rsidR="001609E3" w:rsidRDefault="00E45B63">
      <w:pPr>
        <w:pStyle w:val="Textstand-alone"/>
        <w:spacing w:after="0"/>
      </w:pPr>
      <w:r>
        <w:t>Der Betrag beinhaltet gegen das Entwicklungszentrum anhängig gemachte Rechtssachen (1,2 Mio. EUR) und die restlichen erwarteten Kosten der passiven Phase (z. B. verbleibende Verwaltungsaufga</w:t>
      </w:r>
      <w:r>
        <w:t>ben, sonstige verbliebene Rechtsstreitigkeiten, Archiv usw.), die am 31. Dezember 2016 begann (siehe Erläuterung </w:t>
      </w:r>
      <w:r>
        <w:rPr>
          <w:b/>
        </w:rPr>
        <w:t>4.3.2</w:t>
      </w:r>
      <w:r>
        <w:t>).</w:t>
      </w:r>
    </w:p>
    <w:bookmarkEnd w:id="259"/>
    <w:p w:rsidR="001609E3" w:rsidRDefault="001609E3">
      <w:pPr>
        <w:pStyle w:val="Textstand-alone"/>
        <w:spacing w:after="0"/>
        <w:sectPr w:rsidR="001609E3">
          <w:headerReference w:type="even" r:id="rId131"/>
          <w:headerReference w:type="default" r:id="rId132"/>
          <w:footerReference w:type="even" r:id="rId133"/>
          <w:footerReference w:type="default" r:id="rId134"/>
          <w:headerReference w:type="first" r:id="rId135"/>
          <w:footerReference w:type="first" r:id="rId136"/>
          <w:pgSz w:w="11906" w:h="16838"/>
          <w:pgMar w:top="1134" w:right="1134" w:bottom="1134" w:left="1134" w:header="708" w:footer="708" w:gutter="0"/>
          <w:cols w:space="708"/>
          <w:docGrid w:linePitch="360"/>
        </w:sectPr>
      </w:pPr>
    </w:p>
    <w:p w:rsidR="001609E3" w:rsidRDefault="00E45B63">
      <w:pPr>
        <w:pStyle w:val="HEADER2Part2"/>
        <w:rPr>
          <w:noProof/>
        </w:rPr>
      </w:pPr>
      <w:bookmarkStart w:id="261" w:name="_DMBM_9538"/>
      <w:r>
        <w:rPr>
          <w:noProof/>
        </w:rPr>
        <w:t xml:space="preserve">FINANZIELLE </w:t>
      </w:r>
      <w:r>
        <w:rPr>
          <w:noProof/>
        </w:rPr>
        <w:t>VERBINDLICHKEITEN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62" w:name="DOC_TBL00024_1_1"/>
            <w:bookmarkEnd w:id="262"/>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Right025"/>
              <w:rPr>
                <w:rFonts w:eastAsia="Verdana" w:cs="Verdana"/>
              </w:rPr>
            </w:pPr>
            <w:r>
              <w:t>in Mio. EUR</w:t>
            </w:r>
          </w:p>
        </w:tc>
      </w:tr>
      <w:tr w:rsidR="001609E3">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Verbindlichkeiten aus der Kofinanzierung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10</w:t>
            </w:r>
          </w:p>
        </w:tc>
      </w:tr>
      <w:tr w:rsidR="001609E3">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10</w:t>
            </w:r>
          </w:p>
        </w:tc>
      </w:tr>
    </w:tbl>
    <w:p w:rsidR="001609E3" w:rsidRDefault="00E45B63">
      <w:pPr>
        <w:pStyle w:val="Textstand-alone"/>
        <w:spacing w:after="0"/>
      </w:pPr>
      <w:r>
        <w:t xml:space="preserve">Die Veränderung der Verbindlichkeiten aus der Kofinanzierung insgesamt wird </w:t>
      </w:r>
      <w:r>
        <w:t>in Erläuterung</w:t>
      </w:r>
      <w:r>
        <w:rPr>
          <w:b/>
        </w:rPr>
        <w:t xml:space="preserve"> 2.7.2.1</w:t>
      </w:r>
      <w:r>
        <w:t xml:space="preserve"> erklärt.</w:t>
      </w:r>
      <w:bookmarkEnd w:id="261"/>
    </w:p>
    <w:p w:rsidR="001609E3" w:rsidRDefault="001609E3">
      <w:pPr>
        <w:pStyle w:val="Textstand-alone"/>
        <w:spacing w:after="0"/>
      </w:pPr>
    </w:p>
    <w:p w:rsidR="001609E3" w:rsidRDefault="001609E3">
      <w:pPr>
        <w:pStyle w:val="Textstand-alone"/>
        <w:sectPr w:rsidR="001609E3">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bookmarkStart w:id="263" w:name="_DMBM_9444"/>
      <w:bookmarkEnd w:id="263"/>
    </w:p>
    <w:p w:rsidR="001609E3" w:rsidRDefault="00E45B63">
      <w:pPr>
        <w:pStyle w:val="HEADER2Part2"/>
        <w:rPr>
          <w:noProof/>
        </w:rPr>
      </w:pPr>
      <w:bookmarkStart w:id="264" w:name="_DMBM_9550"/>
      <w:r>
        <w:rPr>
          <w:noProof/>
        </w:rPr>
        <w:t>Verbindlichkeiten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134"/>
        <w:gridCol w:w="992"/>
        <w:gridCol w:w="993"/>
        <w:gridCol w:w="850"/>
        <w:gridCol w:w="1418"/>
        <w:gridCol w:w="1417"/>
      </w:tblGrid>
      <w:tr w:rsidR="001609E3">
        <w:trPr>
          <w:trHeight w:val="274"/>
        </w:trPr>
        <w:tc>
          <w:tcPr>
            <w:tcW w:w="20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65" w:name="DOC_TBL00025_1_1"/>
            <w:bookmarkEnd w:id="265"/>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209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eastAsia="Verdana" w:cs="Verdana"/>
                <w:noProof/>
              </w:rPr>
            </w:pP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Erläu</w:t>
            </w:r>
            <w:r>
              <w:rPr>
                <w:noProof/>
              </w:rPr>
              <w:softHyphen/>
              <w:t>terung</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c>
          <w:tcPr>
            <w:tcW w:w="20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Kurzfristige Verbindlichkeiten</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2.7.1</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12</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112</w:t>
            </w:r>
          </w:p>
        </w:tc>
        <w:tc>
          <w:tcPr>
            <w:tcW w:w="85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97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222</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180</w:t>
            </w:r>
          </w:p>
        </w:tc>
      </w:tr>
      <w:tr w:rsidR="001609E3">
        <w:tc>
          <w:tcPr>
            <w:tcW w:w="209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Sonstige Verbindlichkeiten</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2.7.2</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(0)</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325</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327</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340</w:t>
            </w:r>
          </w:p>
        </w:tc>
      </w:tr>
      <w:tr w:rsidR="001609E3">
        <w:tc>
          <w:tcPr>
            <w:tcW w:w="2093"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Text8pBoldLeft"/>
              <w:rPr>
                <w:rFonts w:eastAsia="Verdana" w:cs="Verdana"/>
              </w:rPr>
            </w:pPr>
            <w:r>
              <w:t>Gesamt</w:t>
            </w:r>
            <w:r>
              <w:softHyphen/>
              <w:t>betrag</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1609E3">
            <w:pPr>
              <w:pStyle w:val="Figures7pItalicRight025"/>
              <w:rPr>
                <w:rFonts w:eastAsia="Verdana" w:cs="Verdana"/>
              </w:rPr>
            </w:pP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0</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12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438</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99</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549</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520</w:t>
            </w:r>
          </w:p>
        </w:tc>
      </w:tr>
    </w:tbl>
    <w:p w:rsidR="001609E3" w:rsidRDefault="00E45B63">
      <w:pPr>
        <w:pStyle w:val="HEADER3Part2"/>
        <w:rPr>
          <w:noProof/>
        </w:rPr>
      </w:pPr>
      <w:r>
        <w:rPr>
          <w:noProof/>
        </w:rPr>
        <w:t xml:space="preserve"> Kurzfristige Verbindlichkeiten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134"/>
        <w:gridCol w:w="992"/>
        <w:gridCol w:w="992"/>
        <w:gridCol w:w="1418"/>
        <w:gridCol w:w="1417"/>
      </w:tblGrid>
      <w:tr w:rsidR="001609E3">
        <w:trPr>
          <w:cantSplit/>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66" w:name="DOC_TBL00026_1_1"/>
            <w:bookmarkEnd w:id="266"/>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in Mio. EUR</w:t>
            </w:r>
          </w:p>
        </w:tc>
      </w:tr>
      <w:tr w:rsidR="001609E3">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eastAsia="Verdana" w:cs="Verdana"/>
                <w:noProof/>
              </w:rPr>
            </w:pPr>
          </w:p>
        </w:tc>
        <w:tc>
          <w:tcPr>
            <w:tcW w:w="99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9.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10.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eastAsia="Verdana" w:cs="Verdana"/>
                <w:noProof/>
              </w:rPr>
            </w:pPr>
            <w:r>
              <w:rPr>
                <w:noProof/>
              </w:rPr>
              <w:t>31.12.2015</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Lieferanten</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69</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98</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79</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Mitgliedstaaten</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Drittstaaten</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29</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91</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83</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Öffentliche Einrichtungen</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18</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21</w:t>
            </w:r>
          </w:p>
        </w:tc>
      </w:tr>
      <w:tr w:rsidR="001609E3">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kurzfristige Verbindlichkeiten</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w:t>
            </w:r>
          </w:p>
        </w:tc>
      </w:tr>
      <w:tr w:rsidR="001609E3">
        <w:trPr>
          <w:cantSplit/>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t>
            </w:r>
            <w:r>
              <w:softHyphen/>
              <w:t>betrag</w:t>
            </w:r>
          </w:p>
        </w:tc>
        <w:tc>
          <w:tcPr>
            <w:tcW w:w="99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12</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112</w:t>
            </w:r>
          </w:p>
        </w:tc>
        <w:tc>
          <w:tcPr>
            <w:tcW w:w="9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97</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222</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180</w:t>
            </w:r>
          </w:p>
        </w:tc>
      </w:tr>
    </w:tbl>
    <w:p w:rsidR="001609E3" w:rsidRDefault="00E45B63">
      <w:pPr>
        <w:pStyle w:val="Textstand-alone"/>
      </w:pPr>
      <w:r>
        <w:t>In den Verbindlichkeiten sind unter anderem die Ausgabenaufstellungen enthalten, welche dem EEF im Zusammenhang mit seinen Finanzhilfeaktivitäten vorgelegt wurden. Sie werden bei Erhalt der Zahlungsanträge in der dort angegebenen Hö</w:t>
      </w:r>
      <w:r>
        <w:t xml:space="preserve">he erfasst. Dasselbe Verfahren gilt auch für Rechnungen und Gutschriften, die im Zusammenhang mit der Auftragsvergabe eingehen. Die betreffenden Zahlungsanträge wurden im Rahmen der Rechnungsabgrenzungsverfahren zum Jahresende (Cut-Off) berücksichtigt. Im </w:t>
      </w:r>
      <w:r>
        <w:t>Anschluss an diese Rechnungsabgrenzungsbuchungen wurden die geschätzten förderfähigen Beträge in der Ergebnisrechnung angesetzt.</w:t>
      </w:r>
    </w:p>
    <w:p w:rsidR="001609E3" w:rsidRDefault="00E45B63">
      <w:pPr>
        <w:pStyle w:val="HEADER3Part2"/>
        <w:rPr>
          <w:noProof/>
        </w:rPr>
      </w:pPr>
      <w:r>
        <w:rPr>
          <w:noProof/>
        </w:rPr>
        <w:t>Sonstige Verbindlichkeiten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851"/>
        <w:gridCol w:w="992"/>
        <w:gridCol w:w="992"/>
        <w:gridCol w:w="709"/>
        <w:gridCol w:w="1418"/>
        <w:gridCol w:w="1417"/>
      </w:tblGrid>
      <w:tr w:rsidR="001609E3">
        <w:trPr>
          <w:trHeight w:val="274"/>
        </w:trPr>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67" w:name="DOC_TBL00027_1_1"/>
            <w:bookmarkEnd w:id="267"/>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2376"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Erläu</w:t>
            </w:r>
            <w:r>
              <w:rPr>
                <w:noProof/>
              </w:rPr>
              <w:softHyphen/>
              <w:t>terung</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709"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Verbindlichkeiten aus der Kofinanzierung</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2.7.2.1</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63</w:t>
            </w:r>
          </w:p>
        </w:tc>
        <w:tc>
          <w:tcPr>
            <w:tcW w:w="70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64</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31</w:t>
            </w:r>
          </w:p>
        </w:tc>
      </w:tr>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Transitorische Fondskapitaleinlagen</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2.7.2.2</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261</w:t>
            </w:r>
          </w:p>
        </w:tc>
        <w:tc>
          <w:tcPr>
            <w:tcW w:w="70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261</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307</w:t>
            </w:r>
          </w:p>
        </w:tc>
      </w:tr>
      <w:tr w:rsidR="001609E3">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8pItalicLeft"/>
              <w:rPr>
                <w:rFonts w:eastAsia="Verdana" w:cs="Verdana"/>
              </w:rPr>
            </w:pPr>
            <w:r>
              <w:t>Weitere sonstige Verbindlichkeiten</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2.7.2.3</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w:t>
            </w:r>
          </w:p>
        </w:tc>
        <w:tc>
          <w:tcPr>
            <w:tcW w:w="709"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7pItalicRight025"/>
              <w:rPr>
                <w:rFonts w:eastAsia="Verdana" w:cs="Verdana"/>
              </w:rPr>
            </w:pPr>
            <w:r>
              <w:t xml:space="preserve"> 2</w:t>
            </w:r>
          </w:p>
        </w:tc>
      </w:tr>
      <w:tr w:rsidR="001609E3">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Text8pBoldLeft"/>
              <w:rPr>
                <w:rFonts w:eastAsia="Verdana" w:cs="Verdana"/>
              </w:rPr>
            </w:pPr>
            <w:r>
              <w:t>Gesamt</w:t>
            </w:r>
            <w:r>
              <w:softHyphen/>
              <w:t>betrag</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1609E3">
            <w:pPr>
              <w:pStyle w:val="Figures7pItalicRight025"/>
              <w:rPr>
                <w:rFonts w:eastAsia="Verdana" w:cs="Verdana"/>
              </w:rPr>
            </w:pPr>
          </w:p>
        </w:tc>
        <w:tc>
          <w:tcPr>
            <w:tcW w:w="851"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324</w:t>
            </w:r>
          </w:p>
        </w:tc>
        <w:tc>
          <w:tcPr>
            <w:tcW w:w="709"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3</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327</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Verdana" w:cs="Verdana"/>
              </w:rPr>
            </w:pPr>
            <w:r>
              <w:t xml:space="preserve"> 340</w:t>
            </w:r>
          </w:p>
        </w:tc>
      </w:tr>
    </w:tbl>
    <w:p w:rsidR="001609E3" w:rsidRDefault="001609E3">
      <w:pPr>
        <w:pStyle w:val="HEADER4Part2"/>
        <w:numPr>
          <w:ilvl w:val="0"/>
          <w:numId w:val="0"/>
        </w:numPr>
        <w:ind w:left="907" w:hanging="907"/>
        <w:rPr>
          <w:noProof/>
        </w:rPr>
      </w:pPr>
    </w:p>
    <w:p w:rsidR="001609E3" w:rsidRDefault="00E45B63">
      <w:pPr>
        <w:pStyle w:val="HEADER4Part2"/>
        <w:rPr>
          <w:noProof/>
        </w:rPr>
      </w:pPr>
      <w:r>
        <w:rPr>
          <w:noProof/>
        </w:rPr>
        <w:t xml:space="preserve">Verbindlichkeiten aus </w:t>
      </w:r>
      <w:r>
        <w:rPr>
          <w:noProof/>
        </w:rPr>
        <w:t>der Kofinanzierung</w:t>
      </w:r>
    </w:p>
    <w:p w:rsidR="001609E3" w:rsidRDefault="00E45B63">
      <w:pPr>
        <w:pStyle w:val="Textstand-alone"/>
      </w:pPr>
      <w:r>
        <w:t>Eine Zusammenfassung der nach Mitgliedstaaten aufgeschlüsselten, lang- und kurzfristigen Verbindlichkeiten aus der Kofinanzierung ist der folgenden Tabelle zu entnehmen: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rsidR="001609E3">
        <w:trPr>
          <w:cantSplit/>
        </w:trPr>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68" w:name="DOC_TBL00028_1_1"/>
            <w:bookmarkEnd w:id="268"/>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Right025"/>
              <w:rPr>
                <w:rFonts w:eastAsia="Verdana" w:cs="Verdana"/>
              </w:rPr>
            </w:pPr>
            <w:r>
              <w:t>in Mio. EUR</w:t>
            </w:r>
          </w:p>
        </w:tc>
      </w:tr>
      <w:tr w:rsidR="001609E3">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BoldLeft"/>
              <w:rPr>
                <w:rFonts w:eastAsia="Verdana" w:cs="Verdana"/>
              </w:rPr>
            </w:pPr>
            <w:r>
              <w:t>Langfristige Kofinanzierung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Belgien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Deutschland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Vereinigtes Königreich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Schweden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Kanada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Text9pItalicBold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10</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BoldLeft"/>
              <w:rPr>
                <w:rFonts w:eastAsia="Verdana" w:cs="Verdana"/>
              </w:rPr>
            </w:pPr>
            <w:r>
              <w:t>Kurzfristige Kofinanzierung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Figures9pItalicBoldRight025"/>
              <w:rPr>
                <w:rFonts w:eastAsia="Verdana" w:cs="Verdana"/>
              </w:rPr>
            </w:pP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Belgien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Dänemark</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Frankreich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10</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Deutschland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Niederlande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Spanien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Vereinigtes Königreich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Schweden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12</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Kanada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r>
      <w:tr w:rsidR="001609E3">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1609E3">
            <w:pPr>
              <w:pStyle w:val="Text9pItalicBold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63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BoldRight025"/>
              <w:rPr>
                <w:rFonts w:eastAsia="Verdana" w:cs="Verdana"/>
              </w:rPr>
            </w:pPr>
            <w:r>
              <w:t xml:space="preserve"> 31</w:t>
            </w:r>
          </w:p>
        </w:tc>
      </w:tr>
      <w:tr w:rsidR="001609E3">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69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70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41</w:t>
            </w:r>
          </w:p>
        </w:tc>
      </w:tr>
    </w:tbl>
    <w:p w:rsidR="001609E3" w:rsidRDefault="00E45B63">
      <w:pPr>
        <w:pStyle w:val="Textstand-alone"/>
      </w:pPr>
      <w:r>
        <w:t xml:space="preserve">Der Gesamtbetrag lang- und kurzfristiger Verbindlichkeiten aus der Kofinanzierung stieg im Vergleich zur vorhergehenden Berichtsperiode um 29 Mio. EUR. </w:t>
      </w:r>
    </w:p>
    <w:p w:rsidR="001609E3" w:rsidRDefault="00E45B63">
      <w:pPr>
        <w:pStyle w:val="Textstand-alone"/>
      </w:pPr>
      <w:r>
        <w:t xml:space="preserve">2016 gingen vom Vereinigten Königreich (9,4 Mio. EUR) sowie aus Belgien (3,3 Mio. EUR) und Schweden (0,9 Mio. EUR) neue Kofinanzierungsbeiträge ein.  </w:t>
      </w:r>
    </w:p>
    <w:p w:rsidR="001609E3" w:rsidRDefault="00E45B63">
      <w:pPr>
        <w:pStyle w:val="Textstand-alone"/>
      </w:pPr>
      <w:r>
        <w:t>Der Gesamtbetrag lang- und kurzfristiger Verbindlichkeiten aus der Kofinanzierung wurde um 15 Mio. EUR er</w:t>
      </w:r>
      <w:r>
        <w:t xml:space="preserve">höht, um auf diese Weise mit kofinanzierten Projekten verbundene Einnahmen und Aufwendungen ansetzen zu können (siehe die Erläuterungen </w:t>
      </w:r>
      <w:r>
        <w:rPr>
          <w:b/>
        </w:rPr>
        <w:t>3.1.2</w:t>
      </w:r>
      <w:r>
        <w:t xml:space="preserve"> und </w:t>
      </w:r>
      <w:r>
        <w:rPr>
          <w:b/>
        </w:rPr>
        <w:t>3.4</w:t>
      </w:r>
      <w:r>
        <w:t xml:space="preserve">). </w:t>
      </w:r>
    </w:p>
    <w:p w:rsidR="001609E3" w:rsidRDefault="00E45B63">
      <w:pPr>
        <w:pStyle w:val="HEADER4Part2"/>
        <w:rPr>
          <w:noProof/>
        </w:rPr>
      </w:pPr>
      <w:r>
        <w:rPr>
          <w:noProof/>
        </w:rPr>
        <w:t>Transitorische Fondskapitaleinlagen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rsidR="001609E3">
        <w:tc>
          <w:tcPr>
            <w:tcW w:w="223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69" w:name="DOC_TBL00029_1_1"/>
            <w:bookmarkEnd w:id="269"/>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Right025"/>
              <w:rPr>
                <w:rFonts w:eastAsia="Verdana" w:cs="Verdana"/>
              </w:rPr>
            </w:pPr>
            <w:r>
              <w:t>in Mio. EUR</w:t>
            </w:r>
          </w:p>
        </w:tc>
      </w:tr>
      <w:tr w:rsidR="001609E3">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Vereinigtes Königreich</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252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259</w:t>
            </w:r>
          </w:p>
        </w:tc>
      </w:tr>
      <w:tr w:rsidR="001609E3">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Schweden</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48</w:t>
            </w:r>
          </w:p>
        </w:tc>
      </w:tr>
      <w:tr w:rsidR="001609E3">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Ungarn</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r>
      <w:tr w:rsidR="001609E3">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261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261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307</w:t>
            </w:r>
          </w:p>
        </w:tc>
      </w:tr>
    </w:tbl>
    <w:p w:rsidR="001609E3" w:rsidRDefault="00E45B63">
      <w:pPr>
        <w:pStyle w:val="Textstand-alone"/>
      </w:pPr>
      <w:r>
        <w:t>Die Rubrik „transitorische Fondskapitaleinlagen“ bezieht sich auf im Voraus gezahlte Einlagen von Mitgliedstaaten.</w:t>
      </w:r>
    </w:p>
    <w:p w:rsidR="001609E3" w:rsidRDefault="00E45B63">
      <w:pPr>
        <w:pStyle w:val="HEADER4Part2"/>
        <w:rPr>
          <w:noProof/>
        </w:rPr>
      </w:pPr>
      <w:r>
        <w:rPr>
          <w:noProof/>
        </w:rPr>
        <w:t>Weitere sonstige Verbindlichkeiten</w:t>
      </w:r>
    </w:p>
    <w:p w:rsidR="001609E3" w:rsidRDefault="00E45B63">
      <w:pPr>
        <w:pStyle w:val="Textstand-alone"/>
      </w:pPr>
      <w:r>
        <w:t>In dieser Rurik stehen vor allem nicht zugewiesene Bareinnahmen und Rückzahlungen.</w:t>
      </w:r>
      <w:bookmarkEnd w:id="264"/>
    </w:p>
    <w:p w:rsidR="001609E3" w:rsidRDefault="001609E3">
      <w:pPr>
        <w:pStyle w:val="Textstand-alone"/>
      </w:pPr>
    </w:p>
    <w:p w:rsidR="001609E3" w:rsidRDefault="00E45B63">
      <w:pPr>
        <w:rPr>
          <w:rFonts w:ascii="Verdana" w:hAnsi="Verdana"/>
          <w:noProof/>
          <w:sz w:val="18"/>
          <w:szCs w:val="18"/>
        </w:rPr>
      </w:pPr>
      <w:r>
        <w:rPr>
          <w:noProof/>
        </w:rPr>
        <w:br w:type="page"/>
      </w:r>
    </w:p>
    <w:p w:rsidR="001609E3" w:rsidRDefault="001609E3">
      <w:pPr>
        <w:pStyle w:val="Textstand-alone"/>
        <w:sectPr w:rsidR="001609E3">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p>
    <w:p w:rsidR="001609E3" w:rsidRDefault="00E45B63">
      <w:pPr>
        <w:pStyle w:val="HEADER2Part2"/>
        <w:rPr>
          <w:noProof/>
        </w:rPr>
      </w:pPr>
      <w:bookmarkStart w:id="270" w:name="_DMBM_9564"/>
      <w:r>
        <w:rPr>
          <w:noProof/>
        </w:rPr>
        <w:t xml:space="preserve">ANTIZIPATIVE UND </w:t>
      </w:r>
      <w:r>
        <w:rPr>
          <w:noProof/>
        </w:rPr>
        <w:t>TRANSITORISCHE PASSIVA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71" w:name="DOC_TBL00030_1_1"/>
            <w:bookmarkEnd w:id="271"/>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Right025"/>
              <w:rPr>
                <w:rFonts w:eastAsia="Verdana" w:cs="Verdana"/>
              </w:rPr>
            </w:pPr>
            <w:r>
              <w:t>in Mio. EUR</w:t>
            </w:r>
          </w:p>
        </w:tc>
      </w:tr>
      <w:tr w:rsidR="001609E3">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Antizipative Passiva</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567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770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853</w:t>
            </w:r>
          </w:p>
        </w:tc>
      </w:tr>
      <w:tr w:rsidR="001609E3">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Sonstige abgegrenzte Beträge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r>
      <w:tr w:rsidR="001609E3">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567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115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776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855</w:t>
            </w:r>
          </w:p>
        </w:tc>
      </w:tr>
    </w:tbl>
    <w:p w:rsidR="001609E3" w:rsidRDefault="00E45B63">
      <w:pPr>
        <w:pStyle w:val="Textstand-alone"/>
      </w:pPr>
      <w:r>
        <w:t xml:space="preserve">In den </w:t>
      </w:r>
      <w:r>
        <w:t>antizipativen Passiva sind geschätzte operative Aufwendungen für laufende oder beendete Verträge ohne validierte Zahlungsanträge enthalten; in diesem Zusammenhang wurden die den Empfängern 2016 entstandenen förderfähigen Aufwendungen anhand der besten verf</w:t>
      </w:r>
      <w:r>
        <w:t>ügbaren Informationen über die bestehenden Verträge geschätzt. Der Anteil der geschätzten antizipativen Passiva, der sich auf gezahlte Vorfinanzierungen bezieht, wurde als Reduzierung der Vorfinanzierungsbeträge erfasst (siehe Erläuterung </w:t>
      </w:r>
      <w:r>
        <w:rPr>
          <w:b/>
        </w:rPr>
        <w:t>2.1</w:t>
      </w:r>
      <w:r>
        <w:t>).</w:t>
      </w:r>
      <w:bookmarkEnd w:id="270"/>
    </w:p>
    <w:p w:rsidR="001609E3" w:rsidRDefault="00E45B63">
      <w:pPr>
        <w:pStyle w:val="HEADERTABLE"/>
        <w:spacing w:after="0"/>
        <w:rPr>
          <w:noProof/>
        </w:rPr>
      </w:pPr>
      <w:bookmarkStart w:id="272" w:name="_DMBM_9523"/>
      <w:r>
        <w:rPr>
          <w:noProof/>
        </w:rPr>
        <w:t>NETTOVERMÖGEN</w:t>
      </w:r>
    </w:p>
    <w:p w:rsidR="001609E3" w:rsidRDefault="00E45B63">
      <w:pPr>
        <w:pStyle w:val="Textstand-alone"/>
        <w:spacing w:before="0"/>
        <w:sectPr w:rsidR="001609E3">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r>
        <w:t xml:space="preserve"> </w:t>
      </w:r>
      <w:bookmarkEnd w:id="272"/>
    </w:p>
    <w:p w:rsidR="001609E3" w:rsidRDefault="00E45B63">
      <w:pPr>
        <w:pStyle w:val="HEADER2Part2"/>
        <w:spacing w:after="0"/>
        <w:rPr>
          <w:noProof/>
        </w:rPr>
      </w:pPr>
      <w:bookmarkStart w:id="273" w:name="_DMBM_9501"/>
      <w:r>
        <w:rPr>
          <w:noProof/>
        </w:rPr>
        <w:t>FONDSKAPITAL</w:t>
      </w:r>
    </w:p>
    <w:p w:rsidR="001609E3" w:rsidRDefault="00E45B63">
      <w:pPr>
        <w:pStyle w:val="HEADER3Part2"/>
        <w:keepNext/>
        <w:keepLines/>
        <w:rPr>
          <w:noProof/>
        </w:rPr>
      </w:pPr>
      <w:r>
        <w:rPr>
          <w:noProof/>
        </w:rPr>
        <w:t>Abgerufenes Fondskapital – aktive EEF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rsidR="001609E3">
        <w:trPr>
          <w:cantSplit/>
        </w:trPr>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74" w:name="DOC_TBL00031_1_1"/>
            <w:bookmarkEnd w:id="274"/>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8. EEF</w:t>
            </w:r>
          </w:p>
        </w:tc>
        <w:tc>
          <w:tcPr>
            <w:tcW w:w="130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9. EEF</w:t>
            </w:r>
          </w:p>
        </w:tc>
        <w:tc>
          <w:tcPr>
            <w:tcW w:w="127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10. EEF</w:t>
            </w:r>
          </w:p>
        </w:tc>
        <w:tc>
          <w:tcPr>
            <w:tcW w:w="127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11. EEF</w:t>
            </w:r>
          </w:p>
        </w:tc>
        <w:tc>
          <w:tcPr>
            <w:tcW w:w="141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Gesamt</w:t>
            </w:r>
            <w:r>
              <w:softHyphen/>
              <w:t>betrag</w:t>
            </w:r>
          </w:p>
        </w:tc>
      </w:tr>
      <w:tr w:rsidR="001609E3">
        <w:trPr>
          <w:cantSplit/>
        </w:trPr>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Fondskapital</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12 164</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10 973</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20 960</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73 464</w:t>
            </w:r>
          </w:p>
        </w:tc>
      </w:tr>
      <w:tr w:rsidR="001609E3">
        <w:trPr>
          <w:cantSplit/>
        </w:trPr>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Nicht abgerufenes Fondskapital</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(5 223)</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(34 590)</w:t>
            </w:r>
          </w:p>
        </w:tc>
      </w:tr>
      <w:tr w:rsidR="001609E3">
        <w:trPr>
          <w:cantSplit/>
        </w:trPr>
        <w:tc>
          <w:tcPr>
            <w:tcW w:w="321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Abgerufenes Fondskapital zum 31.12.2015</w:t>
            </w:r>
          </w:p>
        </w:tc>
        <w:tc>
          <w:tcPr>
            <w:tcW w:w="127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12 164</w:t>
            </w:r>
          </w:p>
        </w:tc>
        <w:tc>
          <w:tcPr>
            <w:tcW w:w="130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10 973</w:t>
            </w:r>
          </w:p>
        </w:tc>
        <w:tc>
          <w:tcPr>
            <w:tcW w:w="127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15 737</w:t>
            </w:r>
          </w:p>
        </w:tc>
        <w:tc>
          <w:tcPr>
            <w:tcW w:w="127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38 873</w:t>
            </w:r>
          </w:p>
        </w:tc>
      </w:tr>
      <w:tr w:rsidR="001609E3">
        <w:trPr>
          <w:cantSplit/>
        </w:trPr>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Pr>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Fondskapital</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12 164</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10 973</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20 960</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73 464</w:t>
            </w:r>
          </w:p>
        </w:tc>
      </w:tr>
      <w:tr w:rsidR="001609E3">
        <w:trPr>
          <w:cantSplit/>
        </w:trPr>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Nicht </w:t>
            </w:r>
            <w:r>
              <w:t>abgerufenes Fondskapital</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(1 773)</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(31 140)</w:t>
            </w:r>
          </w:p>
        </w:tc>
      </w:tr>
      <w:tr w:rsidR="001609E3">
        <w:trPr>
          <w:cantSplit/>
        </w:trPr>
        <w:tc>
          <w:tcPr>
            <w:tcW w:w="321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Abgerufenes Fondskapital zum 31.12.2016</w:t>
            </w:r>
          </w:p>
        </w:tc>
        <w:tc>
          <w:tcPr>
            <w:tcW w:w="127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12 164</w:t>
            </w:r>
          </w:p>
        </w:tc>
        <w:tc>
          <w:tcPr>
            <w:tcW w:w="130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10 973</w:t>
            </w:r>
          </w:p>
        </w:tc>
        <w:tc>
          <w:tcPr>
            <w:tcW w:w="127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19 187</w:t>
            </w:r>
          </w:p>
        </w:tc>
        <w:tc>
          <w:tcPr>
            <w:tcW w:w="127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42 323</w:t>
            </w:r>
          </w:p>
        </w:tc>
      </w:tr>
    </w:tbl>
    <w:p w:rsidR="001609E3" w:rsidRDefault="00E45B63">
      <w:pPr>
        <w:pStyle w:val="Textstand-alone"/>
      </w:pPr>
      <w:r>
        <w:t xml:space="preserve">Das Fondskapital ist der Gesamtbetrag der Beiträge, die von den Mitgliedstaaten gemäß den jeweiligen Internen Abkommen zu den </w:t>
      </w:r>
      <w:r>
        <w:t>EEF zu leisten sind. Die nicht angerufenen Mittel stellen die ursprüngliche Mittelausstattung dar, die bei den Mitgliedstaaten noch nicht abgerufen wurde.</w:t>
      </w:r>
    </w:p>
    <w:p w:rsidR="001609E3" w:rsidRDefault="00E45B63">
      <w:pPr>
        <w:pStyle w:val="Textstand-alone"/>
      </w:pPr>
      <w:r>
        <w:t>Das abgerufene Kapital entspricht dem Teilbetrag der ursprünglichen Mittelausstattung, der bei den Mi</w:t>
      </w:r>
      <w:r>
        <w:t>tgliedstaaten zur Überweisung auf die Zentralbankkonten abgerufen wurde (siehe Erläuterung </w:t>
      </w:r>
      <w:r>
        <w:rPr>
          <w:b/>
        </w:rPr>
        <w:t>2.9.2).</w:t>
      </w:r>
      <w:r>
        <w:t xml:space="preserve"> </w:t>
      </w:r>
    </w:p>
    <w:p w:rsidR="001609E3" w:rsidRDefault="001609E3">
      <w:pPr>
        <w:pStyle w:val="Textstand-alone"/>
      </w:pPr>
    </w:p>
    <w:p w:rsidR="001609E3" w:rsidRDefault="00E45B63">
      <w:pPr>
        <w:rPr>
          <w:rFonts w:ascii="Verdana" w:hAnsi="Verdana"/>
          <w:noProof/>
          <w:sz w:val="18"/>
          <w:szCs w:val="18"/>
        </w:rPr>
      </w:pPr>
      <w:r>
        <w:rPr>
          <w:noProof/>
        </w:rPr>
        <w:br w:type="page"/>
      </w:r>
    </w:p>
    <w:p w:rsidR="001609E3" w:rsidRDefault="00E45B63">
      <w:pPr>
        <w:pStyle w:val="HEADER3Part2"/>
        <w:keepNext/>
        <w:keepLines/>
        <w:rPr>
          <w:noProof/>
        </w:rPr>
      </w:pPr>
      <w:r>
        <w:rPr>
          <w:noProof/>
        </w:rPr>
        <w:t>Abgerufenes und nicht abgerufenes Fondskapital nach Mitgliedstaaten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17"/>
        <w:gridCol w:w="1559"/>
        <w:gridCol w:w="1418"/>
        <w:gridCol w:w="1559"/>
      </w:tblGrid>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75" w:name="DOC_TBL00032_1_1"/>
            <w:bookmarkEnd w:id="275"/>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379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Left"/>
              <w:rPr>
                <w:rFonts w:eastAsia="Verdana" w:cs="Verdana"/>
              </w:rPr>
            </w:pPr>
            <w:r>
              <w:t>Beiträge</w:t>
            </w:r>
          </w:p>
        </w:tc>
        <w:tc>
          <w:tcPr>
            <w:tcW w:w="1417"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w:t>
            </w:r>
          </w:p>
        </w:tc>
        <w:tc>
          <w:tcPr>
            <w:tcW w:w="1559"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Nicht abgerufenes Kapital zum 31.12.2015</w:t>
            </w:r>
          </w:p>
        </w:tc>
        <w:tc>
          <w:tcPr>
            <w:tcW w:w="1418"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2016 abgerufenes</w:t>
            </w:r>
            <w:r>
              <w:t xml:space="preserve"> Kapital</w:t>
            </w:r>
          </w:p>
        </w:tc>
        <w:tc>
          <w:tcPr>
            <w:tcW w:w="1559"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Nicht abgerufenes Kapital zum 31.12.2016</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Österreich</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2.41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126</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(83)</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43</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Belgien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3.53</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184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(122)</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63</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Bulgarien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0.14</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Zypern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0.09</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Tschechische Republik</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0.51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(18)</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9</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Dänemark</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2.00</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104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(69)</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35</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Estland</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0.05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Finnland</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1.47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(51)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26</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Frankreich</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19.55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1 021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(674)</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347</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Deutschland</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20.50</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1 071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(707)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364</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Griechenland</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1.47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77</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(51)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26</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Ungarn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0.55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10</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Ir</w:t>
            </w:r>
            <w:r>
              <w:softHyphen/>
              <w:t>land</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0.91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48</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16</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Italien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12.86</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672</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(444)</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228</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Lett</w:t>
            </w:r>
            <w:r>
              <w:softHyphen/>
              <w:t>land</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0.07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Litauen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0.12</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Luxemburg</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0.27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(9)</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5</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Malta</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0.03</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Niederlande</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4.85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253</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(167)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86</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Polen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1.30</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68</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23</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Portu</w:t>
            </w:r>
            <w:r>
              <w:softHyphen/>
              <w:t>gal</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1.15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(40)</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20</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Rumänien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0.37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19</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(13)</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Slowakei</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0.21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Slowenien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0.18</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3</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Spanien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7.85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410</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(271)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139</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Schweden</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2.74</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143</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49</w:t>
            </w:r>
          </w:p>
        </w:tc>
      </w:tr>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NormalLeft"/>
              <w:rPr>
                <w:rFonts w:eastAsia="Verdana" w:cs="Verdana"/>
              </w:rPr>
            </w:pPr>
            <w:r>
              <w:t>Vereinigtes Königreich</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14.82</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774</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(511)</w:t>
            </w: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NormalRight025"/>
              <w:rPr>
                <w:rFonts w:eastAsia="Verdana" w:cs="Verdana"/>
              </w:rPr>
            </w:pPr>
            <w:r>
              <w:t xml:space="preserve"> 263</w:t>
            </w:r>
          </w:p>
        </w:tc>
      </w:tr>
      <w:tr w:rsidR="001609E3">
        <w:tc>
          <w:tcPr>
            <w:tcW w:w="379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t>
            </w:r>
            <w:r>
              <w:softHyphen/>
              <w:t>betrag</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100.00</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5 223</w:t>
            </w:r>
          </w:p>
        </w:tc>
        <w:tc>
          <w:tcPr>
            <w:tcW w:w="14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(3 450)</w:t>
            </w:r>
          </w:p>
        </w:tc>
        <w:tc>
          <w:tcPr>
            <w:tcW w:w="1559"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1 773</w:t>
            </w:r>
          </w:p>
        </w:tc>
      </w:tr>
    </w:tbl>
    <w:p w:rsidR="001609E3" w:rsidRDefault="00E45B63">
      <w:pPr>
        <w:pStyle w:val="Textstand-alone"/>
      </w:pPr>
      <w:r>
        <w:t>Das 2016 abgerufene Kapital besteht vollständig aus Abrufen aus dem 10. EEF. Der Gesamtbetrag setzt sich aus regulären Abrufen zusammen (3450 Mio. EUR). Das Kapital des 8. und 9. EEF wurde abgerufen und ging in voller Höhe ein. Aus dem 11. EEF ist bisher n</w:t>
      </w:r>
      <w:r>
        <w:t xml:space="preserve">och kein Kapital abgerufen worden. </w:t>
      </w:r>
    </w:p>
    <w:p w:rsidR="001609E3" w:rsidRDefault="00E45B63">
      <w:pPr>
        <w:pStyle w:val="HEADER3Part2"/>
        <w:rPr>
          <w:noProof/>
        </w:rPr>
      </w:pPr>
      <w:bookmarkStart w:id="276" w:name="_DMBM_9441"/>
      <w:r>
        <w:rPr>
          <w:noProof/>
        </w:rPr>
        <w:t>Übertragung von abgerufenem Fondskapital aus abgeschlossenen EEF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134"/>
        <w:gridCol w:w="992"/>
        <w:gridCol w:w="992"/>
        <w:gridCol w:w="1418"/>
        <w:gridCol w:w="1417"/>
      </w:tblGrid>
      <w:tr w:rsidR="001609E3">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77" w:name="DOC_TBL00034_1_1"/>
            <w:bookmarkEnd w:id="277"/>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Left"/>
              <w:rPr>
                <w:rFonts w:eastAsia="Verdana" w:cs="Verdana"/>
              </w:rPr>
            </w:pPr>
            <w:r>
              <w:t>in Mio. EUR</w:t>
            </w:r>
          </w:p>
        </w:tc>
      </w:tr>
      <w:tr w:rsidR="001609E3">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eastAsia="Verdana" w:cs="Verdana"/>
                <w:noProof/>
              </w:rPr>
            </w:pPr>
          </w:p>
        </w:tc>
        <w:tc>
          <w:tcPr>
            <w:tcW w:w="99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9.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10. EEF</w:t>
            </w:r>
          </w:p>
        </w:tc>
        <w:tc>
          <w:tcPr>
            <w:tcW w:w="9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31.12.2016</w:t>
            </w:r>
          </w:p>
        </w:tc>
        <w:tc>
          <w:tcPr>
            <w:tcW w:w="141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eastAsia="Verdana" w:cs="Verdana"/>
                <w:noProof/>
              </w:rPr>
            </w:pPr>
            <w:r>
              <w:rPr>
                <w:noProof/>
              </w:rPr>
              <w:t>31.12.2015</w:t>
            </w:r>
          </w:p>
        </w:tc>
      </w:tr>
      <w:tr w:rsidR="001609E3">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Übertragene Mittel aus abgeschlossenen EEF</w:t>
            </w:r>
          </w:p>
        </w:tc>
        <w:tc>
          <w:tcPr>
            <w:tcW w:w="99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627</w:t>
            </w: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1 625</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2 252</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2 252</w:t>
            </w:r>
          </w:p>
        </w:tc>
      </w:tr>
    </w:tbl>
    <w:p w:rsidR="001609E3" w:rsidRDefault="00E45B63">
      <w:pPr>
        <w:pStyle w:val="Textstand-alone"/>
      </w:pPr>
      <w:r>
        <w:t xml:space="preserve">Unter </w:t>
      </w:r>
      <w:r>
        <w:t>diesem Posten werden die aus abgeschlossenen EEF auf den 8. und 9. EEF übertragenen Mittel ausgewiesen.</w:t>
      </w:r>
    </w:p>
    <w:bookmarkEnd w:id="276"/>
    <w:p w:rsidR="001609E3" w:rsidRDefault="001609E3">
      <w:pPr>
        <w:pStyle w:val="Textstand-alone"/>
      </w:pPr>
    </w:p>
    <w:p w:rsidR="001609E3" w:rsidRDefault="001609E3">
      <w:pPr>
        <w:pStyle w:val="Textstand-alone"/>
      </w:pPr>
    </w:p>
    <w:bookmarkEnd w:id="273"/>
    <w:p w:rsidR="001609E3" w:rsidRDefault="001609E3">
      <w:pPr>
        <w:pStyle w:val="Textstand-alone"/>
        <w:sectPr w:rsidR="001609E3">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p w:rsidR="001609E3" w:rsidRDefault="00E45B63">
      <w:pPr>
        <w:pStyle w:val="HEADER3Part2"/>
        <w:rPr>
          <w:noProof/>
        </w:rPr>
      </w:pPr>
      <w:bookmarkStart w:id="278" w:name="_DMBM_9577"/>
      <w:r>
        <w:rPr>
          <w:noProof/>
        </w:rPr>
        <w:t xml:space="preserve">Übertragung von abgerufenem </w:t>
      </w:r>
      <w:r>
        <w:rPr>
          <w:noProof/>
        </w:rPr>
        <w:t>Fondskapital zwischen aktiven EEF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279" w:name="DOC_TBL00033_1_1"/>
            <w:bookmarkEnd w:id="279"/>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3210"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8. EEF</w:t>
            </w:r>
          </w:p>
        </w:tc>
        <w:tc>
          <w:tcPr>
            <w:tcW w:w="130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9. EEF</w:t>
            </w:r>
          </w:p>
        </w:tc>
        <w:tc>
          <w:tcPr>
            <w:tcW w:w="127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10. EEF</w:t>
            </w:r>
          </w:p>
        </w:tc>
        <w:tc>
          <w:tcPr>
            <w:tcW w:w="127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11. EEF</w:t>
            </w:r>
          </w:p>
        </w:tc>
        <w:tc>
          <w:tcPr>
            <w:tcW w:w="141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Gesamt</w:t>
            </w:r>
            <w:r>
              <w:softHyphen/>
              <w:t>betrag</w:t>
            </w:r>
          </w:p>
        </w:tc>
      </w:tr>
      <w:tr w:rsidR="001609E3">
        <w:tc>
          <w:tcPr>
            <w:tcW w:w="321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am 31.12.2014</w:t>
            </w:r>
          </w:p>
        </w:tc>
        <w:tc>
          <w:tcPr>
            <w:tcW w:w="127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(3 147)</w:t>
            </w:r>
          </w:p>
        </w:tc>
        <w:tc>
          <w:tcPr>
            <w:tcW w:w="130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1 758</w:t>
            </w:r>
          </w:p>
        </w:tc>
        <w:tc>
          <w:tcPr>
            <w:tcW w:w="127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(209)</w:t>
            </w:r>
          </w:p>
        </w:tc>
        <w:tc>
          <w:tcPr>
            <w:tcW w:w="127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1 597</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Übertragung freigegebener Mittel aus früheren EEF auf die leistungsgebundene Reserve des 10. EEF</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(109)</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114</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Übertragung freigegebener Mittel aus früheren EEF auf die leistungsgebundene Reserve des 11. EEF</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Übertragung aus den leistungsgebundenen Reserven des 10. und 11. EEF auf die Überbrückungsfazilität</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(41)</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Einziehungen </w:t>
            </w:r>
            <w:r>
              <w:t>aus der Überbrückungsfazilität zugunsten der leistungsgebundenen Reserven des 10. und 11. EEF</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11</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(11)</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Rückführung im Rahmen der Überbrückungsfazilität gebundener Mittel</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676</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727</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192</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(1 595)</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am 31.12.2015</w:t>
            </w:r>
          </w:p>
        </w:tc>
        <w:tc>
          <w:tcPr>
            <w:tcW w:w="127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(2 476)</w:t>
            </w:r>
          </w:p>
        </w:tc>
        <w:tc>
          <w:tcPr>
            <w:tcW w:w="130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2 376</w:t>
            </w:r>
          </w:p>
        </w:tc>
        <w:tc>
          <w:tcPr>
            <w:tcW w:w="127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35</w:t>
            </w:r>
          </w:p>
        </w:tc>
        <w:tc>
          <w:tcPr>
            <w:tcW w:w="127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65</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Übertragung freigegebener Mittel aus früheren EEF auf die leistungsgebundene Reserve des 10. EEF</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(20)</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(163)</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182</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Übertragung freigegebener Mittel aus früheren EEF auf die leistungsgebundene Reserve des 11. EEF</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(356)</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356</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Übertragung aus der </w:t>
            </w:r>
            <w:r>
              <w:t>11. leistungsgebundenen Reserve auf die Friedensfazilität für Afrika (10. EEF).</w:t>
            </w:r>
          </w:p>
        </w:tc>
        <w:tc>
          <w:tcPr>
            <w:tcW w:w="1270"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386</w:t>
            </w:r>
          </w:p>
        </w:tc>
        <w:tc>
          <w:tcPr>
            <w:tcW w:w="127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(386)</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21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am 31.12.2016</w:t>
            </w:r>
          </w:p>
        </w:tc>
        <w:tc>
          <w:tcPr>
            <w:tcW w:w="1270"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(2 496)</w:t>
            </w:r>
          </w:p>
        </w:tc>
        <w:tc>
          <w:tcPr>
            <w:tcW w:w="130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2 214</w:t>
            </w:r>
          </w:p>
        </w:tc>
        <w:tc>
          <w:tcPr>
            <w:tcW w:w="127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247</w:t>
            </w:r>
          </w:p>
        </w:tc>
        <w:tc>
          <w:tcPr>
            <w:tcW w:w="127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35</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bl>
    <w:p w:rsidR="001609E3" w:rsidRDefault="00E45B63">
      <w:pPr>
        <w:pStyle w:val="Textstand-alone"/>
      </w:pPr>
      <w:r>
        <w:t>Unter diesem Posten werden die zwischen aktiven EEF übertragenen Mittel ausgewiesen.</w:t>
      </w:r>
    </w:p>
    <w:p w:rsidR="001609E3" w:rsidRDefault="00E45B63">
      <w:pPr>
        <w:pStyle w:val="Textstand-alone"/>
      </w:pPr>
      <w:r>
        <w:t>Seit dem Inkrafttreten des Abkommens von Cotonou werden sämtliche im Rahmen ehemaliger aktiver EEF nach der Aufhebung der Mittelbindung auf den zuletzt eröffneten EEF übertragen. Die aus anderen EEF übertragenen Ressourcen führen zu einem Anstieg der Mitte</w:t>
      </w:r>
      <w:r>
        <w:t xml:space="preserve">l des empfangenden Fonds und einer Senkung der Mittel aus dem Ursprungsfonds. Auf die leistungsgebundenen Reserven des 10. und 11. EEF übertragene Mittel können nur unter besonderen, in den internen Abkommen festgelegten Bedingungen gebunden werden.  </w:t>
      </w:r>
    </w:p>
    <w:p w:rsidR="001609E3" w:rsidRDefault="00E45B63">
      <w:pPr>
        <w:pStyle w:val="Textstand-alone"/>
      </w:pPr>
      <w:r>
        <w:t>2016</w:t>
      </w:r>
      <w:r>
        <w:t xml:space="preserve"> wurden zur Finanzierung der Friedensfazilität für Afrika im Rahmen des 10. EEF 386 Mio. EUR aus der 11. leistungsgebundenen Reserve entnommen.</w:t>
      </w:r>
      <w:bookmarkEnd w:id="278"/>
    </w:p>
    <w:p w:rsidR="001609E3" w:rsidRDefault="001609E3">
      <w:pPr>
        <w:pStyle w:val="Textstand-alone"/>
        <w:sectPr w:rsidR="001609E3">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8" w:footer="708" w:gutter="0"/>
          <w:cols w:space="708"/>
          <w:docGrid w:linePitch="360"/>
        </w:sectPr>
      </w:pPr>
    </w:p>
    <w:p w:rsidR="001609E3" w:rsidRDefault="001609E3">
      <w:pPr>
        <w:pStyle w:val="Textstand-alone"/>
        <w:sectPr w:rsidR="001609E3">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p>
    <w:p w:rsidR="001609E3" w:rsidRDefault="00E45B63">
      <w:pPr>
        <w:pStyle w:val="HEADER1Part2"/>
        <w:rPr>
          <w:noProof/>
        </w:rPr>
      </w:pPr>
      <w:bookmarkStart w:id="280" w:name="_DMBM_9553"/>
      <w:r>
        <w:rPr>
          <w:noProof/>
        </w:rPr>
        <w:t>ERLÄUTERUNGEN ZUR ERGEBNISRECHNUNG</w:t>
      </w:r>
    </w:p>
    <w:p w:rsidR="001609E3" w:rsidRDefault="00E45B63">
      <w:pPr>
        <w:pStyle w:val="Textstand-alone"/>
        <w:sectPr w:rsidR="001609E3">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r>
        <w:t xml:space="preserve"> </w:t>
      </w:r>
      <w:bookmarkEnd w:id="280"/>
    </w:p>
    <w:p w:rsidR="001609E3" w:rsidRDefault="00E45B63">
      <w:pPr>
        <w:pStyle w:val="HEADERTITLE"/>
      </w:pPr>
      <w:bookmarkStart w:id="281" w:name="_Toc484164237"/>
      <w:bookmarkStart w:id="282" w:name="_Toc491158496"/>
      <w:bookmarkStart w:id="283" w:name="_Toc491767269"/>
      <w:bookmarkStart w:id="284" w:name="_Toc491768130"/>
      <w:bookmarkStart w:id="285" w:name="_DMBM_9543"/>
      <w:r>
        <w:t>EINNAHMEN</w:t>
      </w:r>
      <w:bookmarkEnd w:id="281"/>
      <w:bookmarkEnd w:id="282"/>
      <w:bookmarkEnd w:id="283"/>
      <w:bookmarkEnd w:id="28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1020"/>
        <w:gridCol w:w="1809"/>
        <w:gridCol w:w="1817"/>
      </w:tblGrid>
      <w:tr w:rsidR="001609E3">
        <w:trPr>
          <w:trHeight w:val="268"/>
        </w:trPr>
        <w:tc>
          <w:tcPr>
            <w:tcW w:w="5211"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86" w:name="DOC_TBL00035_1_1"/>
            <w:bookmarkEnd w:id="286"/>
          </w:p>
        </w:tc>
        <w:tc>
          <w:tcPr>
            <w:tcW w:w="85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Erläu</w:t>
            </w:r>
            <w:r>
              <w:softHyphen/>
              <w:t>terung</w:t>
            </w: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2015</w:t>
            </w:r>
          </w:p>
        </w:tc>
      </w:tr>
      <w:tr w:rsidR="001609E3">
        <w:trPr>
          <w:trHeight w:val="268"/>
        </w:trPr>
        <w:tc>
          <w:tcPr>
            <w:tcW w:w="5211"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Einnahmen aus Transaktionen ohne Leistungsaustausch</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Text9pItalicCentered"/>
              <w:rPr>
                <w:rFonts w:eastAsia="Times New Roman" w:cs="Verdana"/>
              </w:rPr>
            </w:pPr>
            <w:r>
              <w:t>3.1</w:t>
            </w:r>
          </w:p>
        </w:tc>
        <w:tc>
          <w:tcPr>
            <w:tcW w:w="184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w:t>
            </w:r>
          </w:p>
        </w:tc>
        <w:tc>
          <w:tcPr>
            <w:tcW w:w="1843"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90</w:t>
            </w:r>
          </w:p>
        </w:tc>
      </w:tr>
      <w:tr w:rsidR="001609E3">
        <w:trPr>
          <w:trHeight w:val="268"/>
        </w:trPr>
        <w:tc>
          <w:tcPr>
            <w:tcW w:w="5211"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Einnahmen aus Transaktionen mit Leistungsaustausch</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Text9pItalicCentered"/>
              <w:rPr>
                <w:rFonts w:eastAsia="Times New Roman" w:cs="Verdana"/>
              </w:rPr>
            </w:pPr>
            <w:r>
              <w:t>3.2</w:t>
            </w:r>
          </w:p>
        </w:tc>
        <w:tc>
          <w:tcPr>
            <w:tcW w:w="184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66</w:t>
            </w:r>
          </w:p>
        </w:tc>
        <w:tc>
          <w:tcPr>
            <w:tcW w:w="1843"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50</w:t>
            </w:r>
          </w:p>
        </w:tc>
      </w:tr>
      <w:tr w:rsidR="001609E3">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Times New Roman"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73</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140</w:t>
            </w:r>
          </w:p>
        </w:tc>
      </w:tr>
    </w:tbl>
    <w:p w:rsidR="001609E3" w:rsidRDefault="00E45B63">
      <w:pPr>
        <w:pStyle w:val="HEADER2Part2"/>
        <w:rPr>
          <w:noProof/>
        </w:rPr>
      </w:pPr>
      <w:r>
        <w:rPr>
          <w:noProof/>
        </w:rPr>
        <w:t xml:space="preserve">EINNAHMEN AUS </w:t>
      </w:r>
      <w:r>
        <w:rPr>
          <w:noProof/>
        </w:rPr>
        <w:t>TRANSAKTIONEN OHNE LEISTUNGSAUSTAUSCH</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992"/>
        <w:gridCol w:w="992"/>
        <w:gridCol w:w="993"/>
        <w:gridCol w:w="850"/>
        <w:gridCol w:w="1418"/>
        <w:gridCol w:w="1417"/>
      </w:tblGrid>
      <w:tr w:rsidR="001609E3">
        <w:trPr>
          <w:trHeight w:val="274"/>
        </w:trPr>
        <w:tc>
          <w:tcPr>
            <w:tcW w:w="2376"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87" w:name="DOC_TBL00036_1_1"/>
            <w:bookmarkEnd w:id="287"/>
          </w:p>
        </w:tc>
        <w:tc>
          <w:tcPr>
            <w:tcW w:w="85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c>
          <w:tcPr>
            <w:tcW w:w="2376"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Erläu</w:t>
            </w:r>
            <w:r>
              <w:rPr>
                <w:noProof/>
              </w:rPr>
              <w:softHyphen/>
              <w:t>terung</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8. EEF</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9. EEF</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10. EEF</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11. EEF</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2015</w:t>
            </w:r>
          </w:p>
        </w:tc>
      </w:tr>
      <w:tr w:rsidR="001609E3">
        <w:tc>
          <w:tcPr>
            <w:tcW w:w="2376"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Einziehung von Aufwendungen</w:t>
            </w:r>
          </w:p>
        </w:tc>
        <w:tc>
          <w:tcPr>
            <w:tcW w:w="851" w:type="dxa"/>
            <w:tcBorders>
              <w:top w:val="nil"/>
              <w:left w:val="nil"/>
              <w:bottom w:val="nil"/>
              <w:right w:val="nil"/>
            </w:tcBorders>
            <w:tcMar>
              <w:top w:w="0" w:type="dxa"/>
              <w:left w:w="108" w:type="dxa"/>
              <w:bottom w:w="0" w:type="dxa"/>
              <w:right w:w="108" w:type="dxa"/>
            </w:tcMar>
          </w:tcPr>
          <w:p w:rsidR="001609E3" w:rsidRDefault="001609E3">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0</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5</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13</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4</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23</w:t>
            </w:r>
          </w:p>
        </w:tc>
        <w:tc>
          <w:tcPr>
            <w:tcW w:w="1417"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20</w:t>
            </w:r>
          </w:p>
        </w:tc>
      </w:tr>
      <w:tr w:rsidR="001609E3">
        <w:tc>
          <w:tcPr>
            <w:tcW w:w="2376"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Einziehung von STABEX-Mitteln</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3.1.1</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1</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1</w:t>
            </w:r>
          </w:p>
        </w:tc>
        <w:tc>
          <w:tcPr>
            <w:tcW w:w="1417" w:type="dxa"/>
            <w:tcBorders>
              <w:top w:val="nil"/>
              <w:left w:val="nil"/>
              <w:bottom w:val="nil"/>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1</w:t>
            </w:r>
          </w:p>
        </w:tc>
      </w:tr>
      <w:tr w:rsidR="001609E3">
        <w:tc>
          <w:tcPr>
            <w:tcW w:w="2376" w:type="dxa"/>
            <w:tcBorders>
              <w:top w:val="nil"/>
              <w:left w:val="nil"/>
              <w:bottom w:val="single" w:sz="4" w:space="0" w:color="FFFFFF"/>
              <w:right w:val="nil"/>
            </w:tcBorders>
            <w:tcMar>
              <w:top w:w="0" w:type="dxa"/>
              <w:left w:w="108" w:type="dxa"/>
              <w:bottom w:w="0" w:type="dxa"/>
              <w:right w:w="108" w:type="dxa"/>
            </w:tcMar>
          </w:tcPr>
          <w:p w:rsidR="001609E3" w:rsidRDefault="00E45B63">
            <w:pPr>
              <w:pStyle w:val="Text8pItalicLeft"/>
              <w:rPr>
                <w:rFonts w:eastAsia="Times New Roman" w:cs="Verdana"/>
              </w:rPr>
            </w:pPr>
            <w:r>
              <w:t>Einnahmen aus der Kofinanzierung</w:t>
            </w:r>
          </w:p>
        </w:tc>
        <w:tc>
          <w:tcPr>
            <w:tcW w:w="851"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3.1.2</w:t>
            </w:r>
          </w:p>
        </w:tc>
        <w:tc>
          <w:tcPr>
            <w:tcW w:w="992"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w:t>
            </w:r>
          </w:p>
        </w:tc>
        <w:tc>
          <w:tcPr>
            <w:tcW w:w="992"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w:t>
            </w:r>
          </w:p>
        </w:tc>
        <w:tc>
          <w:tcPr>
            <w:tcW w:w="993"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(15)</w:t>
            </w:r>
          </w:p>
        </w:tc>
        <w:tc>
          <w:tcPr>
            <w:tcW w:w="850"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w:t>
            </w:r>
          </w:p>
        </w:tc>
        <w:tc>
          <w:tcPr>
            <w:tcW w:w="1418"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(15)</w:t>
            </w:r>
          </w:p>
        </w:tc>
        <w:tc>
          <w:tcPr>
            <w:tcW w:w="1417" w:type="dxa"/>
            <w:tcBorders>
              <w:top w:val="nil"/>
              <w:left w:val="nil"/>
              <w:bottom w:val="single" w:sz="4" w:space="0" w:color="FFFFFF"/>
              <w:right w:val="nil"/>
            </w:tcBorders>
            <w:tcMar>
              <w:top w:w="0" w:type="dxa"/>
              <w:left w:w="108" w:type="dxa"/>
              <w:bottom w:w="0" w:type="dxa"/>
              <w:right w:w="108" w:type="dxa"/>
            </w:tcMar>
          </w:tcPr>
          <w:p w:rsidR="001609E3" w:rsidRDefault="00E45B63">
            <w:pPr>
              <w:pStyle w:val="Figures7pItalicRight025"/>
              <w:rPr>
                <w:rFonts w:eastAsia="Times New Roman" w:cs="Verdana"/>
              </w:rPr>
            </w:pPr>
            <w:r>
              <w:t xml:space="preserve"> 69</w:t>
            </w:r>
          </w:p>
        </w:tc>
      </w:tr>
      <w:tr w:rsidR="001609E3">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Text8pBoldLeft"/>
              <w:rPr>
                <w:rFonts w:eastAsia="Times New Roman" w:cs="Verdana"/>
              </w:rPr>
            </w:pPr>
            <w:r>
              <w:t>Gesamt</w:t>
            </w:r>
            <w:r>
              <w:softHyphen/>
              <w:t>betrag</w:t>
            </w:r>
          </w:p>
        </w:tc>
        <w:tc>
          <w:tcPr>
            <w:tcW w:w="851"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1609E3">
            <w:pPr>
              <w:pStyle w:val="Figures7pItalicRight025"/>
              <w:rPr>
                <w:rFonts w:eastAsia="Times New Roman" w:cs="Verdana"/>
              </w:rPr>
            </w:pP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Times New Roman" w:cs="Verdana"/>
              </w:rPr>
            </w:pPr>
            <w:r>
              <w:t xml:space="preserve"> 1</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Times New Roman" w:cs="Verdana"/>
              </w:rPr>
            </w:pPr>
            <w:r>
              <w:t xml:space="preserve"> 5</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Times New Roman" w:cs="Verdana"/>
              </w:rPr>
            </w:pPr>
            <w:r>
              <w:t xml:space="preserve"> (2)</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Times New Roman" w:cs="Verdana"/>
              </w:rPr>
            </w:pPr>
            <w:r>
              <w:t xml:space="preserve"> 4</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Times New Roman" w:cs="Verdana"/>
              </w:rPr>
            </w:pPr>
            <w:r>
              <w:t xml:space="preserve"> 8</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rsidR="001609E3" w:rsidRDefault="00E45B63">
            <w:pPr>
              <w:pStyle w:val="Figures7pBoldRight025"/>
              <w:rPr>
                <w:rFonts w:eastAsia="Times New Roman" w:cs="Verdana"/>
              </w:rPr>
            </w:pPr>
            <w:r>
              <w:t xml:space="preserve"> 90</w:t>
            </w:r>
          </w:p>
        </w:tc>
      </w:tr>
    </w:tbl>
    <w:p w:rsidR="001609E3" w:rsidRDefault="00E45B63">
      <w:pPr>
        <w:pStyle w:val="Textstand-alone"/>
        <w:spacing w:before="0" w:after="0"/>
      </w:pPr>
      <w:r>
        <w:t xml:space="preserve"> </w:t>
      </w:r>
    </w:p>
    <w:p w:rsidR="001609E3" w:rsidRDefault="00E45B63">
      <w:pPr>
        <w:pStyle w:val="Textstand-alone"/>
        <w:spacing w:before="0" w:after="0"/>
      </w:pPr>
      <w:r>
        <w:t>Die Einnahmen aus Transaktionen ohne Leistungsaustausch lassen sich wie folgt nach Art der Mittelverwaltung aufschlüsseln: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88" w:name="DOC_TBL00037_1_1"/>
            <w:bookmarkEnd w:id="288"/>
          </w:p>
        </w:tc>
        <w:tc>
          <w:tcPr>
            <w:tcW w:w="2126" w:type="dxa"/>
            <w:tcBorders>
              <w:top w:val="nil"/>
              <w:left w:val="nil"/>
              <w:bottom w:val="nil"/>
              <w:right w:val="nil"/>
            </w:tcBorders>
            <w:tcMar>
              <w:top w:w="0" w:type="dxa"/>
              <w:left w:w="108" w:type="dxa"/>
              <w:bottom w:w="0" w:type="dxa"/>
              <w:right w:w="108" w:type="dxa"/>
            </w:tcMar>
          </w:tcPr>
          <w:p w:rsidR="001609E3" w:rsidRDefault="001609E3">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2015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6</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61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w:t>
            </w:r>
            <w:r>
              <w:t xml:space="preserve">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Kommission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EU-Delegationen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58</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Indirekte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 xml:space="preserve"> 29</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Drittländern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14</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Internationalen Organisationen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14</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Öffentlichen Einrichtungen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 xml:space="preserve">Privatrechtlichen Einrichtungen, die im öffentlichen </w:t>
            </w:r>
            <w:r>
              <w:t>Auftrag tätig werden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8</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90</w:t>
            </w:r>
          </w:p>
        </w:tc>
      </w:tr>
    </w:tbl>
    <w:p w:rsidR="001609E3" w:rsidRDefault="00E45B63">
      <w:pPr>
        <w:pStyle w:val="HEADER3Part2"/>
        <w:rPr>
          <w:noProof/>
        </w:rPr>
      </w:pPr>
      <w:r>
        <w:rPr>
          <w:noProof/>
        </w:rPr>
        <w:t>Einziehung von STABEX-Mitteln</w:t>
      </w:r>
    </w:p>
    <w:p w:rsidR="001609E3" w:rsidRDefault="00E45B63">
      <w:pPr>
        <w:pStyle w:val="Textstand-alone"/>
      </w:pPr>
      <w:r>
        <w:t xml:space="preserve">2016 wurde 1 Mio. EUR aus in AKP-Ländern bestehenden Konten mit zweifacher Zeichnungsbefugnis an den EEF zurückgeführt. Diese Einnahmen werden in der Ergebnisrechnung des </w:t>
      </w:r>
      <w:r>
        <w:t>8. EEF unter den Einnahmen aus Transaktion ohne Leistungsaustausch (Einziehung von STABEX-Mitteln) ausgewiesen.</w:t>
      </w:r>
    </w:p>
    <w:p w:rsidR="001609E3" w:rsidRDefault="00E45B63">
      <w:pPr>
        <w:pStyle w:val="HEADER3Part2"/>
        <w:rPr>
          <w:noProof/>
        </w:rPr>
      </w:pPr>
      <w:r>
        <w:rPr>
          <w:noProof/>
        </w:rPr>
        <w:t>Einnahmen aus der Kofinanzierung</w:t>
      </w:r>
    </w:p>
    <w:p w:rsidR="001609E3" w:rsidRDefault="00E45B63">
      <w:pPr>
        <w:pStyle w:val="Textstand-alone"/>
      </w:pPr>
      <w:r>
        <w:t>Empfangene Kofinanzierungsbeiträge erfüllen die Kriterien für Einnahmen aus bedingten Transaktionen ohne Leistu</w:t>
      </w:r>
      <w:r>
        <w:t>ngsaustausch und sollten daher keine Auswirkungen auf die Ergebnisrechnung haben. Empfangene Beiträge verbleiben in den Verbindlichkeiten (siehe Erläuterung </w:t>
      </w:r>
      <w:r>
        <w:rPr>
          <w:b/>
        </w:rPr>
        <w:t>2.7.2.1</w:t>
      </w:r>
      <w:r>
        <w:t>), bis die mit den gespendeten Mitteln verknüpften Bedingungen erfüllt sind, d. h. förderfäh</w:t>
      </w:r>
      <w:r>
        <w:t>ige Aufwendungen entstehen (siehe Erläuterung </w:t>
      </w:r>
      <w:r>
        <w:rPr>
          <w:b/>
        </w:rPr>
        <w:t>3.4</w:t>
      </w:r>
      <w:r>
        <w:t>). Zu diesem Zeitpunkt wird der entsprechende Betrag als Kofinanzierungseinnahme aus Transaktionen ohne Leistungsaustausch angesetzt. Die Auswirkung auf das wirtschaftliche Jahresergebnis ist somit gleich Nu</w:t>
      </w:r>
      <w:r>
        <w:t>ll.</w:t>
      </w:r>
    </w:p>
    <w:p w:rsidR="001609E3" w:rsidRDefault="001609E3">
      <w:pPr>
        <w:pStyle w:val="Textstand-alone"/>
      </w:pPr>
    </w:p>
    <w:p w:rsidR="001609E3" w:rsidRDefault="001609E3">
      <w:pPr>
        <w:pStyle w:val="Textstand-alone"/>
      </w:pPr>
    </w:p>
    <w:p w:rsidR="001609E3" w:rsidRDefault="00E45B63">
      <w:pPr>
        <w:pStyle w:val="HEADER2Part2"/>
        <w:rPr>
          <w:noProof/>
        </w:rPr>
      </w:pPr>
      <w:r>
        <w:rPr>
          <w:noProof/>
        </w:rPr>
        <w:t>EINNAHMEN AUS TRANSAKTIONEN MIT LEISTUNGSAUSTAUSCH</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rsidR="001609E3">
        <w:tc>
          <w:tcPr>
            <w:tcW w:w="2943"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89" w:name="DOC_TBL00038_1_1"/>
            <w:bookmarkEnd w:id="289"/>
          </w:p>
        </w:tc>
        <w:tc>
          <w:tcPr>
            <w:tcW w:w="107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rsidR="001609E3" w:rsidRDefault="00E45B63">
            <w:pPr>
              <w:pStyle w:val="Text7pItalicLeft"/>
              <w:rPr>
                <w:rFonts w:eastAsia="Times New Roman" w:cs="Verdana"/>
              </w:rPr>
            </w:pPr>
            <w:r>
              <w:t>in Mio. EUR</w:t>
            </w:r>
          </w:p>
        </w:tc>
      </w:tr>
      <w:tr w:rsidR="001609E3">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8. EEF</w:t>
            </w:r>
          </w:p>
        </w:tc>
        <w:tc>
          <w:tcPr>
            <w:tcW w:w="119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9.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11. EEF</w:t>
            </w:r>
          </w:p>
        </w:tc>
        <w:tc>
          <w:tcPr>
            <w:tcW w:w="11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2015</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Finanzerträge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Sonstige Erträge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17</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62</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42</w:t>
            </w:r>
          </w:p>
        </w:tc>
      </w:tr>
      <w:tr w:rsidR="001609E3">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1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19</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43</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1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66</w:t>
            </w:r>
          </w:p>
        </w:tc>
        <w:tc>
          <w:tcPr>
            <w:tcW w:w="12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50</w:t>
            </w:r>
          </w:p>
        </w:tc>
      </w:tr>
    </w:tbl>
    <w:p w:rsidR="001609E3" w:rsidRDefault="001609E3">
      <w:pPr>
        <w:pStyle w:val="Textstand-alone"/>
        <w:spacing w:before="0"/>
      </w:pPr>
    </w:p>
    <w:p w:rsidR="001609E3" w:rsidRDefault="00E45B63">
      <w:pPr>
        <w:pStyle w:val="Textstand-alone"/>
        <w:spacing w:before="0"/>
      </w:pPr>
      <w:r>
        <w:t xml:space="preserve">Die Finanzerträge </w:t>
      </w:r>
      <w:r>
        <w:t>bestehen überwiegend aus Zinsen auf Vorfinanzierungen; sie beliefen sich 2016 auf 3 Mio. EUR</w:t>
      </w:r>
      <w:r>
        <w:rPr>
          <w:rStyle w:val="FootnoteReference"/>
        </w:rPr>
        <w:footnoteReference w:id="12"/>
      </w:r>
      <w:r>
        <w:t xml:space="preserve"> (2015: 7 Mio. EUR). </w:t>
      </w:r>
    </w:p>
    <w:p w:rsidR="001609E3" w:rsidRDefault="00E45B63">
      <w:pPr>
        <w:pStyle w:val="Textstand-alone"/>
        <w:keepNext/>
        <w:keepLines/>
        <w:spacing w:before="0"/>
      </w:pPr>
      <w:r>
        <w:t xml:space="preserve">Die sonstigen Einkünfte beziehen sich vollständig auf realisierte und nicht realisierte Wechselkursgewinne. </w:t>
      </w:r>
      <w:bookmarkEnd w:id="285"/>
    </w:p>
    <w:p w:rsidR="001609E3" w:rsidRDefault="00E45B63">
      <w:pPr>
        <w:pStyle w:val="HEADERTITLE"/>
      </w:pPr>
      <w:bookmarkStart w:id="290" w:name="_Toc484164238"/>
      <w:bookmarkStart w:id="291" w:name="_Toc491158497"/>
      <w:bookmarkStart w:id="292" w:name="_Toc491767270"/>
      <w:bookmarkStart w:id="293" w:name="_Toc491768131"/>
      <w:bookmarkStart w:id="294" w:name="_DMBM_9467"/>
      <w:r>
        <w:t>AUFWENDUNGEN</w:t>
      </w:r>
      <w:bookmarkEnd w:id="290"/>
      <w:bookmarkEnd w:id="291"/>
      <w:bookmarkEnd w:id="292"/>
      <w:bookmarkEnd w:id="293"/>
    </w:p>
    <w:p w:rsidR="001609E3" w:rsidRDefault="00E45B63">
      <w:pPr>
        <w:pStyle w:val="HEADER2Part2"/>
        <w:rPr>
          <w:noProof/>
        </w:rPr>
      </w:pPr>
      <w:r>
        <w:rPr>
          <w:noProof/>
        </w:rPr>
        <w:t>HILFSINSTRUMENTE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rsidR="001609E3">
        <w:trPr>
          <w:cantSplit/>
        </w:trPr>
        <w:tc>
          <w:tcPr>
            <w:tcW w:w="2943"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95" w:name="DOC_TBL00039_1_1"/>
            <w:bookmarkEnd w:id="295"/>
          </w:p>
        </w:tc>
        <w:tc>
          <w:tcPr>
            <w:tcW w:w="107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rsidR="001609E3" w:rsidRDefault="00E45B63">
            <w:pPr>
              <w:pStyle w:val="Text7pItalicLeft"/>
              <w:rPr>
                <w:rFonts w:eastAsia="Times New Roman" w:cs="Verdana"/>
              </w:rPr>
            </w:pPr>
            <w:r>
              <w:t>in Mio. EUR</w:t>
            </w:r>
          </w:p>
        </w:tc>
      </w:tr>
      <w:tr w:rsidR="001609E3">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8. EEF</w:t>
            </w:r>
          </w:p>
        </w:tc>
        <w:tc>
          <w:tcPr>
            <w:tcW w:w="119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9.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11. EEF</w:t>
            </w:r>
          </w:p>
        </w:tc>
        <w:tc>
          <w:tcPr>
            <w:tcW w:w="11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2015</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Programmierbare Hilfe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1 007</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746</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1 751</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1 971</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Makroökonomische Unterstützung</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39</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39</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51</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Sektorbezogene Politik</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18</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18</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(24)</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Intra-AKP-Projekte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41</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301</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351</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693</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746</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Zinsverbilligungen</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Soforthilfe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98</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300</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398</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285</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Sonstige Hilfsprogramme im Zusammenhang mit früheren EEF</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Institutionelle Unterstützung</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33</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38</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34</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Ausgleich Exporterlösausfälle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r>
      <w:tr w:rsidR="001609E3">
        <w:trPr>
          <w:cantSplit/>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Beiträge zu Treuhandfonds</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35</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35</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r>
      <w:tr w:rsidR="001609E3">
        <w:trPr>
          <w:cantSplit/>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1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(2)</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95</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1 411</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1 465</w:t>
            </w:r>
          </w:p>
        </w:tc>
        <w:tc>
          <w:tcPr>
            <w:tcW w:w="11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2 970</w:t>
            </w:r>
          </w:p>
        </w:tc>
        <w:tc>
          <w:tcPr>
            <w:tcW w:w="12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3 059</w:t>
            </w:r>
          </w:p>
        </w:tc>
      </w:tr>
    </w:tbl>
    <w:p w:rsidR="001609E3" w:rsidRDefault="00E45B63">
      <w:pPr>
        <w:pStyle w:val="Textstand-alone"/>
        <w:spacing w:before="0"/>
      </w:pPr>
      <w:r>
        <w:t xml:space="preserve"> </w:t>
      </w:r>
    </w:p>
    <w:p w:rsidR="001609E3" w:rsidRDefault="00E45B63">
      <w:pPr>
        <w:pStyle w:val="Textstand-alone"/>
        <w:spacing w:after="0"/>
      </w:pPr>
      <w:r>
        <w:t>Die operativen Ausgaben des EEF beziehen sich auf verschiedene Hilfsinstrumente und unterscheiden sich in der Art der Auszahlung und Verwaltung.</w:t>
      </w:r>
    </w:p>
    <w:p w:rsidR="001609E3" w:rsidRDefault="00E45B63">
      <w:pPr>
        <w:pStyle w:val="HEADER2Part2"/>
        <w:rPr>
          <w:noProof/>
        </w:rPr>
      </w:pPr>
      <w:r>
        <w:rPr>
          <w:noProof/>
        </w:rPr>
        <w:t>KOFINANZIERUNGSAUFWENDUNGEN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rsidR="001609E3">
        <w:tc>
          <w:tcPr>
            <w:tcW w:w="2943"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96" w:name="DOC_TBL00040_1_1"/>
            <w:bookmarkEnd w:id="296"/>
          </w:p>
        </w:tc>
        <w:tc>
          <w:tcPr>
            <w:tcW w:w="107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rsidR="001609E3" w:rsidRDefault="00E45B63">
            <w:pPr>
              <w:pStyle w:val="Text7pItalicLeft"/>
              <w:rPr>
                <w:rFonts w:eastAsia="Times New Roman" w:cs="Verdana"/>
              </w:rPr>
            </w:pPr>
            <w:r>
              <w:t>in Mio. EUR</w:t>
            </w:r>
          </w:p>
        </w:tc>
      </w:tr>
      <w:tr w:rsidR="001609E3">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8. EEF</w:t>
            </w:r>
          </w:p>
        </w:tc>
        <w:tc>
          <w:tcPr>
            <w:tcW w:w="119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9.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11. EEF</w:t>
            </w:r>
          </w:p>
        </w:tc>
        <w:tc>
          <w:tcPr>
            <w:tcW w:w="1192"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Right025"/>
              <w:rPr>
                <w:rFonts w:cs="Verdana"/>
                <w:noProof/>
              </w:rPr>
            </w:pPr>
            <w:r>
              <w:rPr>
                <w:noProof/>
              </w:rPr>
              <w:t>2015</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Kofinanzierung</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(15)</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(15)</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69</w:t>
            </w:r>
          </w:p>
        </w:tc>
      </w:tr>
    </w:tbl>
    <w:p w:rsidR="001609E3" w:rsidRDefault="00E45B63">
      <w:pPr>
        <w:pStyle w:val="Textstand-alone"/>
      </w:pPr>
      <w:r>
        <w:t xml:space="preserve">In dieser Rubrik sind die im Rahmen von Kofinanzierungsprojekten 2016 angefallenen Aufwendungen enthalten. Hier ist darauf </w:t>
      </w:r>
      <w:r>
        <w:t>hinzuweisen, dass die angefallenen Aufwendungen im Zusammenhang mit der periodengerechten Abgrenzung geschätzte Beträge (und somit Rückbuchungen der im Zusammenhang mit dem Vorjahr geschätzten Beträge) enthalten. Da die Rückbuchungen der 2015 geschätzten A</w:t>
      </w:r>
      <w:r>
        <w:t>ufwendungen (50 Mio. EUR) die 2016 angefallenen Aufwendungen (35 Mio. EUR) übersteigen, weisen die Kofinanzierungsaufwendungen für 2016 einen negativen Wert auf. In der Ergebnisrechnung wurde eine entsprechende negative Einnahme ausgewiesen (siehe Erläuter</w:t>
      </w:r>
      <w:r>
        <w:t>ung </w:t>
      </w:r>
      <w:r>
        <w:rPr>
          <w:b/>
        </w:rPr>
        <w:t>3.1.2</w:t>
      </w:r>
      <w:r>
        <w:t>).</w:t>
      </w:r>
    </w:p>
    <w:p w:rsidR="001609E3" w:rsidRDefault="00E45B63">
      <w:pPr>
        <w:pStyle w:val="HEADER2Part2"/>
        <w:rPr>
          <w:noProof/>
        </w:rPr>
      </w:pPr>
      <w:r>
        <w:rPr>
          <w:noProof/>
        </w:rPr>
        <w:t>HILFSINSTRUMENTE UND KOFINANZIERUNGSAUFWENDUNGEN NACH ART DER MITTELVERWALTUNG</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97" w:name="DOC_TBL00041_1_1"/>
            <w:bookmarkEnd w:id="297"/>
          </w:p>
        </w:tc>
        <w:tc>
          <w:tcPr>
            <w:tcW w:w="2126" w:type="dxa"/>
            <w:tcBorders>
              <w:top w:val="nil"/>
              <w:left w:val="nil"/>
              <w:bottom w:val="nil"/>
              <w:right w:val="nil"/>
            </w:tcBorders>
            <w:tcMar>
              <w:top w:w="0" w:type="dxa"/>
              <w:left w:w="108" w:type="dxa"/>
              <w:bottom w:w="0" w:type="dxa"/>
              <w:right w:w="108" w:type="dxa"/>
            </w:tcMar>
          </w:tcPr>
          <w:p w:rsidR="001609E3" w:rsidRDefault="001609E3">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Times New Roman" w:cs="Verdana"/>
              </w:rPr>
            </w:pPr>
            <w:r>
              <w:t>2015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1 173</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1 106</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Kommission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140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99</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Exekutivagenturen der EU</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10</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Treuhandfonds</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36</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EU-Delegationen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987</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1 000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BoldLeft"/>
              <w:rPr>
                <w:rFonts w:eastAsia="Times New Roman" w:cs="Verdana"/>
              </w:rPr>
            </w:pPr>
            <w:r>
              <w:t>Indirekte Mittelverwaltung</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1 781</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BoldRight025"/>
              <w:rPr>
                <w:rFonts w:eastAsia="Times New Roman" w:cs="Verdana"/>
              </w:rPr>
            </w:pPr>
            <w:r>
              <w:t>2 023</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Indented"/>
              <w:ind w:left="200"/>
              <w:rPr>
                <w:rFonts w:eastAsia="Times New Roman" w:cs="Verdana"/>
              </w:rPr>
            </w:pPr>
            <w:r>
              <w:t>Durchgeführt von:</w:t>
            </w:r>
          </w:p>
        </w:tc>
        <w:tc>
          <w:tcPr>
            <w:tcW w:w="2126"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1609E3" w:rsidRDefault="001609E3">
            <w:pPr>
              <w:pStyle w:val="Figures9pItalicRight025"/>
              <w:rPr>
                <w:rFonts w:eastAsia="Times New Roman" w:cs="Verdana"/>
              </w:rPr>
            </w:pP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EIB und EIF</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Internationalen Organisationen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821</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990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Privatrechtlichen Einrichtungen, die im öffentlichen Auftrag tätig werden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143</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31</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 xml:space="preserve">Öffentlichen </w:t>
            </w:r>
            <w:r>
              <w:t>Einrichtungen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57</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70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Drittländern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756</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900</w:t>
            </w:r>
          </w:p>
        </w:tc>
      </w:tr>
      <w:tr w:rsidR="001609E3">
        <w:tc>
          <w:tcPr>
            <w:tcW w:w="5637" w:type="dxa"/>
            <w:tcBorders>
              <w:top w:val="nil"/>
              <w:left w:val="nil"/>
              <w:bottom w:val="nil"/>
              <w:right w:val="nil"/>
            </w:tcBorders>
            <w:tcMar>
              <w:top w:w="0" w:type="dxa"/>
              <w:left w:w="108" w:type="dxa"/>
              <w:bottom w:w="0" w:type="dxa"/>
              <w:right w:w="108" w:type="dxa"/>
            </w:tcMar>
          </w:tcPr>
          <w:p w:rsidR="001609E3" w:rsidRDefault="00E45B63">
            <w:pPr>
              <w:pStyle w:val="Text9pItalicLeft"/>
              <w:ind w:left="600"/>
              <w:rPr>
                <w:rFonts w:eastAsia="Times New Roman" w:cs="Verdana"/>
              </w:rPr>
            </w:pPr>
            <w:r>
              <w:t>Privatrechtlichen Einrichtungen, die mit der Umsetzung einer öffentlich-privaten Partnerschaft betraut werden</w:t>
            </w:r>
          </w:p>
        </w:tc>
        <w:tc>
          <w:tcPr>
            <w:tcW w:w="2126"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985"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2 954</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3 128</w:t>
            </w:r>
          </w:p>
        </w:tc>
      </w:tr>
    </w:tbl>
    <w:p w:rsidR="001609E3" w:rsidRDefault="001609E3">
      <w:pPr>
        <w:pStyle w:val="HEADER2Part2"/>
        <w:rPr>
          <w:noProof/>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rsidR="001609E3">
        <w:tc>
          <w:tcPr>
            <w:tcW w:w="2943"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98" w:name="DOC_TBL00042_1_1"/>
            <w:bookmarkEnd w:id="298"/>
          </w:p>
        </w:tc>
        <w:tc>
          <w:tcPr>
            <w:tcW w:w="107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rsidR="001609E3" w:rsidRDefault="00E45B63">
            <w:pPr>
              <w:pStyle w:val="Text7pItalicLeft"/>
              <w:rPr>
                <w:rFonts w:eastAsia="Times New Roman" w:cs="Verdana"/>
              </w:rPr>
            </w:pPr>
            <w:r>
              <w:t>in Mio. EUR</w:t>
            </w:r>
          </w:p>
        </w:tc>
      </w:tr>
      <w:tr w:rsidR="001609E3">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8. EEF</w:t>
            </w:r>
          </w:p>
        </w:tc>
        <w:tc>
          <w:tcPr>
            <w:tcW w:w="119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9.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11. EEF</w:t>
            </w:r>
          </w:p>
        </w:tc>
        <w:tc>
          <w:tcPr>
            <w:tcW w:w="11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2015</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Abschreibung von Forderungen</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Sonstige Finanzaufwendungen</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r>
      <w:tr w:rsidR="001609E3">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1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0</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0</w:t>
            </w:r>
          </w:p>
        </w:tc>
        <w:tc>
          <w:tcPr>
            <w:tcW w:w="11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12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w:t>
            </w:r>
          </w:p>
        </w:tc>
      </w:tr>
    </w:tbl>
    <w:p w:rsidR="001609E3" w:rsidRDefault="00E45B63">
      <w:pPr>
        <w:pStyle w:val="Textstand-alone"/>
      </w:pPr>
      <w:r>
        <w:t xml:space="preserve">Die Rubrik „Abschreibung von Forderungen“ umfasst die abschließende Schätzung der Aufwendungen für uneinbringliche </w:t>
      </w:r>
      <w:r>
        <w:t>Forderungen und schließt auch Rückbuchungen von bezüglich des Vorjahres geschätzten Beträgen ein. Da die Rückbuchungen von Beträgen für das Jahr 2015 (29 Mio. EUR) die 2016 geschätzten Beträge (25 Mio. EUR) übersteigen, weisen die Gesamtaufwendungen in Bez</w:t>
      </w:r>
      <w:r>
        <w:t>ug auf die Abschreibung von Forderungen für 2016 einen negativen Wert auf.</w:t>
      </w:r>
    </w:p>
    <w:p w:rsidR="001609E3" w:rsidRDefault="00E45B63">
      <w:pPr>
        <w:pStyle w:val="HEADER2Part2"/>
        <w:rPr>
          <w:noProof/>
        </w:rPr>
      </w:pPr>
      <w:r>
        <w:rPr>
          <w:noProof/>
        </w:rPr>
        <w:t>SONSTIGE AUFWENDUNGEN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rsidR="001609E3">
        <w:tc>
          <w:tcPr>
            <w:tcW w:w="2943"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299" w:name="DOC_TBL00043_1_1"/>
            <w:bookmarkEnd w:id="299"/>
          </w:p>
        </w:tc>
        <w:tc>
          <w:tcPr>
            <w:tcW w:w="107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rsidR="001609E3" w:rsidRDefault="00E45B63">
            <w:pPr>
              <w:pStyle w:val="Text7pItalicLeft"/>
              <w:rPr>
                <w:rFonts w:eastAsia="Times New Roman" w:cs="Verdana"/>
              </w:rPr>
            </w:pPr>
            <w:r>
              <w:t>in Mio. EUR</w:t>
            </w:r>
          </w:p>
        </w:tc>
      </w:tr>
      <w:tr w:rsidR="001609E3">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8. EEF</w:t>
            </w:r>
          </w:p>
        </w:tc>
        <w:tc>
          <w:tcPr>
            <w:tcW w:w="119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9.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11. EEF</w:t>
            </w:r>
          </w:p>
        </w:tc>
        <w:tc>
          <w:tcPr>
            <w:tcW w:w="119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Right025"/>
              <w:rPr>
                <w:rFonts w:cs="Verdana"/>
                <w:noProof/>
              </w:rPr>
            </w:pPr>
            <w:r>
              <w:rPr>
                <w:noProof/>
              </w:rPr>
              <w:t>2015</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Aufwendungen für Verwaltung und IT</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126</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129</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113</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 xml:space="preserve">Rückstellung für Risiken und </w:t>
            </w:r>
            <w:r>
              <w:t>Verbindlichkeiten</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Realisierte Verluste bei Forderungen aus Lieferungen und Leistungen</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0</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2</w:t>
            </w:r>
          </w:p>
        </w:tc>
      </w:tr>
      <w:tr w:rsidR="001609E3">
        <w:trPr>
          <w:trHeight w:val="247"/>
        </w:trPr>
        <w:tc>
          <w:tcPr>
            <w:tcW w:w="2943"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Wechselkursverluste</w:t>
            </w:r>
          </w:p>
        </w:tc>
        <w:tc>
          <w:tcPr>
            <w:tcW w:w="107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19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19</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42</w:t>
            </w:r>
          </w:p>
        </w:tc>
        <w:tc>
          <w:tcPr>
            <w:tcW w:w="1134"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w:t>
            </w:r>
          </w:p>
        </w:tc>
        <w:tc>
          <w:tcPr>
            <w:tcW w:w="1192"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66</w:t>
            </w:r>
          </w:p>
        </w:tc>
        <w:tc>
          <w:tcPr>
            <w:tcW w:w="1218"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44</w:t>
            </w:r>
          </w:p>
        </w:tc>
      </w:tr>
      <w:tr w:rsidR="001609E3">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Times New Roman" w:cs="Verdana"/>
              </w:rPr>
            </w:pPr>
            <w:r>
              <w:t>Gesamt</w:t>
            </w:r>
            <w:r>
              <w:softHyphen/>
              <w:t>betrag</w:t>
            </w:r>
          </w:p>
        </w:tc>
        <w:tc>
          <w:tcPr>
            <w:tcW w:w="107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3</w:t>
            </w:r>
          </w:p>
        </w:tc>
        <w:tc>
          <w:tcPr>
            <w:tcW w:w="119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19</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46</w:t>
            </w:r>
          </w:p>
        </w:tc>
        <w:tc>
          <w:tcPr>
            <w:tcW w:w="1134"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129</w:t>
            </w:r>
          </w:p>
        </w:tc>
        <w:tc>
          <w:tcPr>
            <w:tcW w:w="119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196</w:t>
            </w:r>
          </w:p>
        </w:tc>
        <w:tc>
          <w:tcPr>
            <w:tcW w:w="1218"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Times New Roman" w:cs="Verdana"/>
              </w:rPr>
            </w:pPr>
            <w:r>
              <w:t xml:space="preserve"> 162</w:t>
            </w:r>
          </w:p>
        </w:tc>
      </w:tr>
    </w:tbl>
    <w:p w:rsidR="001609E3" w:rsidRDefault="001609E3">
      <w:pPr>
        <w:pStyle w:val="Textstand-alone"/>
        <w:spacing w:before="0"/>
      </w:pPr>
    </w:p>
    <w:p w:rsidR="001609E3" w:rsidRDefault="00E45B63">
      <w:pPr>
        <w:pStyle w:val="Textstand-alone"/>
        <w:spacing w:after="0"/>
        <w:sectPr w:rsidR="001609E3">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r>
        <w:t xml:space="preserve">Diese Rubrik umfasst Unterstützungsausgaben, d. h. mit der Programmierung und Ausführung der EEF verbundene Verwaltungskosten. Dazu zählen Aufwendungen für die Vorbereitung, Nachverfolgung, </w:t>
      </w:r>
      <w:r>
        <w:t>Überwachung und Evaluierung von Projekten sowie Aufwendungen für Computernetzwerke, technische Hilfe usw..</w:t>
      </w:r>
      <w:bookmarkEnd w:id="294"/>
    </w:p>
    <w:p w:rsidR="001609E3" w:rsidRDefault="001609E3">
      <w:pPr>
        <w:pStyle w:val="Textstand-alone"/>
        <w:sectPr w:rsidR="001609E3">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bookmarkStart w:id="300" w:name="_DMBM_9526"/>
      <w:bookmarkEnd w:id="300"/>
    </w:p>
    <w:p w:rsidR="001609E3" w:rsidRDefault="00E45B63">
      <w:pPr>
        <w:pStyle w:val="HEADER1Part2"/>
        <w:rPr>
          <w:noProof/>
        </w:rPr>
      </w:pPr>
      <w:bookmarkStart w:id="301" w:name="_DMBM_9455"/>
      <w:r>
        <w:rPr>
          <w:noProof/>
        </w:rPr>
        <w:t xml:space="preserve">EVENTUALFORDERUNGEN UND </w:t>
      </w:r>
      <w:r>
        <w:rPr>
          <w:noProof/>
        </w:rPr>
        <w:noBreakHyphen/>
        <w:t>VERBINDL</w:t>
      </w:r>
      <w:r>
        <w:rPr>
          <w:noProof/>
        </w:rPr>
        <w:t>ICHKEITEN UND SONSTIGE WICHTIGE ANGABEN</w:t>
      </w:r>
    </w:p>
    <w:p w:rsidR="001609E3" w:rsidRDefault="00E45B63">
      <w:pPr>
        <w:pStyle w:val="HEADER2Part2"/>
        <w:rPr>
          <w:noProof/>
        </w:rPr>
      </w:pPr>
      <w:r>
        <w:rPr>
          <w:noProof/>
        </w:rPr>
        <w:t xml:space="preserve"> </w:t>
      </w:r>
      <w:bookmarkStart w:id="302" w:name="_DMBM_9506"/>
      <w:bookmarkEnd w:id="301"/>
      <w:r>
        <w:rPr>
          <w:noProof/>
        </w:rPr>
        <w:t>EVENTUALFORDERUNGEN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03" w:name="DOC_TBL00044_1_1"/>
            <w:bookmarkEnd w:id="303"/>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Right025"/>
              <w:rPr>
                <w:rFonts w:eastAsia="Verdana" w:cs="Verdana"/>
              </w:rPr>
            </w:pPr>
            <w:r>
              <w:t>in Mio. EUR</w:t>
            </w:r>
          </w:p>
        </w:tc>
      </w:tr>
      <w:tr w:rsidR="001609E3">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Erfüllungsgarantien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13</w:t>
            </w:r>
          </w:p>
        </w:tc>
      </w:tr>
      <w:tr w:rsidR="001609E3">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Einbehaltungsgarantien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6</w:t>
            </w:r>
          </w:p>
        </w:tc>
      </w:tr>
      <w:tr w:rsidR="001609E3">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16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20</w:t>
            </w:r>
          </w:p>
        </w:tc>
      </w:tr>
    </w:tbl>
    <w:p w:rsidR="001609E3" w:rsidRDefault="00E45B63">
      <w:pPr>
        <w:pStyle w:val="Textstand-alone"/>
      </w:pPr>
      <w:r>
        <w:t>Erfüllungsgarantien werden angefordert, damit sichergestellt ist, dass die Empfänger von EEF-Mitteln die Verpflichtungen aus ihren Verträgen mit dem EEF erfüllen.</w:t>
      </w:r>
    </w:p>
    <w:p w:rsidR="001609E3" w:rsidRDefault="00E45B63">
      <w:pPr>
        <w:pStyle w:val="Textstand-alone"/>
      </w:pPr>
      <w:r>
        <w:t>Einbehaltungsgarantien betreffen ausschließlich Werkverträge. Normalerweise werden 10 % der Z</w:t>
      </w:r>
      <w:r>
        <w:t>wischenzahlungen an die Empfänger zurückbehalten, um sicherzustellen, dass der Auftragnehmer seine Verpflichtungen erfüllt. Diese Beträge werden als Verbindlichkeiten wiedergegeben. Sofern die Vergabebehörde ihre Genehmigung erteilt, kann der Auftragnehmer</w:t>
      </w:r>
      <w:r>
        <w:t xml:space="preserve"> stattdessen eine Einbehaltungsgarantie vorlegen, die an die Stelle der bei Zwischenzahlungen zurückbehaltenen Beträge tritt. Diese empfangenen Garantien werden als Eventualforderungen ausgewiesen.</w:t>
      </w:r>
    </w:p>
    <w:p w:rsidR="001609E3" w:rsidRDefault="00E45B63">
      <w:pPr>
        <w:pStyle w:val="Textstand-alone"/>
      </w:pPr>
      <w:r>
        <w:t>Bei Verträgen, die unter die indirekte Mittelverwaltung fa</w:t>
      </w:r>
      <w:r>
        <w:t>llen, gehören die Garantien einer anderen Vergabebehörde als dem EEF und werden vom EEF nicht erfasst.</w:t>
      </w:r>
    </w:p>
    <w:bookmarkEnd w:id="302"/>
    <w:p w:rsidR="001609E3" w:rsidRDefault="001609E3">
      <w:pPr>
        <w:pStyle w:val="Textstand-alone"/>
        <w:sectPr w:rsidR="001609E3">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9" w:footer="709" w:gutter="0"/>
          <w:cols w:space="708"/>
          <w:docGrid w:linePitch="360"/>
        </w:sectPr>
      </w:pPr>
    </w:p>
    <w:p w:rsidR="001609E3" w:rsidRDefault="00E45B63">
      <w:pPr>
        <w:pStyle w:val="HEADER2Part2"/>
        <w:rPr>
          <w:noProof/>
        </w:rPr>
      </w:pPr>
      <w:bookmarkStart w:id="304" w:name="_DMBM_9487"/>
      <w:r>
        <w:rPr>
          <w:noProof/>
        </w:rPr>
        <w:t>SONSTIGE WICHTIGE ANGABEN</w:t>
      </w:r>
    </w:p>
    <w:p w:rsidR="001609E3" w:rsidRDefault="00E45B63">
      <w:pPr>
        <w:pStyle w:val="HEADER3Part2"/>
        <w:rPr>
          <w:noProof/>
        </w:rPr>
      </w:pPr>
      <w:r>
        <w:rPr>
          <w:noProof/>
        </w:rPr>
        <w:t xml:space="preserve">Noch nicht </w:t>
      </w:r>
      <w:r>
        <w:rPr>
          <w:noProof/>
        </w:rPr>
        <w:t>abgewickelte Mittelbindungen</w:t>
      </w:r>
    </w:p>
    <w:p w:rsidR="001609E3" w:rsidRDefault="00E45B63">
      <w:pPr>
        <w:pStyle w:val="Textstand-alone"/>
      </w:pPr>
      <w:r>
        <w:t>Der ausgewiesene Betrag entspricht den noch abzuwickelnden Mittelbindungen („reste à liquider“ – RAL) abzüglich der in der Ergebnisrechnung als Aufwendungen erfassten zugehörigen Beträge. Die noch abzuwickelnden Mittelbindungen</w:t>
      </w:r>
      <w:r>
        <w:t xml:space="preserve"> entsprechen den offenen Verpflichtungen, für die noch keine Zahlungen und/oder Aufhebungen vorgenommen wurden. Dies ist eine übliche Folgewirkung mehrjähriger Programme.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rsidR="001609E3">
        <w:tc>
          <w:tcPr>
            <w:tcW w:w="23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05" w:name="DOC_TBL00045_1_1"/>
            <w:bookmarkEnd w:id="305"/>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7pItalicRight025"/>
              <w:rPr>
                <w:rFonts w:eastAsia="Verdana" w:cs="Verdana"/>
              </w:rPr>
            </w:pPr>
            <w:r>
              <w:t>in Mio. EUR</w:t>
            </w:r>
          </w:p>
        </w:tc>
      </w:tr>
      <w:tr w:rsidR="001609E3">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8.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9.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10. EEF</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11. EEF</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31.12.2016</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eastAsia="Verdana" w:cs="Verdana"/>
                <w:noProof/>
              </w:rPr>
            </w:pPr>
            <w:r>
              <w:rPr>
                <w:noProof/>
              </w:rPr>
              <w:t>31.12.2015</w:t>
            </w:r>
          </w:p>
        </w:tc>
      </w:tr>
      <w:tr w:rsidR="001609E3">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Text9pItalicLeft"/>
              <w:rPr>
                <w:rFonts w:eastAsia="Verdana" w:cs="Verdana"/>
              </w:rPr>
            </w:pPr>
            <w:r>
              <w:t xml:space="preserve">Noch nicht </w:t>
            </w:r>
            <w:r>
              <w:t>abgewickelte Mittelbindungen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 xml:space="preserve"> 202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2 406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4 136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6 746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rsidR="001609E3" w:rsidRDefault="00E45B63">
            <w:pPr>
              <w:pStyle w:val="Figures9pItalicRight025"/>
              <w:rPr>
                <w:rFonts w:eastAsia="Verdana" w:cs="Verdana"/>
              </w:rPr>
            </w:pPr>
            <w:r>
              <w:t>5 821</w:t>
            </w:r>
          </w:p>
        </w:tc>
      </w:tr>
      <w:tr w:rsidR="001609E3">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Text9pBoldLeft"/>
              <w:rPr>
                <w:rFonts w:eastAsia="Verdana" w:cs="Verdana"/>
              </w:rPr>
            </w:pPr>
            <w:r>
              <w:t>Gesamt</w:t>
            </w:r>
            <w:r>
              <w:softHyphen/>
              <w:t>betrag</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 xml:space="preserve"> 202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4 136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6 746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9pBoldRight025"/>
              <w:rPr>
                <w:rFonts w:eastAsia="Verdana" w:cs="Verdana"/>
              </w:rPr>
            </w:pPr>
            <w:r>
              <w:t>5 821</w:t>
            </w:r>
          </w:p>
        </w:tc>
      </w:tr>
    </w:tbl>
    <w:p w:rsidR="001609E3" w:rsidRDefault="00E45B63">
      <w:pPr>
        <w:pStyle w:val="Textstand-alone"/>
      </w:pPr>
      <w:r>
        <w:t>Zum 31. Dezember 2016 beliefen sich die noch abzuwickelnden Mittelbindungen des Haushalts auf insgesamt 7665 Mio. EUR (2015: 6809 Mio. EUR).</w:t>
      </w:r>
    </w:p>
    <w:p w:rsidR="001609E3" w:rsidRDefault="00E45B63">
      <w:pPr>
        <w:pStyle w:val="HEADER3Part2"/>
        <w:rPr>
          <w:noProof/>
        </w:rPr>
      </w:pPr>
      <w:r>
        <w:rPr>
          <w:noProof/>
        </w:rPr>
        <w:t>Zentrum für Unternehmensentwicklung (ZUE)</w:t>
      </w:r>
    </w:p>
    <w:p w:rsidR="001609E3" w:rsidRDefault="00E45B63">
      <w:pPr>
        <w:pStyle w:val="Textstand-alone"/>
      </w:pPr>
      <w:r>
        <w:t>Der AKP-EU-Ministerrat vereinbarte im Juni 2014 „mit der ordnungsgemäßen Schließung des ZUE fortzufahren“ und zugleich „sicherzustellen, dass die vom ZUE und AKP-Ländern und -Regionen durchgeführten Projekte zur Un</w:t>
      </w:r>
      <w:r>
        <w:t xml:space="preserve">terstützung des Privatsektors vollständig abgeschlossen werden“. Zu diesem Zweck erteilte der AKP-EU-Ministerrat dem AKP-EU-Botschaftsausschuss Vollmacht zur Verfolgung dieser Angelegenheit im Hinblick auf die Fällung der erforderlichen Entscheidungen. </w:t>
      </w:r>
    </w:p>
    <w:p w:rsidR="001609E3" w:rsidRDefault="00E45B63">
      <w:pPr>
        <w:jc w:val="both"/>
        <w:rPr>
          <w:rFonts w:ascii="Verdana" w:hAnsi="Verdana"/>
          <w:noProof/>
          <w:sz w:val="18"/>
          <w:szCs w:val="18"/>
        </w:rPr>
      </w:pPr>
      <w:r>
        <w:rPr>
          <w:rFonts w:ascii="Verdana" w:hAnsi="Verdana"/>
          <w:noProof/>
          <w:sz w:val="18"/>
        </w:rPr>
        <w:t>De</w:t>
      </w:r>
      <w:r>
        <w:rPr>
          <w:rFonts w:ascii="Verdana" w:hAnsi="Verdana"/>
          <w:noProof/>
          <w:sz w:val="18"/>
        </w:rPr>
        <w:t>r AKP-EU-Botschaftsausschuss bevollmächtigte den Vorstand des ZUE mit Beschluss Nr. 4/2014 vom 23.10.2014 mit sofortiger Wirkung, alle angemessenen Maßnahmen zur Vorbereitung der Schließung des ZUE zu treffen. Den Bestimmungen des Artikels 2 dieses Beschlu</w:t>
      </w:r>
      <w:r>
        <w:rPr>
          <w:rFonts w:ascii="Verdana" w:hAnsi="Verdana"/>
          <w:noProof/>
          <w:sz w:val="18"/>
        </w:rPr>
        <w:t>sses entsprechend wurde der Vorstand angewiesen, einen Verwalter mit der Erstellung und Durchführung eines Schließungsplans zu beauftragen.</w:t>
      </w:r>
    </w:p>
    <w:p w:rsidR="001609E3" w:rsidRDefault="00E45B63">
      <w:pPr>
        <w:jc w:val="both"/>
        <w:rPr>
          <w:rFonts w:ascii="Verdana" w:hAnsi="Verdana"/>
          <w:noProof/>
          <w:sz w:val="18"/>
          <w:szCs w:val="18"/>
        </w:rPr>
      </w:pPr>
      <w:r>
        <w:rPr>
          <w:rFonts w:ascii="Verdana" w:hAnsi="Verdana"/>
          <w:noProof/>
          <w:sz w:val="18"/>
        </w:rPr>
        <w:t>Der Verwalter hat dem Verwaltungsrat des ZUE Ende Juni 2015 einen endgültigen Strategieplan mit einem Haushalts- und</w:t>
      </w:r>
      <w:r>
        <w:rPr>
          <w:rFonts w:ascii="Verdana" w:hAnsi="Verdana"/>
          <w:noProof/>
          <w:sz w:val="18"/>
        </w:rPr>
        <w:t xml:space="preserve"> Arbeitsplan vorgelegt, der das Ergebnis des sozialen Dialogs widerspiegelt. Der Haushalt des endgültigen Strategieplans, der vom Verwaltungsrat des ZUE genehmigt wurde, bildete die Grundlage für den Vorschlag der Kommission für einen Finanzierungsbeschlus</w:t>
      </w:r>
      <w:r>
        <w:rPr>
          <w:rFonts w:ascii="Verdana" w:hAnsi="Verdana"/>
          <w:noProof/>
          <w:sz w:val="18"/>
        </w:rPr>
        <w:t>s, der 2015 für einen Gesamtbetrag von 18,2 Mio. EUR angenommen wurde. Nach der Annahme den vorstehend genannten Finanzierungsbeschlusses wurde im Dezember 2015 eine Finanzhilfevereinbarung zwischen der Europäischen Kommission und dem ZUE geschlossen, durc</w:t>
      </w:r>
      <w:r>
        <w:rPr>
          <w:rFonts w:ascii="Verdana" w:hAnsi="Verdana"/>
          <w:noProof/>
          <w:sz w:val="18"/>
        </w:rPr>
        <w:t>h die die notwendigen Finanzmittel für die Verwertung der Vermögenswerte des ZUE und die Begleichung seiner Verbindlichkeiten zur Verfügung gestellt werden. Die Laufzeit dieser Finanzhilfevereinbarung begann am 1. Januar 2016 und endet am 31. Dezember 2017</w:t>
      </w:r>
      <w:r>
        <w:rPr>
          <w:rFonts w:ascii="Verdana" w:hAnsi="Verdana"/>
          <w:noProof/>
          <w:sz w:val="18"/>
        </w:rPr>
        <w:t>. Der Vertragswert wird durch die noch nicht abgewickelten Mittelbindungen gedeckt.</w:t>
      </w:r>
    </w:p>
    <w:p w:rsidR="001609E3" w:rsidRDefault="001609E3">
      <w:pPr>
        <w:rPr>
          <w:noProof/>
        </w:rPr>
      </w:pPr>
    </w:p>
    <w:bookmarkEnd w:id="304"/>
    <w:p w:rsidR="001609E3" w:rsidRDefault="001609E3">
      <w:pPr>
        <w:pStyle w:val="Textstand-alone"/>
        <w:sectPr w:rsidR="001609E3">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rsidR="001609E3" w:rsidRDefault="00E45B63">
      <w:pPr>
        <w:pStyle w:val="HEADER1Part2"/>
        <w:rPr>
          <w:noProof/>
        </w:rPr>
      </w:pPr>
      <w:bookmarkStart w:id="306" w:name="_DMBM_9488"/>
      <w:r>
        <w:rPr>
          <w:noProof/>
        </w:rPr>
        <w:t>FINANZIELLES RISIKOMANAGEMENT</w:t>
      </w:r>
    </w:p>
    <w:p w:rsidR="001609E3" w:rsidRDefault="00E45B63">
      <w:pPr>
        <w:pStyle w:val="Textstand-alone"/>
      </w:pPr>
      <w:r>
        <w:t xml:space="preserve">Die nachstehenden </w:t>
      </w:r>
      <w:r>
        <w:t>Angaben hinsichtlich des Managements des finanziellen Risikos des EEF beziehen sich auf die Kassentransaktionen, die von der Europäischen Kommission im Namen des EEF zur Abwicklung seiner Mittel durchgeführt werden.</w:t>
      </w:r>
    </w:p>
    <w:p w:rsidR="001609E3" w:rsidRDefault="00E45B63">
      <w:pPr>
        <w:pStyle w:val="HEADER2Part2"/>
        <w:rPr>
          <w:noProof/>
        </w:rPr>
      </w:pPr>
      <w:r>
        <w:rPr>
          <w:noProof/>
        </w:rPr>
        <w:t>RISIKOMANAGEMENTSTRATEGIEN UND SICHERUNG</w:t>
      </w:r>
      <w:r>
        <w:rPr>
          <w:noProof/>
        </w:rPr>
        <w:t>SMASSNAHMEN</w:t>
      </w:r>
    </w:p>
    <w:p w:rsidR="001609E3" w:rsidRDefault="00E45B63">
      <w:pPr>
        <w:pStyle w:val="Textstand-alone"/>
      </w:pPr>
      <w:r>
        <w:t>Die Vorschriften und Grundsätze für die Verwaltung der Kassentransaktionen sind in der Finanzregelung des 11. EEF und im Internen Abkommen festgelegt.</w:t>
      </w:r>
    </w:p>
    <w:p w:rsidR="001609E3" w:rsidRDefault="00E45B63">
      <w:pPr>
        <w:pStyle w:val="Textstand-alone"/>
      </w:pPr>
      <w:r>
        <w:t>Aufgrund der vorstehend genannten Regelung wird nach den folgenden Grundsätzen vorgegangen.</w:t>
      </w:r>
    </w:p>
    <w:p w:rsidR="001609E3" w:rsidRDefault="00E45B63">
      <w:pPr>
        <w:pStyle w:val="Textstand-alonebulletpointJustified"/>
        <w:numPr>
          <w:ilvl w:val="0"/>
          <w:numId w:val="19"/>
        </w:numPr>
        <w:ind w:left="357" w:hanging="357"/>
        <w:rPr>
          <w:noProof/>
        </w:rPr>
      </w:pPr>
      <w:r>
        <w:rPr>
          <w:noProof/>
        </w:rPr>
        <w:t>D</w:t>
      </w:r>
      <w:r>
        <w:rPr>
          <w:noProof/>
        </w:rPr>
        <w:t xml:space="preserve">ie Mitgliedstaaten zahlen ihre Beiträge zum EEF auf Sonderkonten ein, die bei der Notenbank des jeweiligen Mitgliedstaats oder einem von ihm bezeichneten Finanzinstitut eröffnet werden. Die Beiträge verbleiben auf diesen Sonderkoten, bis die Zahlungen des </w:t>
      </w:r>
      <w:r>
        <w:rPr>
          <w:noProof/>
        </w:rPr>
        <w:t>EEF erfolgen müssen.</w:t>
      </w:r>
    </w:p>
    <w:p w:rsidR="001609E3" w:rsidRDefault="00E45B63">
      <w:pPr>
        <w:pStyle w:val="Textstand-alonebulletpointJustified"/>
        <w:numPr>
          <w:ilvl w:val="0"/>
          <w:numId w:val="19"/>
        </w:numPr>
        <w:ind w:left="357" w:hanging="357"/>
        <w:rPr>
          <w:noProof/>
        </w:rPr>
      </w:pPr>
      <w:r>
        <w:rPr>
          <w:noProof/>
        </w:rPr>
        <w:t>Die EEF-Beiträge werden von den Mitgliedstaaten in Euro geleistet, während die EEF-Zahlungen auf Euro und andere Währungen lauten, zu denen auch weniger bekannte Währungen zählen.</w:t>
      </w:r>
    </w:p>
    <w:p w:rsidR="001609E3" w:rsidRDefault="00E45B63">
      <w:pPr>
        <w:pStyle w:val="Textstand-alonebulletpointJustified"/>
        <w:numPr>
          <w:ilvl w:val="0"/>
          <w:numId w:val="19"/>
        </w:numPr>
        <w:ind w:left="357" w:hanging="357"/>
        <w:rPr>
          <w:noProof/>
        </w:rPr>
      </w:pPr>
      <w:r>
        <w:rPr>
          <w:noProof/>
        </w:rPr>
        <w:t>Von Kommission im Namen des EEF eröffnete Bankkonten dü</w:t>
      </w:r>
      <w:r>
        <w:rPr>
          <w:noProof/>
        </w:rPr>
        <w:t>rfen nicht überzogen werden.</w:t>
      </w:r>
    </w:p>
    <w:p w:rsidR="001609E3" w:rsidRDefault="00E45B63">
      <w:pPr>
        <w:pStyle w:val="Textstand-alone"/>
      </w:pPr>
      <w:r>
        <w:t>Neben den Sonderkonten eröffnet die Kommission im Namen des EEF zum Zweck der Ausführung von Zahlungen und des Empfangs anderer Zahlungseingänge als den Haushaltsbeiträgen der Mitgliedstaaten weitere Bankkonten bei Finanzinstit</w:t>
      </w:r>
      <w:r>
        <w:t>uten (Zentral- und Geschäftsbanken).</w:t>
      </w:r>
    </w:p>
    <w:p w:rsidR="001609E3" w:rsidRDefault="00E45B63">
      <w:pPr>
        <w:pStyle w:val="Textstand-alone"/>
      </w:pPr>
      <w:r>
        <w:t>Die Kassenmittel- und Zahlungsverwaltung ist stark automatisiert und basiert auf modernen IT-Systemen. Durch besondere Verfahren wird die Sicherheit des Systems garantiert und die Aufgabentrennung gemäß der Haushaltsord</w:t>
      </w:r>
      <w:r>
        <w:t>nung, den internen Kontrollstandards der Kommission und den Auditgrundsätzen gewährleistet.</w:t>
      </w:r>
    </w:p>
    <w:p w:rsidR="001609E3" w:rsidRDefault="00E45B63">
      <w:pPr>
        <w:pStyle w:val="Textstand-alone"/>
        <w:rPr>
          <w:bCs/>
        </w:rPr>
      </w:pPr>
      <w:r>
        <w:t>Die Kassenmittel- und Zahlungsverwaltung wird durch schriftliche Leitlinien und Verfahren geregelt, die die operativen und finanziellen Risiken begrenzen und ein an</w:t>
      </w:r>
      <w:r>
        <w:t>gemessenes Kontrollniveau gewährleisten sollen. Diese Leitlinien und Verfahren umfassen verschiedene Tätigkeitsbereiche und ihre Einhaltung wird regelmäßig kontrolliert.</w:t>
      </w:r>
    </w:p>
    <w:p w:rsidR="001609E3" w:rsidRDefault="00E45B63">
      <w:pPr>
        <w:pStyle w:val="Textstand-alone"/>
        <w:sectPr w:rsidR="001609E3">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r>
        <w:t xml:space="preserve"> </w:t>
      </w:r>
      <w:bookmarkEnd w:id="306"/>
    </w:p>
    <w:p w:rsidR="001609E3" w:rsidRDefault="00E45B63">
      <w:pPr>
        <w:pStyle w:val="HEADER2Part2"/>
        <w:rPr>
          <w:noProof/>
        </w:rPr>
      </w:pPr>
      <w:bookmarkStart w:id="307" w:name="_DMBM_9565"/>
      <w:r>
        <w:rPr>
          <w:noProof/>
        </w:rPr>
        <w:t>DAS WÄHRUNGSRISIKO</w:t>
      </w:r>
    </w:p>
    <w:p w:rsidR="001609E3" w:rsidRDefault="00E45B63">
      <w:pPr>
        <w:pStyle w:val="HEADER5"/>
        <w:rPr>
          <w:noProof/>
        </w:rPr>
      </w:pPr>
      <w:r>
        <w:rPr>
          <w:noProof/>
        </w:rPr>
        <w:t>Belastung des EEF durch Währungsrisiken am Jahresende - Nettoposition</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712"/>
        <w:gridCol w:w="874"/>
        <w:gridCol w:w="874"/>
        <w:gridCol w:w="874"/>
        <w:gridCol w:w="874"/>
        <w:gridCol w:w="874"/>
        <w:gridCol w:w="877"/>
        <w:gridCol w:w="285"/>
        <w:gridCol w:w="847"/>
        <w:gridCol w:w="847"/>
        <w:gridCol w:w="850"/>
        <w:gridCol w:w="847"/>
        <w:gridCol w:w="853"/>
        <w:gridCol w:w="994"/>
        <w:gridCol w:w="994"/>
      </w:tblGrid>
      <w:tr w:rsidR="001609E3">
        <w:trPr>
          <w:cantSplit/>
        </w:trPr>
        <w:tc>
          <w:tcPr>
            <w:tcW w:w="2232" w:type="dxa"/>
            <w:tcBorders>
              <w:top w:val="nil"/>
              <w:left w:val="nil"/>
              <w:bottom w:val="nil"/>
              <w:right w:val="nil"/>
            </w:tcBorders>
            <w:tcMar>
              <w:top w:w="0" w:type="dxa"/>
              <w:left w:w="108" w:type="dxa"/>
              <w:bottom w:w="0" w:type="dxa"/>
              <w:right w:w="108" w:type="dxa"/>
            </w:tcMar>
          </w:tcPr>
          <w:p w:rsidR="001609E3" w:rsidRDefault="001609E3">
            <w:pPr>
              <w:pStyle w:val="Text7pItalicLeft"/>
              <w:rPr>
                <w:rFonts w:eastAsia="Times New Roman" w:cs="Verdana"/>
                <w:color w:val="FFFFFF"/>
              </w:rPr>
            </w:pPr>
            <w:bookmarkStart w:id="308" w:name="DOC_TBL00046_1_1"/>
            <w:bookmarkEnd w:id="308"/>
          </w:p>
        </w:tc>
        <w:tc>
          <w:tcPr>
            <w:tcW w:w="712"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77"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285"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853"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994" w:type="dxa"/>
            <w:tcBorders>
              <w:top w:val="nil"/>
              <w:left w:val="nil"/>
              <w:bottom w:val="nil"/>
              <w:right w:val="nil"/>
            </w:tcBorders>
            <w:tcMar>
              <w:top w:w="0" w:type="dxa"/>
              <w:left w:w="108" w:type="dxa"/>
              <w:bottom w:w="0" w:type="dxa"/>
              <w:right w:w="108" w:type="dxa"/>
            </w:tcMar>
          </w:tcPr>
          <w:p w:rsidR="001609E3" w:rsidRDefault="001609E3">
            <w:pPr>
              <w:pStyle w:val="Text7pItalicRight025"/>
              <w:rPr>
                <w:rFonts w:eastAsia="Times New Roman" w:cs="Verdana"/>
                <w:i w:val="0"/>
              </w:rPr>
            </w:pPr>
          </w:p>
        </w:tc>
        <w:tc>
          <w:tcPr>
            <w:tcW w:w="994" w:type="dxa"/>
            <w:tcBorders>
              <w:top w:val="nil"/>
              <w:left w:val="nil"/>
              <w:bottom w:val="nil"/>
              <w:right w:val="nil"/>
            </w:tcBorders>
            <w:tcMar>
              <w:top w:w="0" w:type="dxa"/>
              <w:left w:w="108" w:type="dxa"/>
              <w:bottom w:w="0" w:type="dxa"/>
              <w:right w:w="108" w:type="dxa"/>
            </w:tcMar>
          </w:tcPr>
          <w:p w:rsidR="001609E3" w:rsidRDefault="00E45B63">
            <w:pPr>
              <w:pStyle w:val="Text5pItalicRight025"/>
              <w:rPr>
                <w:rFonts w:eastAsia="Times New Roman" w:cs="Verdana"/>
              </w:rPr>
            </w:pPr>
            <w:r>
              <w:t>in Mio. EUR</w:t>
            </w:r>
          </w:p>
        </w:tc>
      </w:tr>
      <w:tr w:rsidR="001609E3">
        <w:trPr>
          <w:cantSplit/>
        </w:trPr>
        <w:tc>
          <w:tcPr>
            <w:tcW w:w="2232"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Centered"/>
              <w:rPr>
                <w:rFonts w:eastAsia="Times New Roman" w:cs="Verdana"/>
              </w:rPr>
            </w:pPr>
          </w:p>
        </w:tc>
        <w:tc>
          <w:tcPr>
            <w:tcW w:w="5959" w:type="dxa"/>
            <w:gridSpan w:val="7"/>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Centered"/>
              <w:rPr>
                <w:rFonts w:eastAsia="Times New Roman" w:cs="Verdana"/>
              </w:rPr>
            </w:pPr>
            <w:r>
              <w:t>31.12.2016</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7pNormalCentered"/>
              <w:rPr>
                <w:rFonts w:eastAsia="Times New Roman" w:cs="Verdana"/>
                <w:color w:val="auto"/>
              </w:rPr>
            </w:pPr>
          </w:p>
        </w:tc>
        <w:tc>
          <w:tcPr>
            <w:tcW w:w="6232" w:type="dxa"/>
            <w:gridSpan w:val="7"/>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31.12.2015</w:t>
            </w:r>
          </w:p>
        </w:tc>
      </w:tr>
      <w:tr w:rsidR="001609E3">
        <w:trPr>
          <w:cantSplit/>
        </w:trPr>
        <w:tc>
          <w:tcPr>
            <w:tcW w:w="2232"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7pNormalCentered"/>
              <w:rPr>
                <w:rFonts w:eastAsia="Times New Roman" w:cs="Verdana"/>
              </w:rPr>
            </w:pPr>
          </w:p>
        </w:tc>
        <w:tc>
          <w:tcPr>
            <w:tcW w:w="71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Centered"/>
              <w:rPr>
                <w:rFonts w:eastAsia="Times New Roman" w:cs="Verdana"/>
              </w:rPr>
            </w:pPr>
            <w:r>
              <w:t>USD</w:t>
            </w:r>
          </w:p>
        </w:tc>
        <w:tc>
          <w:tcPr>
            <w:tcW w:w="874"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7pNormalCentered"/>
              <w:rPr>
                <w:rFonts w:eastAsia="Times New Roman" w:cs="Verdana"/>
              </w:rPr>
            </w:pPr>
            <w: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Sonsti</w:t>
            </w:r>
            <w:r>
              <w:softHyphen/>
              <w:t>ges</w:t>
            </w: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Gesamt</w:t>
            </w:r>
            <w:r>
              <w:softHyphen/>
              <w:t>betrag</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7pNormalCentered"/>
              <w:rPr>
                <w:rFonts w:eastAsia="Times New Roman" w:cs="Verdana"/>
                <w:color w:val="auto"/>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Sonsti</w:t>
            </w:r>
            <w:r>
              <w:softHyphen/>
              <w:t>ges</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7pNormalCentered"/>
              <w:rPr>
                <w:rFonts w:eastAsia="Times New Roman" w:cs="Verdana"/>
              </w:rPr>
            </w:pPr>
            <w:r>
              <w:t>Gesamt</w:t>
            </w:r>
            <w:r>
              <w:softHyphen/>
              <w:t>betrag</w:t>
            </w:r>
          </w:p>
        </w:tc>
      </w:tr>
      <w:tr w:rsidR="001609E3">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E45B63">
            <w:pPr>
              <w:pStyle w:val="Text7pBoldLeft"/>
              <w:rPr>
                <w:rFonts w:eastAsia="Times New Roman" w:cs="Verdana"/>
              </w:rPr>
            </w:pPr>
            <w:r>
              <w:t>Finanzielle Vermögenswerte</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7"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b w:val="0"/>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47" w:type="dxa"/>
            <w:tcBorders>
              <w:top w:val="nil"/>
              <w:left w:val="nil"/>
              <w:bottom w:val="nil"/>
              <w:right w:val="nil"/>
            </w:tcBorders>
            <w:shd w:val="clear" w:color="auto" w:fill="FFFFFF"/>
            <w:tcMar>
              <w:top w:w="0" w:type="dxa"/>
              <w:left w:w="108" w:type="dxa"/>
              <w:bottom w:w="0" w:type="dxa"/>
              <w:right w:w="108" w:type="dxa"/>
            </w:tcMar>
          </w:tcPr>
          <w:p w:rsidR="001609E3" w:rsidRDefault="001609E3">
            <w:pPr>
              <w:pStyle w:val="Figures55pBoldRight01"/>
              <w:rPr>
                <w:rFonts w:eastAsia="Times New Roman" w:cs="Verdana"/>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r>
      <w:tr w:rsidR="001609E3">
        <w:trPr>
          <w:cantSplit/>
        </w:trPr>
        <w:tc>
          <w:tcPr>
            <w:tcW w:w="2232" w:type="dxa"/>
            <w:tcBorders>
              <w:top w:val="nil"/>
              <w:left w:val="nil"/>
              <w:bottom w:val="nil"/>
              <w:right w:val="nil"/>
            </w:tcBorders>
            <w:tcMar>
              <w:top w:w="0" w:type="dxa"/>
              <w:left w:w="108" w:type="dxa"/>
              <w:bottom w:w="0" w:type="dxa"/>
              <w:right w:w="108" w:type="dxa"/>
            </w:tcMar>
            <w:vAlign w:val="center"/>
          </w:tcPr>
          <w:p w:rsidR="001609E3" w:rsidRDefault="00E45B63">
            <w:pPr>
              <w:pStyle w:val="Text7pItalicLeft"/>
              <w:rPr>
                <w:rFonts w:eastAsia="Times New Roman" w:cs="Verdana"/>
              </w:rPr>
            </w:pPr>
            <w:r>
              <w:t>Forderungen und einzuziehende Beträge</w:t>
            </w:r>
          </w:p>
        </w:tc>
        <w:tc>
          <w:tcPr>
            <w:tcW w:w="712"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0</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129</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3</w:t>
            </w:r>
          </w:p>
        </w:tc>
        <w:tc>
          <w:tcPr>
            <w:tcW w:w="87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132</w:t>
            </w:r>
          </w:p>
        </w:tc>
        <w:tc>
          <w:tcPr>
            <w:tcW w:w="285" w:type="dxa"/>
            <w:tcBorders>
              <w:top w:val="nil"/>
              <w:left w:val="nil"/>
              <w:bottom w:val="nil"/>
              <w:right w:val="nil"/>
            </w:tcBorders>
            <w:tcMar>
              <w:top w:w="0" w:type="dxa"/>
              <w:left w:w="108" w:type="dxa"/>
              <w:bottom w:w="0" w:type="dxa"/>
              <w:right w:w="108" w:type="dxa"/>
            </w:tcMar>
            <w:vAlign w:val="center"/>
          </w:tcPr>
          <w:p w:rsidR="001609E3" w:rsidRDefault="001609E3">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4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4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3"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171</w:t>
            </w:r>
          </w:p>
        </w:tc>
        <w:tc>
          <w:tcPr>
            <w:tcW w:w="99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w:t>
            </w:r>
          </w:p>
        </w:tc>
        <w:tc>
          <w:tcPr>
            <w:tcW w:w="99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171</w:t>
            </w:r>
          </w:p>
        </w:tc>
      </w:tr>
      <w:tr w:rsidR="001609E3">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Text7pItalicLeft"/>
              <w:rPr>
                <w:rFonts w:eastAsia="Times New Roman" w:cs="Verdana"/>
              </w:rPr>
            </w:pPr>
            <w:r>
              <w:t>Zahlungsmittel und Zahlungsmitteläquivalente</w:t>
            </w:r>
          </w:p>
        </w:tc>
        <w:tc>
          <w:tcPr>
            <w:tcW w:w="712"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2</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678</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680</w:t>
            </w:r>
          </w:p>
        </w:tc>
        <w:tc>
          <w:tcPr>
            <w:tcW w:w="285" w:type="dxa"/>
            <w:tcBorders>
              <w:top w:val="nil"/>
              <w:left w:val="nil"/>
              <w:bottom w:val="single" w:sz="4" w:space="0" w:color="3486A9"/>
              <w:right w:val="nil"/>
            </w:tcBorders>
            <w:tcMar>
              <w:top w:w="0" w:type="dxa"/>
              <w:left w:w="108" w:type="dxa"/>
              <w:bottom w:w="0" w:type="dxa"/>
              <w:right w:w="108" w:type="dxa"/>
            </w:tcMar>
            <w:vAlign w:val="center"/>
          </w:tcPr>
          <w:p w:rsidR="001609E3" w:rsidRDefault="001609E3">
            <w:pPr>
              <w:pStyle w:val="Figures55pItalicRight01"/>
              <w:rPr>
                <w:rFonts w:eastAsia="Times New Roman" w:cs="Verdana"/>
                <w:i w:val="0"/>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4</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0</w:t>
            </w:r>
          </w:p>
        </w:tc>
        <w:tc>
          <w:tcPr>
            <w:tcW w:w="850"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3"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500</w:t>
            </w:r>
          </w:p>
        </w:tc>
        <w:tc>
          <w:tcPr>
            <w:tcW w:w="99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99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504</w:t>
            </w:r>
          </w:p>
        </w:tc>
      </w:tr>
      <w:tr w:rsidR="001609E3">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Text7pItalicLeft"/>
              <w:rPr>
                <w:rFonts w:eastAsia="Times New Roman" w:cs="Verdana"/>
              </w:rPr>
            </w:pPr>
            <w:r>
              <w:t>Gesamt</w:t>
            </w:r>
            <w:r>
              <w:softHyphen/>
              <w:t>betrag</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2</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807</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3</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812</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4</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55pBoldRight01"/>
              <w:rPr>
                <w:rFonts w:eastAsia="Times New Roman" w:cs="Verdana"/>
              </w:rPr>
            </w:pPr>
            <w:r>
              <w:t xml:space="preserve"> 0</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671</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1</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675</w:t>
            </w:r>
          </w:p>
        </w:tc>
      </w:tr>
      <w:tr w:rsidR="001609E3">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E45B63">
            <w:pPr>
              <w:pStyle w:val="Text7pBoldLeft"/>
              <w:rPr>
                <w:rFonts w:eastAsia="Times New Roman" w:cs="Verdana"/>
              </w:rPr>
            </w:pPr>
            <w:r>
              <w:t>Finanzielle Verbindlichkeiten</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7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b w:val="0"/>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rsidR="001609E3" w:rsidRDefault="001609E3">
            <w:pPr>
              <w:pStyle w:val="Figures55pBoldRight01"/>
              <w:rPr>
                <w:rFonts w:eastAsia="Times New Roman"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rPr>
            </w:pPr>
          </w:p>
        </w:tc>
      </w:tr>
      <w:tr w:rsidR="001609E3">
        <w:trPr>
          <w:cantSplit/>
        </w:trPr>
        <w:tc>
          <w:tcPr>
            <w:tcW w:w="2232" w:type="dxa"/>
            <w:tcBorders>
              <w:top w:val="nil"/>
              <w:left w:val="nil"/>
              <w:bottom w:val="nil"/>
              <w:right w:val="nil"/>
            </w:tcBorders>
            <w:tcMar>
              <w:top w:w="0" w:type="dxa"/>
              <w:left w:w="108" w:type="dxa"/>
              <w:bottom w:w="0" w:type="dxa"/>
              <w:right w:w="108" w:type="dxa"/>
            </w:tcMar>
            <w:vAlign w:val="center"/>
          </w:tcPr>
          <w:p w:rsidR="001609E3" w:rsidRDefault="00E45B63">
            <w:pPr>
              <w:pStyle w:val="Text7pItalicLeft"/>
              <w:rPr>
                <w:rFonts w:eastAsia="Times New Roman" w:cs="Verdana"/>
              </w:rPr>
            </w:pPr>
            <w:r>
              <w:t>Langfristige finanzielle Vermögenswerte</w:t>
            </w:r>
          </w:p>
        </w:tc>
        <w:tc>
          <w:tcPr>
            <w:tcW w:w="712"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(6)</w:t>
            </w:r>
          </w:p>
        </w:tc>
        <w:tc>
          <w:tcPr>
            <w:tcW w:w="87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(6)</w:t>
            </w:r>
          </w:p>
        </w:tc>
        <w:tc>
          <w:tcPr>
            <w:tcW w:w="285" w:type="dxa"/>
            <w:tcBorders>
              <w:top w:val="nil"/>
              <w:left w:val="nil"/>
              <w:bottom w:val="nil"/>
              <w:right w:val="nil"/>
            </w:tcBorders>
            <w:tcMar>
              <w:top w:w="0" w:type="dxa"/>
              <w:left w:w="108" w:type="dxa"/>
              <w:bottom w:w="0" w:type="dxa"/>
              <w:right w:w="108" w:type="dxa"/>
            </w:tcMar>
            <w:vAlign w:val="center"/>
          </w:tcPr>
          <w:p w:rsidR="001609E3" w:rsidRDefault="001609E3">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0</w:t>
            </w:r>
          </w:p>
        </w:tc>
        <w:tc>
          <w:tcPr>
            <w:tcW w:w="84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47"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3"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(10)</w:t>
            </w:r>
          </w:p>
        </w:tc>
        <w:tc>
          <w:tcPr>
            <w:tcW w:w="99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994" w:type="dxa"/>
            <w:tcBorders>
              <w:top w:val="nil"/>
              <w:left w:val="nil"/>
              <w:bottom w:val="nil"/>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(10)</w:t>
            </w:r>
          </w:p>
        </w:tc>
      </w:tr>
      <w:tr w:rsidR="001609E3">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Text7pItalicLeft"/>
              <w:rPr>
                <w:rFonts w:eastAsia="Times New Roman" w:cs="Verdana"/>
              </w:rPr>
            </w:pPr>
            <w:r>
              <w:t>Verbindlichkeiten</w:t>
            </w:r>
          </w:p>
        </w:tc>
        <w:tc>
          <w:tcPr>
            <w:tcW w:w="712"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(495)</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(54)</w:t>
            </w:r>
          </w:p>
        </w:tc>
        <w:tc>
          <w:tcPr>
            <w:tcW w:w="87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(549)</w:t>
            </w:r>
          </w:p>
        </w:tc>
        <w:tc>
          <w:tcPr>
            <w:tcW w:w="285" w:type="dxa"/>
            <w:tcBorders>
              <w:top w:val="nil"/>
              <w:left w:val="nil"/>
              <w:bottom w:val="single" w:sz="4" w:space="0" w:color="3486A9"/>
              <w:right w:val="nil"/>
            </w:tcBorders>
            <w:tcMar>
              <w:top w:w="0" w:type="dxa"/>
              <w:left w:w="108" w:type="dxa"/>
              <w:bottom w:w="0" w:type="dxa"/>
              <w:right w:w="108" w:type="dxa"/>
            </w:tcMar>
            <w:vAlign w:val="center"/>
          </w:tcPr>
          <w:p w:rsidR="001609E3" w:rsidRDefault="001609E3">
            <w:pPr>
              <w:pStyle w:val="Figures55pItalicRight01"/>
              <w:rPr>
                <w:rFonts w:eastAsia="Times New Roman" w:cs="Verdana"/>
                <w:i w:val="0"/>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0</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0"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w:t>
            </w:r>
          </w:p>
        </w:tc>
        <w:tc>
          <w:tcPr>
            <w:tcW w:w="853"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(473)</w:t>
            </w:r>
          </w:p>
        </w:tc>
        <w:tc>
          <w:tcPr>
            <w:tcW w:w="99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(47)</w:t>
            </w:r>
          </w:p>
        </w:tc>
        <w:tc>
          <w:tcPr>
            <w:tcW w:w="994" w:type="dxa"/>
            <w:tcBorders>
              <w:top w:val="nil"/>
              <w:left w:val="nil"/>
              <w:bottom w:val="single" w:sz="4" w:space="0" w:color="3486A9"/>
              <w:right w:val="nil"/>
            </w:tcBorders>
            <w:tcMar>
              <w:top w:w="0" w:type="dxa"/>
              <w:left w:w="108" w:type="dxa"/>
              <w:bottom w:w="0" w:type="dxa"/>
              <w:right w:w="108" w:type="dxa"/>
            </w:tcMar>
            <w:vAlign w:val="center"/>
          </w:tcPr>
          <w:p w:rsidR="001609E3" w:rsidRDefault="00E45B63">
            <w:pPr>
              <w:pStyle w:val="Figures55pItalicRight01"/>
              <w:rPr>
                <w:rFonts w:eastAsia="Times New Roman" w:cs="Verdana"/>
              </w:rPr>
            </w:pPr>
            <w:r>
              <w:t xml:space="preserve"> (520)</w:t>
            </w:r>
          </w:p>
        </w:tc>
      </w:tr>
      <w:tr w:rsidR="001609E3">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Text7pItalicLeft"/>
              <w:rPr>
                <w:rFonts w:eastAsia="Times New Roman" w:cs="Verdana"/>
              </w:rPr>
            </w:pPr>
            <w:r>
              <w:t>Gesamt</w:t>
            </w:r>
            <w:r>
              <w:softHyphen/>
              <w:t>betrag</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(501)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(54)</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(555)</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1609E3">
            <w:pPr>
              <w:pStyle w:val="Figures55pBoldRight01"/>
              <w:rPr>
                <w:rFonts w:eastAsia="Times New Roman"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0</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rsidR="001609E3" w:rsidRDefault="00E45B63">
            <w:pPr>
              <w:pStyle w:val="Figures55pBoldRight01"/>
              <w:rPr>
                <w:rFonts w:eastAsia="Times New Roman" w:cs="Verdana"/>
              </w:rPr>
            </w:pPr>
            <w:r>
              <w:t>–</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(483)</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(47)</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(530)</w:t>
            </w:r>
          </w:p>
        </w:tc>
      </w:tr>
      <w:tr w:rsidR="001609E3">
        <w:trPr>
          <w:cantSplit/>
        </w:trPr>
        <w:tc>
          <w:tcPr>
            <w:tcW w:w="223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Text7pBoldLeft"/>
              <w:rPr>
                <w:rFonts w:eastAsia="Times New Roman" w:cs="Verdana"/>
              </w:rPr>
            </w:pPr>
            <w:r>
              <w:t>Gesamt</w:t>
            </w:r>
            <w:r>
              <w:softHyphen/>
              <w:t>betrag</w:t>
            </w:r>
          </w:p>
        </w:tc>
        <w:tc>
          <w:tcPr>
            <w:tcW w:w="71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2</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306</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(51)</w:t>
            </w:r>
          </w:p>
        </w:tc>
        <w:tc>
          <w:tcPr>
            <w:tcW w:w="87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257</w:t>
            </w:r>
          </w:p>
        </w:tc>
        <w:tc>
          <w:tcPr>
            <w:tcW w:w="285"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1609E3">
            <w:pPr>
              <w:pStyle w:val="Figures55pBoldRight01"/>
              <w:rPr>
                <w:rFonts w:eastAsia="Times New Roman" w:cs="Verdana"/>
                <w:b w:val="0"/>
              </w:rPr>
            </w:pP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4</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0</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w:t>
            </w:r>
          </w:p>
        </w:tc>
        <w:tc>
          <w:tcPr>
            <w:tcW w:w="853"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188</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(46)</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rsidR="001609E3" w:rsidRDefault="00E45B63">
            <w:pPr>
              <w:pStyle w:val="Figures55pBoldRight01"/>
              <w:rPr>
                <w:rFonts w:eastAsia="Times New Roman" w:cs="Verdana"/>
              </w:rPr>
            </w:pPr>
            <w:r>
              <w:t xml:space="preserve"> 145</w:t>
            </w:r>
          </w:p>
        </w:tc>
      </w:tr>
    </w:tbl>
    <w:p w:rsidR="001609E3" w:rsidRDefault="00E45B63">
      <w:pPr>
        <w:pStyle w:val="Textstand-alone"/>
      </w:pPr>
      <w:r>
        <w:t xml:space="preserve">Alle Beiträge werden in Euro gehalten, und andere Währungen werden nur gekauft, wenn sie zur Ausführung von Zahlungen notwendig </w:t>
      </w:r>
      <w:r>
        <w:t>sind. Daraus ergibt sich, dass die Kassentransaktionen des EEF keinen Währungsrisiken ausgesetzt sind.</w:t>
      </w:r>
    </w:p>
    <w:p w:rsidR="001609E3" w:rsidRDefault="00E45B63">
      <w:pPr>
        <w:pStyle w:val="Textstand-alone"/>
        <w:sectPr w:rsidR="001609E3">
          <w:headerReference w:type="even" r:id="rId209"/>
          <w:headerReference w:type="default" r:id="rId210"/>
          <w:footerReference w:type="even" r:id="rId211"/>
          <w:footerReference w:type="default" r:id="rId212"/>
          <w:headerReference w:type="first" r:id="rId213"/>
          <w:footerReference w:type="first" r:id="rId214"/>
          <w:pgSz w:w="16838" w:h="11906" w:orient="landscape"/>
          <w:pgMar w:top="1134" w:right="1134" w:bottom="1134" w:left="1134" w:header="708" w:footer="708" w:gutter="0"/>
          <w:cols w:space="708"/>
          <w:docGrid w:linePitch="360"/>
        </w:sectPr>
      </w:pPr>
      <w:r>
        <w:t xml:space="preserve"> </w:t>
      </w:r>
      <w:bookmarkEnd w:id="307"/>
    </w:p>
    <w:p w:rsidR="001609E3" w:rsidRDefault="00E45B63">
      <w:pPr>
        <w:pStyle w:val="HEADER2Part2"/>
        <w:rPr>
          <w:noProof/>
        </w:rPr>
      </w:pPr>
      <w:bookmarkStart w:id="309" w:name="_DMBM_9566"/>
      <w:r>
        <w:rPr>
          <w:noProof/>
        </w:rPr>
        <w:t>ZINSÄNDERUNGSRISIKO</w:t>
      </w:r>
    </w:p>
    <w:p w:rsidR="001609E3" w:rsidRDefault="00E45B63">
      <w:pPr>
        <w:pStyle w:val="Textstand-alone"/>
      </w:pPr>
      <w:r>
        <w:t xml:space="preserve">Der EEF nimmt </w:t>
      </w:r>
      <w:r>
        <w:t>keinerlei Geldmittel auf; folglich ist er keinem Zinsrisiko ausgesetzt.</w:t>
      </w:r>
    </w:p>
    <w:p w:rsidR="001609E3" w:rsidRDefault="00E45B63">
      <w:pPr>
        <w:pStyle w:val="Textstand-alone"/>
      </w:pPr>
      <w:r>
        <w:t xml:space="preserve">Auf die in verschiedenen Bankkonten gehaltenen Salden laufen jedoch Zinsen auf. Die Kommission hat daher im Namen des EEF Maßnahmen zur Sicherstellung dessen getroffen, dass die </w:t>
      </w:r>
      <w:r>
        <w:t>eingenommenen Zinsen die Marktzinssätze sowie deren eventuelle Fluktuation widerspiegeln.</w:t>
      </w:r>
    </w:p>
    <w:p w:rsidR="001609E3" w:rsidRDefault="00E45B63">
      <w:pPr>
        <w:pStyle w:val="Textstand-alone"/>
      </w:pPr>
      <w:r>
        <w:t>Jeder Mitgliedstaat schreibt seine Beiträge zum EEF-Haushalt einem Sonderkonto gut, das bei dem von ihm benannten Finanzinstitut eröffnet wird. Da einige dieser Konte</w:t>
      </w:r>
      <w:r>
        <w:t>n derzeit negativ verzinst werden könnten, wurden Verfahren für die Kassenmittelverwaltung eingerichtet, um die Salden auf diesen Konten niedrig zu halten. Darüber hinaus werden laut der Verordnung (EU) 2016/888 des Rates auf diese Konten erhobene Negativz</w:t>
      </w:r>
      <w:r>
        <w:t>insen vom jeweiligen Mitgliedstaat getragen.</w:t>
      </w:r>
    </w:p>
    <w:p w:rsidR="001609E3" w:rsidRDefault="00E45B63">
      <w:pPr>
        <w:pStyle w:val="Textstand-alone"/>
      </w:pPr>
      <w:r>
        <w:t>Auf Konten bei Geschäftsbanken gehaltene Tagesgelder tragen jeweils täglich Zinsen. Der Vergütung für auf diesen Konten befindlichen Salden basiert auf variablen Marktsätzen, auf die eine vertragliche Marge (pos</w:t>
      </w:r>
      <w:r>
        <w:t xml:space="preserve">itiv oder negativ) berechnet wird. Hinsichtlich der meisten Konten ist die Berechnung der Zinsen mit einem Referenzsatz der Marktzinsen verknüpft. Die Zinsen werden an Fluktuationen dieses Zinssatzes angepasst. Daraus ergibt sich, dass der EEF kein Risiko </w:t>
      </w:r>
      <w:r>
        <w:t>eingeht, dass seine Salden zu Zinssätzen vergütet werden, die unter den Marktsätzen liegen.</w:t>
      </w:r>
    </w:p>
    <w:p w:rsidR="001609E3" w:rsidRDefault="00E45B63">
      <w:pPr>
        <w:pStyle w:val="Textstand-alone"/>
        <w:sectPr w:rsidR="001609E3">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r>
        <w:t xml:space="preserve"> </w:t>
      </w:r>
      <w:bookmarkEnd w:id="309"/>
    </w:p>
    <w:p w:rsidR="001609E3" w:rsidRDefault="00E45B63">
      <w:pPr>
        <w:pStyle w:val="HEADER2Part2"/>
        <w:rPr>
          <w:noProof/>
        </w:rPr>
      </w:pPr>
      <w:bookmarkStart w:id="310" w:name="_DMBM_9567"/>
      <w:r>
        <w:rPr>
          <w:noProof/>
        </w:rPr>
        <w:t>KREDITRISIKO (AUSFALLRISIKO)</w:t>
      </w:r>
    </w:p>
    <w:p w:rsidR="001609E3" w:rsidRDefault="00E45B63">
      <w:pPr>
        <w:pStyle w:val="HEADER5"/>
        <w:rPr>
          <w:noProof/>
        </w:rPr>
      </w:pPr>
      <w:r>
        <w:rPr>
          <w:noProof/>
        </w:rPr>
        <w:t>Finanzielle Vermöge</w:t>
      </w:r>
      <w:r>
        <w:rPr>
          <w:noProof/>
        </w:rPr>
        <w:t>nswerte, die weder überfällig noch wertgemindert sind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1377"/>
        <w:gridCol w:w="1544"/>
        <w:gridCol w:w="1240"/>
        <w:gridCol w:w="1219"/>
        <w:gridCol w:w="1235"/>
      </w:tblGrid>
      <w:tr w:rsidR="001609E3">
        <w:trPr>
          <w:cantSplit/>
        </w:trPr>
        <w:tc>
          <w:tcPr>
            <w:tcW w:w="3369"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311" w:name="DOC_TBL00047_1_1"/>
            <w:bookmarkEnd w:id="311"/>
          </w:p>
        </w:tc>
        <w:tc>
          <w:tcPr>
            <w:tcW w:w="1417"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3807" w:type="dxa"/>
            <w:gridSpan w:val="3"/>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261" w:type="dxa"/>
            <w:tcBorders>
              <w:top w:val="nil"/>
              <w:left w:val="nil"/>
              <w:bottom w:val="nil"/>
              <w:right w:val="nil"/>
            </w:tcBorders>
            <w:tcMar>
              <w:top w:w="0" w:type="dxa"/>
              <w:left w:w="108" w:type="dxa"/>
              <w:bottom w:w="0" w:type="dxa"/>
              <w:right w:w="108" w:type="dxa"/>
            </w:tcMar>
          </w:tcPr>
          <w:p w:rsidR="001609E3" w:rsidRDefault="00E45B63">
            <w:pPr>
              <w:pStyle w:val="Text7pItalicRight025"/>
              <w:rPr>
                <w:rFonts w:eastAsia="Times New Roman" w:cs="Verdana"/>
              </w:rPr>
            </w:pPr>
            <w:r>
              <w:t>in Mio. EUR</w:t>
            </w:r>
          </w:p>
        </w:tc>
      </w:tr>
      <w:tr w:rsidR="001609E3">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Gesamt</w:t>
            </w:r>
            <w:r>
              <w:rPr>
                <w:noProof/>
              </w:rPr>
              <w:softHyphen/>
              <w:t>betrag</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Weder überfällig noch wertgemindert</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rsidR="001609E3" w:rsidRDefault="00E45B63">
            <w:pPr>
              <w:pStyle w:val="Heading9pNormalCentered"/>
              <w:rPr>
                <w:rFonts w:cs="Verdana"/>
                <w:noProof/>
              </w:rPr>
            </w:pPr>
            <w:r>
              <w:rPr>
                <w:noProof/>
              </w:rPr>
              <w:t>Überfällig, aber nicht wertgemindert</w:t>
            </w:r>
          </w:p>
        </w:tc>
      </w:tr>
      <w:tr w:rsidR="001609E3">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1609E3" w:rsidRDefault="001609E3">
            <w:pPr>
              <w:pStyle w:val="Heading9pNormalCentered"/>
              <w:rPr>
                <w:rFonts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rsidR="001609E3" w:rsidRDefault="00E45B63">
            <w:pPr>
              <w:pStyle w:val="Heading9pNormalCentered"/>
              <w:rPr>
                <w:rFonts w:cs="Verdana"/>
                <w:noProof/>
              </w:rPr>
            </w:pPr>
            <w:r>
              <w:rPr>
                <w:noProof/>
              </w:rPr>
              <w:t>&lt; 1 Jahr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rsidR="001609E3" w:rsidRDefault="00E45B63">
            <w:pPr>
              <w:pStyle w:val="Heading9pNormalCentered"/>
              <w:rPr>
                <w:rFonts w:cs="Verdana"/>
                <w:noProof/>
              </w:rPr>
            </w:pPr>
            <w:r>
              <w:rPr>
                <w:noProof/>
              </w:rPr>
              <w:t>1-5 Jahre</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rsidR="001609E3" w:rsidRDefault="00E45B63">
            <w:pPr>
              <w:pStyle w:val="Heading9pNormalCentered"/>
              <w:rPr>
                <w:rFonts w:cs="Verdana"/>
                <w:noProof/>
              </w:rPr>
            </w:pPr>
            <w:r>
              <w:rPr>
                <w:noProof/>
              </w:rPr>
              <w:t>&gt; 5 Jahre</w:t>
            </w:r>
          </w:p>
        </w:tc>
      </w:tr>
      <w:tr w:rsidR="001609E3">
        <w:trPr>
          <w:cantSplit/>
        </w:trPr>
        <w:tc>
          <w:tcPr>
            <w:tcW w:w="3369"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 xml:space="preserve">Forderungen mit Leistungsaustausch und einzuziehende Beträge </w:t>
            </w:r>
            <w:r>
              <w:t>ohne Leistungsaustausch</w:t>
            </w:r>
          </w:p>
        </w:tc>
        <w:tc>
          <w:tcPr>
            <w:tcW w:w="141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132</w:t>
            </w:r>
          </w:p>
        </w:tc>
        <w:tc>
          <w:tcPr>
            <w:tcW w:w="126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93</w:t>
            </w:r>
          </w:p>
        </w:tc>
        <w:tc>
          <w:tcPr>
            <w:tcW w:w="126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36</w:t>
            </w:r>
          </w:p>
        </w:tc>
        <w:tc>
          <w:tcPr>
            <w:tcW w:w="1273"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4</w:t>
            </w:r>
          </w:p>
        </w:tc>
        <w:tc>
          <w:tcPr>
            <w:tcW w:w="126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r>
      <w:tr w:rsidR="001609E3">
        <w:trPr>
          <w:cantSplit/>
        </w:trPr>
        <w:tc>
          <w:tcPr>
            <w:tcW w:w="3369"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Text9pBoldLeft"/>
              <w:rPr>
                <w:rFonts w:eastAsia="Times New Roman" w:cs="Verdana"/>
              </w:rPr>
            </w:pPr>
            <w:r>
              <w:t>Gesamtwert zum 31.12.2016</w:t>
            </w:r>
          </w:p>
        </w:tc>
        <w:tc>
          <w:tcPr>
            <w:tcW w:w="1417"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132</w:t>
            </w:r>
          </w:p>
        </w:tc>
        <w:tc>
          <w:tcPr>
            <w:tcW w:w="1267"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93</w:t>
            </w:r>
          </w:p>
        </w:tc>
        <w:tc>
          <w:tcPr>
            <w:tcW w:w="1267"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36</w:t>
            </w:r>
          </w:p>
        </w:tc>
        <w:tc>
          <w:tcPr>
            <w:tcW w:w="1273"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4</w:t>
            </w:r>
          </w:p>
        </w:tc>
        <w:tc>
          <w:tcPr>
            <w:tcW w:w="1261"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w:t>
            </w:r>
          </w:p>
        </w:tc>
      </w:tr>
      <w:tr w:rsidR="001609E3">
        <w:trPr>
          <w:cantSplit/>
        </w:trPr>
        <w:tc>
          <w:tcPr>
            <w:tcW w:w="3369" w:type="dxa"/>
            <w:tcBorders>
              <w:top w:val="nil"/>
              <w:left w:val="nil"/>
              <w:bottom w:val="nil"/>
              <w:right w:val="nil"/>
            </w:tcBorders>
            <w:tcMar>
              <w:top w:w="0" w:type="dxa"/>
              <w:left w:w="108" w:type="dxa"/>
              <w:bottom w:w="0" w:type="dxa"/>
              <w:right w:w="108" w:type="dxa"/>
            </w:tcMar>
          </w:tcPr>
          <w:p w:rsidR="001609E3" w:rsidRDefault="00E45B63">
            <w:pPr>
              <w:pStyle w:val="Text9pItalicLeft"/>
              <w:rPr>
                <w:rFonts w:eastAsia="Times New Roman" w:cs="Verdana"/>
              </w:rPr>
            </w:pPr>
            <w:r>
              <w:t>Forderungen mit Leistungsaustausch und einzuziehende Beträge ohne Leistungsaustausch</w:t>
            </w:r>
          </w:p>
        </w:tc>
        <w:tc>
          <w:tcPr>
            <w:tcW w:w="141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171</w:t>
            </w:r>
          </w:p>
        </w:tc>
        <w:tc>
          <w:tcPr>
            <w:tcW w:w="126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50</w:t>
            </w:r>
          </w:p>
        </w:tc>
        <w:tc>
          <w:tcPr>
            <w:tcW w:w="1267"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120</w:t>
            </w:r>
          </w:p>
        </w:tc>
        <w:tc>
          <w:tcPr>
            <w:tcW w:w="1273"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 xml:space="preserve"> 1</w:t>
            </w:r>
          </w:p>
        </w:tc>
        <w:tc>
          <w:tcPr>
            <w:tcW w:w="1261" w:type="dxa"/>
            <w:tcBorders>
              <w:top w:val="nil"/>
              <w:left w:val="nil"/>
              <w:bottom w:val="nil"/>
              <w:right w:val="nil"/>
            </w:tcBorders>
            <w:tcMar>
              <w:top w:w="0" w:type="dxa"/>
              <w:left w:w="108" w:type="dxa"/>
              <w:bottom w:w="0" w:type="dxa"/>
              <w:right w:w="108" w:type="dxa"/>
            </w:tcMar>
          </w:tcPr>
          <w:p w:rsidR="001609E3" w:rsidRDefault="00E45B63">
            <w:pPr>
              <w:pStyle w:val="Figures9pItalicRight025"/>
              <w:rPr>
                <w:rFonts w:eastAsia="Times New Roman" w:cs="Verdana"/>
              </w:rPr>
            </w:pPr>
            <w:r>
              <w:t>–</w:t>
            </w:r>
          </w:p>
        </w:tc>
      </w:tr>
      <w:tr w:rsidR="001609E3">
        <w:trPr>
          <w:cantSplit/>
        </w:trPr>
        <w:tc>
          <w:tcPr>
            <w:tcW w:w="3369"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Text9pBoldLeft"/>
              <w:rPr>
                <w:rFonts w:eastAsia="Times New Roman" w:cs="Verdana"/>
              </w:rPr>
            </w:pPr>
            <w:r>
              <w:t>Gesamtwert zum 31.12.2015</w:t>
            </w:r>
          </w:p>
        </w:tc>
        <w:tc>
          <w:tcPr>
            <w:tcW w:w="1417"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171</w:t>
            </w:r>
          </w:p>
        </w:tc>
        <w:tc>
          <w:tcPr>
            <w:tcW w:w="1267"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50</w:t>
            </w:r>
          </w:p>
        </w:tc>
        <w:tc>
          <w:tcPr>
            <w:tcW w:w="1267"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120</w:t>
            </w:r>
          </w:p>
        </w:tc>
        <w:tc>
          <w:tcPr>
            <w:tcW w:w="1273"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 xml:space="preserve"> 1</w:t>
            </w:r>
          </w:p>
        </w:tc>
        <w:tc>
          <w:tcPr>
            <w:tcW w:w="1261" w:type="dxa"/>
            <w:tcBorders>
              <w:top w:val="nil"/>
              <w:left w:val="nil"/>
              <w:bottom w:val="nil"/>
              <w:right w:val="nil"/>
            </w:tcBorders>
            <w:shd w:val="clear" w:color="auto" w:fill="CBE1EA"/>
            <w:tcMar>
              <w:top w:w="0" w:type="dxa"/>
              <w:left w:w="108" w:type="dxa"/>
              <w:bottom w:w="0" w:type="dxa"/>
              <w:right w:w="108" w:type="dxa"/>
            </w:tcMar>
          </w:tcPr>
          <w:p w:rsidR="001609E3" w:rsidRDefault="00E45B63">
            <w:pPr>
              <w:pStyle w:val="Figures9pBoldRight025"/>
              <w:rPr>
                <w:rFonts w:eastAsia="Times New Roman" w:cs="Verdana"/>
              </w:rPr>
            </w:pPr>
            <w:r>
              <w:t>–</w:t>
            </w:r>
          </w:p>
        </w:tc>
      </w:tr>
    </w:tbl>
    <w:p w:rsidR="001609E3" w:rsidRDefault="001609E3">
      <w:pPr>
        <w:rPr>
          <w:noProof/>
        </w:rPr>
      </w:pPr>
    </w:p>
    <w:p w:rsidR="001609E3" w:rsidRDefault="00E45B63">
      <w:pPr>
        <w:pStyle w:val="HEADER5"/>
        <w:rPr>
          <w:noProof/>
        </w:rPr>
      </w:pPr>
      <w:r>
        <w:rPr>
          <w:noProof/>
        </w:rPr>
        <w:t xml:space="preserve">Finanzielle </w:t>
      </w:r>
      <w:r>
        <w:rPr>
          <w:noProof/>
        </w:rPr>
        <w:t>Vermögenswerte nach Risikokategorie: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141"/>
        <w:gridCol w:w="851"/>
        <w:gridCol w:w="992"/>
        <w:gridCol w:w="1134"/>
        <w:gridCol w:w="142"/>
        <w:gridCol w:w="850"/>
        <w:gridCol w:w="993"/>
      </w:tblGrid>
      <w:tr w:rsidR="001609E3">
        <w:tc>
          <w:tcPr>
            <w:tcW w:w="3369" w:type="dxa"/>
            <w:tcBorders>
              <w:top w:val="nil"/>
              <w:left w:val="nil"/>
              <w:bottom w:val="nil"/>
              <w:right w:val="nil"/>
            </w:tcBorders>
            <w:tcMar>
              <w:top w:w="0" w:type="dxa"/>
              <w:left w:w="108" w:type="dxa"/>
              <w:bottom w:w="0" w:type="dxa"/>
              <w:right w:w="108" w:type="dxa"/>
            </w:tcMar>
          </w:tcPr>
          <w:p w:rsidR="001609E3" w:rsidRDefault="001609E3">
            <w:pPr>
              <w:pStyle w:val="Text8pItalicLeft"/>
              <w:rPr>
                <w:rFonts w:eastAsia="Times New Roman" w:cs="Verdana"/>
                <w:color w:val="FFFFFF"/>
              </w:rPr>
            </w:pPr>
            <w:bookmarkStart w:id="312" w:name="DOC_TBL00048_1_1"/>
            <w:bookmarkEnd w:id="312"/>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2" w:type="dxa"/>
            <w:gridSpan w:val="2"/>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1609E3" w:rsidRDefault="001609E3">
            <w:pPr>
              <w:pStyle w:val="Text8pItalicRight025EUR"/>
              <w:rPr>
                <w:rFonts w:eastAsia="Times New Roman" w:cs="Verdana"/>
                <w:i w:val="0"/>
              </w:rPr>
            </w:pPr>
          </w:p>
        </w:tc>
        <w:tc>
          <w:tcPr>
            <w:tcW w:w="1985" w:type="dxa"/>
            <w:gridSpan w:val="3"/>
            <w:tcBorders>
              <w:top w:val="nil"/>
              <w:left w:val="nil"/>
              <w:bottom w:val="nil"/>
              <w:right w:val="nil"/>
            </w:tcBorders>
            <w:tcMar>
              <w:top w:w="0" w:type="dxa"/>
              <w:left w:w="108" w:type="dxa"/>
              <w:bottom w:w="0" w:type="dxa"/>
              <w:right w:w="108" w:type="dxa"/>
            </w:tcMar>
          </w:tcPr>
          <w:p w:rsidR="001609E3" w:rsidRDefault="00E45B63">
            <w:pPr>
              <w:pStyle w:val="Text8pItalicRight025EUR"/>
              <w:rPr>
                <w:rFonts w:eastAsia="Times New Roman" w:cs="Verdana"/>
              </w:rPr>
            </w:pPr>
            <w:r>
              <w:t>in Mio. EUR</w:t>
            </w:r>
          </w:p>
        </w:tc>
      </w:tr>
      <w:tr w:rsidR="001609E3">
        <w:tc>
          <w:tcPr>
            <w:tcW w:w="3369"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9pNormalCentered"/>
              <w:rPr>
                <w:rFonts w:eastAsia="Times New Roman" w:cs="Verdana"/>
              </w:rPr>
            </w:pPr>
          </w:p>
        </w:tc>
        <w:tc>
          <w:tcPr>
            <w:tcW w:w="3118" w:type="dxa"/>
            <w:gridSpan w:val="4"/>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Centered"/>
              <w:rPr>
                <w:rFonts w:eastAsia="Times New Roman" w:cs="Verdana"/>
              </w:rPr>
            </w:pPr>
            <w:r>
              <w:t>31.12.2016</w:t>
            </w:r>
          </w:p>
        </w:tc>
        <w:tc>
          <w:tcPr>
            <w:tcW w:w="3119" w:type="dxa"/>
            <w:gridSpan w:val="4"/>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9pNormalCentered"/>
              <w:rPr>
                <w:rFonts w:eastAsia="Times New Roman" w:cs="Verdana"/>
              </w:rPr>
            </w:pPr>
            <w:r>
              <w:t>31.12.2015</w:t>
            </w:r>
          </w:p>
        </w:tc>
      </w:tr>
      <w:tr w:rsidR="001609E3">
        <w:tc>
          <w:tcPr>
            <w:tcW w:w="3369"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Centered"/>
              <w:rPr>
                <w:rFonts w:eastAsia="Times New Roman" w:cs="Verdana"/>
              </w:rPr>
            </w:pPr>
          </w:p>
        </w:tc>
        <w:tc>
          <w:tcPr>
            <w:tcW w:w="1275" w:type="dxa"/>
            <w:gridSpan w:val="2"/>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8pNormalRight01"/>
              <w:rPr>
                <w:rFonts w:cs="Verdana"/>
                <w:noProof/>
              </w:rPr>
            </w:pPr>
            <w:r>
              <w:rPr>
                <w:noProof/>
              </w:rPr>
              <w:t>Forde</w:t>
            </w:r>
            <w:r>
              <w:rPr>
                <w:noProof/>
              </w:rPr>
              <w:softHyphen/>
              <w:t>rungen</w:t>
            </w:r>
          </w:p>
        </w:tc>
        <w:tc>
          <w:tcPr>
            <w:tcW w:w="851"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8pNormalRight01"/>
              <w:rPr>
                <w:rFonts w:cs="Verdana"/>
                <w:noProof/>
              </w:rPr>
            </w:pPr>
            <w:r>
              <w:rPr>
                <w:noProof/>
              </w:rPr>
              <w:t>Zahlungs</w:t>
            </w:r>
            <w:r>
              <w:rPr>
                <w:noProof/>
              </w:rPr>
              <w:softHyphen/>
              <w:t>mittel</w:t>
            </w:r>
          </w:p>
        </w:tc>
        <w:tc>
          <w:tcPr>
            <w:tcW w:w="992"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8pNormalRight01"/>
              <w:rPr>
                <w:rFonts w:cs="Verdana"/>
                <w:noProof/>
              </w:rPr>
            </w:pPr>
            <w:r>
              <w:rPr>
                <w:noProof/>
              </w:rPr>
              <w:t>Gesamt</w:t>
            </w:r>
            <w:r>
              <w:rPr>
                <w:noProof/>
              </w:rPr>
              <w:softHyphen/>
              <w:t>betrag</w:t>
            </w:r>
          </w:p>
        </w:tc>
        <w:tc>
          <w:tcPr>
            <w:tcW w:w="1276" w:type="dxa"/>
            <w:gridSpan w:val="2"/>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8pNormalRight01"/>
              <w:rPr>
                <w:rFonts w:cs="Verdana"/>
                <w:noProof/>
              </w:rPr>
            </w:pPr>
            <w:r>
              <w:rPr>
                <w:noProof/>
              </w:rPr>
              <w:t>Forde</w:t>
            </w:r>
            <w:r>
              <w:rPr>
                <w:noProof/>
              </w:rPr>
              <w:softHyphen/>
              <w:t>rungen</w:t>
            </w:r>
          </w:p>
        </w:tc>
        <w:tc>
          <w:tcPr>
            <w:tcW w:w="850"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8pNormalRight01"/>
              <w:rPr>
                <w:rFonts w:cs="Verdana"/>
                <w:noProof/>
              </w:rPr>
            </w:pPr>
            <w:r>
              <w:rPr>
                <w:noProof/>
              </w:rPr>
              <w:t>Zahlungs</w:t>
            </w:r>
            <w:r>
              <w:rPr>
                <w:noProof/>
              </w:rPr>
              <w:softHyphen/>
              <w:t>mittel</w:t>
            </w:r>
          </w:p>
        </w:tc>
        <w:tc>
          <w:tcPr>
            <w:tcW w:w="993"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8pNormalRight01"/>
              <w:rPr>
                <w:rFonts w:cs="Verdana"/>
                <w:noProof/>
              </w:rPr>
            </w:pPr>
            <w:r>
              <w:rPr>
                <w:noProof/>
              </w:rPr>
              <w:t>Gesamt</w:t>
            </w:r>
            <w:r>
              <w:rPr>
                <w:noProof/>
              </w:rPr>
              <w:softHyphen/>
              <w:t>betrag</w:t>
            </w:r>
          </w:p>
        </w:tc>
      </w:tr>
      <w:tr w:rsidR="001609E3">
        <w:tc>
          <w:tcPr>
            <w:tcW w:w="3369"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Gegenparteien mit externer Bonitätsein</w:t>
            </w:r>
            <w:r>
              <w:softHyphen/>
              <w:t>stufung</w:t>
            </w:r>
          </w:p>
        </w:tc>
        <w:tc>
          <w:tcPr>
            <w:tcW w:w="1275"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276" w:type="dxa"/>
            <w:gridSpan w:val="2"/>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993" w:type="dxa"/>
            <w:tcBorders>
              <w:top w:val="nil"/>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r>
      <w:tr w:rsidR="001609E3">
        <w:tc>
          <w:tcPr>
            <w:tcW w:w="3369"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Prime und High-Grade</w:t>
            </w:r>
          </w:p>
        </w:tc>
        <w:tc>
          <w:tcPr>
            <w:tcW w:w="1275"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34</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284</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318</w:t>
            </w:r>
          </w:p>
        </w:tc>
        <w:tc>
          <w:tcPr>
            <w:tcW w:w="1276"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6</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167</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173</w:t>
            </w:r>
          </w:p>
        </w:tc>
      </w:tr>
      <w:tr w:rsidR="001609E3">
        <w:tc>
          <w:tcPr>
            <w:tcW w:w="3369"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Upper Medium Grade</w:t>
            </w:r>
          </w:p>
        </w:tc>
        <w:tc>
          <w:tcPr>
            <w:tcW w:w="1275"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371</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374</w:t>
            </w:r>
          </w:p>
        </w:tc>
        <w:tc>
          <w:tcPr>
            <w:tcW w:w="1276"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34</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50</w:t>
            </w:r>
          </w:p>
        </w:tc>
      </w:tr>
      <w:tr w:rsidR="001609E3">
        <w:tc>
          <w:tcPr>
            <w:tcW w:w="3369"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Lower Medium Grade</w:t>
            </w:r>
          </w:p>
        </w:tc>
        <w:tc>
          <w:tcPr>
            <w:tcW w:w="1275"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16</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18</w:t>
            </w:r>
          </w:p>
        </w:tc>
        <w:tc>
          <w:tcPr>
            <w:tcW w:w="1276"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36</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312</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348</w:t>
            </w:r>
          </w:p>
        </w:tc>
      </w:tr>
      <w:tr w:rsidR="001609E3">
        <w:tc>
          <w:tcPr>
            <w:tcW w:w="3369" w:type="dxa"/>
            <w:tcBorders>
              <w:top w:val="nil"/>
              <w:left w:val="nil"/>
              <w:bottom w:val="single" w:sz="4" w:space="0" w:color="3486A9"/>
              <w:right w:val="nil"/>
            </w:tcBorders>
            <w:tcMar>
              <w:top w:w="0" w:type="dxa"/>
              <w:left w:w="108" w:type="dxa"/>
              <w:bottom w:w="0" w:type="dxa"/>
              <w:right w:w="108" w:type="dxa"/>
            </w:tcMar>
          </w:tcPr>
          <w:p w:rsidR="001609E3" w:rsidRDefault="00E45B63">
            <w:pPr>
              <w:pStyle w:val="Text8pItalicLeft"/>
              <w:rPr>
                <w:rFonts w:eastAsia="Times New Roman" w:cs="Verdana"/>
              </w:rPr>
            </w:pPr>
            <w:r>
              <w:t>Non-Investment Grade</w:t>
            </w:r>
          </w:p>
        </w:tc>
        <w:tc>
          <w:tcPr>
            <w:tcW w:w="1275" w:type="dxa"/>
            <w:gridSpan w:val="2"/>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w:t>
            </w:r>
          </w:p>
        </w:tc>
        <w:tc>
          <w:tcPr>
            <w:tcW w:w="851"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w:t>
            </w:r>
          </w:p>
        </w:tc>
        <w:tc>
          <w:tcPr>
            <w:tcW w:w="992"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10</w:t>
            </w:r>
          </w:p>
        </w:tc>
        <w:tc>
          <w:tcPr>
            <w:tcW w:w="1276" w:type="dxa"/>
            <w:gridSpan w:val="2"/>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14</w:t>
            </w:r>
          </w:p>
        </w:tc>
        <w:tc>
          <w:tcPr>
            <w:tcW w:w="850"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w:t>
            </w:r>
          </w:p>
        </w:tc>
        <w:tc>
          <w:tcPr>
            <w:tcW w:w="993"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23</w:t>
            </w:r>
          </w:p>
        </w:tc>
      </w:tr>
      <w:tr w:rsidR="001609E3">
        <w:tc>
          <w:tcPr>
            <w:tcW w:w="3369"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Text8pItalicBoldLeft"/>
              <w:rPr>
                <w:rFonts w:eastAsia="Times New Roman" w:cs="Verdana"/>
              </w:rPr>
            </w:pPr>
            <w:r>
              <w:t>Gesamt</w:t>
            </w:r>
            <w:r>
              <w:softHyphen/>
              <w:t>betrag</w:t>
            </w:r>
          </w:p>
        </w:tc>
        <w:tc>
          <w:tcPr>
            <w:tcW w:w="1275" w:type="dxa"/>
            <w:gridSpan w:val="2"/>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40</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680</w:t>
            </w:r>
          </w:p>
        </w:tc>
        <w:tc>
          <w:tcPr>
            <w:tcW w:w="992"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720</w:t>
            </w:r>
          </w:p>
        </w:tc>
        <w:tc>
          <w:tcPr>
            <w:tcW w:w="1276" w:type="dxa"/>
            <w:gridSpan w:val="2"/>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90</w:t>
            </w:r>
          </w:p>
        </w:tc>
        <w:tc>
          <w:tcPr>
            <w:tcW w:w="850"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503</w:t>
            </w:r>
          </w:p>
        </w:tc>
        <w:tc>
          <w:tcPr>
            <w:tcW w:w="993"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593</w:t>
            </w:r>
          </w:p>
        </w:tc>
      </w:tr>
      <w:tr w:rsidR="001609E3">
        <w:tc>
          <w:tcPr>
            <w:tcW w:w="3369" w:type="dxa"/>
            <w:tcBorders>
              <w:top w:val="single" w:sz="4" w:space="0" w:color="3486A9"/>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Gegenparteien ohne externe Bonitäts</w:t>
            </w:r>
            <w:r>
              <w:softHyphen/>
              <w:t>einstufung</w:t>
            </w:r>
          </w:p>
        </w:tc>
        <w:tc>
          <w:tcPr>
            <w:tcW w:w="1275" w:type="dxa"/>
            <w:gridSpan w:val="2"/>
            <w:tcBorders>
              <w:top w:val="single" w:sz="4" w:space="0" w:color="3486A9"/>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851" w:type="dxa"/>
            <w:tcBorders>
              <w:top w:val="single" w:sz="4" w:space="0" w:color="3486A9"/>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992" w:type="dxa"/>
            <w:tcBorders>
              <w:top w:val="single" w:sz="4" w:space="0" w:color="3486A9"/>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1276" w:type="dxa"/>
            <w:gridSpan w:val="2"/>
            <w:tcBorders>
              <w:top w:val="single" w:sz="4" w:space="0" w:color="3486A9"/>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850" w:type="dxa"/>
            <w:tcBorders>
              <w:top w:val="single" w:sz="4" w:space="0" w:color="3486A9"/>
              <w:left w:val="nil"/>
              <w:bottom w:val="nil"/>
              <w:right w:val="nil"/>
            </w:tcBorders>
            <w:tcMar>
              <w:top w:w="0" w:type="dxa"/>
              <w:left w:w="108" w:type="dxa"/>
              <w:bottom w:w="0" w:type="dxa"/>
              <w:right w:w="108" w:type="dxa"/>
            </w:tcMar>
          </w:tcPr>
          <w:p w:rsidR="001609E3" w:rsidRDefault="001609E3">
            <w:pPr>
              <w:pStyle w:val="Figures8pItalicRight025"/>
              <w:rPr>
                <w:rFonts w:eastAsia="Times New Roman" w:cs="Verdana"/>
              </w:rPr>
            </w:pPr>
          </w:p>
        </w:tc>
        <w:tc>
          <w:tcPr>
            <w:tcW w:w="993" w:type="dxa"/>
            <w:tcBorders>
              <w:top w:val="single" w:sz="4" w:space="0" w:color="3486A9"/>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r>
      <w:tr w:rsidR="001609E3">
        <w:tc>
          <w:tcPr>
            <w:tcW w:w="3369" w:type="dxa"/>
            <w:tcBorders>
              <w:top w:val="nil"/>
              <w:left w:val="nil"/>
              <w:bottom w:val="nil"/>
              <w:right w:val="nil"/>
            </w:tcBorders>
            <w:tcMar>
              <w:top w:w="0" w:type="dxa"/>
              <w:left w:w="108" w:type="dxa"/>
              <w:bottom w:w="0" w:type="dxa"/>
              <w:right w:w="108" w:type="dxa"/>
            </w:tcMar>
          </w:tcPr>
          <w:p w:rsidR="001609E3" w:rsidRDefault="00E45B63">
            <w:pPr>
              <w:pStyle w:val="Text8pItalicLeft"/>
              <w:rPr>
                <w:rFonts w:eastAsia="Times New Roman" w:cs="Verdana"/>
              </w:rPr>
            </w:pPr>
            <w:r>
              <w:t xml:space="preserve">Gruppe 1 </w:t>
            </w:r>
            <w:r>
              <w:t>(Schuldner ohne Ausfälle in der Vergangenheit)</w:t>
            </w:r>
          </w:p>
        </w:tc>
        <w:tc>
          <w:tcPr>
            <w:tcW w:w="1275"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92</w:t>
            </w:r>
          </w:p>
        </w:tc>
        <w:tc>
          <w:tcPr>
            <w:tcW w:w="851"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0</w:t>
            </w:r>
          </w:p>
        </w:tc>
        <w:tc>
          <w:tcPr>
            <w:tcW w:w="992"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92</w:t>
            </w:r>
          </w:p>
        </w:tc>
        <w:tc>
          <w:tcPr>
            <w:tcW w:w="1276" w:type="dxa"/>
            <w:gridSpan w:val="2"/>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81</w:t>
            </w:r>
          </w:p>
        </w:tc>
        <w:tc>
          <w:tcPr>
            <w:tcW w:w="850"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1</w:t>
            </w:r>
          </w:p>
        </w:tc>
        <w:tc>
          <w:tcPr>
            <w:tcW w:w="993" w:type="dxa"/>
            <w:tcBorders>
              <w:top w:val="nil"/>
              <w:left w:val="nil"/>
              <w:bottom w:val="nil"/>
              <w:right w:val="nil"/>
            </w:tcBorders>
            <w:tcMar>
              <w:top w:w="0" w:type="dxa"/>
              <w:left w:w="108" w:type="dxa"/>
              <w:bottom w:w="0" w:type="dxa"/>
              <w:right w:w="108" w:type="dxa"/>
            </w:tcMar>
          </w:tcPr>
          <w:p w:rsidR="001609E3" w:rsidRDefault="00E45B63">
            <w:pPr>
              <w:pStyle w:val="Figures8pItalicRight025"/>
              <w:rPr>
                <w:rFonts w:eastAsia="Times New Roman" w:cs="Verdana"/>
              </w:rPr>
            </w:pPr>
            <w:r>
              <w:t xml:space="preserve"> 82</w:t>
            </w:r>
          </w:p>
        </w:tc>
      </w:tr>
      <w:tr w:rsidR="001609E3">
        <w:tc>
          <w:tcPr>
            <w:tcW w:w="3369" w:type="dxa"/>
            <w:tcBorders>
              <w:top w:val="nil"/>
              <w:left w:val="nil"/>
              <w:bottom w:val="single" w:sz="4" w:space="0" w:color="3486A9"/>
              <w:right w:val="nil"/>
            </w:tcBorders>
            <w:tcMar>
              <w:top w:w="0" w:type="dxa"/>
              <w:left w:w="108" w:type="dxa"/>
              <w:bottom w:w="0" w:type="dxa"/>
              <w:right w:w="108" w:type="dxa"/>
            </w:tcMar>
          </w:tcPr>
          <w:p w:rsidR="001609E3" w:rsidRDefault="00E45B63">
            <w:pPr>
              <w:pStyle w:val="Text8pItalicLeft"/>
              <w:rPr>
                <w:rFonts w:eastAsia="Times New Roman" w:cs="Verdana"/>
              </w:rPr>
            </w:pPr>
            <w:r>
              <w:t>Gruppe 2 (Schuldner mit Ausfällen in der Vergangenheit)</w:t>
            </w:r>
          </w:p>
        </w:tc>
        <w:tc>
          <w:tcPr>
            <w:tcW w:w="1275" w:type="dxa"/>
            <w:gridSpan w:val="2"/>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851"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992"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1276" w:type="dxa"/>
            <w:gridSpan w:val="2"/>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850"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c>
          <w:tcPr>
            <w:tcW w:w="993" w:type="dxa"/>
            <w:tcBorders>
              <w:top w:val="nil"/>
              <w:left w:val="nil"/>
              <w:bottom w:val="single" w:sz="4" w:space="0" w:color="3486A9"/>
              <w:right w:val="nil"/>
            </w:tcBorders>
            <w:tcMar>
              <w:top w:w="0" w:type="dxa"/>
              <w:left w:w="108" w:type="dxa"/>
              <w:bottom w:w="0" w:type="dxa"/>
              <w:right w:w="108" w:type="dxa"/>
            </w:tcMar>
          </w:tcPr>
          <w:p w:rsidR="001609E3" w:rsidRDefault="00E45B63">
            <w:pPr>
              <w:pStyle w:val="Figures8pItalicRight025"/>
              <w:rPr>
                <w:rFonts w:eastAsia="Times New Roman" w:cs="Verdana"/>
              </w:rPr>
            </w:pPr>
            <w:r>
              <w:t>–</w:t>
            </w:r>
          </w:p>
        </w:tc>
      </w:tr>
      <w:tr w:rsidR="001609E3">
        <w:tc>
          <w:tcPr>
            <w:tcW w:w="3369"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Text8pItalicBoldLeft"/>
              <w:rPr>
                <w:rFonts w:eastAsia="Times New Roman" w:cs="Verdana"/>
              </w:rPr>
            </w:pPr>
            <w:r>
              <w:t>Gesamt</w:t>
            </w:r>
            <w:r>
              <w:softHyphen/>
              <w:t>betrag</w:t>
            </w:r>
          </w:p>
        </w:tc>
        <w:tc>
          <w:tcPr>
            <w:tcW w:w="1275" w:type="dxa"/>
            <w:gridSpan w:val="2"/>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92</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0</w:t>
            </w:r>
          </w:p>
        </w:tc>
        <w:tc>
          <w:tcPr>
            <w:tcW w:w="992"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92</w:t>
            </w:r>
          </w:p>
        </w:tc>
        <w:tc>
          <w:tcPr>
            <w:tcW w:w="1276" w:type="dxa"/>
            <w:gridSpan w:val="2"/>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81</w:t>
            </w:r>
          </w:p>
        </w:tc>
        <w:tc>
          <w:tcPr>
            <w:tcW w:w="850"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1</w:t>
            </w:r>
          </w:p>
        </w:tc>
        <w:tc>
          <w:tcPr>
            <w:tcW w:w="993" w:type="dxa"/>
            <w:tcBorders>
              <w:top w:val="single" w:sz="4" w:space="0" w:color="3486A9"/>
              <w:left w:val="nil"/>
              <w:bottom w:val="single" w:sz="4" w:space="0" w:color="3486A9"/>
              <w:right w:val="nil"/>
            </w:tcBorders>
            <w:tcMar>
              <w:top w:w="0" w:type="dxa"/>
              <w:left w:w="108" w:type="dxa"/>
              <w:bottom w:w="0" w:type="dxa"/>
              <w:right w:w="108" w:type="dxa"/>
            </w:tcMar>
          </w:tcPr>
          <w:p w:rsidR="001609E3" w:rsidRDefault="00E45B63">
            <w:pPr>
              <w:pStyle w:val="Figures8pItalicBoldRight025"/>
              <w:rPr>
                <w:rFonts w:eastAsia="Times New Roman" w:cs="Verdana"/>
              </w:rPr>
            </w:pPr>
            <w:r>
              <w:t xml:space="preserve"> 82</w:t>
            </w:r>
          </w:p>
        </w:tc>
      </w:tr>
      <w:tr w:rsidR="001609E3">
        <w:tc>
          <w:tcPr>
            <w:tcW w:w="3369" w:type="dxa"/>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Heading7pBoldLeft"/>
              <w:rPr>
                <w:rFonts w:eastAsia="Times New Roman" w:cs="Verdana"/>
              </w:rPr>
            </w:pPr>
            <w:r>
              <w:t>Gesamt</w:t>
            </w:r>
            <w:r>
              <w:softHyphen/>
              <w:t>betrag</w:t>
            </w:r>
          </w:p>
        </w:tc>
        <w:tc>
          <w:tcPr>
            <w:tcW w:w="1275" w:type="dxa"/>
            <w:gridSpan w:val="2"/>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132</w:t>
            </w:r>
          </w:p>
        </w:tc>
        <w:tc>
          <w:tcPr>
            <w:tcW w:w="851" w:type="dxa"/>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680</w:t>
            </w:r>
          </w:p>
        </w:tc>
        <w:tc>
          <w:tcPr>
            <w:tcW w:w="992" w:type="dxa"/>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812</w:t>
            </w:r>
          </w:p>
        </w:tc>
        <w:tc>
          <w:tcPr>
            <w:tcW w:w="1276" w:type="dxa"/>
            <w:gridSpan w:val="2"/>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171</w:t>
            </w:r>
          </w:p>
        </w:tc>
        <w:tc>
          <w:tcPr>
            <w:tcW w:w="850" w:type="dxa"/>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504</w:t>
            </w:r>
          </w:p>
        </w:tc>
        <w:tc>
          <w:tcPr>
            <w:tcW w:w="993" w:type="dxa"/>
            <w:tcBorders>
              <w:top w:val="single" w:sz="4" w:space="0" w:color="3486A9"/>
              <w:left w:val="nil"/>
              <w:bottom w:val="nil"/>
              <w:right w:val="nil"/>
            </w:tcBorders>
            <w:shd w:val="clear" w:color="auto" w:fill="CCE1EA"/>
            <w:tcMar>
              <w:top w:w="0" w:type="dxa"/>
              <w:left w:w="108" w:type="dxa"/>
              <w:bottom w:w="0" w:type="dxa"/>
              <w:right w:w="108" w:type="dxa"/>
            </w:tcMar>
          </w:tcPr>
          <w:p w:rsidR="001609E3" w:rsidRDefault="00E45B63">
            <w:pPr>
              <w:pStyle w:val="Figures8pBoldRight025"/>
              <w:rPr>
                <w:rFonts w:eastAsia="Times New Roman" w:cs="Verdana"/>
              </w:rPr>
            </w:pPr>
            <w:r>
              <w:t xml:space="preserve"> 675</w:t>
            </w:r>
          </w:p>
        </w:tc>
      </w:tr>
    </w:tbl>
    <w:p w:rsidR="001609E3" w:rsidRDefault="00E45B63">
      <w:pPr>
        <w:pStyle w:val="Textstand-alone"/>
      </w:pPr>
      <w:r>
        <w:t>Bei den Mitteln in den Kategorien „</w:t>
      </w:r>
      <w:r>
        <w:rPr>
          <w:i/>
        </w:rPr>
        <w:t>Non-Investment Grade</w:t>
      </w:r>
      <w:r>
        <w:t xml:space="preserve"> und </w:t>
      </w:r>
      <w:r>
        <w:rPr>
          <w:i/>
        </w:rPr>
        <w:t xml:space="preserve">Lower Medium Grade </w:t>
      </w:r>
      <w:r>
        <w:t>handelt es sich überwiegend um Beiträge der Mitgliedstaaten an den EEF, die auf von den Mitgliedstaaten nach Artikel 22 Absatz 3 der Finanzregelung des EEF eröffneten Sonderkonten eingezahlt wurden. Laut dieser F</w:t>
      </w:r>
      <w:r>
        <w:t xml:space="preserve">inanzregelung müssen diese Beiträge auf diesen Sonderkonten verbleiben, bis die Zahlungen erfolgen müssen. </w:t>
      </w:r>
    </w:p>
    <w:p w:rsidR="001609E3" w:rsidRDefault="00E45B63">
      <w:pPr>
        <w:pStyle w:val="Textstand-alone"/>
      </w:pPr>
      <w:r>
        <w:t>Die meisten Kassenmittel des EEF werden gemäß der Finanzregelung des EEF auf „Sonderkonten“ gehalten, die von den Mitgliedstaaten zur Entrichtung ih</w:t>
      </w:r>
      <w:r>
        <w:t>rer Beiträge eröffnet wurden. Die überwiegende Mehrheit dieser Konten wird bei den Haushaltsverwaltungen oder Zentralbanken der Mitgliedstaaten geführt, da diese Stellen das geringste Ausfallrisiko für den EEF mit sich bringen (das Risiko liegt bei den Mit</w:t>
      </w:r>
      <w:r>
        <w:t>gliedstaaten).</w:t>
      </w:r>
    </w:p>
    <w:p w:rsidR="001609E3" w:rsidRDefault="00E45B63">
      <w:pPr>
        <w:pStyle w:val="Textstand-alone"/>
      </w:pPr>
      <w:r>
        <w:t>Für den Teil der Kassenmittel des EEF, der bei Geschäftsbanken gehalten wird, werden die betreffenden Konten zur Deckung der Zahlungen „just in time“ aufgefüllt. Die Verwaltung erfolgt automatisch über das Kassenführungssystem der Haushaltsv</w:t>
      </w:r>
      <w:r>
        <w:t>erwaltung der Kommission. Auf den einzelnen Konten wird ein der durchschnittlichen Höhe der täglich von dem betreffenden Konto aus getätigten Zahlungen angemessen entsprechender Mindestbestand an Zahlungsmitteln gehalten. Daher sind die Beträge der Tagesge</w:t>
      </w:r>
      <w:r>
        <w:t>lder auf diesen Konten ständig niedrig, damit sich das Risiko für den EEF in Grenzen hält.</w:t>
      </w:r>
    </w:p>
    <w:p w:rsidR="001609E3" w:rsidRDefault="00E45B63">
      <w:pPr>
        <w:pStyle w:val="Textstand-alone"/>
      </w:pPr>
      <w:r>
        <w:t>Zudem gelten besondere Leitlinien für die Auswahl von Geschäftsbanken, um das Kreditausfallrisiko für den EEF weiter zu verringern.</w:t>
      </w:r>
    </w:p>
    <w:p w:rsidR="001609E3" w:rsidRDefault="00E45B63">
      <w:pPr>
        <w:pStyle w:val="Textstand-alone"/>
      </w:pPr>
      <w:r>
        <w:t xml:space="preserve">Sämtliche Geschäftsbanken werden </w:t>
      </w:r>
      <w:r>
        <w:t>im Rahmen von Ausschreibungen ausgewählt. Für eine Zulassung zu den Ausschreibungsverfahren ist eine kurzfristige Bonitätsbewertung von Moody's von P-1 oder gleichwertig erforderlich (S&amp;P A-1 oder Fitch F1). Eine niedrigere Stufe kann unter besonderen, ord</w:t>
      </w:r>
      <w:r>
        <w:t>nungsgemäß begründeten Umständen erforderlich werden.</w:t>
      </w:r>
    </w:p>
    <w:bookmarkEnd w:id="310"/>
    <w:p w:rsidR="001609E3" w:rsidRDefault="001609E3">
      <w:pPr>
        <w:pStyle w:val="Textstand-alone"/>
        <w:sectPr w:rsidR="001609E3">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p>
    <w:p w:rsidR="001609E3" w:rsidRDefault="00E45B63">
      <w:pPr>
        <w:pStyle w:val="HEADER2Part2"/>
        <w:rPr>
          <w:noProof/>
        </w:rPr>
      </w:pPr>
      <w:bookmarkStart w:id="313" w:name="_DMBM_9568"/>
      <w:r>
        <w:rPr>
          <w:noProof/>
        </w:rPr>
        <w:t>LIQUIDITÄTSRISIKO</w:t>
      </w:r>
    </w:p>
    <w:p w:rsidR="001609E3" w:rsidRDefault="00E45B63">
      <w:pPr>
        <w:pStyle w:val="HEADER5"/>
        <w:rPr>
          <w:noProof/>
        </w:rPr>
      </w:pPr>
      <w:r>
        <w:rPr>
          <w:noProof/>
        </w:rPr>
        <w:t xml:space="preserve">Analyse der Fälligkeit finanzieller Verbindlichkeiten nach </w:t>
      </w:r>
      <w:r>
        <w:rPr>
          <w:noProof/>
        </w:rPr>
        <w:t>vertraglicher Restlaufzeit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1609E3">
        <w:tc>
          <w:tcPr>
            <w:tcW w:w="3794"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14" w:name="DOC_TBL00049_1_1"/>
            <w:bookmarkEnd w:id="314"/>
          </w:p>
        </w:tc>
        <w:tc>
          <w:tcPr>
            <w:tcW w:w="148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3794"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1488"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&lt; 1 Jahr</w:t>
            </w:r>
          </w:p>
        </w:tc>
        <w:tc>
          <w:tcPr>
            <w:tcW w:w="1488"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1-5 Jahre</w:t>
            </w:r>
          </w:p>
        </w:tc>
        <w:tc>
          <w:tcPr>
            <w:tcW w:w="1418"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&gt; 5 Jahre</w:t>
            </w:r>
          </w:p>
        </w:tc>
        <w:tc>
          <w:tcPr>
            <w:tcW w:w="1559" w:type="dxa"/>
            <w:tcBorders>
              <w:top w:val="nil"/>
              <w:left w:val="nil"/>
              <w:bottom w:val="nil"/>
              <w:right w:val="nil"/>
            </w:tcBorders>
            <w:shd w:val="clear" w:color="auto" w:fill="3486A9"/>
            <w:tcMar>
              <w:top w:w="0" w:type="dxa"/>
              <w:left w:w="108" w:type="dxa"/>
              <w:bottom w:w="0" w:type="dxa"/>
              <w:right w:w="108" w:type="dxa"/>
            </w:tcMar>
          </w:tcPr>
          <w:p w:rsidR="001609E3" w:rsidRDefault="00E45B63">
            <w:pPr>
              <w:pStyle w:val="Heading10pNormalRight025"/>
              <w:rPr>
                <w:rFonts w:eastAsia="Verdana" w:cs="Verdana"/>
              </w:rPr>
            </w:pPr>
            <w:r>
              <w:t>Gesamt</w:t>
            </w:r>
            <w:r>
              <w:softHyphen/>
              <w:t>betrag</w:t>
            </w:r>
          </w:p>
        </w:tc>
      </w:tr>
      <w:tr w:rsidR="001609E3">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Finanzielle Verbindlichkeiten</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549</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555</w:t>
            </w:r>
          </w:p>
        </w:tc>
      </w:tr>
      <w:tr w:rsidR="001609E3">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Gesamtwert zum 31.12.2016</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 xml:space="preserve"> 549</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 xml:space="preserve"> 6</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 xml:space="preserve"> 555</w:t>
            </w:r>
          </w:p>
        </w:tc>
      </w:tr>
      <w:tr w:rsidR="001609E3">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Finanzielle Verbindlichkeiten</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520</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10</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530</w:t>
            </w:r>
          </w:p>
        </w:tc>
      </w:tr>
      <w:tr w:rsidR="001609E3">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Gesamtwert zum 31.12.2015</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 xml:space="preserve"> 520</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 xml:space="preserve"> 10</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BoldRight025"/>
              <w:rPr>
                <w:rFonts w:eastAsia="Verdana" w:cs="Verdana"/>
              </w:rPr>
            </w:pPr>
            <w:r>
              <w:t xml:space="preserve"> 530</w:t>
            </w:r>
          </w:p>
        </w:tc>
      </w:tr>
    </w:tbl>
    <w:p w:rsidR="001609E3" w:rsidRDefault="00E45B63">
      <w:pPr>
        <w:pStyle w:val="Textstand-alone"/>
      </w:pPr>
      <w:r>
        <w:t>Durch die für den EEF geltenden Haushaltsgrundsätze ist sichergestellt, dass die für den Haushaltszeitraum vorhandenen Zahlungsmittel stets ausreichen, um alle anfallenden Zahlungen auszuführen. Tatsächlich entsprechen die gesamten Beiträge der</w:t>
      </w:r>
      <w:r>
        <w:t xml:space="preserve"> Mitgliedstaaten dem Gesamtbetrag der Mittel für Zahlungen für den betreffenden Haushaltszeitraum.</w:t>
      </w:r>
    </w:p>
    <w:p w:rsidR="001609E3" w:rsidRDefault="00E45B63">
      <w:pPr>
        <w:pStyle w:val="Textstand-alone"/>
      </w:pPr>
      <w:r>
        <w:t>Allerdings werden die Beiträge der Mitgliedstaaten in drei Raten pro Jahr gezahlt, während bei den Zahlungen eine gewisse Saisonabhängigkeit besteht.</w:t>
      </w:r>
    </w:p>
    <w:p w:rsidR="001609E3" w:rsidRDefault="00E45B63">
      <w:pPr>
        <w:pStyle w:val="Textstand-alone"/>
      </w:pPr>
      <w:r>
        <w:t>Damit d</w:t>
      </w:r>
      <w:r>
        <w:t xml:space="preserve">ie verfügbaren Kassenmittel stets für die in einem bestimmten Monat zu tätigenden Zahlungen ausreichen, werden regelmäßig Informationen über den Kassenbestand zwischen der Kassenmittelverwaltung der Kommission und den jeweiligen auszahlenden Dienststellen </w:t>
      </w:r>
      <w:r>
        <w:t>ausgetauscht. Damit wird verhindert, dass die ausgeführten Zahlungen in einem bestimmten Zeitraum die vorhandenen Kassenmittel übersteigen.</w:t>
      </w:r>
    </w:p>
    <w:p w:rsidR="001609E3" w:rsidRDefault="00E45B63">
      <w:pPr>
        <w:pStyle w:val="Textstand-alone"/>
      </w:pPr>
      <w:r>
        <w:t>Darüber hinaus wird im Kontext der täglichen Kassentransaktionen des EEF durch automatische Kassenführungsinstrument</w:t>
      </w:r>
      <w:r>
        <w:t>e sichergestellt, dass auf jedem einzelnen Bankkonto des EEF jeden Tag genügend liquide Mittel vorhanden sind.</w:t>
      </w:r>
    </w:p>
    <w:p w:rsidR="001609E3" w:rsidRDefault="00E45B63">
      <w:pPr>
        <w:rPr>
          <w:noProof/>
        </w:rPr>
        <w:sectPr w:rsidR="001609E3">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r>
        <w:rPr>
          <w:noProof/>
        </w:rPr>
        <w:t xml:space="preserve"> </w:t>
      </w:r>
      <w:bookmarkEnd w:id="313"/>
    </w:p>
    <w:p w:rsidR="001609E3" w:rsidRDefault="00E45B63">
      <w:pPr>
        <w:pStyle w:val="HEADER1Part2"/>
        <w:rPr>
          <w:noProof/>
        </w:rPr>
      </w:pPr>
      <w:bookmarkStart w:id="315" w:name="_DMBM_9539"/>
      <w:r>
        <w:rPr>
          <w:noProof/>
        </w:rPr>
        <w:t xml:space="preserve">ANGABEN ZU NAHESTEHENDEN </w:t>
      </w:r>
      <w:r>
        <w:rPr>
          <w:noProof/>
        </w:rPr>
        <w:t>UNTERNEHMEN UND PERSONEN</w:t>
      </w:r>
    </w:p>
    <w:p w:rsidR="001609E3" w:rsidRDefault="00E45B63">
      <w:pPr>
        <w:pStyle w:val="Textstand-alone"/>
      </w:pPr>
      <w:r>
        <w:t>Die dem EEF nahestehenden Unternehmen und Personen sind der EU-Treuhandfonds „Bêkou“ und der EU-Treuhandfonds für Afrika. Da die Transaktionen zwischen diesen Rechtssubjekten als gewöhnliche Vorgänge des EEF ablaufen, bestehen hier</w:t>
      </w:r>
      <w:r>
        <w:t>für nach den EU-Rechnungslegungsvorschriften keine spezifischen Offenlegungsanforderungen.</w:t>
      </w:r>
    </w:p>
    <w:p w:rsidR="001609E3" w:rsidRDefault="00E45B63">
      <w:pPr>
        <w:pStyle w:val="Textstand-alone"/>
      </w:pPr>
      <w:r>
        <w:t>Da der EEF von der Kommission verwaltet wird, verfügt er über keine eigene Verwaltung. Die Ansprüche der Bediensteten der höchsten Führungsebene der EU einschließlic</w:t>
      </w:r>
      <w:r>
        <w:t>h der Kommission sind in der konsolidierten Jahresrechnung der Europäischen Union in der Rubrik 7.2 „Ansprüche der höchsten Führungsebene“ offengelegt worden.</w:t>
      </w:r>
    </w:p>
    <w:p w:rsidR="001609E3" w:rsidRDefault="00E45B63">
      <w:pPr>
        <w:pStyle w:val="HEADER1Part2"/>
        <w:rPr>
          <w:noProof/>
        </w:rPr>
      </w:pPr>
      <w:bookmarkStart w:id="316" w:name="_DMBM_9536"/>
      <w:bookmarkEnd w:id="315"/>
      <w:r>
        <w:rPr>
          <w:noProof/>
        </w:rPr>
        <w:t>EREIGNISSE NACH DEM ABSCHLUSSSTICHTAG</w:t>
      </w:r>
    </w:p>
    <w:p w:rsidR="001609E3" w:rsidRDefault="00E45B63">
      <w:pPr>
        <w:pStyle w:val="Textstand-alone"/>
      </w:pPr>
      <w:r>
        <w:t>Zum Zeitpunkt der Übermittlung der vorliegenden Jahresrechn</w:t>
      </w:r>
      <w:r>
        <w:t>ungen waren dem Rechnungsführer des EEF weder wesentliche Aspekte bekannt geworden noch Sachverhalte berichtet worden, die in diesem Abschnitt gesondert offengelegt werden müssten. Die Jahresrechnung und die zugehörigen Erläuterungen wurden auf der Grundla</w:t>
      </w:r>
      <w:r>
        <w:t>ge der jeweils neuesten verfügbaren Daten erstellt, wobei diese sind in den dargestellte Angaben berücksichtigt wurden.</w:t>
      </w:r>
    </w:p>
    <w:p w:rsidR="001609E3" w:rsidRDefault="00E45B63">
      <w:pPr>
        <w:pStyle w:val="HEADER1Part2"/>
        <w:rPr>
          <w:noProof/>
        </w:rPr>
      </w:pPr>
      <w:bookmarkStart w:id="317" w:name="_DMBM_9554"/>
      <w:bookmarkEnd w:id="316"/>
      <w:r>
        <w:rPr>
          <w:noProof/>
        </w:rPr>
        <w:t>ABGLEICH ZWISCHEN WIRTSCHAFTLICHEM ERGEBNIS UND HAUSHALTSERGEBNIS</w:t>
      </w:r>
    </w:p>
    <w:p w:rsidR="001609E3" w:rsidRDefault="00E45B63">
      <w:pPr>
        <w:pStyle w:val="Textstand-alone"/>
      </w:pPr>
      <w:r>
        <w:t>Das wirtschaftliche Jahresergebnis wird nach dem Grundsätzen der Perio</w:t>
      </w:r>
      <w:r>
        <w:t>denrechnung berechnet. Das Haushaltsergebnis dagegen beruht auf den Regeln der Kassenbuchführung. Da sich sowohl das wirtschaftliche Ergebnis als auch das Haushaltsergebnis auf die gleichen zugrunde liegenden operativen Vorgänge beziehen, ist die Kontrolle</w:t>
      </w:r>
      <w:r>
        <w:t>, ob ihre Vereinbarkeit sichergestellt ist, eine nützliche Maßnahme. In der nachstehenden Tabelle wird dieser Abgleich veranschaulicht, wobei die für den Abgleich wichtigen Beträge untergliedert nach Einnahmen und Ausgaben dargestellt werden.</w:t>
      </w:r>
      <w: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18" w:name="DOC_TBL00050_1_1"/>
            <w:bookmarkEnd w:id="318"/>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w:t>
            </w:r>
            <w:r>
              <w:t>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WIRTSCHAFTLICHES ERGEBNIS DES HAUSHALTSJAHRES</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(3 073)</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(3 152)</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Einnahmen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Ansprüche ohne Auswirkung auf das Haushaltsergebnis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Im betreffenden Jahr festgestellte, jedoch noch nicht eingezogene Ansprüche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In </w:t>
            </w:r>
            <w:r>
              <w:t>vorhergehenden Jahren festgestellte und im betreffenden Jahr eingezogene Ansprüche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16</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Nettoauswirkung der 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28</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Antizipative Aktiva (netto)</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29</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Aufwendungen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Noch nicht gezahlte Aufwendungen des laufenden Jahres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Im</w:t>
            </w:r>
            <w:r>
              <w:t xml:space="preserve"> laufenden Jahr gezahlte Aufwendungen aus Vorjahren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(129)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(221)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Aufgehobene Zahlungen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12</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Nettoauswirkung der 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(459)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(53)</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Antizipative Passiva (netto)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168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200</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 xml:space="preserve">JAHRESHAUSHALTSERGEBNIS </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(3 350)</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(3 088)</w:t>
            </w:r>
          </w:p>
        </w:tc>
      </w:tr>
    </w:tbl>
    <w:p w:rsidR="001609E3" w:rsidRDefault="00E45B63">
      <w:pPr>
        <w:pStyle w:val="HEADER2Part2"/>
        <w:rPr>
          <w:noProof/>
        </w:rPr>
      </w:pPr>
      <w:r>
        <w:rPr>
          <w:noProof/>
        </w:rPr>
        <w:t xml:space="preserve">ABGLEICHSPOSTEN – </w:t>
      </w:r>
      <w:r>
        <w:rPr>
          <w:noProof/>
        </w:rPr>
        <w:t>EINNAHMEN</w:t>
      </w:r>
    </w:p>
    <w:p w:rsidR="001609E3" w:rsidRDefault="00E45B63">
      <w:pPr>
        <w:pStyle w:val="Textstand-alone"/>
      </w:pPr>
      <w:r>
        <w:t xml:space="preserve">Die Haushaltseinnahmen eines Haushaltsjahres entsprechen den Einnahmen, die aufgrund der im Laufe des betreffenden Jahres festgestellten Ansprüche eingezogen werden, sowie den Beträgen, die aufgrund von in den Vorjahren festgestellten Ansprüchen </w:t>
      </w:r>
      <w:r>
        <w:t>vereinnahmt wurden.</w:t>
      </w:r>
    </w:p>
    <w:p w:rsidR="001609E3" w:rsidRDefault="00E45B63">
      <w:pPr>
        <w:pStyle w:val="Textstand-alone"/>
      </w:pPr>
      <w:r>
        <w:t>Die Ansprüche ohne Auswirkung auf das Haushaltsergebnis werden im wirtschaftlichen Ergebnis ausgewiesen, doch können sie aus haushaltstechnischer Sicht nicht als Einnahmen angesehen werden, da die eingegangenen Mittel auf Reserven übert</w:t>
      </w:r>
      <w:r>
        <w:t>ragen werden und nicht ohne Ratsbeschluss wieder gebunden werden können.</w:t>
      </w:r>
    </w:p>
    <w:p w:rsidR="001609E3" w:rsidRDefault="00E45B63">
      <w:pPr>
        <w:pStyle w:val="Textstand-alone"/>
      </w:pPr>
      <w:r>
        <w:t>Die im laufenden Jahr festgestellten, jedoch noch nicht eingezogenen Ansprüche müssen im Rahmen des Abgleichs vom wirtschaftlichen Ergebnis abgezogen werden, da sie nicht Teil der Hau</w:t>
      </w:r>
      <w:r>
        <w:t>shaltseinnahmen sind. Die in früheren Jahren festgestellten und im laufenden Jahr eingezogenen Ansprüche müssen hingegen im Rahmen des Abgleichs zum wirtschaftlichen Ergebnis addiert werden.</w:t>
      </w:r>
    </w:p>
    <w:p w:rsidR="001609E3" w:rsidRDefault="00E45B63">
      <w:pPr>
        <w:pStyle w:val="Textstand-alone"/>
      </w:pPr>
      <w:r>
        <w:t>Die Nettoauswirkung der Vorfinanzierung besteht in der der Verrec</w:t>
      </w:r>
      <w:r>
        <w:t>hnung der eingezogenen Vorfinanzierungen. Hierbei handelt es sich um eine Bareinnahme, die keine Auswirkungen auf das wirtschaftliche Ergebnis hat.</w:t>
      </w:r>
    </w:p>
    <w:p w:rsidR="001609E3" w:rsidRDefault="00E45B63">
      <w:pPr>
        <w:pStyle w:val="Textstand-alone"/>
        <w:spacing w:after="0"/>
      </w:pPr>
      <w:r>
        <w:t>Die antizipativen Aktiva (netto) setzen sich hauptsächlich aus Abgrenzungen für den Jahresabschluss zusammen</w:t>
      </w:r>
      <w:r>
        <w:t>. Berücksichtigt wird nur die Nettoauswirkung, d. h. die antizipativen Aktiva des laufenden Jahres abzüglich der Rückbuchung der antizipativen Aktiva des Vorjahres.</w:t>
      </w:r>
    </w:p>
    <w:p w:rsidR="001609E3" w:rsidRDefault="00E45B63">
      <w:pPr>
        <w:pStyle w:val="HEADER2Part2"/>
        <w:rPr>
          <w:noProof/>
        </w:rPr>
      </w:pPr>
      <w:r>
        <w:rPr>
          <w:noProof/>
        </w:rPr>
        <w:t>ABGLEICHSPOSTEN – AUFWENDUNGEN</w:t>
      </w:r>
    </w:p>
    <w:p w:rsidR="001609E3" w:rsidRDefault="00E45B63">
      <w:pPr>
        <w:pStyle w:val="Textstand-alone"/>
      </w:pPr>
      <w:r>
        <w:rPr>
          <w:b/>
        </w:rPr>
        <w:t>Die noch nicht gezahlten Aufwendungen des laufenden Jahres</w:t>
      </w:r>
      <w:r>
        <w:t xml:space="preserve"> m</w:t>
      </w:r>
      <w:r>
        <w:t xml:space="preserve">üssen im Rahmen des Abgleichs hinzugerechnet werden, da sie Teil des Wirtschaftsergebnisses, jedoch nicht Teil der Haushaltsausgaben sind. Hingegen müssen die </w:t>
      </w:r>
      <w:r>
        <w:rPr>
          <w:b/>
        </w:rPr>
        <w:t>im laufenden Jahr gezahlten Aufwendungen aus Vorjahren</w:t>
      </w:r>
      <w:r>
        <w:t xml:space="preserve"> im Rahmen des Abgleichs vom Wirtschaftserg</w:t>
      </w:r>
      <w:r>
        <w:t>ebnis abgezogen werden, da sie unter die Haushaltsausgaben des laufenden Jahres fallen, sich jedoch entweder nicht auf das Wirtschaftsergebnis auswirken oder im Falle von Korrekturen zu einem Rückgang der Aufwendungen führen.</w:t>
      </w:r>
    </w:p>
    <w:p w:rsidR="001609E3" w:rsidRDefault="00E45B63">
      <w:pPr>
        <w:pStyle w:val="Textstand-alone"/>
        <w:rPr>
          <w:bCs/>
        </w:rPr>
      </w:pPr>
      <w:r>
        <w:t xml:space="preserve">Die Zahlungseingänge für </w:t>
      </w:r>
      <w:r>
        <w:rPr>
          <w:b/>
        </w:rPr>
        <w:t>aufge</w:t>
      </w:r>
      <w:r>
        <w:rPr>
          <w:b/>
        </w:rPr>
        <w:t>hobene Zahlungen</w:t>
      </w:r>
      <w:r>
        <w:t xml:space="preserve"> haben keine Auswirkung auf das Wirtschaftsergebnis, jedoch sehr wohl auf das Haushaltsergebnis.</w:t>
      </w:r>
    </w:p>
    <w:p w:rsidR="001609E3" w:rsidRDefault="00E45B63">
      <w:pPr>
        <w:pStyle w:val="Textstand-alone"/>
      </w:pPr>
      <w:r>
        <w:t xml:space="preserve">Die </w:t>
      </w:r>
      <w:r>
        <w:rPr>
          <w:b/>
        </w:rPr>
        <w:t>Nettoauswirkung der Vorfinanzierungen</w:t>
      </w:r>
      <w:r>
        <w:t xml:space="preserve"> ergibt sich aus den neuen Vorfinanzierungen, die im laufenden Jahr geleistet (und als Haushaltsausgab</w:t>
      </w:r>
      <w:r>
        <w:t>en dieses Jahres erfasst) wurden abzüglich der als Folge der Anerkennung förderfähiger Ausgaben abgerechneten Vorfinanzierungen, die im laufenden Jahr oder in früheren Jahren geleistet wurden. Unter Gesichtspunkten der Rechnungsabgrenzung, nicht aber in de</w:t>
      </w:r>
      <w:r>
        <w:t>r Haushaltsbuchführung, stellen Letztere Aufwendungen dar. Dies liegt daran, dass die anfängliche Vorfinanzierung bereits zur Zeit ihrer Auszahlung als Haushaltsausgabe berücksichtigt wurde.</w:t>
      </w:r>
    </w:p>
    <w:p w:rsidR="001609E3" w:rsidRDefault="00E45B63">
      <w:pPr>
        <w:pStyle w:val="Textstand-alone"/>
        <w:spacing w:after="0"/>
      </w:pPr>
      <w:r>
        <w:t xml:space="preserve">Die </w:t>
      </w:r>
      <w:r>
        <w:rPr>
          <w:b/>
        </w:rPr>
        <w:t>antizipativen Passiva (netto)</w:t>
      </w:r>
      <w:r>
        <w:t xml:space="preserve"> setzen sich hauptsächlich aus A</w:t>
      </w:r>
      <w:r>
        <w:t>bgrenzungen für den Jahresabschluss zusammen, d. h. es handelt sich um von Empfängern von EEF-Mitteln verauslagte förderfähige Aufwendungen, die dem EEF noch nicht gemeldet wurden. Berücksichtigt wird nur die Nettoauswirkung, d. h. die antizipativen Passiv</w:t>
      </w:r>
      <w:r>
        <w:t>a des laufenden Jahres abzüglich der Rückbuchung der antizipativen Passiva des Vorjahres.</w:t>
      </w:r>
      <w:bookmarkEnd w:id="317"/>
    </w:p>
    <w:p w:rsidR="001609E3" w:rsidRDefault="001609E3">
      <w:pPr>
        <w:pStyle w:val="Textstand-alone"/>
        <w:spacing w:after="0"/>
        <w:sectPr w:rsidR="001609E3">
          <w:headerReference w:type="even" r:id="rId233"/>
          <w:headerReference w:type="default" r:id="rId234"/>
          <w:footerReference w:type="even" r:id="rId235"/>
          <w:footerReference w:type="default" r:id="rId236"/>
          <w:headerReference w:type="first" r:id="rId237"/>
          <w:footerReference w:type="first" r:id="rId238"/>
          <w:pgSz w:w="11906" w:h="16838"/>
          <w:pgMar w:top="1134" w:right="1134" w:bottom="1134" w:left="1134" w:header="709" w:footer="709" w:gutter="0"/>
          <w:cols w:space="708"/>
          <w:docGrid w:linePitch="360"/>
        </w:sectPr>
      </w:pPr>
    </w:p>
    <w:p w:rsidR="001609E3" w:rsidRDefault="001609E3">
      <w:pPr>
        <w:pStyle w:val="FinancialYear"/>
        <w:rPr>
          <w:noProof/>
        </w:rPr>
      </w:pPr>
      <w:bookmarkStart w:id="319" w:name="_DMBM_10640"/>
    </w:p>
    <w:p w:rsidR="001609E3" w:rsidRDefault="001609E3">
      <w:pPr>
        <w:pStyle w:val="FinancialYear"/>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1"/>
      </w:pPr>
      <w:bookmarkStart w:id="320" w:name="_Toc484164239"/>
      <w:bookmarkStart w:id="321" w:name="_Toc491767271"/>
      <w:bookmarkStart w:id="322" w:name="_Toc491768132"/>
      <w:r>
        <w:t xml:space="preserve">JAHRESABSCHLÜSSE DER IM EEF KONSOLIDIERTEN </w:t>
      </w:r>
      <w:r>
        <w:t>EU-TREUHANDFONDS</w:t>
      </w:r>
      <w:bookmarkEnd w:id="320"/>
      <w:bookmarkEnd w:id="321"/>
      <w:bookmarkEnd w:id="322"/>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TOPHEADERNOTE"/>
        <w:rPr>
          <w:noProof/>
        </w:rPr>
      </w:pPr>
      <w:r>
        <w:rPr>
          <w:noProof/>
        </w:rPr>
        <w:t>Aufgrund der Auf- oder Abrundung auf Tsd. EUR summieren sich die in den Tabellen ausgewiesenen Finanzdaten möglicherweise nicht immer genau.</w:t>
      </w:r>
    </w:p>
    <w:p w:rsidR="001609E3" w:rsidRDefault="00E45B63">
      <w:pPr>
        <w:pStyle w:val="TOPHEADERNOTE"/>
        <w:rPr>
          <w:noProof/>
        </w:rPr>
        <w:sectPr w:rsidR="001609E3">
          <w:headerReference w:type="even" r:id="rId239"/>
          <w:headerReference w:type="default" r:id="rId240"/>
          <w:footerReference w:type="even" r:id="rId241"/>
          <w:footerReference w:type="default" r:id="rId242"/>
          <w:headerReference w:type="first" r:id="rId243"/>
          <w:footerReference w:type="first" r:id="rId244"/>
          <w:pgSz w:w="11906" w:h="16838"/>
          <w:pgMar w:top="1134" w:right="1134" w:bottom="1134" w:left="1134" w:header="708" w:footer="708" w:gutter="0"/>
          <w:cols w:space="708"/>
          <w:docGrid w:linePitch="360"/>
        </w:sectPr>
      </w:pPr>
      <w:r>
        <w:rPr>
          <w:noProof/>
        </w:rPr>
        <w:t xml:space="preserve"> </w:t>
      </w:r>
      <w:bookmarkEnd w:id="319"/>
    </w:p>
    <w:p w:rsidR="001609E3" w:rsidRDefault="001609E3">
      <w:pPr>
        <w:pStyle w:val="FinancialYear"/>
        <w:rPr>
          <w:noProof/>
        </w:rPr>
      </w:pPr>
      <w:bookmarkStart w:id="323" w:name="_DMBM_9562"/>
    </w:p>
    <w:p w:rsidR="001609E3" w:rsidRDefault="001609E3">
      <w:pPr>
        <w:pStyle w:val="FinancialYear"/>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1"/>
      </w:pPr>
      <w:bookmarkStart w:id="324" w:name="_Toc484164240"/>
      <w:bookmarkStart w:id="325" w:name="_Toc491767272"/>
      <w:bookmarkStart w:id="326" w:name="_Toc491768133"/>
      <w:r>
        <w:t>ENDGÜLTIGE JAHRESRECHNUNG DES TREUHANDFONDS BÊKOU</w:t>
      </w:r>
      <w:bookmarkEnd w:id="324"/>
      <w:bookmarkEnd w:id="325"/>
      <w:bookmarkEnd w:id="326"/>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TOPHEADERNOTE"/>
        <w:rPr>
          <w:noProof/>
        </w:rPr>
      </w:pPr>
      <w:r>
        <w:rPr>
          <w:noProof/>
        </w:rPr>
        <w:t>Aufgrund der Auf- oder Abrundung auf Tsd. EUR summieren sich die in den Tabellen ausgewiesenen Finanzdaten möglicherweise nicht immer genau.</w:t>
      </w:r>
    </w:p>
    <w:p w:rsidR="001609E3" w:rsidRDefault="00E45B63">
      <w:pPr>
        <w:pStyle w:val="TOPHEADERNOTE"/>
        <w:rPr>
          <w:noProof/>
        </w:rPr>
        <w:sectPr w:rsidR="001609E3">
          <w:headerReference w:type="even" r:id="rId245"/>
          <w:headerReference w:type="default" r:id="rId246"/>
          <w:footerReference w:type="even" r:id="rId247"/>
          <w:footerReference w:type="default" r:id="rId248"/>
          <w:headerReference w:type="first" r:id="rId249"/>
          <w:footerReference w:type="first" r:id="rId250"/>
          <w:pgSz w:w="11906" w:h="16838"/>
          <w:pgMar w:top="1134" w:right="1134" w:bottom="1134" w:left="1134" w:header="709" w:footer="709" w:gutter="0"/>
          <w:cols w:space="708"/>
          <w:docGrid w:linePitch="360"/>
        </w:sectPr>
      </w:pPr>
      <w:r>
        <w:rPr>
          <w:noProof/>
        </w:rPr>
        <w:t xml:space="preserve"> </w:t>
      </w:r>
      <w:bookmarkEnd w:id="323"/>
    </w:p>
    <w:p w:rsidR="001609E3" w:rsidRDefault="00E45B63">
      <w:pPr>
        <w:pStyle w:val="HEADERTITLE"/>
      </w:pPr>
      <w:bookmarkStart w:id="327" w:name="_Toc384635016"/>
      <w:bookmarkStart w:id="328" w:name="_Toc384635529"/>
      <w:bookmarkStart w:id="329" w:name="_Toc484164241"/>
      <w:bookmarkStart w:id="330" w:name="_Toc491767273"/>
      <w:bookmarkStart w:id="331" w:name="_Toc491768134"/>
      <w:bookmarkStart w:id="332" w:name="_DMBM_10448"/>
      <w:r>
        <w:t xml:space="preserve">HINTERGRUNDINFORMATIONEN ZUM </w:t>
      </w:r>
      <w:bookmarkEnd w:id="327"/>
      <w:bookmarkEnd w:id="328"/>
      <w:r>
        <w:t>EU-TREUHANDFONDS „BÊKOU“</w:t>
      </w:r>
      <w:bookmarkEnd w:id="329"/>
      <w:bookmarkEnd w:id="330"/>
      <w:bookmarkEnd w:id="331"/>
    </w:p>
    <w:p w:rsidR="001609E3" w:rsidRDefault="00E45B63">
      <w:pPr>
        <w:pStyle w:val="Textstand-alone"/>
        <w:rPr>
          <w:b/>
          <w:color w:val="016794"/>
        </w:rPr>
      </w:pPr>
      <w:r>
        <w:rPr>
          <w:b/>
          <w:color w:val="016794"/>
        </w:rPr>
        <w:t>Allgemeine Hintergrundinformationen zu Treuhandfonds der Union</w:t>
      </w:r>
    </w:p>
    <w:p w:rsidR="001609E3" w:rsidRDefault="00E45B63">
      <w:pPr>
        <w:pStyle w:val="Textstand-alone"/>
      </w:pPr>
      <w:r>
        <w:t>Unter einem Treuhandfonds ist eine Rechtsvereinbarung</w:t>
      </w:r>
      <w:r>
        <w:t xml:space="preserve"> mit einer klar definierten finanziellen Struktur zu verstehen, mit der die Mittel verschiedener Geber zum Zweck der gemeinsamen Finanzierung einer Maßnahme zusammengefasst werden; die Grundlage hierfür bilden gemeinsam vereinbarte Ziele und Berichterstatt</w:t>
      </w:r>
      <w:r>
        <w:t>ungsformate.</w:t>
      </w:r>
    </w:p>
    <w:p w:rsidR="001609E3" w:rsidRDefault="00E45B63">
      <w:pPr>
        <w:pStyle w:val="Textstand-alone"/>
      </w:pPr>
      <w:r>
        <w:t>Nach Artikel 187 Absatz 1 der Haushaltsordnung für den Gesamthaushaltsplan der Union (HO) und Artikel 42 der Finanzregelung für den 11. Europäischen Entwicklungsfonds ist die Kommission befugt, EU</w:t>
      </w:r>
      <w:r>
        <w:noBreakHyphen/>
        <w:t>Treuhandfonds für Maßnahmen im Außenbereich ei</w:t>
      </w:r>
      <w:r>
        <w:t>nzurichten. EU-Treuhandfonds für Maßnahmen im Außenbereich werden auf der Grundlage von Abkommen mit anderen Gebern für Notfallmaßnahmen, entsprechende Folgemaßnahmen oder thematische Maßnahmen gegründet. Die Gründung eines EU</w:t>
      </w:r>
      <w:r>
        <w:noBreakHyphen/>
        <w:t>Treuhandfonds für Maßnahmen i</w:t>
      </w:r>
      <w:r>
        <w:t>m Außenbereich bedarf der Rechtfertigung durch die Schaffung von EU-Mehrwert (die Ziele des Fonds lassen sich auf EU-Ebene besser erreichen als auf einzelstaatlicher Ebene) und die Komplementarität (der Treuhandfonds darf keine bestehenden oder ähnlichen I</w:t>
      </w:r>
      <w:r>
        <w:t>nstrumente duplizieren).</w:t>
      </w:r>
    </w:p>
    <w:p w:rsidR="001609E3" w:rsidRDefault="00E45B63">
      <w:pPr>
        <w:pStyle w:val="Textstand-alone"/>
      </w:pPr>
      <w:r>
        <w:t xml:space="preserve">EU-Treuhandfonds für Maßnahmen im Außenbereich werden für eine begrenzte Zeit eingerichtet, wobei die Laufzeit  zusammen mit den Zielen des Fonds im Gründungsrechtsakt des jeweiligen Treuhandfonds festgelegt wird. Nach Artikel 187 </w:t>
      </w:r>
      <w:r>
        <w:t>der Haushaltsordnung der EU gelten für EU</w:t>
      </w:r>
      <w:r>
        <w:noBreakHyphen/>
        <w:t>Treuhandfonds besondere Leitungsregelungen und die Beiträge bilden nicht Bestandteil des EU</w:t>
      </w:r>
      <w:r>
        <w:noBreakHyphen/>
        <w:t xml:space="preserve">Haushalts. Jeder EU-Treuhandfonds wird von einem Vorstand („Vorstand des Treuhandfonds“) unter dem Vorsitz der Kommission </w:t>
      </w:r>
      <w:r>
        <w:t xml:space="preserve">geleitet. Weitere Mitglieder sind die Vertreter der Geber sowie die nicht beitragenden Mitgliedstaaten als Beobachter. </w:t>
      </w:r>
    </w:p>
    <w:p w:rsidR="001609E3" w:rsidRDefault="00E45B63">
      <w:pPr>
        <w:pStyle w:val="Textstand-alone"/>
      </w:pPr>
      <w:r>
        <w:t>Der aus einem Vertreter der EU („Vorsitz“), Gründungsmitgliedern („stellvertretende Vorsitzende“) und Vertretern anderer Geber, deren je</w:t>
      </w:r>
      <w:r>
        <w:t>weiliger Beitrag mindestens 3 Mio. EUR betragen muss („Mitglieder“), bestehende operative Vorstand entscheidet über die Verwendung der Fondsmittel und beurteilt die Wirksamkeit der durch den Treuhandfonds finanzierten Aktivitäten. Auf administrativer Ebene</w:t>
      </w:r>
      <w:r>
        <w:t xml:space="preserve"> ist der operative Vorstand unter anderem für die Genehmigung des Jahresberichts und der geprüften Jahresrechnungen, die Beurteilung der Wirksamkeit der internen Kontrollsysteme, die Folgemaßnahmen zu Feststellungen interner und externer Prüfer usw. zustän</w:t>
      </w:r>
      <w:r>
        <w:t>dig.</w:t>
      </w:r>
    </w:p>
    <w:p w:rsidR="001609E3" w:rsidRDefault="00E45B63">
      <w:pPr>
        <w:pStyle w:val="Textstand-alone"/>
      </w:pPr>
      <w:r>
        <w:t>Die Leitung der Unions-Treuhandfonds erfolgt durch die Kommission unter der Verantwortung des bevollmächtigten Anweisungsbefugten, der der Kommission und Drittgebern gegenüber Gewähr für die Verwendung der Mittel bietet. Der Leiter eines EU-Treuhandfo</w:t>
      </w:r>
      <w:r>
        <w:t xml:space="preserve">nds ist nachgeordnet bevollmächtigter Anweisungsbefugter. Wie der Rechnungsführer des Europäischen Entwicklungsfonds ist auch der Rechnungsführer eines EU-Treuhandfonds zugleich Rechnungsführer der Kommission mit Verantwortung für die Festlegung von allen </w:t>
      </w:r>
      <w:r>
        <w:t xml:space="preserve">EU-Treuhandfonds gemeinsamen Rechnungslegungsverfahren und Kontenplänen. </w:t>
      </w:r>
    </w:p>
    <w:p w:rsidR="001609E3" w:rsidRDefault="00E45B63">
      <w:pPr>
        <w:pStyle w:val="Textstand-alone"/>
        <w:rPr>
          <w:b/>
          <w:color w:val="016794"/>
        </w:rPr>
      </w:pPr>
      <w:r>
        <w:rPr>
          <w:b/>
          <w:color w:val="016794"/>
        </w:rPr>
        <w:t>Der Treuhandfonds Bêkou</w:t>
      </w:r>
    </w:p>
    <w:p w:rsidR="001609E3" w:rsidRDefault="00E45B63">
      <w:pPr>
        <w:pStyle w:val="Textstand-alone"/>
      </w:pPr>
      <w:r>
        <w:t>Der erste von mehreren Gebern finanzierte Fonds dieser Art, der EU-Treuhandfonds „Bêkou“ (in der Sprache Sango bedeutet das „Hoffnung“), wurde am 15. Juli 201</w:t>
      </w:r>
      <w:r>
        <w:t xml:space="preserve">4 von der EU-Kommission (vertreten von den Generaldirektionen DEVCO und </w:t>
      </w:r>
      <w:hyperlink r:id="rId251">
        <w:r>
          <w:t>ECHO</w:t>
        </w:r>
      </w:hyperlink>
      <w:r>
        <w:t xml:space="preserve"> sowie vom </w:t>
      </w:r>
      <w:hyperlink r:id="rId252">
        <w:r>
          <w:t>EAD</w:t>
        </w:r>
      </w:hyperlink>
      <w:r>
        <w:t xml:space="preserve">) sowie drei ihrer Mitgliedstaaten (Deutschland, </w:t>
      </w:r>
      <w:hyperlink r:id="rId253">
        <w:r>
          <w:t>Frankreich</w:t>
        </w:r>
      </w:hyperlink>
      <w:r>
        <w:t xml:space="preserve"> und den </w:t>
      </w:r>
      <w:hyperlink r:id="rId254">
        <w:r>
          <w:t>Niederlanden</w:t>
        </w:r>
      </w:hyperlink>
      <w:r>
        <w:t>) mit dem Ziel eingerichtet, einen Beitrag zur Stabilisierung und zum Wiederaufbau der Zentralafrikanischen Republ</w:t>
      </w:r>
      <w:r>
        <w:t>ik zu leisten. Der Treuhandfonds hat eine maximale Laufzeit von 60 Monaten. Der Treuhandfonds wird von Brüssel aus geleitet.</w:t>
      </w:r>
    </w:p>
    <w:p w:rsidR="001609E3" w:rsidRDefault="00E45B63">
      <w:pPr>
        <w:pStyle w:val="Textstand-alone"/>
        <w:rPr>
          <w:b/>
          <w:color w:val="016794"/>
        </w:rPr>
      </w:pPr>
      <w:r>
        <w:rPr>
          <w:b/>
          <w:color w:val="016794"/>
        </w:rPr>
        <w:t>Jahresrechnung des Treuhandfonds Bêkou</w:t>
      </w:r>
    </w:p>
    <w:p w:rsidR="001609E3" w:rsidRDefault="00E45B63">
      <w:pPr>
        <w:pStyle w:val="Textstand-alone"/>
      </w:pPr>
      <w:r>
        <w:t>Nach Artikel 8 des Abkommens über die Einrichtung eines Treuhandfonds der Europäischen Union</w:t>
      </w:r>
      <w:r>
        <w:t xml:space="preserve"> für die Zentralafrikanische Republik („EU-Treuhandfonds Bêkou“) und Artikel 11.2.1. des Gründungsvertrags besteht die Jahresrechnung aus den folgenden beiden Teilen: (1) dem vom Leiter des EU-Treuhandfonds erstellten jährlichen Finanzbericht und (2) dem J</w:t>
      </w:r>
      <w:r>
        <w:t>ahresabschluss, erstellt vom Rechnungsführer der Europäischen Kommission, der auf der Grundlage desselben Artikels auch Rechnungsführer des Treuhandfonds ist.</w:t>
      </w:r>
    </w:p>
    <w:p w:rsidR="001609E3" w:rsidRDefault="00E45B63">
      <w:pPr>
        <w:pStyle w:val="Textstand-alone"/>
      </w:pPr>
      <w:r>
        <w:t>Laut Artikel 8 des Gründungsvertrags ist der Jahresabschluss nach den vom Rechnungsführer der Kom</w:t>
      </w:r>
      <w:r>
        <w:t xml:space="preserve">mission angenommenen Rechnungsführungsvorschriften (EU-Rechnungsführungsvorschriften), die den IPSAS (International Public Sector Accounting Standards) folgen, zu erstellen. </w:t>
      </w:r>
    </w:p>
    <w:p w:rsidR="001609E3" w:rsidRDefault="00E45B63">
      <w:pPr>
        <w:pStyle w:val="Textstand-alone"/>
      </w:pPr>
      <w:r>
        <w:t>Der Jahresabschluss ist einer unabhängigen externen Prüfung zu unterziehen. Ansch</w:t>
      </w:r>
      <w:r>
        <w:t>ließend legen der Leiter des EU-Treuhandfonds und der Rechnungsführer dem operativen Vorstand den endgültigen Jahresabschluss zur Genehmigung vor (Artikel 8.3.4. Buchstabe c).</w:t>
      </w:r>
    </w:p>
    <w:p w:rsidR="001609E3" w:rsidRDefault="00E45B63">
      <w:pPr>
        <w:pStyle w:val="Textstand-alone"/>
        <w:rPr>
          <w:b/>
          <w:color w:val="016794"/>
        </w:rPr>
      </w:pPr>
      <w:r>
        <w:rPr>
          <w:b/>
          <w:color w:val="016794"/>
        </w:rPr>
        <w:t>Höhepunkte des Jahres</w:t>
      </w:r>
    </w:p>
    <w:p w:rsidR="001609E3" w:rsidRDefault="00E45B63">
      <w:pPr>
        <w:pStyle w:val="Textstand-alone"/>
      </w:pPr>
      <w:r>
        <w:t>Ende des Jahres 2016 leisteten sieben Geber Beiträge zum T</w:t>
      </w:r>
      <w:r>
        <w:t>reuhandfonds Bêkou, nämlich der Europäische Entwicklungsfonds (EEF), der EU-Haushalt, vier Mitgliedstaaten und ein Nicht-Mitgliedstaat.</w:t>
      </w:r>
    </w:p>
    <w:p w:rsidR="001609E3" w:rsidRDefault="00E45B63">
      <w:pPr>
        <w:shd w:val="clear" w:color="auto" w:fill="FFFFFF"/>
        <w:spacing w:after="120"/>
        <w:jc w:val="both"/>
        <w:rPr>
          <w:rFonts w:ascii="Verdana" w:hAnsi="Verdana" w:cs="Arial"/>
          <w:noProof/>
          <w:color w:val="000000"/>
          <w:sz w:val="18"/>
          <w:szCs w:val="18"/>
        </w:rPr>
      </w:pPr>
      <w:r>
        <w:rPr>
          <w:rFonts w:ascii="Verdana" w:hAnsi="Verdana"/>
          <w:noProof/>
          <w:color w:val="000000"/>
          <w:sz w:val="18"/>
        </w:rPr>
        <w:t>Der Treuhandfonds wird Maßnahmen finanzieren, die zur Unterstützung der Zentralafrikanischen Republik bei der Erholung v</w:t>
      </w:r>
      <w:r>
        <w:rPr>
          <w:rFonts w:ascii="Verdana" w:hAnsi="Verdana"/>
          <w:noProof/>
          <w:color w:val="000000"/>
          <w:sz w:val="18"/>
        </w:rPr>
        <w:t>on der Krise sowie sämtlichen Aspekten des Wiederaufbaus beitragen. Besonderes Gewicht wird auf Maßnahmen liegen, die darauf ausgelegt sind,</w:t>
      </w:r>
    </w:p>
    <w:p w:rsidR="001609E3" w:rsidRDefault="00E45B63">
      <w:pPr>
        <w:numPr>
          <w:ilvl w:val="0"/>
          <w:numId w:val="20"/>
        </w:numPr>
        <w:shd w:val="clear" w:color="auto" w:fill="FFFFFF"/>
        <w:spacing w:before="100" w:beforeAutospacing="1" w:after="100" w:afterAutospacing="1"/>
        <w:jc w:val="both"/>
        <w:rPr>
          <w:rFonts w:ascii="Verdana" w:hAnsi="Verdana" w:cs="Arial"/>
          <w:noProof/>
          <w:sz w:val="18"/>
          <w:szCs w:val="18"/>
        </w:rPr>
      </w:pPr>
      <w:r>
        <w:rPr>
          <w:rFonts w:ascii="Verdana" w:hAnsi="Verdana"/>
          <w:noProof/>
          <w:sz w:val="18"/>
        </w:rPr>
        <w:t>lebenswichtige öffentliche Dienste (z. B. Stromversorgung, öffentliche Verkehrsmittel, Zugang zum Gerichtswesen und</w:t>
      </w:r>
      <w:r>
        <w:rPr>
          <w:rFonts w:ascii="Verdana" w:hAnsi="Verdana"/>
          <w:noProof/>
          <w:sz w:val="18"/>
        </w:rPr>
        <w:t xml:space="preserve"> Zugang zu Wasser) und grundlegende Sozialdienste (Gesundheit und Bildung) wiederherzustellen und die Lage bei der Lebensmittelversorgung und Ernährung zu stabilisieren;</w:t>
      </w:r>
    </w:p>
    <w:p w:rsidR="001609E3" w:rsidRDefault="00E45B63">
      <w:pPr>
        <w:numPr>
          <w:ilvl w:val="0"/>
          <w:numId w:val="20"/>
        </w:numPr>
        <w:shd w:val="clear" w:color="auto" w:fill="FFFFFF"/>
        <w:spacing w:before="100" w:beforeAutospacing="1" w:after="100" w:afterAutospacing="1"/>
        <w:jc w:val="both"/>
        <w:rPr>
          <w:rFonts w:ascii="Verdana" w:hAnsi="Verdana" w:cs="Arial"/>
          <w:noProof/>
          <w:sz w:val="18"/>
          <w:szCs w:val="18"/>
        </w:rPr>
      </w:pPr>
      <w:r>
        <w:rPr>
          <w:rFonts w:ascii="Verdana" w:hAnsi="Verdana"/>
          <w:noProof/>
          <w:sz w:val="18"/>
        </w:rPr>
        <w:t>die Wirtschaft wiederzubeleben;</w:t>
      </w:r>
    </w:p>
    <w:p w:rsidR="001609E3" w:rsidRDefault="00E45B63">
      <w:pPr>
        <w:numPr>
          <w:ilvl w:val="0"/>
          <w:numId w:val="20"/>
        </w:numPr>
        <w:shd w:val="clear" w:color="auto" w:fill="FFFFFF"/>
        <w:spacing w:before="100" w:beforeAutospacing="1" w:after="100" w:afterAutospacing="1"/>
        <w:jc w:val="both"/>
        <w:rPr>
          <w:rFonts w:ascii="Verdana" w:hAnsi="Verdana" w:cs="Arial"/>
          <w:noProof/>
          <w:sz w:val="18"/>
          <w:szCs w:val="18"/>
        </w:rPr>
      </w:pPr>
      <w:r>
        <w:rPr>
          <w:rFonts w:ascii="Verdana" w:hAnsi="Verdana"/>
          <w:noProof/>
          <w:sz w:val="18"/>
        </w:rPr>
        <w:t>das Land zu stabilisieren und das soziale Gefüge wiede</w:t>
      </w:r>
      <w:r>
        <w:rPr>
          <w:rFonts w:ascii="Verdana" w:hAnsi="Verdana"/>
          <w:noProof/>
          <w:sz w:val="18"/>
        </w:rPr>
        <w:t>rherzustellen, insbesondere durch Versöhnung, friedliche Koexistenz der verschiedenen Gemeinschaften der Zentralafrikanischen Republik sowie die Achtung der Menschenrechte;</w:t>
      </w:r>
    </w:p>
    <w:p w:rsidR="001609E3" w:rsidRDefault="00E45B63">
      <w:pPr>
        <w:numPr>
          <w:ilvl w:val="0"/>
          <w:numId w:val="20"/>
        </w:numPr>
        <w:shd w:val="clear" w:color="auto" w:fill="FFFFFF"/>
        <w:spacing w:before="100" w:beforeAutospacing="1" w:after="100" w:afterAutospacing="1"/>
        <w:jc w:val="both"/>
        <w:rPr>
          <w:rFonts w:ascii="Verdana" w:hAnsi="Verdana" w:cs="Arial"/>
          <w:noProof/>
          <w:color w:val="333333"/>
          <w:sz w:val="18"/>
          <w:szCs w:val="18"/>
        </w:rPr>
      </w:pPr>
      <w:r>
        <w:rPr>
          <w:rFonts w:ascii="Verdana" w:hAnsi="Verdana"/>
          <w:noProof/>
          <w:sz w:val="18"/>
        </w:rPr>
        <w:t xml:space="preserve">die Legitimation neu zu begründen, Kapazitäten wieder aufzubauen und den Betrieb </w:t>
      </w:r>
      <w:r>
        <w:rPr>
          <w:rFonts w:ascii="Verdana" w:hAnsi="Verdana"/>
          <w:noProof/>
          <w:sz w:val="18"/>
        </w:rPr>
        <w:t>nationaler und lokaler Verwaltungsstrukturen wiederherzustellen.</w:t>
      </w:r>
    </w:p>
    <w:p w:rsidR="001609E3" w:rsidRDefault="00E45B63">
      <w:pPr>
        <w:shd w:val="clear" w:color="auto" w:fill="FFFFFF"/>
        <w:spacing w:after="120"/>
        <w:rPr>
          <w:rFonts w:ascii="Verdana" w:hAnsi="Verdana" w:cs="Arial"/>
          <w:noProof/>
          <w:color w:val="000000"/>
          <w:sz w:val="18"/>
          <w:szCs w:val="18"/>
        </w:rPr>
      </w:pPr>
      <w:r>
        <w:rPr>
          <w:rFonts w:ascii="Verdana" w:hAnsi="Verdana"/>
          <w:noProof/>
          <w:color w:val="000000"/>
          <w:sz w:val="18"/>
        </w:rPr>
        <w:t>Der Fonds wird ferner Maßnahmen finanzieren, die zur Linderung der Auswirkungen der Krise auf die benachbarten Länder der Zentralafrikanischen Republik bzw. die Länder, die Flüchtlingen und M</w:t>
      </w:r>
      <w:r>
        <w:rPr>
          <w:rFonts w:ascii="Verdana" w:hAnsi="Verdana"/>
          <w:noProof/>
          <w:color w:val="000000"/>
          <w:sz w:val="18"/>
        </w:rPr>
        <w:t>enschen, die vor der Gewalt in der Zentralafrikanischen Republik geflohen sind, Schutz bieten, beitragen.</w:t>
      </w:r>
    </w:p>
    <w:p w:rsidR="001609E3" w:rsidRDefault="00E45B63">
      <w:pPr>
        <w:pStyle w:val="Textstand-alone"/>
      </w:pPr>
      <w:r>
        <w:t>Ende 2016 belief sich der dem EU-Treuhandfonds fest zugesicherte Beitrag auf insgesamt etwa 173 Mio. EUR. Davon tragen der EEF 68 Mio. EUR und der EU-</w:t>
      </w:r>
      <w:r>
        <w:t xml:space="preserve">Haushalt 50 Mio. EUR, während Mitgliedstaaten und andere Geber Zusagen in Höhe von 55 Mio. EUR angekündigt haben. </w:t>
      </w:r>
    </w:p>
    <w:p w:rsidR="001609E3" w:rsidRDefault="00E45B63">
      <w:pPr>
        <w:pStyle w:val="Textstand-alone"/>
        <w:spacing w:after="0"/>
      </w:pPr>
      <w:r>
        <w:t>Insgesamt wurden elf Programme zum Wiederaufbau des Landes angenommen. Bis Ende 2016 war ein Betrag von 91,3 Mio. EUR in den Bereichen Gesund</w:t>
      </w:r>
      <w:r>
        <w:t>heit, Lebensmittel- und Ernährungssicherheit, Sicherheit, Infrastruktur, Integration von Frauen in die Gesellschaft sowie Hilfe für in den benachbarten Ländern lebende zentralafrikanische Flüchtlinge zugesichert worden.</w:t>
      </w:r>
    </w:p>
    <w:p w:rsidR="001609E3" w:rsidRDefault="001609E3">
      <w:pPr>
        <w:shd w:val="clear" w:color="auto" w:fill="FFFFFF"/>
        <w:spacing w:after="120"/>
        <w:rPr>
          <w:noProof/>
        </w:rPr>
        <w:sectPr w:rsidR="001609E3">
          <w:headerReference w:type="even" r:id="rId255"/>
          <w:headerReference w:type="default" r:id="rId256"/>
          <w:footerReference w:type="even" r:id="rId257"/>
          <w:footerReference w:type="default" r:id="rId258"/>
          <w:headerReference w:type="first" r:id="rId259"/>
          <w:footerReference w:type="first" r:id="rId260"/>
          <w:pgSz w:w="11906" w:h="16838"/>
          <w:pgMar w:top="1134" w:right="1134" w:bottom="1134" w:left="1134" w:header="709" w:footer="709" w:gutter="0"/>
          <w:cols w:space="708"/>
          <w:docGrid w:linePitch="360"/>
        </w:sectPr>
      </w:pPr>
    </w:p>
    <w:p w:rsidR="001609E3" w:rsidRDefault="00E45B63">
      <w:pPr>
        <w:pStyle w:val="HEADERTITLE1"/>
      </w:pPr>
      <w:bookmarkStart w:id="333" w:name="_Toc484164242"/>
      <w:bookmarkStart w:id="334" w:name="_Toc491767274"/>
      <w:bookmarkStart w:id="335" w:name="_DMBM_10449"/>
      <w:bookmarkEnd w:id="332"/>
      <w:r>
        <w:t>VERMÖGENSÜBERSICHT</w:t>
      </w:r>
      <w:bookmarkEnd w:id="333"/>
      <w:r>
        <w:t xml:space="preserve"> DES EU-TREUHANDFONDS BÊKOU</w:t>
      </w:r>
      <w:bookmarkEnd w:id="334"/>
    </w:p>
    <w:p w:rsidR="001609E3" w:rsidRDefault="00E45B63">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36" w:name="DOC_TBL00051_1_1"/>
            <w:bookmarkEnd w:id="336"/>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 xml:space="preserve"> Tsd. EUR</w:t>
            </w:r>
          </w:p>
        </w:tc>
      </w:tr>
      <w:tr w:rsidR="001609E3">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31.12.2015</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LANGFRISTIGE VERMÖGENSWERTE</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Vorfinanzierungen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3 604</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3 446</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3 604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3 446</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KURZFRISTIGE VERMÖGENSWERTE</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Vorfinanzierungen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12 458</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6 047</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Forderungen mit Leistungsaustausch und einzuziehende Beträge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1 455</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1 364</w:t>
            </w: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Zahlungsmittel und Zahlungsmitteläquivalente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43 036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52 461</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56 949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59 873</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GESAMTVERMÖGEN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60 554</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63 319</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LANGFRISTIGE VERBINDLICHKEITEN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Finanzielle Verbindlichkeiten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(59 339)</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(63 125)</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(59 339)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(63 125)</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KURZFRISTIGE VERBINDLICHKEITEN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Antizipative und transitorische Passiva</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(1 215)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(193)</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(1 215)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(193)</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GESAMTVERBINDLICHKEITEN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(60 554)</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(63 319)</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NETTOVERMÖGEN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MITTEL UND RESERVEN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Kumulierter Überschuss</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NETTOVERMÖGEN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w:t>
            </w:r>
          </w:p>
        </w:tc>
      </w:tr>
    </w:tbl>
    <w:p w:rsidR="001609E3" w:rsidRDefault="001609E3">
      <w:pPr>
        <w:pStyle w:val="Textstand-alone"/>
      </w:pPr>
    </w:p>
    <w:p w:rsidR="001609E3" w:rsidRDefault="00E45B63">
      <w:pPr>
        <w:pStyle w:val="Textstand-alone"/>
        <w:sectPr w:rsidR="001609E3">
          <w:headerReference w:type="even" r:id="rId261"/>
          <w:headerReference w:type="default" r:id="rId262"/>
          <w:footerReference w:type="even" r:id="rId263"/>
          <w:footerReference w:type="default" r:id="rId264"/>
          <w:headerReference w:type="first" r:id="rId265"/>
          <w:footerReference w:type="first" r:id="rId266"/>
          <w:pgSz w:w="11906" w:h="16838"/>
          <w:pgMar w:top="1134" w:right="1134" w:bottom="1134" w:left="1134" w:header="708" w:footer="708" w:gutter="0"/>
          <w:cols w:space="708"/>
          <w:docGrid w:linePitch="360"/>
        </w:sectPr>
      </w:pPr>
      <w:r>
        <w:rPr>
          <w:i/>
        </w:rPr>
        <w:t xml:space="preserve"> </w:t>
      </w:r>
      <w:bookmarkEnd w:id="335"/>
    </w:p>
    <w:p w:rsidR="001609E3" w:rsidRDefault="00E45B63">
      <w:pPr>
        <w:pStyle w:val="HEADERTITLE1"/>
      </w:pPr>
      <w:bookmarkStart w:id="337" w:name="_Toc484164243"/>
      <w:bookmarkStart w:id="338" w:name="_Toc491767275"/>
      <w:bookmarkStart w:id="339" w:name="_DMBM_10450"/>
      <w:r>
        <w:t>ERGEBNISRECHNUNG</w:t>
      </w:r>
      <w:bookmarkEnd w:id="337"/>
      <w:r>
        <w:t xml:space="preserve"> DES EU-TREUHANDFONDS BÊKOU</w:t>
      </w:r>
      <w:bookmarkEnd w:id="33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40" w:name="DOC_TBL00052_1_1"/>
            <w:bookmarkEnd w:id="340"/>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Tsd. EUR</w:t>
            </w:r>
          </w:p>
        </w:tc>
      </w:tr>
      <w:tr w:rsidR="001609E3">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EINNAHMEN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aus Transaktionen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Einnahmen aus Spenden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17 232</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9 354</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17 232</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9 354</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aus Transaktionen mit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Finanzerträge</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101</w:t>
            </w: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101</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insgesamt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17 280</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9 455</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AUFWENDUNGEN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Operative Aufwendungen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(16 432)</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(8 824)</w:t>
            </w: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Aufwendungen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(631)</w:t>
            </w:r>
          </w:p>
        </w:tc>
      </w:tr>
      <w:tr w:rsidR="001609E3">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Aufwendungen insgesamt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(17 280)</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(9 455)</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WIRTSCHAFTLICHES ERGEBNIS DES HAUSHALTSJAHRES</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bl>
    <w:p w:rsidR="001609E3" w:rsidRDefault="00E45B63">
      <w:pPr>
        <w:pStyle w:val="Textstand-alone"/>
        <w:sectPr w:rsidR="001609E3">
          <w:headerReference w:type="even" r:id="rId267"/>
          <w:headerReference w:type="default" r:id="rId268"/>
          <w:footerReference w:type="even" r:id="rId269"/>
          <w:footerReference w:type="default" r:id="rId270"/>
          <w:headerReference w:type="first" r:id="rId271"/>
          <w:footerReference w:type="first" r:id="rId272"/>
          <w:pgSz w:w="11906" w:h="16838"/>
          <w:pgMar w:top="1134" w:right="1134" w:bottom="1134" w:left="1134" w:header="708" w:footer="708" w:gutter="0"/>
          <w:cols w:space="708"/>
          <w:docGrid w:linePitch="360"/>
        </w:sectPr>
      </w:pPr>
      <w:r>
        <w:t xml:space="preserve"> </w:t>
      </w:r>
      <w:bookmarkEnd w:id="339"/>
    </w:p>
    <w:p w:rsidR="001609E3" w:rsidRDefault="00E45B63">
      <w:pPr>
        <w:pStyle w:val="HEADERTITLE1"/>
      </w:pPr>
      <w:bookmarkStart w:id="341" w:name="_Toc484164244"/>
      <w:bookmarkStart w:id="342" w:name="_Toc491767276"/>
      <w:bookmarkStart w:id="343" w:name="_DMBM_10451"/>
      <w:r>
        <w:t xml:space="preserve">KAPITALFLUSSRECHNUNG </w:t>
      </w:r>
      <w:bookmarkEnd w:id="341"/>
      <w:r>
        <w:t xml:space="preserve"> DES EU-TREUHANDFONDS BÊKOU</w:t>
      </w:r>
      <w:bookmarkEnd w:id="342"/>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44" w:name="DOC_TBL00053_1_1"/>
            <w:bookmarkEnd w:id="344"/>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Tsd. EUR</w:t>
            </w:r>
          </w:p>
        </w:tc>
      </w:tr>
      <w:tr w:rsidR="001609E3">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Operative Tätigkeiten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von 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(6 569)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(9 493)</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(Zunahme)/Abnahme bei Forderungen mit Leistungsaustausch und </w:t>
            </w:r>
            <w:r>
              <w:t>einzuziehenden Beträgen ohne Leistungsaustausch</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(91)</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(1 364)</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Finanzverbindlichkeiten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(3 786)</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18 125</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antizipativer und transitorischer Passiva</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1 021</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193</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NETTOCASHFLOW</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(9 425)</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7 461</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Nettozunahme/(-abnahme) der Zahlungsmittel und Zahlungsmitteläquivalente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(9 425)</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7 461</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Zahlungsmittel und Zahlungsmitteläquivalente zum Jahresbeginn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52 461</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45 000</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Zahlungsmittel und Zahlungsmitteläquivalente zum Jahresende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43 036</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52 461</w:t>
            </w:r>
          </w:p>
        </w:tc>
      </w:tr>
    </w:tbl>
    <w:p w:rsidR="001609E3" w:rsidRDefault="00E45B63">
      <w:pPr>
        <w:pStyle w:val="Textstand-alone"/>
        <w:sectPr w:rsidR="001609E3">
          <w:headerReference w:type="even" r:id="rId273"/>
          <w:headerReference w:type="default" r:id="rId274"/>
          <w:footerReference w:type="even" r:id="rId275"/>
          <w:footerReference w:type="default" r:id="rId276"/>
          <w:headerReference w:type="first" r:id="rId277"/>
          <w:footerReference w:type="first" r:id="rId278"/>
          <w:pgSz w:w="11906" w:h="16838"/>
          <w:pgMar w:top="1134" w:right="1134" w:bottom="1134" w:left="1134" w:header="708" w:footer="708" w:gutter="0"/>
          <w:cols w:space="708"/>
          <w:docGrid w:linePitch="360"/>
        </w:sectPr>
      </w:pPr>
      <w:r>
        <w:t xml:space="preserve"> </w:t>
      </w:r>
      <w:bookmarkEnd w:id="343"/>
    </w:p>
    <w:p w:rsidR="001609E3" w:rsidRDefault="00E45B63">
      <w:pPr>
        <w:pStyle w:val="HEADERTITLE1"/>
      </w:pPr>
      <w:bookmarkStart w:id="345" w:name="_Toc484164245"/>
      <w:bookmarkStart w:id="346" w:name="_Toc491767277"/>
      <w:bookmarkStart w:id="347" w:name="_DMBM_10452"/>
      <w:r>
        <w:t>VERÄNDERUNGEN DES NETTOVERMÖGENS</w:t>
      </w:r>
      <w:bookmarkEnd w:id="345"/>
      <w:r>
        <w:t xml:space="preserve"> DES EU-TREUHANDFONDS BÊKOU</w:t>
      </w:r>
      <w:bookmarkEnd w:id="34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414"/>
        <w:gridCol w:w="2454"/>
        <w:gridCol w:w="1915"/>
      </w:tblGrid>
      <w:tr w:rsidR="001609E3">
        <w:trPr>
          <w:cantSplit/>
        </w:trPr>
        <w:tc>
          <w:tcPr>
            <w:tcW w:w="322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48" w:name="DOC_TBL00054_1_1"/>
            <w:bookmarkEnd w:id="348"/>
          </w:p>
        </w:tc>
        <w:tc>
          <w:tcPr>
            <w:tcW w:w="2551" w:type="dxa"/>
            <w:tcBorders>
              <w:top w:val="nil"/>
              <w:left w:val="nil"/>
              <w:bottom w:val="nil"/>
              <w:right w:val="nil"/>
            </w:tcBorders>
            <w:shd w:val="clear" w:color="auto" w:fill="auto"/>
            <w:tcMar>
              <w:top w:w="0" w:type="dxa"/>
              <w:left w:w="108" w:type="dxa"/>
              <w:bottom w:w="0" w:type="dxa"/>
              <w:right w:w="108" w:type="dxa"/>
            </w:tcMar>
          </w:tcPr>
          <w:p w:rsidR="001609E3" w:rsidRDefault="001609E3">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rsidR="001609E3" w:rsidRDefault="001609E3">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Tsd. EUR</w:t>
            </w:r>
          </w:p>
        </w:tc>
      </w:tr>
      <w:tr w:rsidR="001609E3">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Kumulierter/s Überschuss/</w:t>
            </w:r>
          </w:p>
          <w:p w:rsidR="001609E3" w:rsidRDefault="00E45B63">
            <w:pPr>
              <w:pStyle w:val="Heading10pNormalRight025"/>
              <w:rPr>
                <w:rFonts w:eastAsia="Verdana" w:cs="Verdana"/>
              </w:rPr>
            </w:pPr>
            <w:r>
              <w:t>(Defizit)</w:t>
            </w:r>
          </w:p>
        </w:tc>
        <w:tc>
          <w:tcPr>
            <w:tcW w:w="255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 xml:space="preserve">Wirtschaftliches Ergebnis des </w:t>
            </w:r>
            <w:r>
              <w:t>Haushaltsjahres</w:t>
            </w:r>
          </w:p>
        </w:tc>
        <w:tc>
          <w:tcPr>
            <w:tcW w:w="141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Nettovermögen</w:t>
            </w:r>
          </w:p>
        </w:tc>
      </w:tr>
      <w:tr w:rsidR="001609E3">
        <w:trPr>
          <w:cantSplit/>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ZUM 31.12.2015</w:t>
            </w:r>
          </w:p>
        </w:tc>
        <w:tc>
          <w:tcPr>
            <w:tcW w:w="255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Pr>
        <w:tc>
          <w:tcPr>
            <w:tcW w:w="322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25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25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ZUM 31.12.2016</w:t>
            </w:r>
          </w:p>
        </w:tc>
        <w:tc>
          <w:tcPr>
            <w:tcW w:w="255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bl>
    <w:p w:rsidR="001609E3" w:rsidRDefault="00E45B63">
      <w:pPr>
        <w:pStyle w:val="Textstand-alone"/>
        <w:sectPr w:rsidR="001609E3">
          <w:headerReference w:type="even" r:id="rId279"/>
          <w:headerReference w:type="default" r:id="rId280"/>
          <w:footerReference w:type="even" r:id="rId281"/>
          <w:footerReference w:type="default" r:id="rId282"/>
          <w:headerReference w:type="first" r:id="rId283"/>
          <w:footerReference w:type="first" r:id="rId284"/>
          <w:pgSz w:w="11906" w:h="16838"/>
          <w:pgMar w:top="1134" w:right="1133" w:bottom="1134" w:left="1134" w:header="709" w:footer="709" w:gutter="0"/>
          <w:cols w:space="708"/>
          <w:docGrid w:linePitch="360"/>
        </w:sectPr>
      </w:pPr>
      <w:r>
        <w:t xml:space="preserve"> </w:t>
      </w:r>
      <w:bookmarkEnd w:id="347"/>
    </w:p>
    <w:p w:rsidR="001609E3" w:rsidRDefault="001609E3">
      <w:pPr>
        <w:pStyle w:val="FinancialYear"/>
        <w:rPr>
          <w:noProof/>
        </w:rPr>
      </w:pPr>
      <w:bookmarkStart w:id="349" w:name="_DMBM_10453"/>
    </w:p>
    <w:p w:rsidR="001609E3" w:rsidRDefault="001609E3">
      <w:pPr>
        <w:pStyle w:val="FinancialYear"/>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1"/>
      </w:pPr>
      <w:bookmarkStart w:id="350" w:name="_Toc484164246"/>
      <w:bookmarkStart w:id="351" w:name="_Toc491767278"/>
      <w:bookmarkStart w:id="352" w:name="_Toc491768135"/>
      <w:r>
        <w:t>ENDGÜTIGE JAHRESRECHNUNG DES EU-TREUHANDFONDS FÜR AFRIKA</w:t>
      </w:r>
      <w:bookmarkEnd w:id="350"/>
      <w:bookmarkEnd w:id="351"/>
      <w:bookmarkEnd w:id="352"/>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TOPHEADERNOTE"/>
        <w:rPr>
          <w:noProof/>
        </w:rPr>
      </w:pPr>
      <w:r>
        <w:rPr>
          <w:noProof/>
        </w:rPr>
        <w:t>Aufgrund der Auf- oder Abrundung auf Tsd. EUR summieren sich die in den Tabellen ausgewiesenen Finanzdaten möglicherweise nicht immer genau.</w:t>
      </w:r>
    </w:p>
    <w:p w:rsidR="001609E3" w:rsidRDefault="00E45B63">
      <w:pPr>
        <w:pStyle w:val="TOPHEADERNOTE"/>
        <w:rPr>
          <w:noProof/>
        </w:rPr>
        <w:sectPr w:rsidR="001609E3">
          <w:headerReference w:type="even" r:id="rId285"/>
          <w:headerReference w:type="default" r:id="rId286"/>
          <w:footerReference w:type="even" r:id="rId287"/>
          <w:footerReference w:type="default" r:id="rId288"/>
          <w:headerReference w:type="first" r:id="rId289"/>
          <w:footerReference w:type="first" r:id="rId290"/>
          <w:pgSz w:w="11906" w:h="16838"/>
          <w:pgMar w:top="1134" w:right="1134" w:bottom="1134" w:left="1134" w:header="708" w:footer="708" w:gutter="0"/>
          <w:cols w:space="708"/>
          <w:docGrid w:linePitch="360"/>
        </w:sectPr>
      </w:pPr>
      <w:r>
        <w:rPr>
          <w:noProof/>
        </w:rPr>
        <w:t xml:space="preserve"> </w:t>
      </w:r>
      <w:bookmarkEnd w:id="349"/>
    </w:p>
    <w:p w:rsidR="001609E3" w:rsidRDefault="00E45B63">
      <w:pPr>
        <w:pStyle w:val="HEADERTITLE"/>
      </w:pPr>
      <w:bookmarkStart w:id="353" w:name="_Toc477366279"/>
      <w:bookmarkStart w:id="354" w:name="_Toc484164247"/>
      <w:bookmarkStart w:id="355" w:name="_Toc491767279"/>
      <w:bookmarkStart w:id="356" w:name="_Toc491768136"/>
      <w:bookmarkStart w:id="357" w:name="_DMBM_10454"/>
      <w:r>
        <w:t>HINTERGRUNDINFORMATIONEN ZUM EU-TREUHANDFONDS FÜR AFRIKA</w:t>
      </w:r>
      <w:bookmarkEnd w:id="353"/>
      <w:bookmarkEnd w:id="354"/>
      <w:bookmarkEnd w:id="355"/>
      <w:bookmarkEnd w:id="356"/>
    </w:p>
    <w:p w:rsidR="001609E3" w:rsidRDefault="00E45B63">
      <w:pPr>
        <w:pStyle w:val="Textstand-alone"/>
        <w:rPr>
          <w:b/>
          <w:color w:val="016794"/>
        </w:rPr>
      </w:pPr>
      <w:r>
        <w:rPr>
          <w:b/>
          <w:color w:val="016794"/>
        </w:rPr>
        <w:t>Allgemeine Hintergrundinformationen zu Treuhandfonds der Union</w:t>
      </w:r>
    </w:p>
    <w:p w:rsidR="001609E3" w:rsidRDefault="00E45B63">
      <w:pPr>
        <w:pStyle w:val="Textstand-alone"/>
      </w:pPr>
      <w:r>
        <w:t>Unter einem Treuhandfonds ist eine Rechtsvereinbarung m</w:t>
      </w:r>
      <w:r>
        <w:t>it einer klar definierten finanziellen Struktur zu verstehen, mit der die Mittel verschiedener Geber zum Zweck der gemeinsamen Finanzierung einer Maßnahme zusammengefasst werden; die Grundlage hierfür bilden gemeinsam vereinbarte Ziele und Berichterstattun</w:t>
      </w:r>
      <w:r>
        <w:t>gsformate.</w:t>
      </w:r>
    </w:p>
    <w:p w:rsidR="001609E3" w:rsidRDefault="00E45B63">
      <w:pPr>
        <w:pStyle w:val="Textstand-alone"/>
      </w:pPr>
      <w:r>
        <w:t>Nach Artikel 187 Absatz 1 der Haushaltsordnung für den Gesamthaushaltsplan der Union (HO) und Artikel 42 der Finanzregelung für den 11. Europäischen Entwicklungsfonds ist die Kommission befugt, EU</w:t>
      </w:r>
      <w:r>
        <w:noBreakHyphen/>
        <w:t>Treuhandfonds für Maßnahmen im Außenbereich einz</w:t>
      </w:r>
      <w:r>
        <w:t>urichten. EU-Treuhandfonds für Maßnahmen im Außenbereich werden auf der Grundlage von Abkommen mit anderen Gebern für Notfallmaßnahmen, entsprechende Folgemaßnahmen oder thematische Maßnahmen gegründet. Die Gründung eines EU</w:t>
      </w:r>
      <w:r>
        <w:noBreakHyphen/>
        <w:t xml:space="preserve">Treuhandfonds für Maßnahmen im </w:t>
      </w:r>
      <w:r>
        <w:t>Außenbereich bedarf der Rechtfertigung durch die Schaffung von EU-Mehrwert (die Ziele des Fonds lassen sich auf EU-Ebene besser erreichen als auf einzelstaatlicher Ebene) und die Komplementarität (der Treuhandfonds darf keine bestehenden oder ähnlichen Ins</w:t>
      </w:r>
      <w:r>
        <w:t>trumente duplizieren).</w:t>
      </w:r>
    </w:p>
    <w:p w:rsidR="001609E3" w:rsidRDefault="00E45B63">
      <w:pPr>
        <w:pStyle w:val="Textstand-alone"/>
      </w:pPr>
      <w:r>
        <w:t>EU-Treuhandfonds bieten eine Reihe von Vorteilen: sie sind von der EU geführte Instrumente und bieten somit bessere Koordinationsmöglichkeiten mit EU-Mitgliedstaaten; sie ermöglichen eine bessere Kontrolle der Vorhaben durch die EU s</w:t>
      </w:r>
      <w:r>
        <w:t>owie andere Geber und können innerhalb der EU besser sichtbar gemacht werden. EU-Treuhandfonds profitieren von schnellen Entscheidungsprozessen und der Fähigkeit, beträchtlich Summen aus unterschiedlichen Quellen zusammenzuführen; auf diese Weise werden si</w:t>
      </w:r>
      <w:r>
        <w:t>e zu flexiblen, proaktiven, anpassungsfähigen Instrumenten.</w:t>
      </w:r>
    </w:p>
    <w:p w:rsidR="001609E3" w:rsidRDefault="00E45B63">
      <w:pPr>
        <w:pStyle w:val="Textstand-alone"/>
      </w:pPr>
      <w:r>
        <w:t xml:space="preserve">EU-Treuhandfonds für Maßnahmen im Außenbereich werden für eine begrenzte Zeit eingerichtet, wobei die Laufzeit zusammen mit den Zielen des Fonds im Gründungsrechtsakt des jeweiligen Treuhandfonds </w:t>
      </w:r>
      <w:r>
        <w:t>festgelegt wird. Nach Artikel 187 der Haushaltsordnung der EU gelten für EU</w:t>
      </w:r>
      <w:r>
        <w:noBreakHyphen/>
        <w:t>Treuhandfonds besondere Leitungsregelungen und die Beiträge bilden nicht Bestandteil des EU</w:t>
      </w:r>
      <w:r>
        <w:noBreakHyphen/>
        <w:t>Haushalts.</w:t>
      </w:r>
      <w:bookmarkStart w:id="358" w:name="Legal_basis_and_framework_2"/>
      <w:bookmarkEnd w:id="358"/>
      <w:r>
        <w:t xml:space="preserve"> Jeder EU-Treuhandfonds wird von einem Vorstand („Vorstand des Treuhandfonds“)</w:t>
      </w:r>
      <w:r>
        <w:t xml:space="preserve"> unter dem Vorsitz der Kommission geleitet. Weitere Mitglieder sind die Vertreter der Geber sowie die nicht beitragenden Mitgliedstaaten als Beobachter. Der Vorstand des EU-Treuhandfonds entscheidet über die Verwendung der Fondsmittel. </w:t>
      </w:r>
    </w:p>
    <w:p w:rsidR="001609E3" w:rsidRDefault="00E45B63">
      <w:pPr>
        <w:pStyle w:val="Textstand-alone"/>
      </w:pPr>
      <w:r>
        <w:t>Der Arbeitsplan des</w:t>
      </w:r>
      <w:r>
        <w:t xml:space="preserve"> EU-Treuhandfonds wird vom operativen Vorstand genehmigt, der sich aus einem Vertreter der EU (im Folgenden „Vorsitz“), Gründungsmitgliedern (im Folgenden „stellvertretende Vorsitzende“) und Vertretern anderer Geber, deren jeweiliger Beitrag mindestens 3 M</w:t>
      </w:r>
      <w:r>
        <w:t>io. EUR betragen muss (im Folgenden „Mitglieder“), zusammensetzt. Der operative Vorstand beurteilt darüber hinaus die Wirksamkeit der durch den EU</w:t>
      </w:r>
      <w:r>
        <w:noBreakHyphen/>
        <w:t>Treuhandfonds finanzierten Aktivitäten. Auf administrativer Ebene ist der operative Vorstand unter anderem fü</w:t>
      </w:r>
      <w:r>
        <w:t>r die Genehmigung des Jahresberichts und der geprüften Jahresrechnungen, die Beurteilung der Wirksamkeit der internen Kontrollsysteme, die Folgemaßnahmen zu Feststellungen interner und externer Prüfer usw. zuständig.</w:t>
      </w:r>
    </w:p>
    <w:p w:rsidR="001609E3" w:rsidRDefault="00E45B63">
      <w:pPr>
        <w:pStyle w:val="Textstand-alone"/>
      </w:pPr>
      <w:r>
        <w:t>Die Leitung der Unions-Treuhandfonds er</w:t>
      </w:r>
      <w:r>
        <w:t>folgt durch die Kommission unter der Verantwortung des bevollmächtigten Anweisungsbefugten, der der Kommission und Drittgebern gegenüber Gewähr für die Verwendung der Mittel bietet. Der Leiter eines EU-Treuhandfonds ist nachgeordnet bevollmächtigter Anweis</w:t>
      </w:r>
      <w:r>
        <w:t>ungsbefugter. Wie der Rechnungsführer des Europäischen Entwicklungsfonds ist auch der Rechnungsführer eines EU-Treuhandfonds zugleich Rechnungsführer der Kommission mit Verantwortung für die Festlegung von allen EU-Treuhandfonds gemeinsamen Rechnungslegung</w:t>
      </w:r>
      <w:r>
        <w:t xml:space="preserve">sverfahren und Kontenplänen. </w:t>
      </w:r>
    </w:p>
    <w:p w:rsidR="001609E3" w:rsidRDefault="00E45B63">
      <w:pPr>
        <w:pStyle w:val="Textstand-alone"/>
        <w:rPr>
          <w:b/>
          <w:color w:val="016794"/>
        </w:rPr>
      </w:pPr>
      <w:r>
        <w:rPr>
          <w:b/>
          <w:color w:val="016794"/>
        </w:rPr>
        <w:t>Der EU-Treuhandfonds für Afrika</w:t>
      </w:r>
    </w:p>
    <w:p w:rsidR="001609E3" w:rsidRDefault="00E45B63">
      <w:pPr>
        <w:pStyle w:val="Textstand-alone"/>
      </w:pPr>
      <w:r>
        <w:t xml:space="preserve">Der Nothilfe-Treuhandfonds der Europäischen Union zur Unterstützung der Stabilität und Bekämpfung der Ursachen irregulärer Migration in Afrika (im Folgenden „EU-Treuhandfonds für Afrika“) wurde am 12. November 2015 auf dem </w:t>
      </w:r>
      <w:hyperlink r:id="rId291">
        <w:r>
          <w:t>Migrationsgipfel von Valletta</w:t>
        </w:r>
      </w:hyperlink>
      <w:r>
        <w:t xml:space="preserve"> ins Leben gerufen. Die Hauptziele dieses Treuhandfonds bestehen darin, sämtliche Aspekte der Stabilität zu fördern, einen Beitrag zu einem besseren Migrationsmanagem</w:t>
      </w:r>
      <w:r>
        <w:t>ent zu leisten sowie die Grundursachen für Destabilisierung, gewaltsame Vertreibung und irreguläre Migration zu bekämpfen. Dies soll insbesondere durch die Förderung der Widerstandsfähigkeit, der wirtschaftlichen Chancen und Chancengleichheit, Sicherheit u</w:t>
      </w:r>
      <w:r>
        <w:t xml:space="preserve">nd Entwicklung sowie die Bekämpfung von Menschenrechtsverletzungen geschehen. </w:t>
      </w:r>
    </w:p>
    <w:p w:rsidR="001609E3" w:rsidRDefault="00E45B63">
      <w:pPr>
        <w:pStyle w:val="Textstand-alone"/>
      </w:pPr>
      <w:r>
        <w:t xml:space="preserve">Der Treuhandfonds arbeitet in drei geografischen Schwerpunktgebieten, nämlich der </w:t>
      </w:r>
      <w:hyperlink r:id="rId292">
        <w:r>
          <w:t>Sahel-Zone und dem Gebiet um den T</w:t>
        </w:r>
        <w:r>
          <w:t>schadsee</w:t>
        </w:r>
      </w:hyperlink>
      <w:r>
        <w:t xml:space="preserve">, dem </w:t>
      </w:r>
      <w:hyperlink r:id="rId293">
        <w:r>
          <w:t>Horn von Afrika</w:t>
        </w:r>
      </w:hyperlink>
      <w:r>
        <w:t xml:space="preserve"> und dem </w:t>
      </w:r>
      <w:hyperlink r:id="rId294">
        <w:r>
          <w:t>Norden Afrikas</w:t>
        </w:r>
      </w:hyperlink>
      <w:r>
        <w:t>; aber auch die Nachbarländer der förderfähigen Länder können von Fall zu Fall in den Genuss von Treuhandprojekten kommen. Der Treuhandfonds wurde als kurz- und mittelfristige Reaktion auf die Herausforderungen d</w:t>
      </w:r>
      <w:r>
        <w:t>ieser Regionen für einen begrenzten Zeitraum bis zum 31. Dezember 2020 eingerichtet. Der Treuhandfonds wird von Brüssel aus geleitet.</w:t>
      </w:r>
    </w:p>
    <w:p w:rsidR="001609E3" w:rsidRDefault="00E45B63">
      <w:pPr>
        <w:pStyle w:val="Textstand-alone"/>
        <w:rPr>
          <w:b/>
          <w:color w:val="016794"/>
        </w:rPr>
      </w:pPr>
      <w:r>
        <w:rPr>
          <w:b/>
          <w:color w:val="016794"/>
        </w:rPr>
        <w:t>Jahresrechnung des EU-Treuhandfonds für Afrika</w:t>
      </w:r>
    </w:p>
    <w:p w:rsidR="001609E3" w:rsidRDefault="00E45B63">
      <w:pPr>
        <w:pStyle w:val="Textstand-alone"/>
      </w:pPr>
      <w:r>
        <w:t>Nach Artikel 7 des Abkommens zur Einrichtung des Nothilfe-Treuhandfonds der</w:t>
      </w:r>
      <w:r>
        <w:t xml:space="preserve"> Europäischen Union zur Unterstützung der Stabilität und Bekämpfung der Ursachen irregulärer Migration in Afrika und zur Festlegung seiner internen Vorschriften (im Folgenden „Gründungsvertrag“) besteht die Jahresrechnung aus den folgenden beiden Teilen: 1</w:t>
      </w:r>
      <w:r>
        <w:t>) dem vom Leiter des EU-Treuhandfonds erstellten jährlichen Finanzbericht und 2) dem Jahresabschluss, erstellt vom Rechnungsführer der Europäischen Kommission, der auf der Grundlage desselben Artikels auch Rechnungsführer des Treuhandfonds ist.</w:t>
      </w:r>
    </w:p>
    <w:p w:rsidR="001609E3" w:rsidRDefault="00E45B63">
      <w:pPr>
        <w:pStyle w:val="Textstand-alone"/>
      </w:pPr>
      <w:r>
        <w:t>Laut Artike</w:t>
      </w:r>
      <w:r>
        <w:t>l 8 des Gründungsvertrags ist der Jahresabschluss nach den vom Rechnungsführer der Kommission angenommenen Rechnungsführungsvorschriften (EU-Rechnungsführungsvorschriften), die den IPSAS (International Public Sector Accounting Standards) folgen, zu erstell</w:t>
      </w:r>
      <w:r>
        <w:t xml:space="preserve">en. </w:t>
      </w:r>
    </w:p>
    <w:p w:rsidR="001609E3" w:rsidRDefault="00E45B63">
      <w:pPr>
        <w:pStyle w:val="Textstand-alone"/>
      </w:pPr>
      <w:r>
        <w:t>Der Jahresabschluss ist einer unabhängigen externen Prüfung zu unterziehen. Anschließend legen der Leiter des EU-Treuhandfonds und der Rechnungsführer dem operativen Vorstand den endgültigen Jahresabschluss zur Genehmigung vor (Artikel 8.3.4. Buchstab</w:t>
      </w:r>
      <w:r>
        <w:t>e c).</w:t>
      </w:r>
    </w:p>
    <w:p w:rsidR="001609E3" w:rsidRDefault="00E45B63">
      <w:pPr>
        <w:pStyle w:val="Textstand-alone"/>
      </w:pPr>
      <w:r>
        <w:t>2016 ist das erste Jahr, in dem der Jahresabschluss des EU-Treuhandfonds für Afrika veröffentlicht wird. Dies entspricht Artikel 8.3.2, nach dem die Verpflichtung des Rechnungsführers zur Erstellung von Jahresabschlüssen nur dann für das erste Hausha</w:t>
      </w:r>
      <w:r>
        <w:t>ltsjahr gilt, wenn der Treuhandfonds bereits länger als sechs Monate bestand. Die Transaktionen des Jahres 2015 finden sich in den Vergleichszahlen wieder.</w:t>
      </w:r>
    </w:p>
    <w:p w:rsidR="001609E3" w:rsidRDefault="00E45B63">
      <w:pPr>
        <w:pStyle w:val="Textstand-alone"/>
      </w:pPr>
      <w:r>
        <w:rPr>
          <w:b/>
          <w:color w:val="016794"/>
        </w:rPr>
        <w:t>Höhepunkte des Jahres</w:t>
      </w:r>
    </w:p>
    <w:p w:rsidR="001609E3" w:rsidRDefault="00E45B63">
      <w:pPr>
        <w:pStyle w:val="Textstand-alone"/>
      </w:pPr>
      <w:r>
        <w:t>Ende des Jahres 2016 beliefen sich die fest zugesicherten Mittel auf 2555 Mio.</w:t>
      </w:r>
      <w:r>
        <w:t xml:space="preserve"> EUR. Die externen Beiträge erreichten insgesamt 152 Mio. EUR während die Beiträge aus den Haushalten der EU und des EEF 2403 Mio. EUR betrugen. </w:t>
      </w:r>
    </w:p>
    <w:p w:rsidR="001609E3" w:rsidRDefault="00E45B63">
      <w:pPr>
        <w:pStyle w:val="Textstand-alone"/>
        <w:sectPr w:rsidR="001609E3">
          <w:headerReference w:type="even" r:id="rId295"/>
          <w:headerReference w:type="default" r:id="rId296"/>
          <w:footerReference w:type="even" r:id="rId297"/>
          <w:footerReference w:type="default" r:id="rId298"/>
          <w:headerReference w:type="first" r:id="rId299"/>
          <w:footerReference w:type="first" r:id="rId300"/>
          <w:pgSz w:w="11906" w:h="16838"/>
          <w:pgMar w:top="1134" w:right="1134" w:bottom="1134" w:left="1134" w:header="708" w:footer="708" w:gutter="0"/>
          <w:cols w:space="708"/>
          <w:docGrid w:linePitch="360"/>
        </w:sectPr>
      </w:pPr>
      <w:r>
        <w:t>In nur einem Jahr wurden für die Regionen Sahel/Tschadsee, Horn von Afrika und Norden Afrikas insgesamt 106 Projekte mit einem Wert von insgesamt 1589 Mio. EUR genehmigt. Die Projekte lassen sich wie folgt nach „geografischen Fenstern</w:t>
      </w:r>
      <w:r>
        <w:t>“ aufteilen: 65 Programme in der Region Sahel/Tschadsee in Höhe von insgesamt 918,5 Mio. EUR; 35 Programme am Horn von Afrika in Höhe von insgesamt 606 Mio. EUR und sechs Programme im Norden Afrikas in Höhe von insgesamt 64,5 Mio. EUR. Die Projekte umfasse</w:t>
      </w:r>
      <w:r>
        <w:t>n folgende Prioritätsbereiche: Vorteile der Migration für die Entwicklung (942 Mio. EUR); legale Migration und Mobilität (68 Mio. EUR); Schutz und Asyl (233 Mio. EUR); Prävention und Bekämpfung von irregulärer Migration; Schlepperwesen und Menschenhandel (</w:t>
      </w:r>
      <w:r>
        <w:t>170 Mio. EUR); Rückführung, Rückübernahme und Reintegration (163 Mio. EUR) sowie sonstige Programme (13 Mio. EUR). Insgesamt 1488 Mio. EUR des genehmigten Betrags sind bereits gebunden und 600 Mio. EUR wurden an Durchführungspartner vergeben.</w:t>
      </w:r>
      <w:bookmarkEnd w:id="357"/>
    </w:p>
    <w:p w:rsidR="001609E3" w:rsidRDefault="00E45B63">
      <w:pPr>
        <w:pStyle w:val="HEADERTITLE1"/>
      </w:pPr>
      <w:bookmarkStart w:id="359" w:name="_Toc484164248"/>
      <w:bookmarkStart w:id="360" w:name="_Toc491767280"/>
      <w:bookmarkStart w:id="361" w:name="_DMBM_10456"/>
      <w:r>
        <w:t>VERMÖGENSÜBER</w:t>
      </w:r>
      <w:r>
        <w:t>SICHT</w:t>
      </w:r>
      <w:bookmarkEnd w:id="359"/>
      <w:r>
        <w:t xml:space="preserve"> DES EU-TREUHANDFONDS FÜR AFRIKA</w:t>
      </w:r>
      <w:bookmarkEnd w:id="36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62" w:name="DOC_TBL00055_1_1"/>
            <w:bookmarkEnd w:id="362"/>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 xml:space="preserve"> Tsd. EUR</w:t>
            </w:r>
          </w:p>
        </w:tc>
      </w:tr>
      <w:tr w:rsidR="001609E3">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31.12.2015</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LANGFRISTIGE VERMÖGENSWERTE</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Vorfinanzierungen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44 854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44 854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KURZFRISTIGE VERMÖGENSWERTE</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Vorfinanzierungen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70 731</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Forderungen mit Leistungsaustausch und </w:t>
            </w:r>
            <w:r>
              <w:t>einzuziehende Beträge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9 476</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Zahlungsmittel und Zahlungsmitteläquivalente </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14 879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32 642</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95 086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32 642</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GESAMTVERMÖGEN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139 941</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32 642</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LANGFRISTIGE VERBINDLICHKEITEN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Finanzielle Verbindlichkeiten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(138 502)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(32 642)</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(138 502)</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(32 642)</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KURZFRISTIGE VERBINDLICHKEITEN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Verbindlichkeiten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(702)</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Antizipative und transitorische Passiva</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(736)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(1 439)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GESAMTVERBINDLICHKEITEN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(139 941)</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 xml:space="preserve"> (32 642)</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NETTOVERMÖGEN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 xml:space="preserve">MITTEL UND </w:t>
            </w:r>
            <w:r>
              <w:t>RESERVEN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Kumulierter Überschuss</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NETTOVERMÖGEN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w:t>
            </w:r>
          </w:p>
        </w:tc>
      </w:tr>
    </w:tbl>
    <w:p w:rsidR="001609E3" w:rsidRDefault="001609E3">
      <w:pPr>
        <w:pStyle w:val="Textstand-alone"/>
      </w:pPr>
    </w:p>
    <w:p w:rsidR="001609E3" w:rsidRDefault="00E45B63">
      <w:pPr>
        <w:pStyle w:val="Textstand-alone"/>
        <w:sectPr w:rsidR="001609E3">
          <w:headerReference w:type="even" r:id="rId301"/>
          <w:headerReference w:type="default" r:id="rId302"/>
          <w:footerReference w:type="even" r:id="rId303"/>
          <w:footerReference w:type="default" r:id="rId304"/>
          <w:headerReference w:type="first" r:id="rId305"/>
          <w:footerReference w:type="first" r:id="rId306"/>
          <w:pgSz w:w="11906" w:h="16838"/>
          <w:pgMar w:top="1134" w:right="1134" w:bottom="1134" w:left="1134" w:header="708" w:footer="708" w:gutter="0"/>
          <w:cols w:space="708"/>
          <w:docGrid w:linePitch="360"/>
        </w:sectPr>
      </w:pPr>
      <w:r>
        <w:rPr>
          <w:i/>
        </w:rPr>
        <w:t xml:space="preserve"> </w:t>
      </w:r>
      <w:bookmarkEnd w:id="361"/>
    </w:p>
    <w:p w:rsidR="001609E3" w:rsidRDefault="00E45B63">
      <w:pPr>
        <w:pStyle w:val="HEADERTITLE1"/>
      </w:pPr>
      <w:bookmarkStart w:id="363" w:name="_Toc484164249"/>
      <w:bookmarkStart w:id="364" w:name="_Toc491767281"/>
      <w:bookmarkStart w:id="365" w:name="_DMBM_10455"/>
      <w:r>
        <w:t>ERGEBNISRECHNUNG</w:t>
      </w:r>
      <w:bookmarkEnd w:id="363"/>
      <w:r>
        <w:t xml:space="preserve"> DES EU-TREUHANDFONDS FÜR AFRIKA</w:t>
      </w:r>
      <w:bookmarkEnd w:id="36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66" w:name="DOC_TBL00056_1_1"/>
            <w:bookmarkEnd w:id="366"/>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Tsd. EUR</w:t>
            </w:r>
          </w:p>
        </w:tc>
      </w:tr>
      <w:tr w:rsidR="001609E3">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EINNAHMEN</w:t>
            </w:r>
          </w:p>
        </w:tc>
        <w:tc>
          <w:tcPr>
            <w:tcW w:w="851"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aus Transaktionen ohne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Einnahmen aus Spenden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52 246</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52 246</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aus Transaktionen mit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b/>
                <w:i w:val="0"/>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Finanzerträge</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54</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Einnahmen aus Transaktionen mit Leistungsaustausch</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97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insgesamt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52 343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AUFWENDUNGEN</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Operative Aufwendungen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(49 042)</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Aufwendungen</w:t>
            </w:r>
          </w:p>
        </w:tc>
        <w:tc>
          <w:tcPr>
            <w:tcW w:w="85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(3 301)</w:t>
            </w:r>
          </w:p>
        </w:tc>
        <w:tc>
          <w:tcPr>
            <w:tcW w:w="1843"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Aufwendungen insgesamt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 xml:space="preserve"> (52 343)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Text9pItalicLeft"/>
              <w:rPr>
                <w:rFonts w:eastAsia="Verdana" w:cs="Verdana"/>
                <w:b/>
              </w:rPr>
            </w:pPr>
            <w:r>
              <w:rPr>
                <w:b/>
              </w:rPr>
              <w:t xml:space="preserve">WIRTSCHAFTLICHES </w:t>
            </w:r>
            <w:r>
              <w:rPr>
                <w:b/>
              </w:rPr>
              <w:t>ERGEBNIS DES HAUSHALTSJAHRES</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1609E3">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rsidR="001609E3" w:rsidRDefault="00E45B63">
            <w:pPr>
              <w:pStyle w:val="Figures9pItalicRight025"/>
              <w:rPr>
                <w:rFonts w:eastAsia="Verdana" w:cs="Verdana"/>
                <w:b/>
              </w:rPr>
            </w:pPr>
            <w:r>
              <w:rPr>
                <w:b/>
              </w:rPr>
              <w:t>–</w:t>
            </w:r>
          </w:p>
        </w:tc>
      </w:tr>
    </w:tbl>
    <w:p w:rsidR="001609E3" w:rsidRDefault="001609E3">
      <w:pPr>
        <w:rPr>
          <w:noProof/>
        </w:rPr>
      </w:pPr>
    </w:p>
    <w:p w:rsidR="001609E3" w:rsidRDefault="00E45B63">
      <w:pPr>
        <w:pStyle w:val="Textstand-alone"/>
        <w:sectPr w:rsidR="001609E3">
          <w:headerReference w:type="even" r:id="rId307"/>
          <w:headerReference w:type="default" r:id="rId308"/>
          <w:footerReference w:type="even" r:id="rId309"/>
          <w:footerReference w:type="default" r:id="rId310"/>
          <w:headerReference w:type="first" r:id="rId311"/>
          <w:footerReference w:type="first" r:id="rId312"/>
          <w:pgSz w:w="11906" w:h="16838"/>
          <w:pgMar w:top="1134" w:right="1134" w:bottom="1134" w:left="1134" w:header="708" w:footer="708" w:gutter="0"/>
          <w:cols w:space="708"/>
          <w:docGrid w:linePitch="360"/>
        </w:sectPr>
      </w:pPr>
      <w:r>
        <w:t xml:space="preserve"> </w:t>
      </w:r>
      <w:bookmarkEnd w:id="365"/>
    </w:p>
    <w:p w:rsidR="001609E3" w:rsidRDefault="00E45B63">
      <w:pPr>
        <w:pStyle w:val="HEADERTITLE1"/>
      </w:pPr>
      <w:bookmarkStart w:id="367" w:name="_Toc484164250"/>
      <w:bookmarkStart w:id="368" w:name="_Toc491767282"/>
      <w:bookmarkStart w:id="369" w:name="_DMBM_10457"/>
      <w:r>
        <w:t xml:space="preserve">KAPITALFLUSSRECHNUNG </w:t>
      </w:r>
      <w:bookmarkEnd w:id="367"/>
      <w:r>
        <w:t xml:space="preserve"> DES EU-TREUHANDFONDS FÜR AFRIKA</w:t>
      </w:r>
      <w:bookmarkEnd w:id="36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70" w:name="DOC_TBL00057_1_1"/>
            <w:bookmarkEnd w:id="370"/>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Tsd. EUR</w:t>
            </w:r>
          </w:p>
        </w:tc>
      </w:tr>
      <w:tr w:rsidR="001609E3">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Wirtschaftliches Ergebnis </w:t>
            </w:r>
            <w:r>
              <w:t>des Haushaltsjahres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Operative Tätigkeiten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von 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(115 585)</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(Zunahme)/Abnahme bei Forderungen mit Leistungsaustausch und </w:t>
            </w:r>
            <w:r>
              <w:br/>
              <w:t>einzuziehenden Beträgen ohne Leistungsaustausch</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(9 476)</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Zunahme/(Abnahme) bei </w:t>
            </w:r>
            <w:r>
              <w:t>Finanzverbindlichkeiten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105 860</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32 642</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von 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702</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antizipativer und transitorischer Passiva</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736</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NETTOCASHFLOW</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(17 763)</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32 642</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Nettozunahme/(-abnahme) der Zahlungsmittel und </w:t>
            </w:r>
            <w:r>
              <w:t>Zahlungsmitteläquivalente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(17 763)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32 642</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Zahlungsmittel und Zahlungsmitteläquivalente zum Jahresbeginn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32 642</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Zahlungsmittel und Zahlungsmitteläquivalente zum Jahresende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14 879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32 642</w:t>
            </w:r>
          </w:p>
        </w:tc>
      </w:tr>
    </w:tbl>
    <w:p w:rsidR="001609E3" w:rsidRDefault="00E45B63">
      <w:pPr>
        <w:pStyle w:val="Textstand-alone"/>
        <w:sectPr w:rsidR="001609E3">
          <w:headerReference w:type="even" r:id="rId313"/>
          <w:headerReference w:type="default" r:id="rId314"/>
          <w:footerReference w:type="even" r:id="rId315"/>
          <w:footerReference w:type="default" r:id="rId316"/>
          <w:headerReference w:type="first" r:id="rId317"/>
          <w:footerReference w:type="first" r:id="rId318"/>
          <w:pgSz w:w="11906" w:h="16838"/>
          <w:pgMar w:top="1134" w:right="1134" w:bottom="1134" w:left="1134" w:header="708" w:footer="708" w:gutter="0"/>
          <w:cols w:space="708"/>
          <w:docGrid w:linePitch="360"/>
        </w:sectPr>
      </w:pPr>
      <w:r>
        <w:t xml:space="preserve"> </w:t>
      </w:r>
      <w:bookmarkEnd w:id="369"/>
    </w:p>
    <w:p w:rsidR="001609E3" w:rsidRDefault="00E45B63">
      <w:pPr>
        <w:pStyle w:val="HEADERTITLE1"/>
      </w:pPr>
      <w:bookmarkStart w:id="371" w:name="_Toc484164251"/>
      <w:bookmarkStart w:id="372" w:name="_Toc491767283"/>
      <w:bookmarkStart w:id="373" w:name="_DMBM_10458"/>
      <w:r>
        <w:t>VERÄNDERUNGEN DER NETTOVERMÖGENSWERTE</w:t>
      </w:r>
      <w:bookmarkEnd w:id="371"/>
      <w:r>
        <w:t xml:space="preserve"> DES EU-TREUHANDFONDS FÜR AFRIKA</w:t>
      </w:r>
      <w:bookmarkEnd w:id="37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414"/>
        <w:gridCol w:w="2454"/>
        <w:gridCol w:w="1915"/>
      </w:tblGrid>
      <w:tr w:rsidR="001609E3">
        <w:trPr>
          <w:cantSplit/>
        </w:trPr>
        <w:tc>
          <w:tcPr>
            <w:tcW w:w="322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74" w:name="DOC_TBL00058_1_1"/>
            <w:bookmarkEnd w:id="374"/>
          </w:p>
        </w:tc>
        <w:tc>
          <w:tcPr>
            <w:tcW w:w="2551" w:type="dxa"/>
            <w:tcBorders>
              <w:top w:val="nil"/>
              <w:left w:val="nil"/>
              <w:bottom w:val="nil"/>
              <w:right w:val="nil"/>
            </w:tcBorders>
            <w:shd w:val="clear" w:color="auto" w:fill="auto"/>
            <w:tcMar>
              <w:top w:w="0" w:type="dxa"/>
              <w:left w:w="108" w:type="dxa"/>
              <w:bottom w:w="0" w:type="dxa"/>
              <w:right w:w="108" w:type="dxa"/>
            </w:tcMar>
          </w:tcPr>
          <w:p w:rsidR="001609E3" w:rsidRDefault="001609E3">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rsidR="001609E3" w:rsidRDefault="001609E3">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Tsd. EUR</w:t>
            </w:r>
          </w:p>
        </w:tc>
      </w:tr>
      <w:tr w:rsidR="001609E3">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Kumulierter/s Überschuss/</w:t>
            </w:r>
          </w:p>
          <w:p w:rsidR="001609E3" w:rsidRDefault="00E45B63">
            <w:pPr>
              <w:pStyle w:val="Heading10pNormalRight025"/>
              <w:rPr>
                <w:rFonts w:eastAsia="Verdana" w:cs="Verdana"/>
              </w:rPr>
            </w:pPr>
            <w:r>
              <w:t>(Defizit)</w:t>
            </w:r>
          </w:p>
        </w:tc>
        <w:tc>
          <w:tcPr>
            <w:tcW w:w="2552"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Wirtschaftliches Ergebnis des Haushaltsjahres</w:t>
            </w:r>
          </w:p>
        </w:tc>
        <w:tc>
          <w:tcPr>
            <w:tcW w:w="1417"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Nettovermögen</w:t>
            </w:r>
          </w:p>
        </w:tc>
      </w:tr>
      <w:tr w:rsidR="001609E3">
        <w:trPr>
          <w:cantSplit/>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ZUM 31.12.2015</w:t>
            </w:r>
          </w:p>
        </w:tc>
        <w:tc>
          <w:tcPr>
            <w:tcW w:w="255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r w:rsidR="001609E3">
        <w:trPr>
          <w:cantSplit/>
        </w:trPr>
        <w:tc>
          <w:tcPr>
            <w:tcW w:w="322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255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25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rPr>
          <w:cantSplit/>
        </w:trPr>
        <w:tc>
          <w:tcPr>
            <w:tcW w:w="322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SALDO ZUM 31.12.2016</w:t>
            </w:r>
          </w:p>
        </w:tc>
        <w:tc>
          <w:tcPr>
            <w:tcW w:w="255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w:t>
            </w:r>
          </w:p>
        </w:tc>
      </w:tr>
    </w:tbl>
    <w:p w:rsidR="001609E3" w:rsidRDefault="00E45B63">
      <w:pPr>
        <w:pStyle w:val="Textstand-alone"/>
        <w:sectPr w:rsidR="001609E3">
          <w:headerReference w:type="even" r:id="rId319"/>
          <w:headerReference w:type="default" r:id="rId320"/>
          <w:footerReference w:type="even" r:id="rId321"/>
          <w:footerReference w:type="default" r:id="rId322"/>
          <w:headerReference w:type="first" r:id="rId323"/>
          <w:footerReference w:type="first" r:id="rId324"/>
          <w:pgSz w:w="11906" w:h="16838"/>
          <w:pgMar w:top="1134" w:right="1418" w:bottom="1134" w:left="1418" w:header="709" w:footer="709" w:gutter="0"/>
          <w:cols w:space="708"/>
          <w:docGrid w:linePitch="360"/>
        </w:sectPr>
      </w:pPr>
      <w:r>
        <w:t xml:space="preserve"> </w:t>
      </w:r>
      <w:bookmarkEnd w:id="373"/>
    </w:p>
    <w:p w:rsidR="001609E3" w:rsidRDefault="001609E3">
      <w:pPr>
        <w:pStyle w:val="FinancialYear"/>
        <w:rPr>
          <w:noProof/>
        </w:rPr>
      </w:pPr>
      <w:bookmarkStart w:id="375" w:name="_DMBM_9497"/>
    </w:p>
    <w:p w:rsidR="001609E3" w:rsidRDefault="001609E3">
      <w:pPr>
        <w:pStyle w:val="FinancialYear"/>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1"/>
      </w:pPr>
      <w:bookmarkStart w:id="376" w:name="_Toc484164252"/>
      <w:bookmarkStart w:id="377" w:name="_Toc491767284"/>
      <w:bookmarkStart w:id="378" w:name="_Toc491768137"/>
      <w:r>
        <w:t>KONSOLIDIERTE JAHRESABSCHLÜSSE DES EEF UND DER</w:t>
      </w:r>
      <w:r>
        <w:t xml:space="preserve"> EU-TREUHANDFONDS</w:t>
      </w:r>
      <w:bookmarkEnd w:id="376"/>
      <w:bookmarkEnd w:id="377"/>
      <w:bookmarkEnd w:id="378"/>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TOPHEADERNOTE"/>
        <w:rPr>
          <w:noProof/>
        </w:rPr>
      </w:pPr>
      <w:r>
        <w:rPr>
          <w:noProof/>
        </w:rPr>
        <w:t>Aufgrund der Auf- oder Abrundung auf Mio. EUR summieren sich die in den Tabellen ausgewiesenen Finanzdaten möglicherweise nicht immer genau.</w:t>
      </w:r>
    </w:p>
    <w:p w:rsidR="001609E3" w:rsidRDefault="00E45B63">
      <w:pPr>
        <w:pStyle w:val="TOPHEADERNOTE"/>
        <w:rPr>
          <w:noProof/>
        </w:rPr>
        <w:sectPr w:rsidR="001609E3">
          <w:headerReference w:type="even" r:id="rId325"/>
          <w:headerReference w:type="default" r:id="rId326"/>
          <w:footerReference w:type="even" r:id="rId327"/>
          <w:footerReference w:type="default" r:id="rId328"/>
          <w:headerReference w:type="first" r:id="rId329"/>
          <w:footerReference w:type="first" r:id="rId330"/>
          <w:pgSz w:w="11906" w:h="16838"/>
          <w:pgMar w:top="1134" w:right="1134" w:bottom="1134" w:left="1134" w:header="709" w:footer="709" w:gutter="0"/>
          <w:cols w:space="708"/>
          <w:docGrid w:linePitch="360"/>
        </w:sectPr>
      </w:pPr>
      <w:r>
        <w:rPr>
          <w:noProof/>
        </w:rPr>
        <w:t xml:space="preserve"> </w:t>
      </w:r>
      <w:bookmarkEnd w:id="375"/>
    </w:p>
    <w:p w:rsidR="001609E3" w:rsidRDefault="00E45B63">
      <w:pPr>
        <w:pStyle w:val="HEADERTITLE1"/>
      </w:pPr>
      <w:bookmarkStart w:id="379" w:name="_Toc484164253"/>
      <w:bookmarkStart w:id="380" w:name="_Toc491767285"/>
      <w:bookmarkStart w:id="381" w:name="_DMBM_9522"/>
      <w:r>
        <w:t>KONSOLIDIERTE VERMÖGENSÜBERSICHT</w:t>
      </w:r>
      <w:bookmarkEnd w:id="379"/>
      <w:bookmarkEnd w:id="380"/>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82" w:name="DOC_TBL00059_1_1"/>
            <w:bookmarkEnd w:id="382"/>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 xml:space="preserve"> 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31.12.2015</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LANGFRISTIGE VERMÖGENSWERTE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457</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520</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Beiträge zu Treuhandfonds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Forderungen mit Leistungsaustausch und einzuziehende Beträge ohne </w:t>
            </w:r>
            <w:r>
              <w:t>Leistungsaustausch</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BoldRight025"/>
              <w:rPr>
                <w:rFonts w:eastAsia="Verdana" w:cs="Verdana"/>
              </w:rPr>
            </w:pPr>
            <w:r>
              <w:t>457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BoldRight025"/>
              <w:rPr>
                <w:rFonts w:eastAsia="Verdana" w:cs="Verdana"/>
              </w:rPr>
            </w:pPr>
            <w:r>
              <w:t xml:space="preserve"> 520</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KURZFRISTIGE VERMÖGENSWERTE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1 455</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1 151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Forderungen mit Leistungsaustausch und einzuziehende Beträge ohne Leistungsaustausch</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143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172</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Zahlungsmittel und Zahlungsmitteläquivalente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738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589</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2 336</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1 912</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GESAMTVERMÖGEN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2 794</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2 432</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LANGFRISTIGE 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Rückstellungen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Finanzielle Verbindlichkeiten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(106)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(72)</w:t>
            </w:r>
          </w:p>
        </w:tc>
      </w:tr>
      <w:tr w:rsidR="001609E3">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BoldRight025"/>
              <w:rPr>
                <w:rFonts w:eastAsia="Verdana" w:cs="Verdana"/>
              </w:rPr>
            </w:pPr>
            <w:r>
              <w:t xml:space="preserve"> (110)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BoldRight025"/>
              <w:rPr>
                <w:rFonts w:eastAsia="Verdana" w:cs="Verdana"/>
              </w:rPr>
            </w:pPr>
            <w:r>
              <w:t xml:space="preserve"> (76)</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KURZFRISTIGE VERBINDLICHKEITEN</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(549)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(520)</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Antizipative und </w:t>
            </w:r>
            <w:r>
              <w:t>transitorische Passiva</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(778)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(855)</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(1 327)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Figures9pBoldRight025"/>
              <w:rPr>
                <w:rFonts w:eastAsia="Verdana" w:cs="Verdana"/>
              </w:rPr>
            </w:pPr>
            <w:r>
              <w:t>(1 376)</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GESAMTVERBINDLICHKEITEN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(1 437)</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(1 451)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NETTOVERMÖGEN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1 357</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980</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MITTEL UND RESERVEN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Abgerufenes Fondskapitel - aktive EEF</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42 323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38 873</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Übertragung von abgerufenem Fondskapital aus </w:t>
            </w:r>
            <w:r>
              <w:t>abgeschlossenen EEF</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2 252</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2 252</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Übertragung von abgerufenem Fondskapital zwischen aktiven EEF</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Ergebnisvortrag aus Vorjahren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(40 146)</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(36 994)</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(3 073)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(3 152)</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NETTOVERMÖGEN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1 357</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980</w:t>
            </w:r>
          </w:p>
        </w:tc>
      </w:tr>
    </w:tbl>
    <w:p w:rsidR="001609E3" w:rsidRDefault="00E45B63">
      <w:pPr>
        <w:pStyle w:val="Textstand-alone"/>
        <w:sectPr w:rsidR="001609E3">
          <w:headerReference w:type="even" r:id="rId331"/>
          <w:headerReference w:type="default" r:id="rId332"/>
          <w:footerReference w:type="even" r:id="rId333"/>
          <w:footerReference w:type="default" r:id="rId334"/>
          <w:headerReference w:type="first" r:id="rId335"/>
          <w:footerReference w:type="first" r:id="rId336"/>
          <w:pgSz w:w="11906" w:h="16838"/>
          <w:pgMar w:top="1134" w:right="1134" w:bottom="1134" w:left="1134" w:header="709" w:footer="709" w:gutter="0"/>
          <w:cols w:space="708"/>
          <w:docGrid w:linePitch="360"/>
        </w:sectPr>
      </w:pPr>
      <w:r>
        <w:t xml:space="preserve"> </w:t>
      </w:r>
      <w:bookmarkEnd w:id="381"/>
    </w:p>
    <w:p w:rsidR="001609E3" w:rsidRDefault="00E45B63">
      <w:pPr>
        <w:pStyle w:val="HEADERTITLE1"/>
      </w:pPr>
      <w:bookmarkStart w:id="383" w:name="_Toc484164254"/>
      <w:bookmarkStart w:id="384" w:name="_Toc491767286"/>
      <w:bookmarkStart w:id="385" w:name="_DMBM_9460"/>
      <w:r>
        <w:t>KONSOLIDIERTE ERGEBNISRECHNUNG</w:t>
      </w:r>
      <w:bookmarkEnd w:id="383"/>
      <w:bookmarkEnd w:id="384"/>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86" w:name="DOC_TBL00060_1_1"/>
            <w:bookmarkEnd w:id="386"/>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aus Transaktionen ohne Leistungsaustausch</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Einziehung von Aufwendungen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90</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Einnahmen aus Treuhandfondsspenden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r>
      <w:tr w:rsidR="001609E3">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BoldRight025"/>
              <w:rPr>
                <w:rFonts w:eastAsia="Verdana" w:cs="Verdana"/>
              </w:rPr>
            </w:pPr>
            <w:r>
              <w:t xml:space="preserve"> 43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BoldRight025"/>
              <w:rPr>
                <w:rFonts w:eastAsia="Verdana" w:cs="Verdana"/>
              </w:rPr>
            </w:pPr>
            <w:r>
              <w:t xml:space="preserve"> 94</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aus Transaktionen mit Leistungsaustausch</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Finanzerträge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8</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Indented"/>
              <w:ind w:left="0"/>
              <w:rPr>
                <w:rFonts w:eastAsia="Verdana" w:cs="Verdana"/>
              </w:rPr>
            </w:pPr>
            <w:r>
              <w:t>Sonstige Erträge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42</w:t>
            </w:r>
          </w:p>
        </w:tc>
      </w:tr>
      <w:tr w:rsidR="001609E3">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1609E3">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66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50</w:t>
            </w:r>
          </w:p>
        </w:tc>
      </w:tr>
      <w:tr w:rsidR="001609E3">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Einnahmen insgesamt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108</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 xml:space="preserve"> 144</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AUFWENDUNGEN</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Hilfsinstrumente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(2 935)</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(3 059)</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Kofinanzierungsaufwendungen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15</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(69)</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Finanzierungskosten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Von Treuhandfonds vollzogene Aufwendungen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(65)</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r>
      <w:tr w:rsidR="001609E3">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Sonstige Aufwendungen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(163)</w:t>
            </w:r>
          </w:p>
        </w:tc>
      </w:tr>
      <w:tr w:rsidR="001609E3">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Text9pBoldLeft"/>
              <w:rPr>
                <w:rFonts w:eastAsia="Verdana" w:cs="Verdana"/>
              </w:rPr>
            </w:pPr>
            <w:r>
              <w:t>Aufwendungen insgesamt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(3 181)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b/>
                <w:i w:val="0"/>
              </w:rPr>
            </w:pPr>
            <w:r>
              <w:rPr>
                <w:b/>
                <w:i w:val="0"/>
              </w:rPr>
              <w:t>(3 296)</w:t>
            </w:r>
          </w:p>
        </w:tc>
      </w:tr>
      <w:tr w:rsidR="001609E3">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i w:val="0"/>
              </w:rPr>
            </w:pP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WIRTSCHAFTLICHES ERGEBNIS DES HAUSHALTSJAHRES</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(3 073)</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(3 152)</w:t>
            </w:r>
          </w:p>
        </w:tc>
      </w:tr>
    </w:tbl>
    <w:p w:rsidR="001609E3" w:rsidRDefault="00E45B63">
      <w:pPr>
        <w:pStyle w:val="Textstand-alone"/>
        <w:sectPr w:rsidR="001609E3">
          <w:headerReference w:type="even" r:id="rId337"/>
          <w:headerReference w:type="default" r:id="rId338"/>
          <w:footerReference w:type="even" r:id="rId339"/>
          <w:footerReference w:type="default" r:id="rId340"/>
          <w:headerReference w:type="first" r:id="rId341"/>
          <w:footerReference w:type="first" r:id="rId342"/>
          <w:pgSz w:w="11906" w:h="16838"/>
          <w:pgMar w:top="1134" w:right="1134" w:bottom="1134" w:left="1134" w:header="709" w:footer="709" w:gutter="0"/>
          <w:cols w:space="708"/>
          <w:docGrid w:linePitch="360"/>
        </w:sectPr>
      </w:pPr>
      <w:r>
        <w:t xml:space="preserve"> </w:t>
      </w:r>
      <w:bookmarkEnd w:id="385"/>
    </w:p>
    <w:p w:rsidR="001609E3" w:rsidRDefault="00E45B63">
      <w:pPr>
        <w:pStyle w:val="HEADERTITLE1"/>
      </w:pPr>
      <w:bookmarkStart w:id="387" w:name="_Toc484164255"/>
      <w:bookmarkStart w:id="388" w:name="_Toc491767287"/>
      <w:bookmarkStart w:id="389" w:name="_DMBM_9475"/>
      <w:r>
        <w:t>KONSOLIDIERTE KAPITALFLUSSRECHNUNG</w:t>
      </w:r>
      <w:bookmarkEnd w:id="387"/>
      <w:bookmarkEnd w:id="38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90" w:name="DOC_TBL00061_1_1"/>
            <w:bookmarkEnd w:id="390"/>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c>
          <w:tcPr>
            <w:tcW w:w="5637"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2015</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(3 073)</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(3 152)</w:t>
            </w: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Operative Tätigkeiten</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1609E3">
            <w:pPr>
              <w:pStyle w:val="Figures9pBold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Kapitalzunahme — Beiträge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3 450</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3 200</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von Beiträgen zum Treuhandfonds</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39</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Vorfinanzierungen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(242)</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204</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(Zunahme)/Abnahme bei Forderungen mit Leistungsaustausch und </w:t>
            </w:r>
            <w:r>
              <w:br/>
              <w:t xml:space="preserve">einzuziehenden </w:t>
            </w:r>
            <w:r>
              <w:t>Beträgen ohne Leistungsaustausch</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(43)</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Rückstellungen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4</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Finanzverbindlichkeiten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bei Verbindlichkeiten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(179)</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Zunahme/(Abnahme) antizipativer und transitorischer Passiva</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132</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c>
          <w:tcPr>
            <w:tcW w:w="5637"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BoldLeft"/>
              <w:rPr>
                <w:rFonts w:eastAsia="Verdana" w:cs="Verdana"/>
              </w:rPr>
            </w:pPr>
            <w:r>
              <w:t>NETTOCASHFLOW</w:t>
            </w:r>
          </w:p>
        </w:tc>
        <w:tc>
          <w:tcPr>
            <w:tcW w:w="212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149</w:t>
            </w:r>
          </w:p>
        </w:tc>
        <w:tc>
          <w:tcPr>
            <w:tcW w:w="198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198</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Nettozunahme/(-abnahme) der Zahlungsmittel und Zahlungsmitteläquivalente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149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198</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Zahlungsmittel und Zahlungsmitteläquivalente zum Jahresbeginn</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589</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391</w:t>
            </w:r>
          </w:p>
        </w:tc>
      </w:tr>
      <w:tr w:rsidR="001609E3">
        <w:tc>
          <w:tcPr>
            <w:tcW w:w="5637"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 xml:space="preserve">Zahlungsmittel und Zahlungsmitteläquivalente zum </w:t>
            </w:r>
            <w:r>
              <w:t>Jahresende</w:t>
            </w:r>
          </w:p>
        </w:tc>
        <w:tc>
          <w:tcPr>
            <w:tcW w:w="212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738</w:t>
            </w:r>
          </w:p>
        </w:tc>
        <w:tc>
          <w:tcPr>
            <w:tcW w:w="198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 xml:space="preserve">  589</w:t>
            </w:r>
          </w:p>
        </w:tc>
      </w:tr>
    </w:tbl>
    <w:p w:rsidR="001609E3" w:rsidRDefault="00E45B63">
      <w:pPr>
        <w:pStyle w:val="Textstand-alone"/>
        <w:sectPr w:rsidR="001609E3">
          <w:headerReference w:type="even" r:id="rId343"/>
          <w:headerReference w:type="default" r:id="rId344"/>
          <w:footerReference w:type="even" r:id="rId345"/>
          <w:footerReference w:type="default" r:id="rId346"/>
          <w:headerReference w:type="first" r:id="rId347"/>
          <w:footerReference w:type="first" r:id="rId348"/>
          <w:pgSz w:w="11906" w:h="16838"/>
          <w:pgMar w:top="1134" w:right="1134" w:bottom="1134" w:left="1134" w:header="708" w:footer="708" w:gutter="0"/>
          <w:cols w:space="708"/>
          <w:docGrid w:linePitch="360"/>
        </w:sectPr>
      </w:pPr>
      <w:r>
        <w:t xml:space="preserve"> </w:t>
      </w:r>
      <w:bookmarkEnd w:id="389"/>
    </w:p>
    <w:p w:rsidR="001609E3" w:rsidRDefault="00E45B63">
      <w:pPr>
        <w:pStyle w:val="HEADERTITLE1"/>
      </w:pPr>
      <w:bookmarkStart w:id="391" w:name="_Toc484164256"/>
      <w:bookmarkStart w:id="392" w:name="_Toc491767288"/>
      <w:bookmarkStart w:id="393" w:name="_DMBM_9482"/>
      <w:r>
        <w:t>KONSOLIDIERTE TABELLE DER VERÄNDERUNGEN DES NETTOVERMÖGENS</w:t>
      </w:r>
      <w:bookmarkEnd w:id="391"/>
      <w:bookmarkEnd w:id="392"/>
    </w:p>
    <w:p w:rsidR="001609E3" w:rsidRDefault="00E45B63">
      <w:pPr>
        <w:pStyle w:val="HEADERTABLE"/>
        <w:rPr>
          <w:noProof/>
        </w:rPr>
      </w:pPr>
      <w:r>
        <w:rPr>
          <w:noProof/>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Left"/>
              <w:rPr>
                <w:rFonts w:eastAsia="Verdana" w:cs="Verdana"/>
                <w:color w:val="FFFFFF"/>
              </w:rPr>
            </w:pPr>
            <w:bookmarkStart w:id="394" w:name="DOC_TBL00062_1_1"/>
            <w:bookmarkEnd w:id="394"/>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8pItalicRight025EUR"/>
              <w:rPr>
                <w:rFonts w:eastAsia="Verdana" w:cs="Verdana"/>
              </w:rPr>
            </w:pPr>
            <w:r>
              <w:t>in Mio. EUR</w:t>
            </w:r>
          </w:p>
        </w:tc>
      </w:tr>
      <w:tr w:rsidR="001609E3">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rsidR="001609E3" w:rsidRDefault="001609E3">
            <w:pPr>
              <w:pStyle w:val="Heading10pNormalLeft"/>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Fonds</w:t>
            </w:r>
            <w:r>
              <w:softHyphen/>
              <w:t>kapital – aktive EEF (A)</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Nicht abgerufene Fondsmittel - aktive EEF (B)</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Abgerufenes Fondskapital - aktive EEF (C) = (A)-(B)</w:t>
            </w:r>
          </w:p>
        </w:tc>
        <w:tc>
          <w:tcPr>
            <w:tcW w:w="1701"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Kumulative Rücklagen (D)</w:t>
            </w:r>
          </w:p>
        </w:tc>
        <w:tc>
          <w:tcPr>
            <w:tcW w:w="2055"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Übertragung von abgerufenem Fondskapital aus abgeschlos</w:t>
            </w:r>
            <w:r>
              <w:softHyphen/>
              <w:t>senen EEF (E)</w:t>
            </w:r>
          </w:p>
        </w:tc>
        <w:tc>
          <w:tcPr>
            <w:tcW w:w="2056" w:type="dxa"/>
            <w:tcBorders>
              <w:top w:val="nil"/>
              <w:left w:val="nil"/>
              <w:bottom w:val="nil"/>
              <w:right w:val="nil"/>
            </w:tcBorders>
            <w:shd w:val="clear" w:color="auto" w:fill="016794"/>
            <w:tcMar>
              <w:top w:w="0" w:type="dxa"/>
              <w:left w:w="108" w:type="dxa"/>
              <w:bottom w:w="0" w:type="dxa"/>
              <w:right w:w="108" w:type="dxa"/>
            </w:tcMar>
          </w:tcPr>
          <w:p w:rsidR="001609E3" w:rsidRDefault="00E45B63">
            <w:pPr>
              <w:pStyle w:val="Heading10pNormalRight025"/>
              <w:rPr>
                <w:rFonts w:eastAsia="Verdana" w:cs="Verdana"/>
              </w:rPr>
            </w:pPr>
            <w:r>
              <w:t>Netto</w:t>
            </w:r>
            <w:r>
              <w:softHyphen/>
              <w:t>vermögen insgesamt (C)+(D)+(E)</w:t>
            </w:r>
          </w:p>
        </w:tc>
      </w:tr>
      <w:tr w:rsidR="001609E3">
        <w:tc>
          <w:tcPr>
            <w:tcW w:w="36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BoldLeft"/>
              <w:rPr>
                <w:rFonts w:eastAsia="Verdana" w:cs="Verdana"/>
              </w:rPr>
            </w:pPr>
            <w:r>
              <w:t>SALDO ZUM 31.12.2014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45 691</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10 018</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35 673</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(36 994)</w:t>
            </w:r>
          </w:p>
        </w:tc>
        <w:tc>
          <w:tcPr>
            <w:tcW w:w="205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932</w:t>
            </w:r>
          </w:p>
        </w:tc>
      </w:tr>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Kapitalzunahme  — Beiträge</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(4 795)</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4 795</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4 795</w:t>
            </w:r>
          </w:p>
        </w:tc>
      </w:tr>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Kapitalabnahme — im Rahmen der Überbrückungsfazilität gebundene Mittel</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(1 595)</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(1 595)</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(1 595)</w:t>
            </w:r>
          </w:p>
        </w:tc>
      </w:tr>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Ansatz des Kapitals des 11. EEF</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29 367</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29 367</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r>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(3 152)</w:t>
            </w: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(3 152)</w:t>
            </w:r>
          </w:p>
        </w:tc>
      </w:tr>
      <w:tr w:rsidR="001609E3">
        <w:tc>
          <w:tcPr>
            <w:tcW w:w="36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BoldLeft"/>
              <w:rPr>
                <w:rFonts w:eastAsia="Verdana" w:cs="Verdana"/>
              </w:rPr>
            </w:pPr>
            <w:r>
              <w:t>SALDO ZUM 31.12.2015</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34 590</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38 874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(40 146)</w:t>
            </w:r>
          </w:p>
        </w:tc>
        <w:tc>
          <w:tcPr>
            <w:tcW w:w="205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 xml:space="preserve"> 980</w:t>
            </w:r>
          </w:p>
        </w:tc>
      </w:tr>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Kapitalzunahme — Beiträge</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(3 450)</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3 450</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3 450</w:t>
            </w:r>
          </w:p>
        </w:tc>
      </w:tr>
      <w:tr w:rsidR="001609E3">
        <w:tc>
          <w:tcPr>
            <w:tcW w:w="3652"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Text9pItalicLeft"/>
              <w:rPr>
                <w:rFonts w:eastAsia="Verdana" w:cs="Verdana"/>
              </w:rPr>
            </w:pPr>
            <w:r>
              <w:t>Wirtschaftliches Ergebnis des Haushaltsjahres</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(3 073)</w:t>
            </w:r>
          </w:p>
        </w:tc>
        <w:tc>
          <w:tcPr>
            <w:tcW w:w="2055" w:type="dxa"/>
            <w:tcBorders>
              <w:top w:val="nil"/>
              <w:left w:val="nil"/>
              <w:bottom w:val="nil"/>
              <w:right w:val="nil"/>
            </w:tcBorders>
            <w:shd w:val="clear" w:color="auto" w:fill="auto"/>
            <w:tcMar>
              <w:top w:w="0" w:type="dxa"/>
              <w:left w:w="108" w:type="dxa"/>
              <w:bottom w:w="0" w:type="dxa"/>
              <w:right w:w="108" w:type="dxa"/>
            </w:tcMar>
          </w:tcPr>
          <w:p w:rsidR="001609E3" w:rsidRDefault="001609E3">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rsidR="001609E3" w:rsidRDefault="00E45B63">
            <w:pPr>
              <w:pStyle w:val="Figures9pItalicRight025"/>
              <w:rPr>
                <w:rFonts w:eastAsia="Verdana" w:cs="Verdana"/>
              </w:rPr>
            </w:pPr>
            <w:r>
              <w:t>(3 073)</w:t>
            </w:r>
          </w:p>
        </w:tc>
      </w:tr>
      <w:tr w:rsidR="001609E3">
        <w:tc>
          <w:tcPr>
            <w:tcW w:w="3652"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Text9pItalicBoldLeft"/>
              <w:rPr>
                <w:rFonts w:eastAsia="Verdana" w:cs="Verdana"/>
              </w:rPr>
            </w:pPr>
            <w:r>
              <w:t>SALDO ZUM 31.12.2016</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31 140</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42 323</w:t>
            </w:r>
          </w:p>
        </w:tc>
        <w:tc>
          <w:tcPr>
            <w:tcW w:w="1701"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rsidR="001609E3" w:rsidRDefault="00E45B63">
            <w:pPr>
              <w:pStyle w:val="Figures9pBoldRight025"/>
              <w:rPr>
                <w:rFonts w:eastAsia="Verdana" w:cs="Verdana"/>
              </w:rPr>
            </w:pPr>
            <w:r>
              <w:t>1 357</w:t>
            </w:r>
          </w:p>
        </w:tc>
      </w:tr>
    </w:tbl>
    <w:p w:rsidR="001609E3" w:rsidRDefault="00E45B63">
      <w:pPr>
        <w:pStyle w:val="Textstand-alone"/>
        <w:sectPr w:rsidR="001609E3">
          <w:headerReference w:type="even" r:id="rId349"/>
          <w:headerReference w:type="default" r:id="rId350"/>
          <w:footerReference w:type="even" r:id="rId351"/>
          <w:footerReference w:type="default" r:id="rId352"/>
          <w:headerReference w:type="first" r:id="rId353"/>
          <w:footerReference w:type="first" r:id="rId354"/>
          <w:pgSz w:w="16838" w:h="11906" w:orient="landscape"/>
          <w:pgMar w:top="1134" w:right="1134" w:bottom="1134" w:left="1134" w:header="708" w:footer="708" w:gutter="0"/>
          <w:cols w:space="708"/>
          <w:docGrid w:linePitch="360"/>
        </w:sectPr>
      </w:pPr>
      <w:r>
        <w:t xml:space="preserve"> </w:t>
      </w:r>
      <w:bookmarkEnd w:id="393"/>
    </w:p>
    <w:p w:rsidR="001609E3" w:rsidRDefault="001609E3">
      <w:pPr>
        <w:pStyle w:val="FinancialYear"/>
        <w:rPr>
          <w:noProof/>
        </w:rPr>
      </w:pPr>
      <w:bookmarkStart w:id="395" w:name="_DMBM_9435"/>
    </w:p>
    <w:p w:rsidR="001609E3" w:rsidRDefault="001609E3">
      <w:pPr>
        <w:pStyle w:val="FinancialYear"/>
        <w:rPr>
          <w:noProof/>
        </w:rPr>
      </w:pPr>
    </w:p>
    <w:p w:rsidR="001609E3" w:rsidRDefault="001609E3">
      <w:pPr>
        <w:pStyle w:val="FIRSTCHAPTERPAGE1"/>
      </w:pPr>
    </w:p>
    <w:p w:rsidR="001609E3" w:rsidRDefault="001609E3">
      <w:pPr>
        <w:pStyle w:val="FIRSTCHAPTERPAGE1"/>
      </w:pPr>
    </w:p>
    <w:p w:rsidR="001609E3" w:rsidRDefault="001609E3">
      <w:pPr>
        <w:pStyle w:val="FIRSTCHAPTERPAGE1"/>
      </w:pPr>
    </w:p>
    <w:p w:rsidR="001609E3" w:rsidRDefault="001609E3">
      <w:pPr>
        <w:pStyle w:val="FIRSTCHAPTERPAGE1"/>
      </w:pPr>
    </w:p>
    <w:p w:rsidR="001609E3" w:rsidRDefault="00E45B63">
      <w:pPr>
        <w:pStyle w:val="FIRSTCHAPTERPAGE1"/>
      </w:pPr>
      <w:bookmarkStart w:id="396" w:name="_Toc484164257"/>
      <w:bookmarkStart w:id="397" w:name="_Toc491767289"/>
      <w:bookmarkStart w:id="398" w:name="_Toc491768138"/>
      <w:r>
        <w:t>ÜBERSICHT ÜBER DIE FINANZIELLE AUSFÜHRUNG DES EEF</w:t>
      </w:r>
      <w:bookmarkEnd w:id="396"/>
      <w:bookmarkEnd w:id="397"/>
      <w:bookmarkEnd w:id="398"/>
    </w:p>
    <w:p w:rsidR="001609E3" w:rsidRDefault="001609E3">
      <w:pPr>
        <w:pStyle w:val="FIRSTCHAPTERPAGE1"/>
      </w:pPr>
    </w:p>
    <w:p w:rsidR="001609E3" w:rsidRDefault="001609E3">
      <w:pPr>
        <w:pStyle w:val="FIRSTCHAPTERPAGE1"/>
      </w:pPr>
    </w:p>
    <w:p w:rsidR="001609E3" w:rsidRDefault="001609E3">
      <w:pPr>
        <w:pStyle w:val="FIRSTCHAPTERPAGE1"/>
      </w:pPr>
    </w:p>
    <w:p w:rsidR="001609E3" w:rsidRDefault="00E45B63">
      <w:pPr>
        <w:pStyle w:val="Textstand-alone"/>
        <w:sectPr w:rsidR="001609E3">
          <w:headerReference w:type="even" r:id="rId355"/>
          <w:headerReference w:type="default" r:id="rId356"/>
          <w:footerReference w:type="even" r:id="rId357"/>
          <w:footerReference w:type="default" r:id="rId358"/>
          <w:headerReference w:type="first" r:id="rId359"/>
          <w:footerReference w:type="first" r:id="rId360"/>
          <w:pgSz w:w="11906" w:h="16838"/>
          <w:pgMar w:top="1134" w:right="1134" w:bottom="1134" w:left="1134" w:header="709" w:footer="709" w:gutter="0"/>
          <w:cols w:space="708"/>
          <w:docGrid w:linePitch="360"/>
        </w:sectPr>
      </w:pPr>
      <w:r>
        <w:t xml:space="preserve"> </w:t>
      </w:r>
      <w:bookmarkEnd w:id="395"/>
    </w:p>
    <w:p w:rsidR="001609E3" w:rsidRDefault="00E45B63">
      <w:pPr>
        <w:keepNext/>
        <w:tabs>
          <w:tab w:val="left" w:pos="850"/>
        </w:tabs>
        <w:spacing w:before="360" w:after="120"/>
        <w:jc w:val="both"/>
        <w:outlineLvl w:val="0"/>
        <w:rPr>
          <w:rFonts w:ascii="Verdana" w:hAnsi="Verdana"/>
          <w:b/>
          <w:smallCaps/>
          <w:noProof/>
          <w:sz w:val="20"/>
          <w:szCs w:val="20"/>
        </w:rPr>
      </w:pPr>
      <w:bookmarkStart w:id="399" w:name="_Toc491766759"/>
      <w:bookmarkStart w:id="400" w:name="_DMBM_9512"/>
      <w:r>
        <w:rPr>
          <w:rFonts w:ascii="Verdana" w:hAnsi="Verdana"/>
          <w:b/>
          <w:smallCaps/>
          <w:noProof/>
          <w:sz w:val="20"/>
        </w:rPr>
        <w:t>ÜBERSICHT ÜBER DIE FINANZIELLE AUSFÜHRUNG - 2016</w:t>
      </w:r>
      <w:bookmarkEnd w:id="399"/>
    </w:p>
    <w:p w:rsidR="001609E3" w:rsidRDefault="00E45B63">
      <w:pPr>
        <w:rPr>
          <w:rFonts w:ascii="Verdana" w:hAnsi="Verdana"/>
          <w:noProof/>
          <w:sz w:val="20"/>
          <w:szCs w:val="20"/>
        </w:rPr>
      </w:pPr>
      <w:r>
        <w:rPr>
          <w:rFonts w:ascii="Verdana" w:hAnsi="Verdana"/>
          <w:b/>
          <w:noProof/>
          <w:sz w:val="20"/>
        </w:rPr>
        <w:t>EINLEITENDE BEMERKUNGEN</w:t>
      </w:r>
    </w:p>
    <w:p w:rsidR="001609E3" w:rsidRDefault="00E45B63">
      <w:pPr>
        <w:rPr>
          <w:rFonts w:ascii="Verdana" w:hAnsi="Verdana"/>
          <w:b/>
          <w:noProof/>
          <w:sz w:val="18"/>
          <w:szCs w:val="18"/>
          <w:u w:val="single"/>
        </w:rPr>
      </w:pPr>
      <w:r>
        <w:rPr>
          <w:rFonts w:ascii="Verdana" w:hAnsi="Verdana"/>
          <w:b/>
          <w:noProof/>
          <w:sz w:val="18"/>
          <w:u w:val="single"/>
        </w:rPr>
        <w:t>Frühere EEF</w:t>
      </w:r>
    </w:p>
    <w:p w:rsidR="001609E3" w:rsidRDefault="00E45B63">
      <w:pPr>
        <w:numPr>
          <w:ilvl w:val="0"/>
          <w:numId w:val="21"/>
        </w:numPr>
        <w:tabs>
          <w:tab w:val="num" w:pos="566"/>
        </w:tabs>
        <w:spacing w:before="120" w:after="120"/>
        <w:ind w:left="568" w:hanging="284"/>
        <w:jc w:val="both"/>
        <w:rPr>
          <w:rFonts w:ascii="Verdana" w:hAnsi="Verdana"/>
          <w:noProof/>
          <w:sz w:val="18"/>
          <w:szCs w:val="18"/>
        </w:rPr>
      </w:pPr>
      <w:r>
        <w:rPr>
          <w:rFonts w:ascii="Verdana" w:hAnsi="Verdana"/>
          <w:noProof/>
          <w:sz w:val="18"/>
        </w:rPr>
        <w:t xml:space="preserve">Da der 6. EEF im Jahr 2006 und der 7. EEF im Jahr 2008 </w:t>
      </w:r>
      <w:r>
        <w:rPr>
          <w:rFonts w:ascii="Verdana" w:hAnsi="Verdana"/>
          <w:noProof/>
          <w:sz w:val="18"/>
        </w:rPr>
        <w:t>abgeschlossen wurden, enthalten die Jahresrechnungen keine Tabellen über die Ausführung dieser Fonds mehr. Angaben über die Ausführung der übertragenen Salden sind jedoch im 9. EEF zu finden.</w:t>
      </w:r>
    </w:p>
    <w:p w:rsidR="001609E3" w:rsidRDefault="00E45B63">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Aus Gründen der Transparenz werden in den nachstehenden Tabellen</w:t>
      </w:r>
      <w:r>
        <w:rPr>
          <w:rFonts w:ascii="Verdana" w:hAnsi="Verdana"/>
          <w:noProof/>
          <w:sz w:val="18"/>
        </w:rPr>
        <w:t xml:space="preserve"> des Jahresabschlusses 2016 wie in den vergangenen Jahren die Mittel, die gemäß der im Abkommen von Lomé festgelegten Programmplanung verwendet wurden, und die Mittel, die gemäß der im Abkommen von Cotonou vorgesehenen Programmplanung verwendet wurden, für</w:t>
      </w:r>
      <w:r>
        <w:rPr>
          <w:rFonts w:ascii="Verdana" w:hAnsi="Verdana"/>
          <w:noProof/>
          <w:sz w:val="18"/>
        </w:rPr>
        <w:t xml:space="preserve"> den 8. EEF getrennt aufgeführt.</w:t>
      </w:r>
    </w:p>
    <w:p w:rsidR="001609E3" w:rsidRDefault="00E45B63">
      <w:pPr>
        <w:numPr>
          <w:ilvl w:val="0"/>
          <w:numId w:val="21"/>
        </w:numPr>
        <w:tabs>
          <w:tab w:val="num" w:pos="566"/>
        </w:tabs>
        <w:spacing w:before="120" w:after="120"/>
        <w:ind w:left="566"/>
        <w:jc w:val="both"/>
        <w:rPr>
          <w:rFonts w:ascii="Verdana" w:hAnsi="Verdana"/>
          <w:noProof/>
          <w:sz w:val="18"/>
          <w:szCs w:val="18"/>
        </w:rPr>
      </w:pPr>
      <w:r>
        <w:rPr>
          <w:rFonts w:ascii="Verdana" w:hAnsi="Verdana"/>
          <w:noProof/>
          <w:sz w:val="18"/>
        </w:rPr>
        <w:t>Nach Artikel 1 Absatz 2 Buchstabe b des Internen Abkommens über den 9. EEF wurden die Restmittel und freigegebenen Mittel der Vorgängerfonds auf den 9. EEF übertragen und werden während der Laufzeit des 9. EEF als Mittel de</w:t>
      </w:r>
      <w:r>
        <w:rPr>
          <w:rFonts w:ascii="Verdana" w:hAnsi="Verdana"/>
          <w:noProof/>
          <w:sz w:val="18"/>
        </w:rPr>
        <w:t>s 9. EEF gebunden.</w:t>
      </w:r>
    </w:p>
    <w:p w:rsidR="001609E3" w:rsidRDefault="001609E3">
      <w:pPr>
        <w:spacing w:before="120" w:after="120"/>
        <w:ind w:left="283"/>
        <w:jc w:val="both"/>
        <w:rPr>
          <w:rFonts w:ascii="Verdana" w:hAnsi="Verdana"/>
          <w:noProof/>
          <w:sz w:val="18"/>
          <w:szCs w:val="18"/>
        </w:rPr>
      </w:pPr>
    </w:p>
    <w:p w:rsidR="001609E3" w:rsidRDefault="00E45B63">
      <w:pPr>
        <w:rPr>
          <w:rFonts w:ascii="Verdana" w:hAnsi="Verdana"/>
          <w:b/>
          <w:noProof/>
          <w:sz w:val="18"/>
          <w:szCs w:val="18"/>
          <w:u w:val="single"/>
        </w:rPr>
      </w:pPr>
      <w:r>
        <w:rPr>
          <w:rFonts w:ascii="Verdana" w:hAnsi="Verdana"/>
          <w:b/>
          <w:noProof/>
          <w:sz w:val="18"/>
          <w:u w:val="single"/>
        </w:rPr>
        <w:t>10. EEF</w:t>
      </w:r>
    </w:p>
    <w:p w:rsidR="001609E3" w:rsidRDefault="00E45B63">
      <w:pPr>
        <w:spacing w:before="120" w:after="120"/>
        <w:jc w:val="both"/>
        <w:rPr>
          <w:rFonts w:ascii="Verdana" w:hAnsi="Verdana"/>
          <w:noProof/>
          <w:sz w:val="18"/>
          <w:szCs w:val="18"/>
        </w:rPr>
      </w:pPr>
      <w:r>
        <w:rPr>
          <w:rFonts w:ascii="Verdana" w:hAnsi="Verdana"/>
          <w:noProof/>
          <w:sz w:val="18"/>
        </w:rPr>
        <w:t>Das AKP-EG-Partnerschaftsabkommen, das die Mitgliedstaaten der Europäischen Gemeinschaft und die AKP-Staaten (Staaten in Afrika, im karibischen Raum und im Pazifischen Ozean) am 23. Juni 2000 unterzeichneten, trat am 1. April 20</w:t>
      </w:r>
      <w:r>
        <w:rPr>
          <w:rFonts w:ascii="Verdana" w:hAnsi="Verdana"/>
          <w:noProof/>
          <w:sz w:val="18"/>
        </w:rPr>
        <w:t>03 in Kraft. Das Abkommen von Cotonou wurde zweimal geändert, zunächst durch das am 25. Juni 2005 in Luxemburg unterzeichnete Abkommen und später durch das am 22. Juni 2010 in Ouagadougou unterzeichnete Abkommen.</w:t>
      </w:r>
    </w:p>
    <w:p w:rsidR="001609E3" w:rsidRDefault="00E45B63">
      <w:pPr>
        <w:spacing w:before="120" w:after="120"/>
        <w:jc w:val="both"/>
        <w:rPr>
          <w:rFonts w:ascii="Verdana" w:hAnsi="Verdana"/>
          <w:noProof/>
          <w:sz w:val="18"/>
          <w:szCs w:val="18"/>
        </w:rPr>
      </w:pPr>
      <w:r>
        <w:rPr>
          <w:rFonts w:ascii="Verdana" w:hAnsi="Verdana"/>
          <w:noProof/>
          <w:sz w:val="18"/>
        </w:rPr>
        <w:t>Der Beschluss 2001/822/EG des Rates vom 27.</w:t>
      </w:r>
      <w:r>
        <w:rPr>
          <w:rFonts w:ascii="Verdana" w:hAnsi="Verdana"/>
          <w:noProof/>
          <w:sz w:val="18"/>
        </w:rPr>
        <w:t> November 2001 über die Assoziation der überseeischen Länder und Gebiete (ÜLG) mit der Europäischen Union trat am 2. Dezember 2001 in Kraft. Dieser Beschluss wurde mit Beschluss 2007/249/EG vom 19. März 2007 geändert.</w:t>
      </w:r>
    </w:p>
    <w:p w:rsidR="001609E3" w:rsidRDefault="00E45B63">
      <w:pPr>
        <w:spacing w:before="120" w:after="120"/>
        <w:jc w:val="both"/>
        <w:rPr>
          <w:rFonts w:ascii="Verdana" w:hAnsi="Verdana"/>
          <w:noProof/>
          <w:sz w:val="18"/>
          <w:szCs w:val="18"/>
        </w:rPr>
      </w:pPr>
      <w:r>
        <w:rPr>
          <w:rFonts w:ascii="Verdana" w:hAnsi="Verdana"/>
          <w:noProof/>
          <w:sz w:val="18"/>
        </w:rPr>
        <w:t>Das Interne Abkommen über die Finanzie</w:t>
      </w:r>
      <w:r>
        <w:rPr>
          <w:rFonts w:ascii="Verdana" w:hAnsi="Verdana"/>
          <w:noProof/>
          <w:sz w:val="18"/>
        </w:rPr>
        <w:t>rung der im mehrjährigen Finanzrahmen für den Zeitraum 2008-2013 bereitgestellten Gemeinschaftshilfe, das gemäß dem geänderten Abkommen von Cotonou von den im Rat vereinigten Vertretern der Regierungen der Mitgliedstaaten der Europäischen Gemeinschaft am 1</w:t>
      </w:r>
      <w:r>
        <w:rPr>
          <w:rFonts w:ascii="Verdana" w:hAnsi="Verdana"/>
          <w:noProof/>
          <w:sz w:val="18"/>
        </w:rPr>
        <w:t>7. Juli 2016 angenommen worden war, trat am 1. Juli 2008 in Kraft.</w:t>
      </w:r>
    </w:p>
    <w:p w:rsidR="001609E3" w:rsidRDefault="00E45B63">
      <w:pPr>
        <w:spacing w:before="120" w:after="120"/>
        <w:jc w:val="both"/>
        <w:rPr>
          <w:rFonts w:ascii="Verdana" w:hAnsi="Verdana"/>
          <w:noProof/>
          <w:sz w:val="18"/>
          <w:szCs w:val="18"/>
        </w:rPr>
      </w:pPr>
      <w:r>
        <w:rPr>
          <w:rFonts w:ascii="Verdana" w:hAnsi="Verdana"/>
          <w:noProof/>
          <w:sz w:val="18"/>
        </w:rPr>
        <w:t>Im Rahmen des Abkommens von Cotonou wird die Hilfe für die AKP-Staaten und die ÜLG im zweiten Programmplanungszeitraum 2008-2013 aus dem 10. EEF finanziert, und zwar in Höhe eines Betrag vo</w:t>
      </w:r>
      <w:r>
        <w:rPr>
          <w:rFonts w:ascii="Verdana" w:hAnsi="Verdana"/>
          <w:noProof/>
          <w:sz w:val="18"/>
        </w:rPr>
        <w:t>n 22 682 Mio. EUR, von denen:</w:t>
      </w:r>
    </w:p>
    <w:p w:rsidR="001609E3" w:rsidRDefault="00E45B63">
      <w:pPr>
        <w:numPr>
          <w:ilvl w:val="0"/>
          <w:numId w:val="21"/>
        </w:numPr>
        <w:tabs>
          <w:tab w:val="num" w:pos="566"/>
        </w:tabs>
        <w:spacing w:before="120" w:after="120"/>
        <w:ind w:left="566"/>
        <w:jc w:val="both"/>
        <w:rPr>
          <w:rFonts w:ascii="Verdana" w:hAnsi="Verdana"/>
          <w:noProof/>
          <w:sz w:val="18"/>
          <w:szCs w:val="18"/>
        </w:rPr>
      </w:pPr>
      <w:r>
        <w:rPr>
          <w:rFonts w:ascii="Verdana" w:hAnsi="Verdana"/>
          <w:noProof/>
          <w:sz w:val="18"/>
        </w:rPr>
        <w:t>21 966 Mio. EUR gemäß dem mehrjährigen Finanzrahmen in Anhang Ib des geänderten Cotonou-Abkommens den AKP-Ländern zugewiesen sind; von diesen wiederum werden 20 466 Mio. EUR von der Europäischen Kommission verwaltet;</w:t>
      </w:r>
    </w:p>
    <w:p w:rsidR="001609E3" w:rsidRDefault="00E45B63">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286 Mio. </w:t>
      </w:r>
      <w:r>
        <w:rPr>
          <w:rFonts w:ascii="Verdana" w:hAnsi="Verdana"/>
          <w:noProof/>
          <w:sz w:val="18"/>
        </w:rPr>
        <w:t>EUR gemäß Anhang IIAa des geänderten Beschlusses des Rates über die Assoziation der ÜLG mit der Europäischen Gemeinschaft den ÜLG zugewiesen sind, wovon 256 Mio. EUR von der Europäischen Kommission verwaltet werden;</w:t>
      </w:r>
    </w:p>
    <w:p w:rsidR="001609E3" w:rsidRDefault="00E45B63">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430 Mio. EUR gemäß Artikel 6 des Interne</w:t>
      </w:r>
      <w:r>
        <w:rPr>
          <w:rFonts w:ascii="Verdana" w:hAnsi="Verdana"/>
          <w:noProof/>
          <w:sz w:val="18"/>
        </w:rPr>
        <w:t>n Abkommens der Kommission zur Finanzierung der Kosten zustehen, die in Verbindung mit der Programmierung und Durchführung im Rahmen des 10. EEF anfallen.</w:t>
      </w:r>
    </w:p>
    <w:p w:rsidR="001609E3" w:rsidRDefault="00E45B63">
      <w:pPr>
        <w:spacing w:before="100" w:beforeAutospacing="1" w:after="100" w:afterAutospacing="1"/>
        <w:jc w:val="both"/>
        <w:rPr>
          <w:rFonts w:ascii="Verdana" w:hAnsi="Verdana"/>
          <w:noProof/>
          <w:sz w:val="18"/>
          <w:szCs w:val="18"/>
        </w:rPr>
      </w:pPr>
      <w:r>
        <w:rPr>
          <w:rFonts w:ascii="Verdana" w:hAnsi="Verdana"/>
          <w:noProof/>
          <w:sz w:val="18"/>
        </w:rPr>
        <w:t>Gemäß der „</w:t>
      </w:r>
      <w:r>
        <w:rPr>
          <w:rFonts w:ascii="Verdana" w:hAnsi="Verdana"/>
          <w:b/>
          <w:noProof/>
          <w:sz w:val="18"/>
        </w:rPr>
        <w:t>Verfallsklausel</w:t>
      </w:r>
      <w:r>
        <w:rPr>
          <w:rFonts w:ascii="Verdana" w:hAnsi="Verdana"/>
          <w:noProof/>
          <w:sz w:val="18"/>
        </w:rPr>
        <w:t>“ des 10. EEF (Artikel 1 Absatz 4 und 5 des Internen Abkommens des 10. EEF)</w:t>
      </w:r>
      <w:r>
        <w:rPr>
          <w:rFonts w:ascii="Verdana" w:hAnsi="Verdana"/>
          <w:noProof/>
          <w:sz w:val="18"/>
        </w:rPr>
        <w:t xml:space="preserve"> konnten nach dem 31. Dezember 2013 keine Mittel mehr gebunden werden. Nicht zweckgebundene Mittel wurden in die leistungsgebundene Reserve des 11. EEF übertragen. </w:t>
      </w:r>
    </w:p>
    <w:p w:rsidR="001609E3" w:rsidRDefault="001609E3">
      <w:pPr>
        <w:rPr>
          <w:rFonts w:ascii="Verdana" w:hAnsi="Verdana"/>
          <w:b/>
          <w:i/>
          <w:noProof/>
          <w:sz w:val="18"/>
          <w:szCs w:val="18"/>
        </w:rPr>
      </w:pPr>
    </w:p>
    <w:p w:rsidR="001609E3" w:rsidRDefault="00E45B63">
      <w:pPr>
        <w:rPr>
          <w:rFonts w:ascii="Verdana" w:hAnsi="Verdana"/>
          <w:b/>
          <w:noProof/>
          <w:sz w:val="18"/>
          <w:szCs w:val="18"/>
          <w:u w:val="single"/>
        </w:rPr>
      </w:pPr>
      <w:r>
        <w:rPr>
          <w:noProof/>
        </w:rPr>
        <w:br w:type="page"/>
      </w:r>
      <w:r>
        <w:rPr>
          <w:rFonts w:ascii="Verdana" w:hAnsi="Verdana"/>
          <w:b/>
          <w:noProof/>
          <w:sz w:val="18"/>
          <w:u w:val="single"/>
        </w:rPr>
        <w:t>11. EEF</w:t>
      </w:r>
    </w:p>
    <w:p w:rsidR="001609E3" w:rsidRDefault="00E45B63">
      <w:pPr>
        <w:spacing w:before="120" w:after="120"/>
        <w:jc w:val="both"/>
        <w:rPr>
          <w:rFonts w:ascii="Verdana" w:hAnsi="Verdana"/>
          <w:noProof/>
          <w:sz w:val="18"/>
          <w:szCs w:val="18"/>
        </w:rPr>
      </w:pPr>
      <w:r>
        <w:rPr>
          <w:rFonts w:ascii="Verdana" w:hAnsi="Verdana"/>
          <w:noProof/>
          <w:sz w:val="18"/>
        </w:rPr>
        <w:t xml:space="preserve">Das AKP-EG-Partnerschaftsabkommen, das die Mitgliedstaaten der Europäischen </w:t>
      </w:r>
      <w:r>
        <w:rPr>
          <w:rFonts w:ascii="Verdana" w:hAnsi="Verdana"/>
          <w:noProof/>
          <w:sz w:val="18"/>
        </w:rPr>
        <w:t>Gemeinschaft und die AKP-Staaten (Staaten in Afrika, im karibischen Raum und im Pazifischen Ozean) am 23. Juni 2000 unterzeichneten, trat am 1. April 2003 in Kraft Das Abkommen von Cotonou wurde zweimal geändert, zunächst durch das am 25. Juni 2005 in Luxe</w:t>
      </w:r>
      <w:r>
        <w:rPr>
          <w:rFonts w:ascii="Verdana" w:hAnsi="Verdana"/>
          <w:noProof/>
          <w:sz w:val="18"/>
        </w:rPr>
        <w:t>mburg unterzeichnete Abkommen und später durch das am 22. Juni 2010 in Ouagadougou unterzeichnete Abkommen.</w:t>
      </w:r>
    </w:p>
    <w:p w:rsidR="001609E3" w:rsidRDefault="00E45B63">
      <w:pPr>
        <w:spacing w:before="120" w:after="120"/>
        <w:jc w:val="both"/>
        <w:rPr>
          <w:rFonts w:ascii="Verdana" w:hAnsi="Verdana"/>
          <w:noProof/>
          <w:sz w:val="18"/>
          <w:szCs w:val="18"/>
        </w:rPr>
      </w:pPr>
      <w:r>
        <w:rPr>
          <w:rFonts w:ascii="Verdana" w:hAnsi="Verdana"/>
          <w:noProof/>
          <w:sz w:val="18"/>
        </w:rPr>
        <w:t>Der Beschluss 2001/822/EG des Rates vom 27. November 2001 über die Assoziation der überseeischen Länder und Gebiete (ÜLG) mit der Europäischen Union</w:t>
      </w:r>
      <w:r>
        <w:rPr>
          <w:rFonts w:ascii="Verdana" w:hAnsi="Verdana"/>
          <w:noProof/>
          <w:sz w:val="18"/>
        </w:rPr>
        <w:t xml:space="preserve"> trat am 2. Dezember 2001 in Kraft. Dieser Beschluss wurde mit Beschluss 2007/249/EG vom 19. März 2007 geändert.</w:t>
      </w:r>
    </w:p>
    <w:p w:rsidR="001609E3" w:rsidRDefault="00E45B63">
      <w:pPr>
        <w:spacing w:before="120" w:after="120"/>
        <w:jc w:val="both"/>
        <w:rPr>
          <w:rFonts w:ascii="Verdana" w:hAnsi="Verdana"/>
          <w:noProof/>
          <w:sz w:val="18"/>
          <w:szCs w:val="18"/>
        </w:rPr>
      </w:pPr>
      <w:r>
        <w:rPr>
          <w:rFonts w:ascii="Verdana" w:hAnsi="Verdana"/>
          <w:noProof/>
          <w:sz w:val="18"/>
        </w:rPr>
        <w:t>Das Interne Abkommen über die Finanzierung der im mehrjährigen Finanzrahmen für den Zeitraum 2014-2020 bereitgestellten Gemeinschaftshilfe, das</w:t>
      </w:r>
      <w:r>
        <w:rPr>
          <w:rFonts w:ascii="Verdana" w:hAnsi="Verdana"/>
          <w:noProof/>
          <w:sz w:val="18"/>
        </w:rPr>
        <w:t xml:space="preserve"> gemäß dem geänderten Abkommen von Cotonou von den im Rat vereinigten Vertretern der Regierungen der Mitgliedstaaten der Europäischen Gemeinschaft im August 2013angenommen worden war, trat im März 2015 in Kraft.</w:t>
      </w:r>
    </w:p>
    <w:p w:rsidR="001609E3" w:rsidRDefault="00E45B63">
      <w:pPr>
        <w:spacing w:before="120" w:after="120"/>
        <w:jc w:val="both"/>
        <w:rPr>
          <w:rFonts w:ascii="Verdana" w:hAnsi="Verdana"/>
          <w:noProof/>
          <w:sz w:val="18"/>
          <w:szCs w:val="18"/>
        </w:rPr>
      </w:pPr>
      <w:r>
        <w:rPr>
          <w:rFonts w:ascii="Verdana" w:hAnsi="Verdana"/>
          <w:noProof/>
          <w:sz w:val="18"/>
        </w:rPr>
        <w:t>Im Rahmen des Abkommens von Cotonou wird die</w:t>
      </w:r>
      <w:r>
        <w:rPr>
          <w:rFonts w:ascii="Verdana" w:hAnsi="Verdana"/>
          <w:noProof/>
          <w:sz w:val="18"/>
        </w:rPr>
        <w:t xml:space="preserve"> Hilfe für die AKP-Staaten und die ÜLG im dritten Programmplanungszeitraum 2014-2020 weiterhin überwiegend aus dem 11. EEF finanziert, und zwar in Höhe eines Betrag von 30 506 Mio. EUR, von denen:</w:t>
      </w:r>
    </w:p>
    <w:p w:rsidR="001609E3" w:rsidRDefault="00E45B63">
      <w:pPr>
        <w:numPr>
          <w:ilvl w:val="0"/>
          <w:numId w:val="21"/>
        </w:numPr>
        <w:tabs>
          <w:tab w:val="num" w:pos="566"/>
        </w:tabs>
        <w:spacing w:before="120" w:after="120"/>
        <w:ind w:left="566"/>
        <w:jc w:val="both"/>
        <w:rPr>
          <w:rFonts w:ascii="Verdana" w:hAnsi="Verdana"/>
          <w:noProof/>
          <w:sz w:val="18"/>
          <w:szCs w:val="18"/>
        </w:rPr>
      </w:pPr>
      <w:r>
        <w:rPr>
          <w:rFonts w:ascii="Verdana" w:hAnsi="Verdana"/>
          <w:noProof/>
          <w:sz w:val="18"/>
        </w:rPr>
        <w:t>29 089 Mio. EUR gemäß Artikel 1 Absatz 2 Buchstabe a und Ar</w:t>
      </w:r>
      <w:r>
        <w:rPr>
          <w:rFonts w:ascii="Verdana" w:hAnsi="Verdana"/>
          <w:noProof/>
          <w:sz w:val="18"/>
        </w:rPr>
        <w:t>tikel 2 Buchstabe d des Internen Abkommens den AKP-Ländern zugewiesen sind, wovon 27 955 Mio. EUR von der Europäischen Kommission verwaltet werden;</w:t>
      </w:r>
    </w:p>
    <w:p w:rsidR="001609E3" w:rsidRDefault="00E45B63">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364,5 Mio. EUR gemäß Artikel 1 Absatz 2 Buchstabe a und Artikel 3 Absatz 1 des Internen Abkommens den ÜLG zu</w:t>
      </w:r>
      <w:r>
        <w:rPr>
          <w:rFonts w:ascii="Verdana" w:hAnsi="Verdana"/>
          <w:noProof/>
          <w:sz w:val="18"/>
        </w:rPr>
        <w:t>gewiesen sind, wovon 359,5 Mio. EUR von der Europäischen Kommission verwaltet werden;</w:t>
      </w:r>
    </w:p>
    <w:p w:rsidR="001609E3" w:rsidRDefault="00E45B63">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 xml:space="preserve">1052,5 Mio. EUR gemäß Artikel 1 Absatz 2 Buchstabe a des Internen Abkommens der Kommission zur Finanzierung der Kosten zustehen, die in Verbindung mit der Programmierung </w:t>
      </w:r>
      <w:r>
        <w:rPr>
          <w:rFonts w:ascii="Verdana" w:hAnsi="Verdana"/>
          <w:noProof/>
          <w:sz w:val="18"/>
        </w:rPr>
        <w:t>und Durchführung im Rahmen des 11. EEF anfallen.</w:t>
      </w:r>
    </w:p>
    <w:p w:rsidR="001609E3" w:rsidRDefault="001609E3">
      <w:pPr>
        <w:spacing w:before="120" w:after="120"/>
        <w:jc w:val="both"/>
        <w:rPr>
          <w:noProof/>
        </w:rPr>
      </w:pPr>
    </w:p>
    <w:p w:rsidR="001609E3" w:rsidRDefault="00E45B63">
      <w:pPr>
        <w:tabs>
          <w:tab w:val="left" w:pos="720"/>
        </w:tabs>
        <w:spacing w:before="120" w:after="120"/>
        <w:jc w:val="both"/>
        <w:rPr>
          <w:rFonts w:ascii="Verdana" w:hAnsi="Verdana"/>
          <w:b/>
          <w:i/>
          <w:noProof/>
          <w:sz w:val="18"/>
          <w:szCs w:val="18"/>
        </w:rPr>
      </w:pPr>
      <w:r>
        <w:rPr>
          <w:rFonts w:ascii="Verdana" w:hAnsi="Verdana"/>
          <w:b/>
          <w:i/>
          <w:noProof/>
          <w:sz w:val="18"/>
        </w:rPr>
        <w:t>– Verbleibende Mittel unter der nicht verfügbaren leistungsgebundenen Reserve zum 31.12.2016</w:t>
      </w:r>
    </w:p>
    <w:p w:rsidR="001609E3" w:rsidRDefault="00E45B63">
      <w:pPr>
        <w:spacing w:before="120" w:after="120"/>
        <w:jc w:val="both"/>
        <w:rPr>
          <w:rFonts w:ascii="Verdana" w:hAnsi="Verdana"/>
          <w:noProof/>
          <w:sz w:val="18"/>
          <w:szCs w:val="18"/>
        </w:rPr>
      </w:pPr>
      <w:r>
        <w:rPr>
          <w:rFonts w:ascii="Verdana" w:hAnsi="Verdana"/>
          <w:noProof/>
          <w:sz w:val="18"/>
        </w:rPr>
        <w:t>Mit Ausnahme der Stabex-Mittel wurden die freigegebenen Beträge aus Projekten im Rahmen des 9. EEF und seiner Vor</w:t>
      </w:r>
      <w:r>
        <w:rPr>
          <w:rFonts w:ascii="Verdana" w:hAnsi="Verdana"/>
          <w:noProof/>
          <w:sz w:val="18"/>
        </w:rPr>
        <w:t>gängerfonds auf die leistungsgebundene Reserve des 10. EEF übertragen.</w:t>
      </w:r>
    </w:p>
    <w:p w:rsidR="001609E3" w:rsidRDefault="00E45B63">
      <w:pPr>
        <w:spacing w:before="120" w:after="120"/>
        <w:jc w:val="both"/>
        <w:rPr>
          <w:rFonts w:ascii="Verdana" w:hAnsi="Verdana"/>
          <w:noProof/>
          <w:sz w:val="18"/>
          <w:szCs w:val="18"/>
        </w:rPr>
      </w:pPr>
      <w:r>
        <w:rPr>
          <w:rFonts w:ascii="Verdana" w:hAnsi="Verdana"/>
          <w:noProof/>
          <w:sz w:val="18"/>
        </w:rPr>
        <w:t>Die freigegeben Mittel aus Projekten im Rahmen des 10. EEF werden auf die leistungsgebundene Reserve des 11. EEF übertragen.</w:t>
      </w:r>
    </w:p>
    <w:p w:rsidR="001609E3" w:rsidRDefault="00E45B63">
      <w:pPr>
        <w:spacing w:before="120" w:after="120"/>
        <w:jc w:val="both"/>
        <w:rPr>
          <w:rFonts w:ascii="Verdana" w:hAnsi="Verdana"/>
          <w:noProof/>
          <w:sz w:val="18"/>
          <w:szCs w:val="18"/>
        </w:rPr>
      </w:pPr>
      <w:r>
        <w:rPr>
          <w:rFonts w:ascii="Verdana" w:hAnsi="Verdana"/>
          <w:noProof/>
          <w:sz w:val="18"/>
        </w:rPr>
        <w:t>Im Laufe des Jahres 2016 wurden sämtliche freigegebenen Mitt</w:t>
      </w:r>
      <w:r>
        <w:rPr>
          <w:rFonts w:ascii="Verdana" w:hAnsi="Verdana"/>
          <w:noProof/>
          <w:sz w:val="18"/>
        </w:rPr>
        <w:t xml:space="preserve">el aus früheren EEF auf die jeweiligen Reserven übertragen. </w:t>
      </w:r>
    </w:p>
    <w:p w:rsidR="001609E3" w:rsidRDefault="00E45B63">
      <w:pPr>
        <w:spacing w:before="120" w:after="120"/>
        <w:jc w:val="both"/>
        <w:rPr>
          <w:rFonts w:ascii="Verdana" w:hAnsi="Verdana"/>
          <w:noProof/>
          <w:sz w:val="18"/>
          <w:szCs w:val="18"/>
        </w:rPr>
      </w:pPr>
      <w:r>
        <w:rPr>
          <w:rFonts w:ascii="Verdana" w:hAnsi="Verdana"/>
          <w:noProof/>
          <w:sz w:val="18"/>
        </w:rPr>
        <w:t>Im Einklang mit Artikel 1 Absatz 4 des Internen Abkommens des 11. EEF und des Beschlusses (EU) 2016/1337 des Rates vom 2. August 2016 wurden freigegebene Mittel aus dem 10. EEF bis zu einem Höchs</w:t>
      </w:r>
      <w:r>
        <w:rPr>
          <w:rFonts w:ascii="Verdana" w:hAnsi="Verdana"/>
          <w:noProof/>
          <w:sz w:val="18"/>
        </w:rPr>
        <w:t xml:space="preserve">tbetrag von 491 Mio. EUR zum Zweck der Auffüllung der Friedensfazilität für Afrika für den Zeitraum 2016-2018 übertragen und bis zu 16 Mio. EUR wurden als Unterstützung für Ausgaben übertragen. </w:t>
      </w:r>
    </w:p>
    <w:p w:rsidR="001609E3" w:rsidRDefault="00E45B63">
      <w:pPr>
        <w:ind w:left="6946" w:right="140"/>
        <w:jc w:val="center"/>
        <w:rPr>
          <w:rFonts w:ascii="Verdana" w:hAnsi="Verdana"/>
          <w:noProof/>
          <w:sz w:val="18"/>
          <w:szCs w:val="18"/>
        </w:rPr>
      </w:pPr>
      <w:r>
        <w:rPr>
          <w:rFonts w:ascii="Verdana" w:hAnsi="Verdana"/>
          <w:noProof/>
          <w:sz w:val="18"/>
        </w:rPr>
        <w:t>in Mio. EUR</w:t>
      </w:r>
    </w:p>
    <w:tbl>
      <w:tblPr>
        <w:tblW w:w="8895" w:type="dxa"/>
        <w:tblInd w:w="93" w:type="dxa"/>
        <w:tblLook w:val="04A0" w:firstRow="1" w:lastRow="0" w:firstColumn="1" w:lastColumn="0" w:noHBand="0" w:noVBand="1"/>
      </w:tblPr>
      <w:tblGrid>
        <w:gridCol w:w="7335"/>
        <w:gridCol w:w="1560"/>
      </w:tblGrid>
      <w:tr w:rsidR="001609E3">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1609E3" w:rsidRDefault="00E45B63">
            <w:pPr>
              <w:spacing w:after="120"/>
              <w:rPr>
                <w:rFonts w:ascii="Verdana" w:hAnsi="Verdana" w:cs="Arial"/>
                <w:noProof/>
                <w:sz w:val="18"/>
                <w:szCs w:val="18"/>
              </w:rPr>
            </w:pPr>
            <w:r>
              <w:rPr>
                <w:rFonts w:ascii="Verdana" w:hAnsi="Verdana"/>
                <w:noProof/>
                <w:sz w:val="18"/>
              </w:rPr>
              <w:t xml:space="preserve">Insgesamt verfügbare Mittel unter der nicht </w:t>
            </w:r>
            <w:r>
              <w:rPr>
                <w:rFonts w:ascii="Verdana" w:hAnsi="Verdana"/>
                <w:noProof/>
                <w:sz w:val="18"/>
              </w:rPr>
              <w:t>verfügbaren leistungsgebundenen Reserve zum 31.12.2015</w:t>
            </w:r>
          </w:p>
        </w:tc>
        <w:tc>
          <w:tcPr>
            <w:tcW w:w="1560" w:type="dxa"/>
            <w:tcBorders>
              <w:top w:val="single" w:sz="4" w:space="0" w:color="auto"/>
              <w:left w:val="nil"/>
              <w:bottom w:val="single" w:sz="4" w:space="0" w:color="auto"/>
              <w:right w:val="single" w:sz="4" w:space="0" w:color="auto"/>
            </w:tcBorders>
            <w:noWrap/>
            <w:vAlign w:val="bottom"/>
          </w:tcPr>
          <w:p w:rsidR="001609E3" w:rsidRDefault="00E45B63">
            <w:pPr>
              <w:spacing w:after="120"/>
              <w:jc w:val="right"/>
              <w:rPr>
                <w:rFonts w:ascii="Verdana" w:hAnsi="Verdana" w:cs="Arial"/>
                <w:noProof/>
                <w:sz w:val="18"/>
                <w:szCs w:val="18"/>
              </w:rPr>
            </w:pPr>
            <w:r>
              <w:rPr>
                <w:rFonts w:ascii="Verdana" w:hAnsi="Verdana"/>
                <w:noProof/>
                <w:sz w:val="18"/>
              </w:rPr>
              <w:t>151</w:t>
            </w:r>
          </w:p>
        </w:tc>
      </w:tr>
      <w:tr w:rsidR="001609E3">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1609E3" w:rsidRDefault="00E45B63">
            <w:pPr>
              <w:spacing w:after="120"/>
              <w:rPr>
                <w:rFonts w:ascii="Verdana" w:hAnsi="Verdana" w:cs="Arial"/>
                <w:noProof/>
                <w:sz w:val="18"/>
                <w:szCs w:val="18"/>
              </w:rPr>
            </w:pPr>
            <w:r>
              <w:rPr>
                <w:rFonts w:ascii="Verdana" w:hAnsi="Verdana"/>
                <w:noProof/>
                <w:sz w:val="18"/>
              </w:rPr>
              <w:t>Insgesamt 2016 unter der nicht verfügbaren leistungsgebundenen Reserve bereitgestellte Mittel</w:t>
            </w:r>
          </w:p>
        </w:tc>
        <w:tc>
          <w:tcPr>
            <w:tcW w:w="1560" w:type="dxa"/>
            <w:tcBorders>
              <w:top w:val="single" w:sz="4" w:space="0" w:color="auto"/>
              <w:left w:val="nil"/>
              <w:bottom w:val="single" w:sz="4" w:space="0" w:color="auto"/>
              <w:right w:val="single" w:sz="4" w:space="0" w:color="auto"/>
            </w:tcBorders>
            <w:noWrap/>
            <w:vAlign w:val="bottom"/>
          </w:tcPr>
          <w:p w:rsidR="001609E3" w:rsidRDefault="00E45B63">
            <w:pPr>
              <w:spacing w:after="120"/>
              <w:jc w:val="right"/>
              <w:rPr>
                <w:rFonts w:ascii="Verdana" w:hAnsi="Verdana" w:cs="Arial"/>
                <w:noProof/>
                <w:sz w:val="18"/>
                <w:szCs w:val="18"/>
              </w:rPr>
            </w:pPr>
            <w:r>
              <w:rPr>
                <w:rFonts w:ascii="Verdana" w:hAnsi="Verdana"/>
                <w:noProof/>
                <w:sz w:val="18"/>
              </w:rPr>
              <w:t>534</w:t>
            </w:r>
          </w:p>
        </w:tc>
      </w:tr>
      <w:tr w:rsidR="001609E3">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1609E3" w:rsidRDefault="00E45B63">
            <w:pPr>
              <w:spacing w:after="120"/>
              <w:rPr>
                <w:rFonts w:ascii="Verdana" w:hAnsi="Verdana" w:cs="Arial"/>
                <w:noProof/>
                <w:sz w:val="18"/>
                <w:szCs w:val="18"/>
              </w:rPr>
            </w:pPr>
            <w:r>
              <w:rPr>
                <w:rFonts w:ascii="Verdana" w:hAnsi="Verdana"/>
                <w:noProof/>
                <w:sz w:val="18"/>
              </w:rPr>
              <w:t xml:space="preserve">Abzüglich des zum Zweck der Auffüllung der Friedensfazilität für Afrika zum 31.12.2016 </w:t>
            </w:r>
            <w:r>
              <w:rPr>
                <w:rFonts w:ascii="Verdana" w:hAnsi="Verdana"/>
                <w:noProof/>
                <w:sz w:val="18"/>
              </w:rPr>
              <w:t>übertragenen Betrags</w:t>
            </w:r>
          </w:p>
        </w:tc>
        <w:tc>
          <w:tcPr>
            <w:tcW w:w="1560" w:type="dxa"/>
            <w:tcBorders>
              <w:top w:val="single" w:sz="4" w:space="0" w:color="auto"/>
              <w:left w:val="nil"/>
              <w:bottom w:val="single" w:sz="4" w:space="0" w:color="auto"/>
              <w:right w:val="single" w:sz="4" w:space="0" w:color="auto"/>
            </w:tcBorders>
            <w:noWrap/>
            <w:vAlign w:val="bottom"/>
          </w:tcPr>
          <w:p w:rsidR="001609E3" w:rsidRDefault="00E45B63">
            <w:pPr>
              <w:spacing w:after="120"/>
              <w:jc w:val="right"/>
              <w:rPr>
                <w:rFonts w:ascii="Verdana" w:hAnsi="Verdana" w:cs="Arial"/>
                <w:noProof/>
                <w:sz w:val="18"/>
                <w:szCs w:val="18"/>
              </w:rPr>
            </w:pPr>
            <w:r>
              <w:rPr>
                <w:rFonts w:ascii="Verdana" w:hAnsi="Verdana"/>
                <w:noProof/>
                <w:sz w:val="18"/>
              </w:rPr>
              <w:t>(386)</w:t>
            </w:r>
          </w:p>
        </w:tc>
      </w:tr>
      <w:tr w:rsidR="001609E3">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1609E3" w:rsidRDefault="00E45B63">
            <w:pPr>
              <w:rPr>
                <w:rFonts w:ascii="Verdana" w:hAnsi="Verdana" w:cs="Arial"/>
                <w:noProof/>
                <w:sz w:val="18"/>
                <w:szCs w:val="18"/>
              </w:rPr>
            </w:pPr>
            <w:r>
              <w:rPr>
                <w:rFonts w:ascii="Verdana" w:hAnsi="Verdana"/>
                <w:noProof/>
                <w:sz w:val="18"/>
              </w:rPr>
              <w:t xml:space="preserve">Saldo der nicht verfügbaren Reserve (aus freigegebenen Mittels des 8., 9. und 10. EEF) zum 31.12.2016 </w:t>
            </w:r>
          </w:p>
        </w:tc>
        <w:tc>
          <w:tcPr>
            <w:tcW w:w="1560" w:type="dxa"/>
            <w:tcBorders>
              <w:top w:val="single" w:sz="4" w:space="0" w:color="auto"/>
              <w:left w:val="nil"/>
              <w:bottom w:val="single" w:sz="4" w:space="0" w:color="auto"/>
              <w:right w:val="single" w:sz="4" w:space="0" w:color="auto"/>
            </w:tcBorders>
            <w:noWrap/>
            <w:vAlign w:val="bottom"/>
          </w:tcPr>
          <w:p w:rsidR="001609E3" w:rsidRDefault="00E45B63">
            <w:pPr>
              <w:jc w:val="right"/>
              <w:rPr>
                <w:rFonts w:ascii="Verdana" w:hAnsi="Verdana" w:cs="Arial"/>
                <w:noProof/>
                <w:sz w:val="18"/>
                <w:szCs w:val="18"/>
              </w:rPr>
            </w:pPr>
            <w:r>
              <w:rPr>
                <w:rFonts w:ascii="Verdana" w:hAnsi="Verdana"/>
                <w:noProof/>
                <w:sz w:val="18"/>
              </w:rPr>
              <w:t>299</w:t>
            </w:r>
          </w:p>
        </w:tc>
      </w:tr>
    </w:tbl>
    <w:p w:rsidR="001609E3" w:rsidRDefault="001609E3">
      <w:pPr>
        <w:spacing w:before="120" w:after="120"/>
        <w:rPr>
          <w:noProof/>
        </w:rPr>
      </w:pPr>
    </w:p>
    <w:p w:rsidR="001609E3" w:rsidRDefault="00E45B63">
      <w:pPr>
        <w:rPr>
          <w:rFonts w:ascii="Verdana" w:hAnsi="Verdana"/>
          <w:b/>
          <w:i/>
          <w:noProof/>
          <w:sz w:val="18"/>
          <w:szCs w:val="18"/>
        </w:rPr>
      </w:pPr>
      <w:r>
        <w:rPr>
          <w:rFonts w:ascii="Verdana" w:hAnsi="Verdana"/>
          <w:b/>
          <w:i/>
          <w:noProof/>
          <w:sz w:val="18"/>
        </w:rPr>
        <w:t>- Stabex-Rücklage des 11. EEF</w:t>
      </w:r>
    </w:p>
    <w:p w:rsidR="001609E3" w:rsidRDefault="00E45B63">
      <w:pPr>
        <w:jc w:val="both"/>
        <w:rPr>
          <w:rFonts w:ascii="Verdana" w:hAnsi="Verdana"/>
          <w:noProof/>
          <w:sz w:val="18"/>
          <w:szCs w:val="18"/>
        </w:rPr>
      </w:pPr>
      <w:r>
        <w:rPr>
          <w:rFonts w:ascii="Verdana" w:hAnsi="Verdana"/>
          <w:noProof/>
          <w:sz w:val="18"/>
        </w:rPr>
        <w:t xml:space="preserve">Nach dem Rechnungsabschluss des Stabex werden nicht verwendete bzw. freigegebene Mittel </w:t>
      </w:r>
      <w:r>
        <w:rPr>
          <w:rFonts w:ascii="Verdana" w:hAnsi="Verdana"/>
          <w:noProof/>
          <w:sz w:val="18"/>
        </w:rPr>
        <w:t>in die Rücklage für die Mittelausstattung von Stabex A des 11. EEF (Internes Abkommen zum 10. EEF, Artikel 1 Absatz 4) und anschließend auf die Richtprogramme der betroffenen Länder übertragen.</w:t>
      </w:r>
    </w:p>
    <w:p w:rsidR="001609E3" w:rsidRDefault="00E45B63">
      <w:pPr>
        <w:rPr>
          <w:rFonts w:ascii="Verdana" w:hAnsi="Verdana"/>
          <w:noProof/>
          <w:sz w:val="18"/>
          <w:szCs w:val="18"/>
        </w:rPr>
      </w:pPr>
      <w:r>
        <w:rPr>
          <w:noProof/>
        </w:rPr>
        <w:br w:type="page"/>
      </w:r>
    </w:p>
    <w:p w:rsidR="001609E3" w:rsidRDefault="00E45B63">
      <w:pPr>
        <w:rPr>
          <w:rFonts w:ascii="Verdana" w:hAnsi="Verdana"/>
          <w:b/>
          <w:i/>
          <w:noProof/>
          <w:sz w:val="18"/>
          <w:szCs w:val="18"/>
        </w:rPr>
      </w:pPr>
      <w:r>
        <w:rPr>
          <w:rFonts w:ascii="Verdana" w:hAnsi="Verdana"/>
          <w:b/>
          <w:i/>
          <w:noProof/>
          <w:sz w:val="18"/>
        </w:rPr>
        <w:t>- Kofinanzierungen im Rahmen des EEF</w:t>
      </w:r>
    </w:p>
    <w:p w:rsidR="001609E3" w:rsidRDefault="00E45B63">
      <w:pPr>
        <w:jc w:val="both"/>
        <w:rPr>
          <w:rFonts w:ascii="Verdana" w:hAnsi="Verdana"/>
          <w:noProof/>
          <w:sz w:val="18"/>
          <w:szCs w:val="18"/>
        </w:rPr>
      </w:pPr>
      <w:r>
        <w:rPr>
          <w:rFonts w:ascii="Verdana" w:hAnsi="Verdana"/>
          <w:noProof/>
          <w:sz w:val="18"/>
        </w:rPr>
        <w:t>Im Rahmen des 10. und 1</w:t>
      </w:r>
      <w:r>
        <w:rPr>
          <w:rFonts w:ascii="Verdana" w:hAnsi="Verdana"/>
          <w:noProof/>
          <w:sz w:val="18"/>
        </w:rPr>
        <w:t>1. EEF wurden Transfervereinbarungen über Kofinanzierungen durch Mitgliedstaaten geschlossen. Insgesamt wurden Mittel für Verpflichtungen in Höhe von 209 Mio. EUR bereitgestellt, während für die eingenommene Beträge Mittel für Zahlungen in Höhe von insgesa</w:t>
      </w:r>
      <w:r>
        <w:rPr>
          <w:rFonts w:ascii="Verdana" w:hAnsi="Verdana"/>
          <w:noProof/>
          <w:sz w:val="18"/>
        </w:rPr>
        <w:t xml:space="preserve">mt 190 Mio. EUR freigegeben wurden. </w:t>
      </w:r>
    </w:p>
    <w:p w:rsidR="001609E3" w:rsidRDefault="00E45B63">
      <w:pPr>
        <w:rPr>
          <w:rFonts w:ascii="Verdana" w:hAnsi="Verdana"/>
          <w:noProof/>
          <w:sz w:val="18"/>
          <w:szCs w:val="18"/>
        </w:rPr>
      </w:pPr>
      <w:r>
        <w:rPr>
          <w:rFonts w:ascii="Verdana" w:hAnsi="Verdana"/>
          <w:noProof/>
          <w:sz w:val="18"/>
        </w:rPr>
        <w:t xml:space="preserve">Der folgenden Tabelle ist der Stand der Kofinanzierungsmittel zum 31.12.2016 zu entnehmen: </w:t>
      </w:r>
    </w:p>
    <w:p w:rsidR="001609E3" w:rsidRDefault="00E45B63">
      <w:pPr>
        <w:ind w:left="6349" w:right="424" w:firstLine="907"/>
        <w:jc w:val="center"/>
        <w:rPr>
          <w:rFonts w:ascii="Verdana" w:hAnsi="Verdana"/>
          <w:noProof/>
          <w:sz w:val="18"/>
          <w:szCs w:val="18"/>
        </w:rPr>
      </w:pPr>
      <w:r>
        <w:rPr>
          <w:rFonts w:ascii="Verdana" w:hAnsi="Verdana"/>
          <w:noProof/>
          <w:sz w:val="18"/>
        </w:rPr>
        <w:t>in Mio. EUR</w:t>
      </w:r>
    </w:p>
    <w:tbl>
      <w:tblPr>
        <w:tblW w:w="8804" w:type="dxa"/>
        <w:tblInd w:w="93" w:type="dxa"/>
        <w:tblLook w:val="04A0" w:firstRow="1" w:lastRow="0" w:firstColumn="1" w:lastColumn="0" w:noHBand="0" w:noVBand="1"/>
      </w:tblPr>
      <w:tblGrid>
        <w:gridCol w:w="3540"/>
        <w:gridCol w:w="2854"/>
        <w:gridCol w:w="2410"/>
      </w:tblGrid>
      <w:tr w:rsidR="001609E3">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rsidR="001609E3" w:rsidRDefault="001609E3">
            <w:pPr>
              <w:rPr>
                <w:rFonts w:ascii="Verdana" w:hAnsi="Verdana" w:cs="Arial"/>
                <w:noProof/>
                <w:sz w:val="18"/>
                <w:szCs w:val="18"/>
              </w:rPr>
            </w:pPr>
          </w:p>
        </w:tc>
        <w:tc>
          <w:tcPr>
            <w:tcW w:w="2854" w:type="dxa"/>
            <w:tcBorders>
              <w:top w:val="single" w:sz="8" w:space="0" w:color="auto"/>
              <w:left w:val="nil"/>
              <w:bottom w:val="single" w:sz="4" w:space="0" w:color="000000"/>
              <w:right w:val="single" w:sz="4" w:space="0" w:color="000000"/>
            </w:tcBorders>
            <w:vAlign w:val="center"/>
            <w:hideMark/>
          </w:tcPr>
          <w:p w:rsidR="001609E3" w:rsidRDefault="00E45B63">
            <w:pPr>
              <w:rPr>
                <w:rFonts w:ascii="Verdana" w:hAnsi="Verdana" w:cs="Arial"/>
                <w:noProof/>
                <w:sz w:val="18"/>
                <w:szCs w:val="18"/>
              </w:rPr>
            </w:pPr>
            <w:r>
              <w:rPr>
                <w:rFonts w:ascii="Verdana" w:hAnsi="Verdana"/>
                <w:noProof/>
                <w:sz w:val="18"/>
              </w:rPr>
              <w:t>Mittel für Verpflichtungen</w:t>
            </w:r>
          </w:p>
        </w:tc>
        <w:tc>
          <w:tcPr>
            <w:tcW w:w="2410" w:type="dxa"/>
            <w:tcBorders>
              <w:top w:val="single" w:sz="8" w:space="0" w:color="auto"/>
              <w:left w:val="nil"/>
              <w:bottom w:val="single" w:sz="4" w:space="0" w:color="000000"/>
              <w:right w:val="single" w:sz="8" w:space="0" w:color="auto"/>
            </w:tcBorders>
            <w:vAlign w:val="center"/>
            <w:hideMark/>
          </w:tcPr>
          <w:p w:rsidR="001609E3" w:rsidRDefault="00E45B63">
            <w:pPr>
              <w:rPr>
                <w:rFonts w:ascii="Verdana" w:hAnsi="Verdana" w:cs="Arial"/>
                <w:noProof/>
                <w:sz w:val="18"/>
                <w:szCs w:val="18"/>
              </w:rPr>
            </w:pPr>
            <w:r>
              <w:rPr>
                <w:rFonts w:ascii="Verdana" w:hAnsi="Verdana"/>
                <w:noProof/>
                <w:sz w:val="18"/>
              </w:rPr>
              <w:t>Mittel für Zahlungen</w:t>
            </w:r>
          </w:p>
        </w:tc>
      </w:tr>
      <w:tr w:rsidR="001609E3">
        <w:trPr>
          <w:trHeight w:val="255"/>
        </w:trPr>
        <w:tc>
          <w:tcPr>
            <w:tcW w:w="3540" w:type="dxa"/>
            <w:tcBorders>
              <w:top w:val="nil"/>
              <w:left w:val="single" w:sz="4" w:space="0" w:color="000000"/>
              <w:bottom w:val="single" w:sz="4" w:space="0" w:color="000000"/>
              <w:right w:val="single" w:sz="4" w:space="0" w:color="000000"/>
            </w:tcBorders>
            <w:noWrap/>
            <w:vAlign w:val="center"/>
            <w:hideMark/>
          </w:tcPr>
          <w:p w:rsidR="001609E3" w:rsidRDefault="00E45B63">
            <w:pPr>
              <w:rPr>
                <w:rFonts w:ascii="Verdana" w:hAnsi="Verdana" w:cs="Arial"/>
                <w:noProof/>
                <w:sz w:val="18"/>
                <w:szCs w:val="18"/>
              </w:rPr>
            </w:pPr>
            <w:r>
              <w:rPr>
                <w:rFonts w:ascii="Verdana" w:hAnsi="Verdana"/>
                <w:noProof/>
                <w:sz w:val="18"/>
              </w:rPr>
              <w:t>Kofinanzierung - Mittelausstattung A</w:t>
            </w:r>
          </w:p>
        </w:tc>
        <w:tc>
          <w:tcPr>
            <w:tcW w:w="2854" w:type="dxa"/>
            <w:tcBorders>
              <w:top w:val="nil"/>
              <w:left w:val="nil"/>
              <w:bottom w:val="single" w:sz="4" w:space="0" w:color="000000"/>
              <w:right w:val="single" w:sz="4" w:space="0" w:color="000000"/>
            </w:tcBorders>
            <w:noWrap/>
            <w:vAlign w:val="center"/>
            <w:hideMark/>
          </w:tcPr>
          <w:p w:rsidR="001609E3" w:rsidRDefault="00E45B63">
            <w:pPr>
              <w:jc w:val="right"/>
              <w:rPr>
                <w:rFonts w:ascii="Verdana" w:hAnsi="Verdana" w:cs="Arial"/>
                <w:noProof/>
                <w:sz w:val="18"/>
                <w:szCs w:val="18"/>
              </w:rPr>
            </w:pPr>
            <w:r>
              <w:rPr>
                <w:rFonts w:ascii="Verdana" w:hAnsi="Verdana"/>
                <w:noProof/>
                <w:sz w:val="18"/>
              </w:rPr>
              <w:t>190.0</w:t>
            </w:r>
          </w:p>
        </w:tc>
        <w:tc>
          <w:tcPr>
            <w:tcW w:w="2410" w:type="dxa"/>
            <w:tcBorders>
              <w:top w:val="nil"/>
              <w:left w:val="nil"/>
              <w:bottom w:val="single" w:sz="4" w:space="0" w:color="000000"/>
              <w:right w:val="single" w:sz="8" w:space="0" w:color="auto"/>
            </w:tcBorders>
            <w:noWrap/>
            <w:vAlign w:val="center"/>
            <w:hideMark/>
          </w:tcPr>
          <w:p w:rsidR="001609E3" w:rsidRDefault="00E45B63">
            <w:pPr>
              <w:jc w:val="right"/>
              <w:rPr>
                <w:rFonts w:ascii="Verdana" w:hAnsi="Verdana" w:cs="Arial"/>
                <w:noProof/>
                <w:sz w:val="18"/>
                <w:szCs w:val="18"/>
              </w:rPr>
            </w:pPr>
            <w:r>
              <w:rPr>
                <w:rFonts w:ascii="Verdana" w:hAnsi="Verdana"/>
                <w:noProof/>
                <w:sz w:val="18"/>
              </w:rPr>
              <w:t>171.3</w:t>
            </w:r>
          </w:p>
        </w:tc>
      </w:tr>
      <w:tr w:rsidR="001609E3">
        <w:trPr>
          <w:trHeight w:val="255"/>
        </w:trPr>
        <w:tc>
          <w:tcPr>
            <w:tcW w:w="3540" w:type="dxa"/>
            <w:tcBorders>
              <w:top w:val="nil"/>
              <w:left w:val="single" w:sz="4" w:space="0" w:color="000000"/>
              <w:bottom w:val="single" w:sz="4" w:space="0" w:color="000000"/>
              <w:right w:val="single" w:sz="4" w:space="0" w:color="000000"/>
            </w:tcBorders>
            <w:noWrap/>
            <w:vAlign w:val="center"/>
            <w:hideMark/>
          </w:tcPr>
          <w:p w:rsidR="001609E3" w:rsidRDefault="00E45B63">
            <w:pPr>
              <w:rPr>
                <w:rFonts w:ascii="Verdana" w:hAnsi="Verdana" w:cs="Arial"/>
                <w:noProof/>
                <w:sz w:val="18"/>
                <w:szCs w:val="18"/>
              </w:rPr>
            </w:pPr>
            <w:r>
              <w:rPr>
                <w:rFonts w:ascii="Verdana" w:hAnsi="Verdana"/>
                <w:noProof/>
                <w:sz w:val="18"/>
              </w:rPr>
              <w:t xml:space="preserve">Kofinanzierung </w:t>
            </w:r>
            <w:r>
              <w:rPr>
                <w:rFonts w:ascii="Verdana" w:hAnsi="Verdana"/>
                <w:noProof/>
                <w:sz w:val="18"/>
              </w:rPr>
              <w:t>– „Intra-AKP″</w:t>
            </w:r>
          </w:p>
        </w:tc>
        <w:tc>
          <w:tcPr>
            <w:tcW w:w="2854" w:type="dxa"/>
            <w:tcBorders>
              <w:top w:val="nil"/>
              <w:left w:val="nil"/>
              <w:bottom w:val="single" w:sz="4" w:space="0" w:color="000000"/>
              <w:right w:val="single" w:sz="4" w:space="0" w:color="000000"/>
            </w:tcBorders>
            <w:noWrap/>
            <w:vAlign w:val="center"/>
            <w:hideMark/>
          </w:tcPr>
          <w:p w:rsidR="001609E3" w:rsidRDefault="00E45B63">
            <w:pPr>
              <w:jc w:val="right"/>
              <w:rPr>
                <w:rFonts w:ascii="Verdana" w:hAnsi="Verdana" w:cs="Arial"/>
                <w:noProof/>
                <w:sz w:val="18"/>
                <w:szCs w:val="18"/>
              </w:rPr>
            </w:pPr>
            <w:r>
              <w:rPr>
                <w:rFonts w:ascii="Verdana" w:hAnsi="Verdana"/>
                <w:noProof/>
                <w:sz w:val="18"/>
              </w:rPr>
              <w:t>13.4</w:t>
            </w:r>
          </w:p>
        </w:tc>
        <w:tc>
          <w:tcPr>
            <w:tcW w:w="2410" w:type="dxa"/>
            <w:tcBorders>
              <w:top w:val="nil"/>
              <w:left w:val="nil"/>
              <w:bottom w:val="single" w:sz="4" w:space="0" w:color="000000"/>
              <w:right w:val="single" w:sz="8" w:space="0" w:color="auto"/>
            </w:tcBorders>
            <w:noWrap/>
            <w:vAlign w:val="center"/>
            <w:hideMark/>
          </w:tcPr>
          <w:p w:rsidR="001609E3" w:rsidRDefault="00E45B63">
            <w:pPr>
              <w:jc w:val="right"/>
              <w:rPr>
                <w:rFonts w:ascii="Verdana" w:hAnsi="Verdana" w:cs="Arial"/>
                <w:noProof/>
                <w:sz w:val="18"/>
                <w:szCs w:val="18"/>
              </w:rPr>
            </w:pPr>
            <w:r>
              <w:rPr>
                <w:rFonts w:ascii="Verdana" w:hAnsi="Verdana"/>
                <w:noProof/>
                <w:sz w:val="18"/>
              </w:rPr>
              <w:t>13.4</w:t>
            </w:r>
          </w:p>
        </w:tc>
      </w:tr>
      <w:tr w:rsidR="001609E3">
        <w:trPr>
          <w:trHeight w:val="270"/>
        </w:trPr>
        <w:tc>
          <w:tcPr>
            <w:tcW w:w="3540" w:type="dxa"/>
            <w:tcBorders>
              <w:top w:val="nil"/>
              <w:left w:val="single" w:sz="4" w:space="0" w:color="000000"/>
              <w:bottom w:val="single" w:sz="8" w:space="0" w:color="auto"/>
              <w:right w:val="single" w:sz="4" w:space="0" w:color="000000"/>
            </w:tcBorders>
            <w:noWrap/>
            <w:vAlign w:val="center"/>
            <w:hideMark/>
          </w:tcPr>
          <w:p w:rsidR="001609E3" w:rsidRDefault="00E45B63">
            <w:pPr>
              <w:rPr>
                <w:rFonts w:ascii="Verdana" w:hAnsi="Verdana" w:cs="Arial"/>
                <w:noProof/>
                <w:sz w:val="18"/>
                <w:szCs w:val="18"/>
              </w:rPr>
            </w:pPr>
            <w:r>
              <w:rPr>
                <w:rFonts w:ascii="Verdana" w:hAnsi="Verdana"/>
                <w:noProof/>
                <w:sz w:val="18"/>
              </w:rPr>
              <w:t>Kofinanzierung – Verwaltungsaufwendungen</w:t>
            </w:r>
          </w:p>
        </w:tc>
        <w:tc>
          <w:tcPr>
            <w:tcW w:w="2854" w:type="dxa"/>
            <w:tcBorders>
              <w:top w:val="nil"/>
              <w:left w:val="nil"/>
              <w:bottom w:val="single" w:sz="8" w:space="0" w:color="auto"/>
              <w:right w:val="single" w:sz="4" w:space="0" w:color="000000"/>
            </w:tcBorders>
            <w:noWrap/>
            <w:vAlign w:val="center"/>
            <w:hideMark/>
          </w:tcPr>
          <w:p w:rsidR="001609E3" w:rsidRDefault="00E45B63">
            <w:pPr>
              <w:jc w:val="right"/>
              <w:rPr>
                <w:rFonts w:ascii="Verdana" w:hAnsi="Verdana" w:cs="Arial"/>
                <w:noProof/>
                <w:sz w:val="18"/>
                <w:szCs w:val="18"/>
              </w:rPr>
            </w:pPr>
            <w:r>
              <w:rPr>
                <w:rFonts w:ascii="Verdana" w:hAnsi="Verdana"/>
                <w:noProof/>
                <w:sz w:val="18"/>
              </w:rPr>
              <w:t>5.5</w:t>
            </w:r>
          </w:p>
        </w:tc>
        <w:tc>
          <w:tcPr>
            <w:tcW w:w="2410" w:type="dxa"/>
            <w:tcBorders>
              <w:top w:val="nil"/>
              <w:left w:val="nil"/>
              <w:bottom w:val="single" w:sz="8" w:space="0" w:color="auto"/>
              <w:right w:val="single" w:sz="8" w:space="0" w:color="auto"/>
            </w:tcBorders>
            <w:noWrap/>
            <w:vAlign w:val="center"/>
            <w:hideMark/>
          </w:tcPr>
          <w:p w:rsidR="001609E3" w:rsidRDefault="00E45B63">
            <w:pPr>
              <w:jc w:val="right"/>
              <w:rPr>
                <w:rFonts w:ascii="Verdana" w:hAnsi="Verdana" w:cs="Arial"/>
                <w:noProof/>
                <w:sz w:val="18"/>
                <w:szCs w:val="18"/>
              </w:rPr>
            </w:pPr>
            <w:r>
              <w:rPr>
                <w:rFonts w:ascii="Verdana" w:hAnsi="Verdana"/>
                <w:noProof/>
                <w:sz w:val="18"/>
              </w:rPr>
              <w:t>5.4</w:t>
            </w:r>
          </w:p>
        </w:tc>
      </w:tr>
      <w:tr w:rsidR="001609E3">
        <w:trPr>
          <w:trHeight w:val="270"/>
        </w:trPr>
        <w:tc>
          <w:tcPr>
            <w:tcW w:w="3540" w:type="dxa"/>
            <w:noWrap/>
            <w:vAlign w:val="bottom"/>
          </w:tcPr>
          <w:p w:rsidR="001609E3" w:rsidRDefault="001609E3">
            <w:pPr>
              <w:rPr>
                <w:rFonts w:ascii="Verdana" w:hAnsi="Verdana" w:cs="Arial"/>
                <w:noProof/>
                <w:sz w:val="18"/>
                <w:szCs w:val="18"/>
              </w:rPr>
            </w:pPr>
          </w:p>
        </w:tc>
        <w:tc>
          <w:tcPr>
            <w:tcW w:w="2854" w:type="dxa"/>
            <w:tcBorders>
              <w:top w:val="nil"/>
              <w:left w:val="single" w:sz="8" w:space="0" w:color="auto"/>
              <w:bottom w:val="single" w:sz="8" w:space="0" w:color="auto"/>
              <w:right w:val="single" w:sz="4" w:space="0" w:color="auto"/>
            </w:tcBorders>
            <w:noWrap/>
            <w:vAlign w:val="bottom"/>
            <w:hideMark/>
          </w:tcPr>
          <w:p w:rsidR="001609E3" w:rsidRDefault="00E45B63">
            <w:pPr>
              <w:jc w:val="right"/>
              <w:rPr>
                <w:rFonts w:ascii="Verdana" w:hAnsi="Verdana" w:cs="Arial"/>
                <w:b/>
                <w:bCs/>
                <w:noProof/>
                <w:sz w:val="18"/>
                <w:szCs w:val="18"/>
              </w:rPr>
            </w:pPr>
            <w:r>
              <w:rPr>
                <w:rFonts w:ascii="Verdana" w:hAnsi="Verdana"/>
                <w:b/>
                <w:noProof/>
                <w:sz w:val="18"/>
              </w:rPr>
              <w:t>209.4</w:t>
            </w:r>
          </w:p>
        </w:tc>
        <w:tc>
          <w:tcPr>
            <w:tcW w:w="2410" w:type="dxa"/>
            <w:tcBorders>
              <w:top w:val="nil"/>
              <w:left w:val="nil"/>
              <w:bottom w:val="single" w:sz="8" w:space="0" w:color="auto"/>
              <w:right w:val="single" w:sz="8" w:space="0" w:color="auto"/>
            </w:tcBorders>
            <w:noWrap/>
            <w:vAlign w:val="bottom"/>
            <w:hideMark/>
          </w:tcPr>
          <w:p w:rsidR="001609E3" w:rsidRDefault="00E45B63">
            <w:pPr>
              <w:jc w:val="right"/>
              <w:rPr>
                <w:rFonts w:ascii="Verdana" w:hAnsi="Verdana" w:cs="Arial"/>
                <w:b/>
                <w:bCs/>
                <w:noProof/>
                <w:sz w:val="18"/>
                <w:szCs w:val="18"/>
              </w:rPr>
            </w:pPr>
            <w:r>
              <w:rPr>
                <w:rFonts w:ascii="Verdana" w:hAnsi="Verdana"/>
                <w:b/>
                <w:noProof/>
                <w:sz w:val="18"/>
              </w:rPr>
              <w:t>190.1</w:t>
            </w:r>
          </w:p>
        </w:tc>
      </w:tr>
    </w:tbl>
    <w:p w:rsidR="001609E3" w:rsidRDefault="001609E3">
      <w:pPr>
        <w:rPr>
          <w:rFonts w:ascii="Verdana" w:hAnsi="Verdana"/>
          <w:noProof/>
          <w:sz w:val="18"/>
          <w:szCs w:val="18"/>
        </w:rPr>
      </w:pPr>
    </w:p>
    <w:p w:rsidR="001609E3" w:rsidRDefault="00E45B63">
      <w:pPr>
        <w:rPr>
          <w:rFonts w:ascii="Verdana" w:hAnsi="Verdana"/>
          <w:b/>
          <w:noProof/>
          <w:sz w:val="18"/>
          <w:szCs w:val="18"/>
          <w:u w:val="single"/>
        </w:rPr>
      </w:pPr>
      <w:r>
        <w:rPr>
          <w:rFonts w:ascii="Verdana" w:hAnsi="Verdana"/>
          <w:noProof/>
          <w:sz w:val="18"/>
        </w:rPr>
        <w:t>Die folgenden Tabellen geben einen Überblick über die beschlossenen, vertraglich festgelegten und ausgezahlten Beträge. Die ausgewiesenen Beträge sind Nettobeträge.</w:t>
      </w:r>
      <w:r>
        <w:rPr>
          <w:rFonts w:ascii="Verdana" w:hAnsi="Verdana"/>
          <w:noProof/>
          <w:sz w:val="18"/>
          <w:u w:val="single"/>
        </w:rPr>
        <w:t xml:space="preserve"> </w:t>
      </w:r>
      <w:r>
        <w:rPr>
          <w:rFonts w:ascii="Verdana" w:hAnsi="Verdana"/>
          <w:noProof/>
          <w:sz w:val="18"/>
          <w:szCs w:val="18"/>
          <w:u w:val="single"/>
        </w:rPr>
        <w:br/>
      </w:r>
      <w:r>
        <w:rPr>
          <w:rFonts w:ascii="Verdana" w:hAnsi="Verdana"/>
          <w:noProof/>
          <w:sz w:val="18"/>
        </w:rPr>
        <w:t>Die Tabellen, in denen die Lage nach Finanzierungsinstrumenten dargestellt wird, sind beigefügt.</w:t>
      </w:r>
    </w:p>
    <w:p w:rsidR="001609E3" w:rsidRDefault="00E45B63">
      <w:pPr>
        <w:rPr>
          <w:noProof/>
        </w:rPr>
      </w:pPr>
      <w:r>
        <w:rPr>
          <w:noProof/>
        </w:rPr>
        <w:br w:type="page"/>
      </w:r>
    </w:p>
    <w:p w:rsidR="001609E3" w:rsidRDefault="00E45B63">
      <w:pPr>
        <w:rPr>
          <w:rFonts w:ascii="Verdana" w:hAnsi="Verdana"/>
          <w:noProof/>
        </w:rPr>
      </w:pPr>
      <w:r>
        <w:rPr>
          <w:noProof/>
          <w:lang w:val="en-GB" w:eastAsia="en-GB" w:bidi="ar-SA"/>
        </w:rPr>
        <w:drawing>
          <wp:inline distT="0" distB="0" distL="0" distR="0" wp14:anchorId="743EA656" wp14:editId="228039B0">
            <wp:extent cx="6120765" cy="6792988"/>
            <wp:effectExtent l="0" t="0" r="0" b="8255"/>
            <wp:docPr id="884792" name="Picture 88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20765" cy="6792988"/>
                    </a:xfrm>
                    <a:prstGeom prst="rect">
                      <a:avLst/>
                    </a:prstGeom>
                    <a:noFill/>
                    <a:ln>
                      <a:noFill/>
                    </a:ln>
                  </pic:spPr>
                </pic:pic>
              </a:graphicData>
            </a:graphic>
          </wp:inline>
        </w:drawing>
      </w:r>
    </w:p>
    <w:p w:rsidR="001609E3" w:rsidRDefault="001609E3">
      <w:pPr>
        <w:rPr>
          <w:noProof/>
        </w:rPr>
        <w:sectPr w:rsidR="001609E3">
          <w:headerReference w:type="even" r:id="rId362"/>
          <w:headerReference w:type="default" r:id="rId363"/>
          <w:footerReference w:type="even" r:id="rId364"/>
          <w:footerReference w:type="default" r:id="rId365"/>
          <w:headerReference w:type="first" r:id="rId366"/>
          <w:footerReference w:type="first" r:id="rId367"/>
          <w:pgSz w:w="11907" w:h="16840"/>
          <w:pgMar w:top="1134" w:right="1134" w:bottom="1134" w:left="1134" w:header="709" w:footer="709" w:gutter="0"/>
          <w:cols w:space="708"/>
          <w:docGrid w:linePitch="360"/>
        </w:sectPr>
      </w:pPr>
    </w:p>
    <w:p w:rsidR="001609E3" w:rsidRDefault="00E45B63">
      <w:pPr>
        <w:spacing w:before="120" w:after="120"/>
        <w:rPr>
          <w:rFonts w:ascii="Verdana" w:hAnsi="Verdana"/>
          <w:noProof/>
        </w:rPr>
      </w:pPr>
      <w:r>
        <w:rPr>
          <w:noProof/>
          <w:lang w:val="en-GB" w:eastAsia="en-GB" w:bidi="ar-SA"/>
        </w:rPr>
        <w:drawing>
          <wp:inline distT="0" distB="0" distL="0" distR="0" wp14:anchorId="2C31E5F0" wp14:editId="114EE93A">
            <wp:extent cx="6120765" cy="8188716"/>
            <wp:effectExtent l="0" t="0" r="0" b="3175"/>
            <wp:docPr id="884794" name="Picture 88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20765" cy="8188716"/>
                    </a:xfrm>
                    <a:prstGeom prst="rect">
                      <a:avLst/>
                    </a:prstGeom>
                    <a:noFill/>
                    <a:ln>
                      <a:noFill/>
                    </a:ln>
                  </pic:spPr>
                </pic:pic>
              </a:graphicData>
            </a:graphic>
          </wp:inline>
        </w:drawing>
      </w:r>
    </w:p>
    <w:bookmarkEnd w:id="400"/>
    <w:p w:rsidR="001609E3" w:rsidRDefault="001609E3">
      <w:pPr>
        <w:rPr>
          <w:noProof/>
        </w:rPr>
        <w:sectPr w:rsidR="001609E3">
          <w:headerReference w:type="even" r:id="rId369"/>
          <w:headerReference w:type="default" r:id="rId370"/>
          <w:footerReference w:type="even" r:id="rId371"/>
          <w:footerReference w:type="default" r:id="rId372"/>
          <w:headerReference w:type="first" r:id="rId373"/>
          <w:footerReference w:type="first" r:id="rId374"/>
          <w:pgSz w:w="11907" w:h="16840"/>
          <w:pgMar w:top="1134" w:right="1134" w:bottom="1134" w:left="1134" w:header="709" w:footer="709" w:gutter="0"/>
          <w:cols w:space="708"/>
          <w:docGrid w:linePitch="360"/>
        </w:sectPr>
      </w:pPr>
    </w:p>
    <w:p w:rsidR="001609E3" w:rsidRDefault="00E45B63">
      <w:pPr>
        <w:rPr>
          <w:noProof/>
        </w:rPr>
      </w:pPr>
      <w:r>
        <w:rPr>
          <w:noProof/>
          <w:lang w:val="en-GB" w:eastAsia="en-GB" w:bidi="ar-SA"/>
        </w:rPr>
        <w:drawing>
          <wp:inline distT="0" distB="0" distL="0" distR="0" wp14:anchorId="1B562306" wp14:editId="528A658F">
            <wp:extent cx="6120765" cy="8322168"/>
            <wp:effectExtent l="0" t="0" r="0" b="3175"/>
            <wp:docPr id="884796" name="Picture 88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120765" cy="8322168"/>
                    </a:xfrm>
                    <a:prstGeom prst="rect">
                      <a:avLst/>
                    </a:prstGeom>
                    <a:noFill/>
                    <a:ln>
                      <a:noFill/>
                    </a:ln>
                  </pic:spPr>
                </pic:pic>
              </a:graphicData>
            </a:graphic>
          </wp:inline>
        </w:drawing>
      </w:r>
    </w:p>
    <w:p w:rsidR="001609E3" w:rsidRDefault="001609E3">
      <w:pPr>
        <w:rPr>
          <w:noProof/>
        </w:rPr>
        <w:sectPr w:rsidR="001609E3">
          <w:headerReference w:type="even" r:id="rId376"/>
          <w:headerReference w:type="default" r:id="rId377"/>
          <w:footerReference w:type="even" r:id="rId378"/>
          <w:footerReference w:type="default" r:id="rId379"/>
          <w:headerReference w:type="first" r:id="rId380"/>
          <w:footerReference w:type="first" r:id="rId381"/>
          <w:pgSz w:w="11907" w:h="16840"/>
          <w:pgMar w:top="1134" w:right="1134" w:bottom="1134" w:left="1134" w:header="709" w:footer="709" w:gutter="0"/>
          <w:cols w:space="708"/>
          <w:docGrid w:linePitch="360"/>
        </w:sectPr>
      </w:pPr>
    </w:p>
    <w:p w:rsidR="001609E3" w:rsidRDefault="00E45B63">
      <w:pPr>
        <w:rPr>
          <w:noProof/>
        </w:rPr>
      </w:pPr>
      <w:r>
        <w:rPr>
          <w:noProof/>
          <w:lang w:val="en-GB" w:eastAsia="en-GB" w:bidi="ar-SA"/>
        </w:rPr>
        <w:drawing>
          <wp:inline distT="0" distB="0" distL="0" distR="0" wp14:anchorId="22670AA0" wp14:editId="660F5046">
            <wp:extent cx="6120765" cy="6704489"/>
            <wp:effectExtent l="0" t="0" r="0" b="1270"/>
            <wp:docPr id="884798" name="Picture 88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120765" cy="6704489"/>
                    </a:xfrm>
                    <a:prstGeom prst="rect">
                      <a:avLst/>
                    </a:prstGeom>
                    <a:noFill/>
                    <a:ln>
                      <a:noFill/>
                    </a:ln>
                  </pic:spPr>
                </pic:pic>
              </a:graphicData>
            </a:graphic>
          </wp:inline>
        </w:drawing>
      </w:r>
    </w:p>
    <w:p w:rsidR="001609E3" w:rsidRDefault="001609E3">
      <w:pPr>
        <w:rPr>
          <w:noProof/>
        </w:rPr>
      </w:pPr>
    </w:p>
    <w:p w:rsidR="001609E3" w:rsidRDefault="001609E3">
      <w:pPr>
        <w:rPr>
          <w:noProof/>
        </w:rPr>
        <w:sectPr w:rsidR="001609E3">
          <w:headerReference w:type="even" r:id="rId383"/>
          <w:headerReference w:type="default" r:id="rId384"/>
          <w:footerReference w:type="even" r:id="rId385"/>
          <w:footerReference w:type="default" r:id="rId386"/>
          <w:headerReference w:type="first" r:id="rId387"/>
          <w:footerReference w:type="first" r:id="rId388"/>
          <w:pgSz w:w="11907" w:h="16840"/>
          <w:pgMar w:top="1134" w:right="1134" w:bottom="1134" w:left="1134" w:header="709" w:footer="709" w:gutter="0"/>
          <w:cols w:space="708"/>
          <w:docGrid w:linePitch="360"/>
        </w:sectPr>
      </w:pPr>
    </w:p>
    <w:p w:rsidR="001609E3" w:rsidRDefault="00E45B63">
      <w:pPr>
        <w:rPr>
          <w:noProof/>
        </w:rPr>
      </w:pPr>
      <w:bookmarkStart w:id="401" w:name="_DMBM_9521"/>
      <w:r>
        <w:rPr>
          <w:noProof/>
          <w:lang w:val="en-GB" w:eastAsia="en-GB" w:bidi="ar-SA"/>
        </w:rPr>
        <w:drawing>
          <wp:inline distT="0" distB="0" distL="0" distR="0" wp14:anchorId="74877773" wp14:editId="0BFE77CF">
            <wp:extent cx="6896100" cy="454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896100" cy="4543425"/>
                    </a:xfrm>
                    <a:prstGeom prst="rect">
                      <a:avLst/>
                    </a:prstGeom>
                    <a:noFill/>
                    <a:ln>
                      <a:noFill/>
                    </a:ln>
                  </pic:spPr>
                </pic:pic>
              </a:graphicData>
            </a:graphic>
          </wp:inline>
        </w:drawing>
      </w:r>
    </w:p>
    <w:p w:rsidR="001609E3" w:rsidRDefault="00E45B63">
      <w:pPr>
        <w:rPr>
          <w:noProof/>
          <w:lang w:bidi="ar-SA"/>
        </w:rPr>
      </w:pPr>
      <w:r>
        <w:rPr>
          <w:noProof/>
          <w:lang w:val="en-GB" w:eastAsia="en-GB" w:bidi="ar-SA"/>
        </w:rPr>
        <w:drawing>
          <wp:inline distT="0" distB="0" distL="0" distR="0" wp14:anchorId="3C46EB6F" wp14:editId="07C2D3C0">
            <wp:extent cx="9251950" cy="2303952"/>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251950" cy="2303952"/>
                    </a:xfrm>
                    <a:prstGeom prst="rect">
                      <a:avLst/>
                    </a:prstGeom>
                    <a:noFill/>
                    <a:ln>
                      <a:noFill/>
                    </a:ln>
                  </pic:spPr>
                </pic:pic>
              </a:graphicData>
            </a:graphic>
          </wp:inline>
        </w:drawing>
      </w:r>
    </w:p>
    <w:p w:rsidR="001609E3" w:rsidRDefault="001609E3">
      <w:pPr>
        <w:rPr>
          <w:rFonts w:ascii="Verdana" w:hAnsi="Verdana"/>
          <w:b/>
          <w:noProof/>
          <w:color w:val="016794"/>
          <w:sz w:val="40"/>
          <w:szCs w:val="40"/>
        </w:rPr>
        <w:sectPr w:rsidR="001609E3">
          <w:headerReference w:type="even" r:id="rId391"/>
          <w:headerReference w:type="default" r:id="rId392"/>
          <w:footerReference w:type="even" r:id="rId393"/>
          <w:footerReference w:type="default" r:id="rId394"/>
          <w:headerReference w:type="first" r:id="rId395"/>
          <w:footerReference w:type="first" r:id="rId396"/>
          <w:pgSz w:w="16838" w:h="11906" w:orient="landscape" w:code="9"/>
          <w:pgMar w:top="1134" w:right="1134" w:bottom="1134" w:left="1134" w:header="709" w:footer="709" w:gutter="0"/>
          <w:lnNumType w:countBy="1"/>
          <w:cols w:space="708"/>
          <w:docGrid w:linePitch="360"/>
        </w:sectPr>
      </w:pPr>
    </w:p>
    <w:p w:rsidR="001609E3" w:rsidRDefault="00E45B63">
      <w:pPr>
        <w:rPr>
          <w:rFonts w:ascii="Verdana" w:hAnsi="Verdana"/>
          <w:b/>
          <w:noProof/>
          <w:color w:val="016794"/>
          <w:sz w:val="40"/>
          <w:szCs w:val="40"/>
        </w:rPr>
      </w:pPr>
      <w:r>
        <w:rPr>
          <w:noProof/>
          <w:lang w:val="en-GB" w:eastAsia="en-GB" w:bidi="ar-SA"/>
        </w:rPr>
        <w:drawing>
          <wp:inline distT="0" distB="0" distL="0" distR="0" wp14:anchorId="584218BB" wp14:editId="7ABBAFAC">
            <wp:extent cx="5972810" cy="6983095"/>
            <wp:effectExtent l="0" t="0" r="8890" b="8255"/>
            <wp:docPr id="884776" name="Picture 88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a:stretch>
                      <a:fillRect/>
                    </a:stretch>
                  </pic:blipFill>
                  <pic:spPr>
                    <a:xfrm>
                      <a:off x="0" y="0"/>
                      <a:ext cx="5972810" cy="6983095"/>
                    </a:xfrm>
                    <a:prstGeom prst="rect">
                      <a:avLst/>
                    </a:prstGeom>
                  </pic:spPr>
                </pic:pic>
              </a:graphicData>
            </a:graphic>
          </wp:inline>
        </w:drawing>
      </w:r>
      <w:r>
        <w:rPr>
          <w:rFonts w:ascii="Verdana" w:hAnsi="Verdana"/>
          <w:b/>
          <w:noProof/>
          <w:color w:val="016794"/>
          <w:sz w:val="40"/>
          <w:szCs w:val="40"/>
        </w:rPr>
        <w:br w:type="page"/>
      </w:r>
    </w:p>
    <w:p w:rsidR="001609E3" w:rsidRDefault="00E45B63">
      <w:pPr>
        <w:rPr>
          <w:rFonts w:ascii="Verdana" w:hAnsi="Verdana"/>
          <w:b/>
          <w:noProof/>
          <w:color w:val="016794"/>
          <w:sz w:val="40"/>
          <w:szCs w:val="40"/>
        </w:rPr>
      </w:pPr>
      <w:r>
        <w:rPr>
          <w:noProof/>
          <w:lang w:val="en-GB" w:eastAsia="en-GB" w:bidi="ar-SA"/>
        </w:rPr>
        <w:drawing>
          <wp:inline distT="0" distB="0" distL="0" distR="0" wp14:anchorId="0D4F4F5A" wp14:editId="36A3D888">
            <wp:extent cx="5972810" cy="5081905"/>
            <wp:effectExtent l="0" t="0" r="8890" b="4445"/>
            <wp:docPr id="884782" name="Picture 88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5972810" cy="5081905"/>
                    </a:xfrm>
                    <a:prstGeom prst="rect">
                      <a:avLst/>
                    </a:prstGeom>
                  </pic:spPr>
                </pic:pic>
              </a:graphicData>
            </a:graphic>
          </wp:inline>
        </w:drawing>
      </w:r>
      <w:r>
        <w:rPr>
          <w:rFonts w:ascii="Verdana" w:hAnsi="Verdana"/>
          <w:b/>
          <w:noProof/>
          <w:color w:val="016794"/>
          <w:sz w:val="40"/>
          <w:szCs w:val="40"/>
        </w:rPr>
        <w:br w:type="page"/>
      </w:r>
    </w:p>
    <w:p w:rsidR="001609E3" w:rsidRDefault="00E45B63">
      <w:pPr>
        <w:rPr>
          <w:rFonts w:ascii="Verdana" w:hAnsi="Verdana"/>
          <w:b/>
          <w:noProof/>
          <w:color w:val="016794"/>
          <w:sz w:val="40"/>
          <w:szCs w:val="40"/>
        </w:rPr>
      </w:pPr>
      <w:r>
        <w:rPr>
          <w:noProof/>
          <w:lang w:val="en-GB" w:eastAsia="en-GB" w:bidi="ar-SA"/>
        </w:rPr>
        <w:drawing>
          <wp:inline distT="0" distB="0" distL="0" distR="0" wp14:anchorId="46B6B305" wp14:editId="69FEA9F2">
            <wp:extent cx="5972810" cy="2545080"/>
            <wp:effectExtent l="0" t="0" r="8890" b="7620"/>
            <wp:docPr id="884784" name="Picture 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a:stretch>
                      <a:fillRect/>
                    </a:stretch>
                  </pic:blipFill>
                  <pic:spPr>
                    <a:xfrm>
                      <a:off x="0" y="0"/>
                      <a:ext cx="5972810" cy="2545080"/>
                    </a:xfrm>
                    <a:prstGeom prst="rect">
                      <a:avLst/>
                    </a:prstGeom>
                  </pic:spPr>
                </pic:pic>
              </a:graphicData>
            </a:graphic>
          </wp:inline>
        </w:drawing>
      </w:r>
    </w:p>
    <w:p w:rsidR="001609E3" w:rsidRDefault="001609E3">
      <w:pPr>
        <w:rPr>
          <w:rFonts w:ascii="Verdana" w:hAnsi="Verdana"/>
          <w:b/>
          <w:noProof/>
          <w:color w:val="016794"/>
          <w:sz w:val="40"/>
          <w:szCs w:val="40"/>
        </w:rPr>
      </w:pPr>
    </w:p>
    <w:p w:rsidR="001609E3" w:rsidRDefault="00E45B63">
      <w:pPr>
        <w:rPr>
          <w:rFonts w:ascii="Verdana" w:hAnsi="Verdana"/>
          <w:b/>
          <w:noProof/>
          <w:color w:val="016794"/>
          <w:sz w:val="40"/>
          <w:szCs w:val="40"/>
        </w:rPr>
      </w:pPr>
      <w:r>
        <w:rPr>
          <w:noProof/>
          <w:lang w:val="en-GB" w:eastAsia="en-GB" w:bidi="ar-SA"/>
        </w:rPr>
        <w:drawing>
          <wp:inline distT="0" distB="0" distL="0" distR="0" wp14:anchorId="69CA8EAA" wp14:editId="1AD0033A">
            <wp:extent cx="6120130" cy="6420455"/>
            <wp:effectExtent l="0" t="0" r="0" b="0"/>
            <wp:docPr id="884786" name="Picture 88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120130" cy="6420455"/>
                    </a:xfrm>
                    <a:prstGeom prst="rect">
                      <a:avLst/>
                    </a:prstGeom>
                    <a:noFill/>
                    <a:ln>
                      <a:noFill/>
                    </a:ln>
                  </pic:spPr>
                </pic:pic>
              </a:graphicData>
            </a:graphic>
          </wp:inline>
        </w:drawing>
      </w:r>
    </w:p>
    <w:p w:rsidR="001609E3" w:rsidRDefault="00E45B63">
      <w:pPr>
        <w:rPr>
          <w:rFonts w:ascii="Verdana" w:hAnsi="Verdana"/>
          <w:b/>
          <w:noProof/>
          <w:color w:val="016794"/>
          <w:sz w:val="40"/>
          <w:szCs w:val="40"/>
        </w:rPr>
      </w:pPr>
      <w:r>
        <w:rPr>
          <w:noProof/>
          <w:lang w:val="en-GB" w:eastAsia="en-GB" w:bidi="ar-SA"/>
        </w:rPr>
        <w:drawing>
          <wp:inline distT="0" distB="0" distL="0" distR="0" wp14:anchorId="39187806" wp14:editId="7AC1619B">
            <wp:extent cx="6120130" cy="8078572"/>
            <wp:effectExtent l="0" t="0" r="0" b="0"/>
            <wp:docPr id="884789" name="Picture 88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120130" cy="8078572"/>
                    </a:xfrm>
                    <a:prstGeom prst="rect">
                      <a:avLst/>
                    </a:prstGeom>
                    <a:noFill/>
                    <a:ln>
                      <a:noFill/>
                    </a:ln>
                  </pic:spPr>
                </pic:pic>
              </a:graphicData>
            </a:graphic>
          </wp:inline>
        </w:drawing>
      </w:r>
    </w:p>
    <w:p w:rsidR="001609E3" w:rsidRDefault="00E45B63">
      <w:pPr>
        <w:rPr>
          <w:rFonts w:ascii="Verdana" w:hAnsi="Verdana"/>
          <w:b/>
          <w:noProof/>
          <w:color w:val="016794"/>
          <w:sz w:val="40"/>
          <w:szCs w:val="40"/>
        </w:rPr>
      </w:pPr>
      <w:r>
        <w:rPr>
          <w:noProof/>
          <w:lang w:val="en-GB" w:eastAsia="en-GB" w:bidi="ar-SA"/>
        </w:rPr>
        <w:drawing>
          <wp:inline distT="0" distB="0" distL="0" distR="0" wp14:anchorId="67CA78EF" wp14:editId="5D8E4BCE">
            <wp:extent cx="5934075" cy="9295660"/>
            <wp:effectExtent l="0" t="0" r="0" b="1270"/>
            <wp:docPr id="884790" name="Picture 88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934075" cy="9295660"/>
                    </a:xfrm>
                    <a:prstGeom prst="rect">
                      <a:avLst/>
                    </a:prstGeom>
                    <a:noFill/>
                    <a:ln>
                      <a:noFill/>
                    </a:ln>
                  </pic:spPr>
                </pic:pic>
              </a:graphicData>
            </a:graphic>
          </wp:inline>
        </w:drawing>
      </w:r>
    </w:p>
    <w:p w:rsidR="001609E3" w:rsidRDefault="00E45B63">
      <w:pPr>
        <w:rPr>
          <w:rFonts w:ascii="Verdana" w:hAnsi="Verdana"/>
          <w:b/>
          <w:noProof/>
          <w:color w:val="016794"/>
          <w:sz w:val="40"/>
          <w:szCs w:val="40"/>
        </w:rPr>
      </w:pPr>
      <w:r>
        <w:rPr>
          <w:noProof/>
          <w:lang w:val="en-GB" w:eastAsia="en-GB" w:bidi="ar-SA"/>
        </w:rPr>
        <w:drawing>
          <wp:inline distT="0" distB="0" distL="0" distR="0" wp14:anchorId="36FEF5A7" wp14:editId="6E22DD02">
            <wp:extent cx="6120130" cy="8170223"/>
            <wp:effectExtent l="0" t="0" r="0" b="2540"/>
            <wp:docPr id="884791" name="Picture 88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120130" cy="8170223"/>
                    </a:xfrm>
                    <a:prstGeom prst="rect">
                      <a:avLst/>
                    </a:prstGeom>
                    <a:noFill/>
                    <a:ln>
                      <a:noFill/>
                    </a:ln>
                  </pic:spPr>
                </pic:pic>
              </a:graphicData>
            </a:graphic>
          </wp:inline>
        </w:drawing>
      </w:r>
      <w:r>
        <w:rPr>
          <w:noProof/>
        </w:rPr>
        <w:br w:type="page"/>
      </w:r>
    </w:p>
    <w:p w:rsidR="001609E3" w:rsidRDefault="001609E3">
      <w:pPr>
        <w:pStyle w:val="Textstand-alone"/>
        <w:sectPr w:rsidR="001609E3">
          <w:headerReference w:type="even" r:id="rId404"/>
          <w:headerReference w:type="default" r:id="rId405"/>
          <w:footerReference w:type="even" r:id="rId406"/>
          <w:footerReference w:type="default" r:id="rId407"/>
          <w:headerReference w:type="first" r:id="rId408"/>
          <w:footerReference w:type="first" r:id="rId409"/>
          <w:pgSz w:w="11906" w:h="16838" w:code="9"/>
          <w:pgMar w:top="1134" w:right="1134" w:bottom="1134" w:left="1134" w:header="708" w:footer="708" w:gutter="0"/>
          <w:cols w:space="708"/>
          <w:docGrid w:linePitch="360"/>
        </w:sectPr>
      </w:pPr>
    </w:p>
    <w:p w:rsidR="001609E3" w:rsidRDefault="001609E3">
      <w:pPr>
        <w:ind w:right="-397"/>
        <w:rPr>
          <w:rFonts w:ascii="Verdana" w:hAnsi="Verdana"/>
          <w:noProof/>
        </w:rPr>
      </w:pPr>
      <w:bookmarkStart w:id="402" w:name="_DMBM_9545"/>
      <w:bookmarkEnd w:id="401"/>
    </w:p>
    <w:p w:rsidR="001609E3" w:rsidRDefault="001609E3">
      <w:pPr>
        <w:pStyle w:val="FinancialYear"/>
        <w:rPr>
          <w:noProof/>
        </w:rPr>
      </w:pPr>
      <w:bookmarkStart w:id="403" w:name="_DMBM_9456"/>
      <w:bookmarkEnd w:id="402"/>
    </w:p>
    <w:p w:rsidR="001609E3" w:rsidRDefault="001609E3">
      <w:pPr>
        <w:pStyle w:val="FinancialYear"/>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FIRSTCHAPTERPAGE"/>
        <w:rPr>
          <w:noProof/>
        </w:rPr>
      </w:pPr>
      <w:bookmarkStart w:id="404" w:name="_Toc478631948"/>
      <w:bookmarkStart w:id="405" w:name="_Toc484164258"/>
      <w:bookmarkStart w:id="406" w:name="_Toc491767290"/>
      <w:bookmarkStart w:id="407" w:name="_Toc491768139"/>
      <w:r>
        <w:rPr>
          <w:noProof/>
        </w:rPr>
        <w:t xml:space="preserve">JÄHRLICHER DURCHFÜHRUNGSBERICHT – </w:t>
      </w:r>
      <w:bookmarkStart w:id="408" w:name="_Toc478054614"/>
      <w:r>
        <w:rPr>
          <w:noProof/>
        </w:rPr>
        <w:t>VON DER EUROPÄISCHEN INVESTITIONSBANK VERWALTETE MITTEL</w:t>
      </w:r>
      <w:bookmarkEnd w:id="404"/>
      <w:bookmarkEnd w:id="405"/>
      <w:bookmarkEnd w:id="406"/>
      <w:bookmarkEnd w:id="407"/>
      <w:bookmarkEnd w:id="408"/>
    </w:p>
    <w:p w:rsidR="001609E3" w:rsidRDefault="001609E3">
      <w:pPr>
        <w:pStyle w:val="FIRSTCHAPTERPAGE"/>
        <w:rPr>
          <w:noProof/>
        </w:rPr>
      </w:pPr>
    </w:p>
    <w:p w:rsidR="001609E3" w:rsidRDefault="001609E3">
      <w:pPr>
        <w:pStyle w:val="FIRSTCHAPTERPAGE"/>
        <w:rPr>
          <w:noProof/>
        </w:rPr>
      </w:pPr>
    </w:p>
    <w:p w:rsidR="001609E3" w:rsidRDefault="001609E3">
      <w:pPr>
        <w:pStyle w:val="FIRSTCHAPTERPAGE"/>
        <w:rPr>
          <w:noProof/>
        </w:rPr>
      </w:pPr>
    </w:p>
    <w:p w:rsidR="001609E3" w:rsidRDefault="00E45B63">
      <w:pPr>
        <w:pStyle w:val="Textstand-alone"/>
        <w:sectPr w:rsidR="001609E3">
          <w:headerReference w:type="even" r:id="rId410"/>
          <w:headerReference w:type="default" r:id="rId411"/>
          <w:footerReference w:type="even" r:id="rId412"/>
          <w:footerReference w:type="default" r:id="rId413"/>
          <w:headerReference w:type="first" r:id="rId414"/>
          <w:footerReference w:type="first" r:id="rId415"/>
          <w:pgSz w:w="11906" w:h="16838"/>
          <w:pgMar w:top="1134" w:right="1134" w:bottom="1134" w:left="1134" w:header="709" w:footer="709" w:gutter="0"/>
          <w:cols w:space="708"/>
          <w:docGrid w:linePitch="360"/>
        </w:sectPr>
      </w:pPr>
      <w:r>
        <w:t xml:space="preserve"> </w:t>
      </w:r>
      <w:bookmarkEnd w:id="403"/>
    </w:p>
    <w:tbl>
      <w:tblPr>
        <w:tblW w:w="0" w:type="auto"/>
        <w:tblLayout w:type="fixed"/>
        <w:tblLook w:val="0000" w:firstRow="0" w:lastRow="0" w:firstColumn="0" w:lastColumn="0" w:noHBand="0" w:noVBand="0"/>
      </w:tblPr>
      <w:tblGrid>
        <w:gridCol w:w="2627"/>
        <w:gridCol w:w="2336"/>
        <w:gridCol w:w="1263"/>
        <w:gridCol w:w="1395"/>
        <w:gridCol w:w="2233"/>
      </w:tblGrid>
      <w:tr w:rsidR="001609E3">
        <w:tc>
          <w:tcPr>
            <w:tcW w:w="6226" w:type="dxa"/>
            <w:gridSpan w:val="3"/>
            <w:shd w:val="clear" w:color="auto" w:fill="auto"/>
          </w:tcPr>
          <w:p w:rsidR="001609E3" w:rsidRDefault="00E45B63">
            <w:pPr>
              <w:pageBreakBefore/>
              <w:snapToGrid w:val="0"/>
              <w:spacing w:before="60" w:after="60"/>
              <w:rPr>
                <w:rFonts w:ascii="Arial" w:hAnsi="Arial"/>
                <w:b/>
                <w:noProof/>
                <w:sz w:val="20"/>
                <w:szCs w:val="20"/>
                <w:u w:val="single"/>
              </w:rPr>
            </w:pPr>
            <w:bookmarkStart w:id="409" w:name="_DMBM_9481"/>
            <w:r>
              <w:rPr>
                <w:rFonts w:ascii="Arial" w:hAnsi="Arial"/>
                <w:b/>
                <w:noProof/>
                <w:sz w:val="20"/>
                <w:u w:val="single"/>
              </w:rPr>
              <w:t>EUROPÄISCHE INVESTITIONSBANK</w:t>
            </w:r>
          </w:p>
        </w:tc>
        <w:tc>
          <w:tcPr>
            <w:tcW w:w="3628" w:type="dxa"/>
            <w:gridSpan w:val="2"/>
            <w:shd w:val="clear" w:color="auto" w:fill="auto"/>
          </w:tcPr>
          <w:p w:rsidR="001609E3" w:rsidRDefault="00E45B63">
            <w:pPr>
              <w:snapToGrid w:val="0"/>
              <w:spacing w:before="60" w:after="60"/>
              <w:rPr>
                <w:rFonts w:ascii="Arial" w:hAnsi="Arial"/>
                <w:b/>
                <w:noProof/>
                <w:sz w:val="20"/>
                <w:szCs w:val="20"/>
                <w:u w:val="single"/>
              </w:rPr>
            </w:pPr>
            <w:r>
              <w:rPr>
                <w:rFonts w:ascii="Arial" w:hAnsi="Arial"/>
                <w:b/>
                <w:noProof/>
                <w:sz w:val="20"/>
                <w:u w:val="single"/>
              </w:rPr>
              <w:t>CA/501/17</w:t>
            </w:r>
          </w:p>
        </w:tc>
      </w:tr>
      <w:tr w:rsidR="001609E3">
        <w:tc>
          <w:tcPr>
            <w:tcW w:w="6226" w:type="dxa"/>
            <w:gridSpan w:val="3"/>
            <w:shd w:val="clear" w:color="auto" w:fill="auto"/>
          </w:tcPr>
          <w:p w:rsidR="001609E3" w:rsidRDefault="001609E3">
            <w:pPr>
              <w:snapToGrid w:val="0"/>
              <w:spacing w:before="60" w:after="60"/>
              <w:rPr>
                <w:rFonts w:ascii="Arial" w:hAnsi="Arial"/>
                <w:noProof/>
                <w:sz w:val="20"/>
                <w:szCs w:val="20"/>
              </w:rPr>
            </w:pPr>
          </w:p>
        </w:tc>
        <w:tc>
          <w:tcPr>
            <w:tcW w:w="3628" w:type="dxa"/>
            <w:gridSpan w:val="2"/>
            <w:shd w:val="clear" w:color="auto" w:fill="auto"/>
          </w:tcPr>
          <w:p w:rsidR="001609E3" w:rsidRDefault="00E45B63">
            <w:pPr>
              <w:snapToGrid w:val="0"/>
              <w:spacing w:before="60" w:after="60"/>
              <w:rPr>
                <w:rFonts w:ascii="Arial" w:hAnsi="Arial"/>
                <w:b/>
                <w:noProof/>
                <w:sz w:val="20"/>
                <w:szCs w:val="20"/>
              </w:rPr>
            </w:pPr>
            <w:r>
              <w:rPr>
                <w:rFonts w:ascii="Arial" w:hAnsi="Arial"/>
                <w:noProof/>
                <w:sz w:val="20"/>
              </w:rPr>
              <w:t>9. März 2017</w:t>
            </w:r>
          </w:p>
        </w:tc>
      </w:tr>
      <w:tr w:rsidR="001609E3">
        <w:tc>
          <w:tcPr>
            <w:tcW w:w="6226" w:type="dxa"/>
            <w:gridSpan w:val="3"/>
            <w:shd w:val="clear" w:color="auto" w:fill="auto"/>
          </w:tcPr>
          <w:p w:rsidR="001609E3" w:rsidRDefault="001609E3">
            <w:pPr>
              <w:snapToGrid w:val="0"/>
              <w:spacing w:before="360" w:after="240"/>
              <w:rPr>
                <w:rFonts w:ascii="Arial" w:hAnsi="Arial"/>
                <w:noProof/>
                <w:sz w:val="20"/>
                <w:szCs w:val="20"/>
              </w:rPr>
            </w:pPr>
          </w:p>
        </w:tc>
        <w:tc>
          <w:tcPr>
            <w:tcW w:w="3628" w:type="dxa"/>
            <w:gridSpan w:val="2"/>
            <w:shd w:val="clear" w:color="auto" w:fill="auto"/>
          </w:tcPr>
          <w:p w:rsidR="001609E3" w:rsidRDefault="00E45B63">
            <w:pPr>
              <w:snapToGrid w:val="0"/>
              <w:spacing w:before="360" w:after="240"/>
              <w:rPr>
                <w:rFonts w:ascii="Arial" w:hAnsi="Arial"/>
                <w:b/>
                <w:noProof/>
                <w:sz w:val="20"/>
                <w:szCs w:val="20"/>
                <w:u w:val="single"/>
              </w:rPr>
            </w:pPr>
            <w:r>
              <w:rPr>
                <w:rFonts w:ascii="Arial" w:hAnsi="Arial"/>
                <w:noProof/>
                <w:sz w:val="20"/>
                <w:u w:val="single"/>
              </w:rPr>
              <w:t>Dokument 17/098</w:t>
            </w:r>
          </w:p>
        </w:tc>
      </w:tr>
      <w:tr w:rsidR="001609E3">
        <w:tc>
          <w:tcPr>
            <w:tcW w:w="6226" w:type="dxa"/>
            <w:gridSpan w:val="3"/>
            <w:shd w:val="clear" w:color="auto" w:fill="auto"/>
          </w:tcPr>
          <w:p w:rsidR="001609E3" w:rsidRDefault="001609E3">
            <w:pPr>
              <w:snapToGrid w:val="0"/>
              <w:spacing w:before="60" w:after="60"/>
              <w:rPr>
                <w:rFonts w:ascii="Arial" w:hAnsi="Arial"/>
                <w:noProof/>
                <w:sz w:val="20"/>
                <w:szCs w:val="20"/>
              </w:rPr>
            </w:pPr>
          </w:p>
        </w:tc>
        <w:tc>
          <w:tcPr>
            <w:tcW w:w="3628" w:type="dxa"/>
            <w:gridSpan w:val="2"/>
            <w:shd w:val="clear" w:color="auto" w:fill="auto"/>
          </w:tcPr>
          <w:p w:rsidR="001609E3" w:rsidRDefault="001609E3">
            <w:pPr>
              <w:snapToGrid w:val="0"/>
              <w:spacing w:before="60" w:after="60"/>
              <w:rPr>
                <w:rFonts w:ascii="Arial" w:hAnsi="Arial"/>
                <w:noProof/>
                <w:sz w:val="20"/>
                <w:szCs w:val="20"/>
              </w:rPr>
            </w:pPr>
          </w:p>
        </w:tc>
      </w:tr>
      <w:tr w:rsidR="001609E3">
        <w:tc>
          <w:tcPr>
            <w:tcW w:w="6226" w:type="dxa"/>
            <w:gridSpan w:val="3"/>
            <w:shd w:val="clear" w:color="auto" w:fill="auto"/>
          </w:tcPr>
          <w:p w:rsidR="001609E3" w:rsidRDefault="001609E3">
            <w:pPr>
              <w:snapToGrid w:val="0"/>
              <w:spacing w:before="60" w:after="60"/>
              <w:rPr>
                <w:rFonts w:ascii="Arial" w:hAnsi="Arial"/>
                <w:noProof/>
                <w:sz w:val="20"/>
                <w:szCs w:val="20"/>
              </w:rPr>
            </w:pPr>
          </w:p>
        </w:tc>
        <w:tc>
          <w:tcPr>
            <w:tcW w:w="3628" w:type="dxa"/>
            <w:gridSpan w:val="2"/>
            <w:shd w:val="clear" w:color="auto" w:fill="auto"/>
          </w:tcPr>
          <w:p w:rsidR="001609E3" w:rsidRDefault="001609E3">
            <w:pPr>
              <w:snapToGrid w:val="0"/>
              <w:spacing w:before="60" w:after="60"/>
              <w:rPr>
                <w:rFonts w:ascii="Arial" w:hAnsi="Arial"/>
                <w:noProof/>
                <w:sz w:val="20"/>
                <w:szCs w:val="20"/>
              </w:rPr>
            </w:pPr>
          </w:p>
        </w:tc>
      </w:tr>
      <w:tr w:rsidR="001609E3">
        <w:trPr>
          <w:trHeight w:val="3026"/>
        </w:trPr>
        <w:tc>
          <w:tcPr>
            <w:tcW w:w="9854" w:type="dxa"/>
            <w:gridSpan w:val="5"/>
            <w:shd w:val="clear" w:color="auto" w:fill="auto"/>
            <w:vAlign w:val="center"/>
          </w:tcPr>
          <w:p w:rsidR="001609E3" w:rsidRDefault="00E45B63">
            <w:pPr>
              <w:snapToGrid w:val="0"/>
              <w:spacing w:before="2760" w:after="360"/>
              <w:jc w:val="center"/>
              <w:rPr>
                <w:rFonts w:ascii="Arial" w:hAnsi="Arial"/>
                <w:caps/>
                <w:noProof/>
                <w:spacing w:val="80"/>
                <w:sz w:val="20"/>
                <w:szCs w:val="20"/>
                <w:u w:val="single"/>
              </w:rPr>
            </w:pPr>
            <w:r>
              <w:rPr>
                <w:rFonts w:ascii="Arial" w:hAnsi="Arial"/>
                <w:caps/>
                <w:noProof/>
                <w:spacing w:val="80"/>
                <w:sz w:val="20"/>
                <w:u w:val="single"/>
              </w:rPr>
              <w:t>VERWALTUNGSRAT</w:t>
            </w:r>
          </w:p>
        </w:tc>
      </w:tr>
      <w:tr w:rsidR="001609E3">
        <w:tc>
          <w:tcPr>
            <w:tcW w:w="9854" w:type="dxa"/>
            <w:gridSpan w:val="5"/>
            <w:shd w:val="clear" w:color="auto" w:fill="auto"/>
            <w:vAlign w:val="center"/>
          </w:tcPr>
          <w:p w:rsidR="001609E3" w:rsidRDefault="00E45B63">
            <w:pPr>
              <w:snapToGrid w:val="0"/>
              <w:spacing w:before="240" w:after="120"/>
              <w:jc w:val="center"/>
              <w:rPr>
                <w:rFonts w:ascii="Arial" w:hAnsi="Arial"/>
                <w:b/>
                <w:caps/>
                <w:noProof/>
                <w:spacing w:val="20"/>
                <w:sz w:val="20"/>
                <w:szCs w:val="20"/>
              </w:rPr>
            </w:pPr>
            <w:r>
              <w:rPr>
                <w:rFonts w:ascii="Arial" w:hAnsi="Arial"/>
                <w:b/>
                <w:caps/>
                <w:noProof/>
                <w:spacing w:val="20"/>
                <w:sz w:val="20"/>
              </w:rPr>
              <w:t>Investitionsfazilität</w:t>
            </w:r>
          </w:p>
        </w:tc>
      </w:tr>
      <w:tr w:rsidR="001609E3">
        <w:tc>
          <w:tcPr>
            <w:tcW w:w="9854" w:type="dxa"/>
            <w:gridSpan w:val="5"/>
            <w:shd w:val="clear" w:color="auto" w:fill="auto"/>
            <w:vAlign w:val="center"/>
          </w:tcPr>
          <w:p w:rsidR="001609E3" w:rsidRDefault="00E45B63">
            <w:pPr>
              <w:snapToGrid w:val="0"/>
              <w:spacing w:before="60" w:after="60"/>
              <w:jc w:val="center"/>
              <w:rPr>
                <w:rFonts w:ascii="Arial" w:hAnsi="Arial"/>
                <w:b/>
                <w:caps/>
                <w:noProof/>
                <w:sz w:val="20"/>
                <w:szCs w:val="20"/>
              </w:rPr>
            </w:pPr>
            <w:r>
              <w:rPr>
                <w:rFonts w:ascii="Arial" w:hAnsi="Arial"/>
                <w:b/>
                <w:caps/>
                <w:noProof/>
                <w:sz w:val="20"/>
              </w:rPr>
              <w:t>Jahresabschluss</w:t>
            </w:r>
          </w:p>
        </w:tc>
      </w:tr>
      <w:tr w:rsidR="001609E3">
        <w:tc>
          <w:tcPr>
            <w:tcW w:w="9854" w:type="dxa"/>
            <w:gridSpan w:val="5"/>
            <w:shd w:val="clear" w:color="auto" w:fill="auto"/>
            <w:vAlign w:val="center"/>
          </w:tcPr>
          <w:p w:rsidR="001609E3" w:rsidRDefault="00E45B63">
            <w:pPr>
              <w:snapToGrid w:val="0"/>
              <w:spacing w:before="60" w:after="60"/>
              <w:jc w:val="center"/>
              <w:rPr>
                <w:rFonts w:ascii="Arial" w:hAnsi="Arial"/>
                <w:b/>
                <w:caps/>
                <w:noProof/>
                <w:sz w:val="20"/>
                <w:szCs w:val="20"/>
              </w:rPr>
            </w:pPr>
            <w:r>
              <w:rPr>
                <w:rFonts w:ascii="Arial" w:hAnsi="Arial"/>
                <w:b/>
                <w:caps/>
                <w:noProof/>
                <w:sz w:val="20"/>
              </w:rPr>
              <w:t>zum 31. Dezember 2016</w:t>
            </w:r>
          </w:p>
        </w:tc>
      </w:tr>
      <w:tr w:rsidR="001609E3">
        <w:trPr>
          <w:trHeight w:val="786"/>
        </w:trPr>
        <w:tc>
          <w:tcPr>
            <w:tcW w:w="2627" w:type="dxa"/>
            <w:shd w:val="clear" w:color="auto" w:fill="auto"/>
            <w:vAlign w:val="center"/>
          </w:tcPr>
          <w:p w:rsidR="001609E3" w:rsidRDefault="001609E3">
            <w:pPr>
              <w:snapToGrid w:val="0"/>
              <w:spacing w:before="360" w:after="480"/>
              <w:jc w:val="center"/>
              <w:rPr>
                <w:rFonts w:ascii="Arial" w:hAnsi="Arial"/>
                <w:noProof/>
                <w:sz w:val="20"/>
                <w:szCs w:val="20"/>
              </w:rPr>
            </w:pPr>
          </w:p>
        </w:tc>
        <w:tc>
          <w:tcPr>
            <w:tcW w:w="4994" w:type="dxa"/>
            <w:gridSpan w:val="3"/>
            <w:tcBorders>
              <w:top w:val="single" w:sz="4" w:space="0" w:color="000000"/>
            </w:tcBorders>
            <w:shd w:val="clear" w:color="auto" w:fill="auto"/>
            <w:vAlign w:val="center"/>
          </w:tcPr>
          <w:p w:rsidR="001609E3" w:rsidRDefault="001609E3">
            <w:pPr>
              <w:snapToGrid w:val="0"/>
              <w:spacing w:before="360" w:after="480"/>
              <w:jc w:val="center"/>
              <w:rPr>
                <w:rFonts w:ascii="Arial" w:hAnsi="Arial"/>
                <w:noProof/>
                <w:sz w:val="20"/>
                <w:szCs w:val="20"/>
              </w:rPr>
            </w:pPr>
          </w:p>
        </w:tc>
        <w:tc>
          <w:tcPr>
            <w:tcW w:w="2233" w:type="dxa"/>
            <w:shd w:val="clear" w:color="auto" w:fill="auto"/>
            <w:vAlign w:val="center"/>
          </w:tcPr>
          <w:p w:rsidR="001609E3" w:rsidRDefault="001609E3">
            <w:pPr>
              <w:snapToGrid w:val="0"/>
              <w:spacing w:before="360" w:after="480"/>
              <w:jc w:val="center"/>
              <w:rPr>
                <w:rFonts w:ascii="Arial" w:hAnsi="Arial"/>
                <w:noProof/>
                <w:sz w:val="20"/>
                <w:szCs w:val="20"/>
              </w:rPr>
            </w:pPr>
          </w:p>
        </w:tc>
      </w:tr>
      <w:tr w:rsidR="001609E3">
        <w:trPr>
          <w:trHeight w:val="3816"/>
        </w:trPr>
        <w:tc>
          <w:tcPr>
            <w:tcW w:w="2627" w:type="dxa"/>
            <w:shd w:val="clear" w:color="auto" w:fill="auto"/>
            <w:vAlign w:val="center"/>
          </w:tcPr>
          <w:p w:rsidR="001609E3" w:rsidRDefault="001609E3">
            <w:pPr>
              <w:snapToGrid w:val="0"/>
              <w:spacing w:before="120" w:after="120"/>
              <w:jc w:val="center"/>
              <w:rPr>
                <w:rFonts w:ascii="Arial" w:hAnsi="Arial"/>
                <w:noProof/>
                <w:sz w:val="20"/>
                <w:szCs w:val="20"/>
              </w:rPr>
            </w:pPr>
          </w:p>
        </w:tc>
        <w:tc>
          <w:tcPr>
            <w:tcW w:w="4994" w:type="dxa"/>
            <w:gridSpan w:val="3"/>
            <w:shd w:val="clear" w:color="auto" w:fill="auto"/>
            <w:vAlign w:val="center"/>
          </w:tcPr>
          <w:p w:rsidR="001609E3" w:rsidRDefault="00E45B63">
            <w:pPr>
              <w:numPr>
                <w:ilvl w:val="0"/>
                <w:numId w:val="22"/>
              </w:numPr>
              <w:tabs>
                <w:tab w:val="left" w:pos="432"/>
              </w:tabs>
              <w:snapToGrid w:val="0"/>
              <w:spacing w:before="120" w:after="120"/>
              <w:ind w:left="432"/>
              <w:rPr>
                <w:rFonts w:ascii="Arial" w:hAnsi="Arial"/>
                <w:noProof/>
                <w:sz w:val="20"/>
                <w:szCs w:val="20"/>
              </w:rPr>
            </w:pPr>
            <w:r>
              <w:rPr>
                <w:rFonts w:ascii="Arial" w:hAnsi="Arial"/>
                <w:noProof/>
                <w:sz w:val="20"/>
              </w:rPr>
              <w:t>Vermögensübersicht</w:t>
            </w:r>
          </w:p>
          <w:p w:rsidR="001609E3" w:rsidRDefault="00E45B63">
            <w:pPr>
              <w:numPr>
                <w:ilvl w:val="0"/>
                <w:numId w:val="22"/>
              </w:numPr>
              <w:tabs>
                <w:tab w:val="left" w:pos="432"/>
              </w:tabs>
              <w:spacing w:before="120" w:after="120"/>
              <w:ind w:left="432"/>
              <w:rPr>
                <w:rFonts w:ascii="Arial" w:hAnsi="Arial"/>
                <w:noProof/>
                <w:sz w:val="20"/>
                <w:szCs w:val="20"/>
              </w:rPr>
            </w:pPr>
            <w:r>
              <w:rPr>
                <w:rFonts w:ascii="Arial" w:hAnsi="Arial"/>
                <w:noProof/>
                <w:sz w:val="20"/>
              </w:rPr>
              <w:t>Gesamtergebnisrechnung</w:t>
            </w:r>
          </w:p>
          <w:p w:rsidR="001609E3" w:rsidRDefault="00E45B63">
            <w:pPr>
              <w:numPr>
                <w:ilvl w:val="0"/>
                <w:numId w:val="22"/>
              </w:numPr>
              <w:tabs>
                <w:tab w:val="left" w:pos="432"/>
              </w:tabs>
              <w:spacing w:before="120" w:after="120"/>
              <w:ind w:left="432"/>
              <w:rPr>
                <w:rFonts w:ascii="Arial" w:hAnsi="Arial"/>
                <w:noProof/>
                <w:sz w:val="20"/>
                <w:szCs w:val="20"/>
              </w:rPr>
            </w:pPr>
            <w:r>
              <w:rPr>
                <w:rFonts w:ascii="Arial" w:hAnsi="Arial"/>
                <w:noProof/>
                <w:sz w:val="20"/>
              </w:rPr>
              <w:t>Übersicht über die Veränderung der Geberbeiträge</w:t>
            </w:r>
          </w:p>
          <w:p w:rsidR="001609E3" w:rsidRDefault="00E45B63">
            <w:pPr>
              <w:numPr>
                <w:ilvl w:val="0"/>
                <w:numId w:val="22"/>
              </w:numPr>
              <w:tabs>
                <w:tab w:val="left" w:pos="432"/>
              </w:tabs>
              <w:spacing w:before="120" w:after="120"/>
              <w:ind w:left="432"/>
              <w:rPr>
                <w:rFonts w:ascii="Arial" w:hAnsi="Arial"/>
                <w:noProof/>
                <w:sz w:val="20"/>
                <w:szCs w:val="20"/>
              </w:rPr>
            </w:pPr>
            <w:r>
              <w:rPr>
                <w:rFonts w:ascii="Arial" w:hAnsi="Arial"/>
                <w:noProof/>
                <w:sz w:val="20"/>
              </w:rPr>
              <w:t>Kapitalflussrechnung</w:t>
            </w:r>
          </w:p>
          <w:p w:rsidR="001609E3" w:rsidRDefault="00E45B63">
            <w:pPr>
              <w:numPr>
                <w:ilvl w:val="0"/>
                <w:numId w:val="22"/>
              </w:numPr>
              <w:tabs>
                <w:tab w:val="left" w:pos="432"/>
              </w:tabs>
              <w:spacing w:before="120" w:after="120"/>
              <w:ind w:left="432"/>
              <w:rPr>
                <w:rFonts w:ascii="Arial" w:hAnsi="Arial"/>
                <w:noProof/>
                <w:sz w:val="20"/>
                <w:szCs w:val="20"/>
              </w:rPr>
            </w:pPr>
            <w:r>
              <w:rPr>
                <w:rFonts w:ascii="Arial" w:hAnsi="Arial"/>
                <w:noProof/>
                <w:sz w:val="20"/>
              </w:rPr>
              <w:t>Erläuterungen zum Jahresabschluss</w:t>
            </w:r>
          </w:p>
          <w:p w:rsidR="001609E3" w:rsidRDefault="00E45B63">
            <w:pPr>
              <w:numPr>
                <w:ilvl w:val="0"/>
                <w:numId w:val="22"/>
              </w:numPr>
              <w:tabs>
                <w:tab w:val="left" w:pos="432"/>
              </w:tabs>
              <w:spacing w:before="120" w:after="120"/>
              <w:ind w:left="432"/>
              <w:rPr>
                <w:rFonts w:ascii="Arial" w:hAnsi="Arial"/>
                <w:noProof/>
                <w:sz w:val="20"/>
                <w:szCs w:val="20"/>
              </w:rPr>
            </w:pPr>
            <w:r>
              <w:rPr>
                <w:rFonts w:ascii="Arial" w:hAnsi="Arial"/>
                <w:noProof/>
                <w:sz w:val="20"/>
              </w:rPr>
              <w:t>Vermerk des unabhängigen Abschlussprüfers</w:t>
            </w:r>
          </w:p>
        </w:tc>
        <w:tc>
          <w:tcPr>
            <w:tcW w:w="2233" w:type="dxa"/>
            <w:shd w:val="clear" w:color="auto" w:fill="auto"/>
            <w:vAlign w:val="center"/>
          </w:tcPr>
          <w:p w:rsidR="001609E3" w:rsidRDefault="001609E3">
            <w:pPr>
              <w:snapToGrid w:val="0"/>
              <w:spacing w:before="120" w:after="120"/>
              <w:jc w:val="center"/>
              <w:rPr>
                <w:rFonts w:ascii="Arial" w:hAnsi="Arial"/>
                <w:noProof/>
                <w:sz w:val="20"/>
                <w:szCs w:val="20"/>
              </w:rPr>
            </w:pPr>
          </w:p>
        </w:tc>
      </w:tr>
      <w:tr w:rsidR="001609E3">
        <w:tc>
          <w:tcPr>
            <w:tcW w:w="4963" w:type="dxa"/>
            <w:gridSpan w:val="2"/>
            <w:shd w:val="clear" w:color="auto" w:fill="auto"/>
          </w:tcPr>
          <w:p w:rsidR="001609E3" w:rsidRDefault="001609E3">
            <w:pPr>
              <w:snapToGrid w:val="0"/>
              <w:spacing w:before="60" w:after="60"/>
              <w:rPr>
                <w:rFonts w:ascii="Arial" w:hAnsi="Arial"/>
                <w:noProof/>
                <w:sz w:val="20"/>
                <w:szCs w:val="20"/>
              </w:rPr>
            </w:pPr>
          </w:p>
        </w:tc>
        <w:tc>
          <w:tcPr>
            <w:tcW w:w="4891" w:type="dxa"/>
            <w:gridSpan w:val="3"/>
            <w:shd w:val="clear" w:color="auto" w:fill="auto"/>
            <w:vAlign w:val="center"/>
          </w:tcPr>
          <w:p w:rsidR="001609E3" w:rsidRDefault="001609E3">
            <w:pPr>
              <w:snapToGrid w:val="0"/>
              <w:spacing w:before="60" w:after="60"/>
              <w:jc w:val="right"/>
              <w:rPr>
                <w:rFonts w:ascii="Arial" w:hAnsi="Arial"/>
                <w:noProof/>
                <w:sz w:val="20"/>
                <w:szCs w:val="20"/>
                <w:u w:val="single"/>
              </w:rPr>
            </w:pPr>
          </w:p>
        </w:tc>
      </w:tr>
      <w:tr w:rsidR="001609E3">
        <w:tc>
          <w:tcPr>
            <w:tcW w:w="4963" w:type="dxa"/>
            <w:gridSpan w:val="2"/>
            <w:shd w:val="clear" w:color="auto" w:fill="auto"/>
          </w:tcPr>
          <w:p w:rsidR="001609E3" w:rsidRDefault="001609E3">
            <w:pPr>
              <w:snapToGrid w:val="0"/>
              <w:spacing w:before="60" w:after="60"/>
              <w:rPr>
                <w:rFonts w:ascii="Arial" w:hAnsi="Arial"/>
                <w:noProof/>
                <w:sz w:val="20"/>
                <w:szCs w:val="20"/>
              </w:rPr>
            </w:pPr>
          </w:p>
        </w:tc>
        <w:tc>
          <w:tcPr>
            <w:tcW w:w="4891" w:type="dxa"/>
            <w:gridSpan w:val="3"/>
            <w:shd w:val="clear" w:color="auto" w:fill="auto"/>
            <w:vAlign w:val="center"/>
          </w:tcPr>
          <w:p w:rsidR="001609E3" w:rsidRDefault="001609E3">
            <w:pPr>
              <w:snapToGrid w:val="0"/>
              <w:spacing w:before="60" w:after="60"/>
              <w:jc w:val="right"/>
              <w:rPr>
                <w:rFonts w:ascii="Arial" w:hAnsi="Arial"/>
                <w:noProof/>
                <w:sz w:val="20"/>
                <w:szCs w:val="20"/>
                <w:u w:val="single"/>
              </w:rPr>
            </w:pPr>
          </w:p>
        </w:tc>
      </w:tr>
      <w:tr w:rsidR="001609E3">
        <w:tc>
          <w:tcPr>
            <w:tcW w:w="4963" w:type="dxa"/>
            <w:gridSpan w:val="2"/>
            <w:shd w:val="clear" w:color="auto" w:fill="auto"/>
          </w:tcPr>
          <w:p w:rsidR="001609E3" w:rsidRDefault="001609E3">
            <w:pPr>
              <w:snapToGrid w:val="0"/>
              <w:spacing w:before="60" w:after="60"/>
              <w:rPr>
                <w:rFonts w:ascii="Arial" w:hAnsi="Arial"/>
                <w:noProof/>
                <w:sz w:val="20"/>
                <w:szCs w:val="20"/>
              </w:rPr>
            </w:pPr>
          </w:p>
        </w:tc>
        <w:tc>
          <w:tcPr>
            <w:tcW w:w="4891" w:type="dxa"/>
            <w:gridSpan w:val="3"/>
            <w:shd w:val="clear" w:color="auto" w:fill="auto"/>
            <w:vAlign w:val="center"/>
          </w:tcPr>
          <w:p w:rsidR="001609E3" w:rsidRDefault="001609E3">
            <w:pPr>
              <w:snapToGrid w:val="0"/>
              <w:spacing w:before="60" w:after="60"/>
              <w:jc w:val="right"/>
              <w:rPr>
                <w:rFonts w:ascii="Arial" w:hAnsi="Arial"/>
                <w:noProof/>
                <w:sz w:val="20"/>
                <w:szCs w:val="20"/>
                <w:u w:val="single"/>
              </w:rPr>
            </w:pPr>
          </w:p>
        </w:tc>
      </w:tr>
      <w:tr w:rsidR="001609E3">
        <w:tc>
          <w:tcPr>
            <w:tcW w:w="4963" w:type="dxa"/>
            <w:gridSpan w:val="2"/>
            <w:shd w:val="clear" w:color="auto" w:fill="auto"/>
          </w:tcPr>
          <w:p w:rsidR="001609E3" w:rsidRDefault="00E45B63">
            <w:pPr>
              <w:snapToGrid w:val="0"/>
              <w:spacing w:before="60" w:after="60"/>
              <w:rPr>
                <w:rFonts w:ascii="Arial" w:hAnsi="Arial"/>
                <w:noProof/>
                <w:sz w:val="20"/>
                <w:szCs w:val="20"/>
              </w:rPr>
            </w:pPr>
            <w:r>
              <w:rPr>
                <w:rFonts w:ascii="Arial" w:hAnsi="Arial"/>
                <w:noProof/>
                <w:sz w:val="20"/>
              </w:rPr>
              <w:t>ORG.: E</w:t>
            </w:r>
          </w:p>
        </w:tc>
        <w:tc>
          <w:tcPr>
            <w:tcW w:w="4891" w:type="dxa"/>
            <w:gridSpan w:val="3"/>
            <w:shd w:val="clear" w:color="auto" w:fill="auto"/>
            <w:vAlign w:val="center"/>
          </w:tcPr>
          <w:p w:rsidR="001609E3" w:rsidRDefault="00E45B63">
            <w:pPr>
              <w:snapToGrid w:val="0"/>
              <w:spacing w:before="60" w:after="60"/>
              <w:jc w:val="right"/>
              <w:rPr>
                <w:rFonts w:ascii="Arial" w:hAnsi="Arial"/>
                <w:noProof/>
                <w:sz w:val="20"/>
                <w:szCs w:val="20"/>
                <w:u w:val="single"/>
              </w:rPr>
            </w:pPr>
            <w:r>
              <w:rPr>
                <w:rFonts w:ascii="Arial" w:hAnsi="Arial"/>
                <w:noProof/>
                <w:sz w:val="20"/>
                <w:u w:val="single"/>
              </w:rPr>
              <w:t>VERTRAULICH</w:t>
            </w:r>
          </w:p>
        </w:tc>
      </w:tr>
    </w:tbl>
    <w:p w:rsidR="001609E3" w:rsidRDefault="001609E3">
      <w:pPr>
        <w:snapToGrid w:val="0"/>
        <w:spacing w:before="60" w:after="60"/>
        <w:rPr>
          <w:rFonts w:ascii="Arial" w:hAnsi="Arial"/>
          <w:noProof/>
          <w:sz w:val="16"/>
          <w:szCs w:val="16"/>
        </w:rPr>
        <w:sectPr w:rsidR="001609E3">
          <w:headerReference w:type="even" r:id="rId416"/>
          <w:headerReference w:type="default" r:id="rId417"/>
          <w:footerReference w:type="even" r:id="rId418"/>
          <w:footerReference w:type="default" r:id="rId419"/>
          <w:headerReference w:type="first" r:id="rId420"/>
          <w:footerReference w:type="first" r:id="rId421"/>
          <w:pgSz w:w="12240" w:h="15840" w:code="1"/>
          <w:pgMar w:top="1134" w:right="1134" w:bottom="1134" w:left="1134" w:header="709" w:footer="709" w:gutter="0"/>
          <w:pgBorders>
            <w:top w:val="nil"/>
            <w:left w:val="nil"/>
            <w:bottom w:val="nil"/>
            <w:right w:val="nil"/>
          </w:pgBorders>
          <w:cols w:space="720"/>
          <w:docGrid w:linePitch="360"/>
        </w:sectPr>
      </w:pPr>
    </w:p>
    <w:p w:rsidR="001609E3" w:rsidRDefault="00E45B63">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bdr w:val="nil"/>
        </w:rPr>
        <w:t>VERMÖGENSÜBERSICHT</w:t>
      </w:r>
    </w:p>
    <w:p w:rsidR="001609E3" w:rsidRDefault="00E45B63">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bdr w:val="nil"/>
        </w:rPr>
        <w:t>zum 31. Dezember</w:t>
      </w:r>
      <w:r>
        <w:rPr>
          <w:noProof/>
        </w:rPr>
        <w:t xml:space="preserve"> </w:t>
      </w:r>
      <w:r>
        <w:rPr>
          <w:rFonts w:ascii="Arial" w:hAnsi="Arial"/>
          <w:b/>
          <w:noProof/>
          <w:sz w:val="20"/>
          <w:bdr w:val="nil"/>
        </w:rPr>
        <w:t>2016</w:t>
      </w:r>
    </w:p>
    <w:p w:rsidR="001609E3" w:rsidRDefault="00E45B63">
      <w:pPr>
        <w:pBdr>
          <w:top w:val="nil"/>
          <w:left w:val="nil"/>
          <w:bottom w:val="nil"/>
          <w:right w:val="nil"/>
          <w:between w:val="nil"/>
          <w:bar w:val="nil"/>
        </w:pBdr>
        <w:jc w:val="center"/>
        <w:rPr>
          <w:rFonts w:ascii="Arial" w:hAnsi="Arial"/>
          <w:noProof/>
          <w:sz w:val="16"/>
          <w:szCs w:val="16"/>
          <w:bdr w:val="nil"/>
        </w:rPr>
      </w:pPr>
      <w:r>
        <w:rPr>
          <w:rFonts w:ascii="Arial" w:hAnsi="Arial"/>
          <w:noProof/>
          <w:sz w:val="16"/>
          <w:bdr w:val="nil"/>
        </w:rPr>
        <w:t>(in Tsd. EUR)</w:t>
      </w:r>
    </w:p>
    <w:p w:rsidR="001609E3" w:rsidRDefault="001609E3">
      <w:pPr>
        <w:pBdr>
          <w:top w:val="nil"/>
          <w:left w:val="nil"/>
          <w:bottom w:val="nil"/>
          <w:right w:val="nil"/>
          <w:between w:val="nil"/>
          <w:bar w:val="nil"/>
        </w:pBdr>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rsidR="001609E3">
        <w:trPr>
          <w:trHeight w:val="255"/>
        </w:trPr>
        <w:tc>
          <w:tcPr>
            <w:tcW w:w="60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Erläu</w:t>
            </w:r>
            <w:r>
              <w:rPr>
                <w:noProof/>
              </w:rPr>
              <w:softHyphen/>
            </w:r>
            <w:r>
              <w:rPr>
                <w:rFonts w:ascii="Arial" w:hAnsi="Arial"/>
                <w:b/>
                <w:noProof/>
                <w:color w:val="000000"/>
                <w:sz w:val="16"/>
              </w:rPr>
              <w:t>terun</w:t>
            </w:r>
            <w:r>
              <w:rPr>
                <w:noProof/>
              </w:rPr>
              <w:softHyphen/>
            </w:r>
            <w:r>
              <w:rPr>
                <w:rFonts w:ascii="Arial" w:hAnsi="Arial"/>
                <w:b/>
                <w:noProof/>
                <w:color w:val="000000"/>
                <w:sz w:val="16"/>
              </w:rPr>
              <w:t>gen</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0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VERMÖGENSWERTE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Zahlungsmittel und Zahlungsmitteläquivalente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360 817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448 995</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Forderungen gegenüber Beitragszahlern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eastAsia="Arial" w:hAnsi="Arial" w:cs="Arial"/>
                <w:noProof/>
                <w:color w:val="000000"/>
                <w:sz w:val="16"/>
              </w:rPr>
              <w:t>9/16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86 395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Bis zur Endfälligkeit zu haltende finanzielle Vermögenswerte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169 398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228 521</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Derivative Finanzinstrumente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und Forderungen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1 729 380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1 460 057</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Zur </w:t>
            </w:r>
            <w:r>
              <w:rPr>
                <w:rFonts w:ascii="Arial" w:hAnsi="Arial"/>
                <w:noProof/>
                <w:color w:val="000000"/>
                <w:sz w:val="16"/>
              </w:rPr>
              <w:t>Veräußerung verfügbare finanzielle Vermögenswerte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516 884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419 353</w:t>
            </w:r>
          </w:p>
        </w:tc>
      </w:tr>
      <w:tr w:rsidR="001609E3">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Vermögenswerte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Vermögenswerte insgesamt</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2 870 139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2 557 264</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VERBINDLICHKEITEN UND MITTELAUSSTATTUNG</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VERBINDLICHKEITEN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Derivative </w:t>
            </w:r>
            <w:r>
              <w:rPr>
                <w:rFonts w:ascii="Arial" w:hAnsi="Arial"/>
                <w:noProof/>
                <w:color w:val="000000"/>
                <w:sz w:val="16"/>
              </w:rPr>
              <w:t>Finanzinstrumente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25 189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8 219</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Transitorische Passiva</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26 283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29 325</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Rückstellungen für gestellte Garantien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Verbindlichkeiten gegenüber Dritten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116 114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101 202</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Verbindlichkeiten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2 546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2 364</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Verbindlichkeiten insgesamt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170 757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141 110</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MITTELAUSSTATTUNG</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Abgerufene Beiträge der Mitgliedstaaten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2 377 000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2 157 000</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Neube</w:t>
            </w:r>
            <w:r>
              <w:rPr>
                <w:noProof/>
              </w:rPr>
              <w:softHyphen/>
            </w:r>
            <w:r>
              <w:rPr>
                <w:rFonts w:ascii="Arial" w:hAnsi="Arial"/>
                <w:noProof/>
                <w:color w:val="000000"/>
                <w:sz w:val="16"/>
              </w:rPr>
              <w:t>wertungs</w:t>
            </w:r>
            <w:r>
              <w:rPr>
                <w:noProof/>
              </w:rPr>
              <w:softHyphen/>
            </w:r>
            <w:r>
              <w:rPr>
                <w:rFonts w:ascii="Arial" w:hAnsi="Arial"/>
                <w:noProof/>
                <w:color w:val="000000"/>
                <w:sz w:val="16"/>
              </w:rPr>
              <w:t>reserve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142 884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163 993</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Einbehaltene Gewinne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179 498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95 161</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Mittelausstattung insgesamt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2 699 382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2 416 154</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Verbindlichkeiten und Mittelausstattung insgesamt</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2 870 139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2 557 264</w:t>
            </w:r>
          </w:p>
        </w:tc>
      </w:tr>
    </w:tbl>
    <w:p w:rsidR="001609E3" w:rsidRDefault="00E45B63">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 xml:space="preserve">GESAMTERGEBNISRECHNUNG </w:t>
      </w:r>
    </w:p>
    <w:p w:rsidR="001609E3" w:rsidRDefault="00E45B63">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für das am 31. DEZEMBER 2016 ENDENDE Jahr</w:t>
      </w:r>
    </w:p>
    <w:p w:rsidR="001609E3" w:rsidRDefault="00E45B63">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(in Tsd. EUR)</w:t>
      </w:r>
    </w:p>
    <w:p w:rsidR="001609E3" w:rsidRDefault="001609E3">
      <w:pPr>
        <w:pBdr>
          <w:top w:val="nil"/>
          <w:left w:val="nil"/>
          <w:bottom w:val="nil"/>
          <w:right w:val="nil"/>
          <w:between w:val="nil"/>
          <w:bar w:val="nil"/>
        </w:pBdr>
        <w:spacing w:before="60" w:after="60"/>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rsidR="001609E3">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Erläu</w:t>
            </w:r>
            <w:r>
              <w:rPr>
                <w:noProof/>
              </w:rPr>
              <w:softHyphen/>
            </w:r>
            <w:r>
              <w:rPr>
                <w:rFonts w:ascii="Arial" w:hAnsi="Arial"/>
                <w:b/>
                <w:noProof/>
                <w:color w:val="000000"/>
                <w:sz w:val="16"/>
              </w:rPr>
              <w:t>terun</w:t>
            </w:r>
            <w:r>
              <w:rPr>
                <w:noProof/>
              </w:rPr>
              <w:softHyphen/>
            </w:r>
            <w:r>
              <w:rPr>
                <w:rFonts w:ascii="Arial" w:hAnsi="Arial"/>
                <w:b/>
                <w:noProof/>
                <w:color w:val="000000"/>
                <w:sz w:val="16"/>
              </w:rPr>
              <w:t>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1.1.2015</w:t>
            </w:r>
          </w:p>
        </w:tc>
      </w:tr>
      <w:tr w:rsidR="001609E3">
        <w:trPr>
          <w:trHeight w:val="255"/>
        </w:trPr>
        <w:tc>
          <w:tcPr>
            <w:tcW w:w="60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zum 31.12.2015</w:t>
            </w:r>
          </w:p>
        </w:tc>
      </w:tr>
      <w:tr w:rsidR="001609E3">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Zins- und ähnliche </w:t>
            </w:r>
            <w:r>
              <w:rPr>
                <w:rFonts w:ascii="Arial" w:hAnsi="Arial"/>
                <w:noProof/>
                <w:color w:val="000000"/>
                <w:sz w:val="16"/>
              </w:rPr>
              <w:t>Erträge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106 698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90 385</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Zinsaufwendungen und ähnliche Aufwendungen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-1 556</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Zins- und ähnliche Erträge (netto)</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104 391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88 829</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Erträge aus Gebühren und Provisionen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932</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Aufwendungen für Gebühren und Provisionen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-63</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Erträge aus Gebühren und Provisionen (netto)</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651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869</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Veränderung des beizulegenden Zeitwerts bei derivativen Finanzinstrumenten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-10 361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6 276</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Realisierte Gewinne aus zur Veräußerung verfügbaren finanziellen Vermögenswerten (netto)</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6 504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33 878</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Währungsverluste (netto)</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-14 995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-52 483</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Nettoergebnis aus Finanzgeschäften</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-18 852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-12 329</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Veränderung der Wertminderung bei Krediten und Forderungen, ohne Rückbuchungen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44 365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-33 988</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Veränderung der Rückstellungen für Garantien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Wertminderungen auf zur Veräußerung verfügbare finanzielle Vermögenswerte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-2 493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-3 646</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Allgemeine Verwaltungsausgaben</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-43 483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-43 045</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Jahresgewinn/-verlust</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84 337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-3 310</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Sonstiges Ergebnis: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i/>
                <w:noProof/>
                <w:color w:val="000000"/>
                <w:sz w:val="16"/>
              </w:rPr>
            </w:pPr>
            <w:r>
              <w:rPr>
                <w:rFonts w:ascii="Arial" w:hAnsi="Arial"/>
                <w:i/>
                <w:noProof/>
                <w:color w:val="000000"/>
                <w:sz w:val="16"/>
              </w:rPr>
              <w:t xml:space="preserve"> Posten, die in den Gewinn oder  Verlust umgegliedert wurden oder werden können:</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Zur Veräußerung verfügbare finanzielle Vermögenswerte – Neubewertungsreserve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1. Nettoänderung des beizulegenden Zeitwerts der zur Veräußerung verfügbaren finanziellen Vermögenswerte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-14 624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43 394</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2. In den Gewinn oder Verlust übertragener Nettobetrag</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-6 485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-35 523</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Zur Veräußerung verfügbare finanzielle Vermögenswerte </w:t>
            </w:r>
            <w:r>
              <w:rPr>
                <w:rFonts w:ascii="Arial" w:hAnsi="Arial"/>
                <w:b/>
                <w:noProof/>
                <w:color w:val="000000"/>
                <w:sz w:val="16"/>
              </w:rPr>
              <w:t>insgesamt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-21 109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7 871</w:t>
            </w:r>
          </w:p>
        </w:tc>
      </w:tr>
      <w:tr w:rsidR="001609E3">
        <w:trPr>
          <w:trHeight w:hRule="exac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rsidR="001609E3" w:rsidRDefault="00E45B63">
            <w:pPr>
              <w:rPr>
                <w:rFonts w:ascii="Arial" w:eastAsia="Arial" w:hAnsi="Arial" w:cs="Arial"/>
                <w:b/>
                <w:noProof/>
                <w:color w:val="000000"/>
                <w:sz w:val="16"/>
              </w:rPr>
            </w:pPr>
            <w:r>
              <w:rPr>
                <w:rFonts w:ascii="Arial" w:hAnsi="Arial"/>
                <w:b/>
                <w:noProof/>
                <w:color w:val="000000"/>
                <w:sz w:val="16"/>
              </w:rPr>
              <w:t>Sonstiges Ergebnis insgesamt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-21 109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7 871</w:t>
            </w:r>
          </w:p>
        </w:tc>
      </w:tr>
      <w:tr w:rsidR="001609E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Gesamtergebnis für das Jahr</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63 228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4 561</w:t>
            </w:r>
          </w:p>
        </w:tc>
      </w:tr>
    </w:tbl>
    <w:p w:rsidR="001609E3" w:rsidRDefault="00E45B63">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ÜBERSICHT ÜBER DIE VERÄNDERUNG DER GEBERBEITRÄGE</w:t>
      </w:r>
    </w:p>
    <w:p w:rsidR="001609E3" w:rsidRDefault="00E45B63">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Für das am 31. Dezember 2016 BEENDETE JAHR</w:t>
      </w:r>
    </w:p>
    <w:p w:rsidR="001609E3" w:rsidRDefault="00E45B63">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(in Tsd. EUR)</w:t>
      </w:r>
    </w:p>
    <w:p w:rsidR="001609E3" w:rsidRDefault="001609E3">
      <w:pPr>
        <w:pBdr>
          <w:top w:val="nil"/>
          <w:left w:val="nil"/>
          <w:bottom w:val="nil"/>
          <w:right w:val="nil"/>
          <w:between w:val="nil"/>
          <w:bar w:val="nil"/>
        </w:pBdr>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50"/>
        <w:gridCol w:w="1125"/>
        <w:gridCol w:w="1125"/>
        <w:gridCol w:w="1125"/>
        <w:gridCol w:w="1125"/>
        <w:gridCol w:w="1125"/>
      </w:tblGrid>
      <w:tr w:rsidR="001609E3">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Abgerufene Beiträge</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Neube</w:t>
            </w:r>
            <w:r>
              <w:rPr>
                <w:noProof/>
              </w:rPr>
              <w:softHyphen/>
            </w:r>
            <w:r>
              <w:rPr>
                <w:rFonts w:ascii="Arial" w:hAnsi="Arial"/>
                <w:b/>
                <w:noProof/>
                <w:color w:val="000000"/>
                <w:sz w:val="16"/>
              </w:rPr>
              <w:t>wertungs</w:t>
            </w:r>
            <w:r>
              <w:rPr>
                <w:noProof/>
              </w:rPr>
              <w:softHyphen/>
            </w:r>
            <w:r>
              <w:rPr>
                <w:rFonts w:ascii="Arial" w:hAnsi="Arial"/>
                <w:b/>
                <w:noProof/>
                <w:color w:val="000000"/>
                <w:sz w:val="16"/>
              </w:rPr>
              <w:t xml:space="preserve">reserve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Einbehaltene Gewinne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r>
      <w:tr w:rsidR="001609E3">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1. Januar 2016</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Erläute</w:t>
            </w:r>
            <w:r>
              <w:rPr>
                <w:noProof/>
              </w:rPr>
              <w:softHyphen/>
            </w:r>
            <w:r>
              <w:rPr>
                <w:rFonts w:ascii="Arial" w:hAnsi="Arial"/>
                <w:b/>
                <w:noProof/>
                <w:color w:val="000000"/>
                <w:sz w:val="16"/>
              </w:rPr>
              <w:t>rungen</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2 157 000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163 993</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95 161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2 416 154</w:t>
            </w:r>
          </w:p>
        </w:tc>
      </w:tr>
      <w:tr w:rsidR="001609E3">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rsidR="001609E3" w:rsidRDefault="00E45B63">
            <w:pPr>
              <w:rPr>
                <w:rFonts w:ascii="Arial" w:eastAsia="Arial" w:hAnsi="Arial" w:cs="Arial"/>
                <w:noProof/>
                <w:color w:val="000000"/>
                <w:sz w:val="16"/>
              </w:rPr>
            </w:pPr>
            <w:r>
              <w:rPr>
                <w:rFonts w:ascii="Arial" w:hAnsi="Arial"/>
                <w:noProof/>
                <w:color w:val="000000"/>
                <w:sz w:val="16"/>
              </w:rPr>
              <w:t>Im Jahresverlauf abgerufene Beiträge der Mitgliedstaaten</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1609E3" w:rsidRDefault="00E45B63">
            <w:pPr>
              <w:jc w:val="center"/>
              <w:rPr>
                <w:rFonts w:ascii="Arial" w:eastAsia="Arial" w:hAnsi="Arial" w:cs="Arial"/>
                <w:noProof/>
                <w:color w:val="000000"/>
                <w:sz w:val="16"/>
              </w:rPr>
            </w:pPr>
            <w:r>
              <w:rPr>
                <w:rFonts w:ascii="Arial" w:hAnsi="Arial"/>
                <w:noProof/>
                <w:color w:val="000000"/>
                <w:sz w:val="16"/>
              </w:rPr>
              <w:t>16</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220 000</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1609E3" w:rsidRDefault="00E45B63">
            <w:pPr>
              <w:jc w:val="right"/>
              <w:rPr>
                <w:rFonts w:ascii="Arial" w:eastAsia="Arial" w:hAnsi="Arial" w:cs="Arial"/>
                <w:noProof/>
                <w:color w:val="000000"/>
                <w:sz w:val="16"/>
              </w:rPr>
            </w:pPr>
            <w:r>
              <w:rPr>
                <w:rFonts w:ascii="Arial" w:hAnsi="Arial"/>
                <w:noProof/>
                <w:color w:val="000000"/>
                <w:sz w:val="16"/>
              </w:rPr>
              <w:t>220 000</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Gewinn für das Jahr 2016</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84 337</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84 337</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Sonstiges Gesamtergebnis des Jahres</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-21 109</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-21 109</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Veränderung der Beiträge der Geber</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220 000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-21 109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84 337</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283 228</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2016</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2 377 000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142 884</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179 498</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2 699 382</w:t>
            </w:r>
          </w:p>
        </w:tc>
      </w:tr>
      <w:tr w:rsidR="001609E3">
        <w:trPr>
          <w:trHeight w:val="255"/>
        </w:trPr>
        <w:tc>
          <w:tcPr>
            <w:tcW w:w="435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Abgerufene Beiträge</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Neube</w:t>
            </w:r>
            <w:r>
              <w:rPr>
                <w:noProof/>
              </w:rPr>
              <w:softHyphen/>
            </w:r>
            <w:r>
              <w:rPr>
                <w:rFonts w:ascii="Arial" w:hAnsi="Arial"/>
                <w:b/>
                <w:noProof/>
                <w:color w:val="000000"/>
                <w:sz w:val="16"/>
              </w:rPr>
              <w:t>wertungs</w:t>
            </w:r>
            <w:r>
              <w:rPr>
                <w:noProof/>
              </w:rPr>
              <w:softHyphen/>
            </w:r>
            <w:r>
              <w:rPr>
                <w:rFonts w:ascii="Arial" w:hAnsi="Arial"/>
                <w:b/>
                <w:noProof/>
                <w:color w:val="000000"/>
                <w:sz w:val="16"/>
              </w:rPr>
              <w:t xml:space="preserve">reserve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Einbehaltene Gewinne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r>
      <w:tr w:rsidR="001609E3">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1. Januar 2015</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2 057 000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156 122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98 471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2 311 593</w:t>
            </w:r>
          </w:p>
        </w:tc>
      </w:tr>
      <w:tr w:rsidR="001609E3">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Im Jahresverlauf abgerufene Beiträge der Mitgliedstaaten</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1609E3" w:rsidRDefault="00E45B63">
            <w:pPr>
              <w:jc w:val="center"/>
              <w:rPr>
                <w:rFonts w:ascii="Arial" w:eastAsia="Arial" w:hAnsi="Arial" w:cs="Arial"/>
                <w:noProof/>
                <w:color w:val="000000"/>
                <w:sz w:val="16"/>
              </w:rPr>
            </w:pPr>
            <w:r>
              <w:rPr>
                <w:rFonts w:ascii="Arial" w:hAnsi="Arial"/>
                <w:noProof/>
                <w:color w:val="000000"/>
                <w:sz w:val="16"/>
              </w:rPr>
              <w:t>16</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100 000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100 000</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Jahresfehlbetrag 2015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-3 310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-3 310</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Sonstiges Gesamtergebnis des Jahres</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7 871</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7 871</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Veränderung der Beiträge der Geber</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7 871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-3 310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104 561</w:t>
            </w:r>
          </w:p>
        </w:tc>
      </w:tr>
      <w:tr w:rsidR="001609E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2015</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1609E3">
            <w:pPr>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2 157 000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163 993</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95 161</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2 416 154</w:t>
            </w:r>
          </w:p>
        </w:tc>
      </w:tr>
    </w:tbl>
    <w:p w:rsidR="001609E3" w:rsidRDefault="00E45B63">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KAPITALFLUSSRECHNUNG</w:t>
      </w:r>
    </w:p>
    <w:p w:rsidR="001609E3" w:rsidRDefault="00E45B63">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 xml:space="preserve">Für das am 31. Dezember 2016 </w:t>
      </w:r>
      <w:r>
        <w:rPr>
          <w:rFonts w:ascii="Arial" w:hAnsi="Arial"/>
          <w:b/>
          <w:caps/>
          <w:noProof/>
          <w:sz w:val="20"/>
          <w:bdr w:val="nil"/>
        </w:rPr>
        <w:t>BEENDETE JAHR</w:t>
      </w:r>
    </w:p>
    <w:p w:rsidR="001609E3" w:rsidRDefault="00E45B63">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(in Tsd. EUR)</w:t>
      </w:r>
    </w:p>
    <w:p w:rsidR="001609E3" w:rsidRDefault="001609E3">
      <w:pPr>
        <w:pBdr>
          <w:top w:val="nil"/>
          <w:left w:val="nil"/>
          <w:bottom w:val="nil"/>
          <w:right w:val="nil"/>
          <w:between w:val="nil"/>
          <w:bar w:val="nil"/>
        </w:pBdr>
        <w:jc w:val="center"/>
        <w:rPr>
          <w:rFonts w:ascii="Arial" w:hAnsi="Arial"/>
          <w:noProof/>
          <w:sz w:val="16"/>
          <w:szCs w:val="16"/>
          <w:bdr w:val="nil"/>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600"/>
        <w:gridCol w:w="600"/>
        <w:gridCol w:w="1500"/>
        <w:gridCol w:w="1500"/>
      </w:tblGrid>
      <w:tr w:rsidR="001609E3">
        <w:trPr>
          <w:trHeight w:val="45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Erläu</w:t>
            </w:r>
            <w:r>
              <w:rPr>
                <w:noProof/>
              </w:rPr>
              <w:softHyphen/>
            </w:r>
            <w:r>
              <w:rPr>
                <w:rFonts w:ascii="Arial" w:hAnsi="Arial"/>
                <w:b/>
                <w:noProof/>
                <w:color w:val="000000"/>
                <w:sz w:val="16"/>
              </w:rPr>
              <w:t>terun</w:t>
            </w:r>
            <w:r>
              <w:rPr>
                <w:noProof/>
              </w:rPr>
              <w:softHyphen/>
            </w:r>
            <w:r>
              <w:rPr>
                <w:rFonts w:ascii="Arial" w:hAnsi="Arial"/>
                <w:b/>
                <w:noProof/>
                <w:color w:val="000000"/>
                <w:sz w:val="16"/>
              </w:rPr>
              <w:t>gen</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Vom 1.1.2016 bis zum 31.12.2016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Vom 1.1.2015 bis zum 31.12.2015</w:t>
            </w:r>
          </w:p>
        </w:tc>
      </w:tr>
      <w:tr w:rsidR="001609E3">
        <w:trPr>
          <w:trHeight w:val="255"/>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OPERATIVE TÄTIGKEITEN</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Gewinn/(Verlust) des Haushaltsjahres</w:t>
            </w:r>
          </w:p>
        </w:tc>
        <w:tc>
          <w:tcPr>
            <w:tcW w:w="6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84 337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-3 310</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Anpassungen für:</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Wertminderungen auf zur Veräußerung verfügbare finanzielle Vermögenswerte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2 493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3 646</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Veränderung der Wertminderung bei Krediten und Forderungen (netto)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-44.365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33 988</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Aktivierte Zinsen auf Kredite und Forderungen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-7 183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-13 262</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Veränderung </w:t>
            </w:r>
            <w:r>
              <w:rPr>
                <w:rFonts w:ascii="Arial" w:hAnsi="Arial"/>
                <w:noProof/>
                <w:color w:val="000000"/>
                <w:sz w:val="16"/>
              </w:rPr>
              <w:t>der aufgelaufenen Zinsen und des Restbuchwerts bei Krediten und Forderungen</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-5 843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1 594</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Nettoveränderung der Rückstellungen für gestellte Garantien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Veränderung der aufgelaufenen Zinsen und des Restbuchwerts bei bis zur Endfälligkeit zu </w:t>
            </w:r>
            <w:r>
              <w:rPr>
                <w:rFonts w:ascii="Arial" w:hAnsi="Arial"/>
                <w:noProof/>
                <w:color w:val="000000"/>
                <w:sz w:val="16"/>
              </w:rPr>
              <w:t>haltenden finanziellen Vermögenswerten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-1 126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Veränderung der transitorischen Passiva</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-3 042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-1 985</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Auswirkung von Wechselkursänderungen auf Kredite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-35 025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-73 447</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Auswirkung von Wechselkursänderungen auf zur Veräußerung verfügbare finanzielle Vermögenswerte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-5 125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-9 385</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Auswirkung von Wechselkursänderungen auf Barbestände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-1 106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-12 216</w:t>
            </w:r>
          </w:p>
        </w:tc>
      </w:tr>
      <w:tr w:rsidR="001609E3">
        <w:trPr>
          <w:trHeight w:val="27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Verlust aus operativen Tätigkeiten vor Veränderungen bei operativen </w:t>
            </w:r>
            <w:r>
              <w:rPr>
                <w:rFonts w:ascii="Arial" w:hAnsi="Arial"/>
                <w:b/>
                <w:noProof/>
                <w:color w:val="000000"/>
                <w:sz w:val="16"/>
              </w:rPr>
              <w:t>Vermögenswerten und Verbindlichkeiten</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-15 360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-74 365</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Kreditauszahlungen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-528 376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-282 784</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Kreditrückzahlungen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351 468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205 772</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Veränderung aufgelaufener Zinsen auf Zahlungsmittel und Zahlungsmitteläquivalente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Veränderung des beizulegenden Zeitwerts bei Derivaten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10 361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-6 276</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Zunahme bei bis zur Endfälligkeit zu haltenden Vermögenswerten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-1 159 704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-1 545 550</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Endfälligkeiten von bis zur Endfälligkeit zu haltenden Vermögenswerten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1 219 953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1 417 005</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Zunahme bei zur Veräußerung verfügbaren finanziellen Vermögenswerten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-153 986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-67 449</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Rückzahlungen/Veräußerungen von zur Veräußerung verfügbaren finanziellen Vermögenswerten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37 978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64 791</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(Zunahme)/Abnahme sonstiger Vermögenswerte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5 495</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Zunahme/(Abnahme) sonstiger Verbindlichkeiten</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-227</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Zunahme an die Europäische Investitionsbank zu zahlender Beträge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423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4 668</w:t>
            </w:r>
          </w:p>
        </w:tc>
      </w:tr>
      <w:tr w:rsidR="001609E3">
        <w:trPr>
          <w:trHeight w:val="240"/>
        </w:trPr>
        <w:tc>
          <w:tcPr>
            <w:tcW w:w="66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Für operative Tätigkeiten verwendete Netto-Cashflows</w:t>
            </w:r>
          </w:p>
        </w:tc>
        <w:tc>
          <w:tcPr>
            <w:tcW w:w="6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-237 377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-278 916</w:t>
            </w:r>
          </w:p>
        </w:tc>
      </w:tr>
      <w:tr w:rsidR="001609E3">
        <w:trPr>
          <w:trHeight w:val="24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FINANZIERUNGSTÄTIGKEITEN</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Eingegangene Beiträge der Mitgliedstaaten </w:t>
            </w:r>
          </w:p>
        </w:tc>
        <w:tc>
          <w:tcPr>
            <w:tcW w:w="600" w:type="dxa"/>
            <w:tcBorders>
              <w:top w:val="single" w:sz="8" w:space="0" w:color="auto"/>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133 605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100 000</w:t>
            </w:r>
          </w:p>
        </w:tc>
      </w:tr>
      <w:tr w:rsidR="001609E3">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Von den Mitgliedstaaten eingegangene Beträge für Zinsverbilligungen und technische Hilfe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30 000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92 590</w:t>
            </w:r>
          </w:p>
        </w:tc>
      </w:tr>
      <w:tr w:rsidR="001609E3">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Im Namen der Mitgliedstaaten gezahlte Beträge  für Zinsverbilligungen und technische </w:t>
            </w:r>
            <w:r>
              <w:rPr>
                <w:rFonts w:ascii="Arial" w:hAnsi="Arial"/>
                <w:noProof/>
                <w:color w:val="000000"/>
                <w:sz w:val="16"/>
              </w:rPr>
              <w:t>Hilfe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-15 510</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-22 290</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Netto-Cashflow  aus Finanzierungstätigkeiten</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148 095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170 300</w:t>
            </w:r>
          </w:p>
        </w:tc>
      </w:tr>
      <w:tr w:rsidR="001609E3">
        <w:trPr>
          <w:trHeight w:val="240"/>
        </w:trPr>
        <w:tc>
          <w:tcPr>
            <w:tcW w:w="66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Nettoabnahme der Zahlungsmittel und Zahlungsmitteläquivalente</w:t>
            </w:r>
          </w:p>
        </w:tc>
        <w:tc>
          <w:tcPr>
            <w:tcW w:w="600"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-89 282</w:t>
            </w: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-108 616</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Zusammenfassende Kapitalflussrechnung</w:t>
            </w: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Zahlungsmittel und </w:t>
            </w:r>
            <w:r>
              <w:rPr>
                <w:rFonts w:ascii="Arial" w:hAnsi="Arial"/>
                <w:b/>
                <w:noProof/>
                <w:color w:val="000000"/>
                <w:sz w:val="16"/>
              </w:rPr>
              <w:t>Zahlungsmitteläquivalente zu Beginn des Haushaltsjahrs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448 998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545 398</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Netto-Zahlungsmittel aus: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Operativen Tätigkeiten</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-237 377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-278 916</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Finanzierungstätigkeiten</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148 095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170 300</w:t>
            </w:r>
          </w:p>
        </w:tc>
      </w:tr>
      <w:tr w:rsidR="001609E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Auswirkungen von Wechselkursänderungen auf Zahlungsmittel und </w:t>
            </w:r>
            <w:r>
              <w:rPr>
                <w:rFonts w:ascii="Arial" w:hAnsi="Arial"/>
                <w:noProof/>
                <w:color w:val="000000"/>
                <w:sz w:val="16"/>
              </w:rPr>
              <w:t>Zahlungsmitteläquivalente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1 106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12 216</w:t>
            </w:r>
          </w:p>
        </w:tc>
      </w:tr>
      <w:tr w:rsidR="001609E3">
        <w:trPr>
          <w:trHeight w:val="255"/>
        </w:trPr>
        <w:tc>
          <w:tcPr>
            <w:tcW w:w="66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Zahlungsmittel und Zahlungsmitteläquivalente am Ende des Haushaltsjahrs</w:t>
            </w:r>
          </w:p>
        </w:tc>
        <w:tc>
          <w:tcPr>
            <w:tcW w:w="600"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360 822</w:t>
            </w: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448 998</w:t>
            </w:r>
          </w:p>
        </w:tc>
      </w:tr>
      <w:tr w:rsidR="001609E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b/>
                <w:noProof/>
                <w:color w:val="000000"/>
                <w:sz w:val="16"/>
              </w:rPr>
            </w:pPr>
            <w:r>
              <w:rPr>
                <w:rFonts w:ascii="Arial" w:hAnsi="Arial"/>
                <w:b/>
                <w:noProof/>
                <w:color w:val="000000"/>
                <w:sz w:val="16"/>
              </w:rPr>
              <w:t>Zahlungsmittel und Zahlungsmitteläquivalente bestehen aus: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 xml:space="preserve">Barbeständen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51 462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71 405</w:t>
            </w:r>
          </w:p>
        </w:tc>
      </w:tr>
      <w:tr w:rsidR="001609E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Termingeldern (ohne </w:t>
            </w:r>
            <w:r>
              <w:rPr>
                <w:rFonts w:ascii="Arial" w:hAnsi="Arial"/>
                <w:noProof/>
                <w:color w:val="000000"/>
                <w:sz w:val="16"/>
              </w:rPr>
              <w:t>aufgelaufene Zinsen)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259 342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290 576</w:t>
            </w:r>
          </w:p>
        </w:tc>
      </w:tr>
      <w:tr w:rsidR="001609E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Geldmarktpapieren</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50 018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87 017</w:t>
            </w:r>
          </w:p>
        </w:tc>
      </w:tr>
      <w:tr w:rsidR="001609E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360 822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448 998</w:t>
            </w:r>
          </w:p>
        </w:tc>
      </w:tr>
    </w:tbl>
    <w:p w:rsidR="001609E3" w:rsidRDefault="001609E3">
      <w:pPr>
        <w:rPr>
          <w:noProof/>
        </w:rPr>
        <w:sectPr w:rsidR="001609E3">
          <w:headerReference w:type="even" r:id="rId422"/>
          <w:headerReference w:type="default" r:id="rId423"/>
          <w:footerReference w:type="even" r:id="rId424"/>
          <w:footerReference w:type="default" r:id="rId425"/>
          <w:headerReference w:type="first" r:id="rId426"/>
          <w:footerReference w:type="first" r:id="rId427"/>
          <w:type w:val="continuous"/>
          <w:pgSz w:w="12240" w:h="15840" w:code="1"/>
          <w:pgMar w:top="765" w:right="1134" w:bottom="765" w:left="1134" w:header="709" w:footer="709" w:gutter="0"/>
          <w:pgBorders>
            <w:top w:val="nil"/>
            <w:left w:val="nil"/>
            <w:bottom w:val="nil"/>
            <w:right w:val="nil"/>
          </w:pgBorders>
          <w:cols w:space="720"/>
          <w:docGrid w:linePitch="360"/>
        </w:sectPr>
      </w:pPr>
    </w:p>
    <w:p w:rsidR="001609E3" w:rsidRDefault="00E45B63">
      <w:pPr>
        <w:pStyle w:val="Notes0"/>
        <w:pageBreakBefore/>
        <w:numPr>
          <w:ilvl w:val="0"/>
          <w:numId w:val="0"/>
        </w:numPr>
        <w:tabs>
          <w:tab w:val="clear" w:pos="4320"/>
          <w:tab w:val="clear" w:pos="8640"/>
        </w:tabs>
        <w:spacing w:before="140" w:after="320"/>
        <w:rPr>
          <w:noProof/>
          <w:sz w:val="24"/>
        </w:rPr>
      </w:pPr>
      <w:r>
        <w:rPr>
          <w:noProof/>
          <w:sz w:val="24"/>
        </w:rPr>
        <w:t>Erläuterungen zu den Jahresabschlüssen zum 31. Dezember 2016</w:t>
      </w:r>
    </w:p>
    <w:p w:rsidR="001609E3" w:rsidRDefault="00E45B63">
      <w:pPr>
        <w:pStyle w:val="Title10"/>
        <w:numPr>
          <w:ilvl w:val="0"/>
          <w:numId w:val="0"/>
        </w:numPr>
        <w:ind w:left="432" w:hanging="432"/>
        <w:rPr>
          <w:noProof/>
        </w:rPr>
      </w:pPr>
      <w:r>
        <w:rPr>
          <w:noProof/>
        </w:rPr>
        <w:t>1 Allgemeine Informationen</w:t>
      </w:r>
    </w:p>
    <w:p w:rsidR="001609E3" w:rsidRDefault="001609E3">
      <w:pPr>
        <w:pStyle w:val="Normal0"/>
        <w:spacing w:before="60" w:after="60"/>
        <w:jc w:val="both"/>
        <w:rPr>
          <w:rFonts w:ascii="Arial" w:hAnsi="Arial"/>
          <w:noProof/>
          <w:sz w:val="16"/>
          <w:szCs w:val="16"/>
        </w:rPr>
      </w:pPr>
    </w:p>
    <w:p w:rsidR="001609E3" w:rsidRDefault="00E45B63">
      <w:pPr>
        <w:pStyle w:val="Normal0"/>
        <w:spacing w:before="60" w:after="60"/>
        <w:jc w:val="both"/>
        <w:rPr>
          <w:rFonts w:ascii="Arial" w:hAnsi="Arial"/>
          <w:noProof/>
          <w:sz w:val="16"/>
          <w:szCs w:val="16"/>
        </w:rPr>
      </w:pPr>
      <w:r>
        <w:rPr>
          <w:rFonts w:ascii="Arial" w:hAnsi="Arial"/>
          <w:noProof/>
          <w:sz w:val="16"/>
        </w:rPr>
        <w:t xml:space="preserve">Die Investitionsfazilität (im Folgenden </w:t>
      </w:r>
      <w:r>
        <w:rPr>
          <w:rFonts w:ascii="Arial" w:hAnsi="Arial"/>
          <w:noProof/>
          <w:sz w:val="16"/>
        </w:rPr>
        <w:t>„Fazilität“ oder „IF“) wurde im Rahmen des zwischen den Staaten in Afrika, im karibischen Raum und im Pazifischen Ozean (AKP-Staaten) und der Europäischen Union und ihren Mitgliedstaaten am 23. Juni 2000 geschlossenen und am 25. Juni 2005 und 22. Juni 2010</w:t>
      </w:r>
      <w:r>
        <w:rPr>
          <w:rFonts w:ascii="Arial" w:hAnsi="Arial"/>
          <w:noProof/>
          <w:sz w:val="16"/>
        </w:rPr>
        <w:t xml:space="preserve"> überarbeiteten Abkommens von Cotonou (im Folgenden „Abkommen“) über Entwicklungszusammenarbeit eingerichtet.</w:t>
      </w:r>
    </w:p>
    <w:p w:rsidR="001609E3" w:rsidRDefault="001609E3">
      <w:pPr>
        <w:pStyle w:val="Normal0"/>
        <w:spacing w:before="60" w:after="60"/>
        <w:jc w:val="both"/>
        <w:rPr>
          <w:rFonts w:ascii="Arial" w:hAnsi="Arial"/>
          <w:noProof/>
          <w:sz w:val="16"/>
          <w:szCs w:val="16"/>
        </w:rPr>
      </w:pPr>
    </w:p>
    <w:p w:rsidR="001609E3" w:rsidRDefault="00E45B63">
      <w:pPr>
        <w:pStyle w:val="Normal0"/>
        <w:spacing w:before="60" w:after="60"/>
        <w:jc w:val="both"/>
        <w:rPr>
          <w:rFonts w:ascii="Arial" w:hAnsi="Arial"/>
          <w:noProof/>
          <w:sz w:val="16"/>
          <w:szCs w:val="16"/>
        </w:rPr>
      </w:pPr>
      <w:r>
        <w:rPr>
          <w:rFonts w:ascii="Arial" w:hAnsi="Arial"/>
          <w:noProof/>
          <w:sz w:val="16"/>
        </w:rPr>
        <w:t>Die Fazilität ist keine selbständige juristische Person; die Europäische Investitionsbank (im Folgenden „EIB“ oder „Bank“) verwaltet die Beiträge</w:t>
      </w:r>
      <w:r>
        <w:rPr>
          <w:rFonts w:ascii="Arial" w:hAnsi="Arial"/>
          <w:noProof/>
          <w:sz w:val="16"/>
        </w:rPr>
        <w:t xml:space="preserve"> im Namen der Mitgliedstaaten (im Folgenden „Geber“) im Einklang mit den Bestimmungen des Abkommens und handelt  als Verwalterin der Fazilität.</w:t>
      </w:r>
    </w:p>
    <w:p w:rsidR="001609E3" w:rsidRDefault="001609E3">
      <w:pPr>
        <w:pStyle w:val="Normal0"/>
        <w:tabs>
          <w:tab w:val="left" w:pos="1800"/>
        </w:tabs>
        <w:spacing w:before="60" w:after="60"/>
        <w:jc w:val="both"/>
        <w:rPr>
          <w:rFonts w:ascii="Arial" w:hAnsi="Arial"/>
          <w:noProof/>
          <w:sz w:val="16"/>
          <w:szCs w:val="16"/>
        </w:rPr>
      </w:pPr>
    </w:p>
    <w:p w:rsidR="001609E3" w:rsidRDefault="00E45B63">
      <w:pPr>
        <w:pStyle w:val="Normal0"/>
        <w:tabs>
          <w:tab w:val="left" w:pos="1800"/>
        </w:tabs>
        <w:spacing w:before="60" w:after="60"/>
        <w:jc w:val="both"/>
        <w:rPr>
          <w:rFonts w:ascii="Arial" w:hAnsi="Arial"/>
          <w:noProof/>
          <w:sz w:val="16"/>
          <w:szCs w:val="16"/>
        </w:rPr>
      </w:pPr>
      <w:r>
        <w:rPr>
          <w:rFonts w:ascii="Arial" w:hAnsi="Arial"/>
          <w:noProof/>
          <w:sz w:val="16"/>
        </w:rPr>
        <w:t>Die im Abkommen vorgesehenen Finanzmittel werden aus den Haushalten der  EU-Mitgliedstaaten bereitgestellt. Gem</w:t>
      </w:r>
      <w:r>
        <w:rPr>
          <w:rFonts w:ascii="Arial" w:hAnsi="Arial"/>
          <w:noProof/>
          <w:sz w:val="16"/>
        </w:rPr>
        <w:t>äß den mehrjährigen Finanzrahmen (als 9. Europäischer Entwicklungsfonds (EEF) bekanntes erstes Finanzprotokoll für den Zeitraum 2000-2007, als 10. EEF bekanntes zweites Finanzprotokoll für den Zeitraum 2008-2013 und als 11. EEF bekanntes drittes Finanzprot</w:t>
      </w:r>
      <w:r>
        <w:rPr>
          <w:rFonts w:ascii="Arial" w:hAnsi="Arial"/>
          <w:noProof/>
          <w:sz w:val="16"/>
        </w:rPr>
        <w:t>okoll für den Zeitraum 2014-2020) leisten die EU-Mitgliedstaaten die für die Finanzierung der IF vorgesehen Beiträge und gewähren Finanzhilfen zur Finanzierung von Zinsverbilligungen. Die EIB wurde mit folgenden Verwaltungsaufträgen betraut:</w:t>
      </w:r>
    </w:p>
    <w:p w:rsidR="001609E3" w:rsidRDefault="001609E3">
      <w:pPr>
        <w:pStyle w:val="Normal0"/>
        <w:tabs>
          <w:tab w:val="left" w:pos="1800"/>
        </w:tabs>
        <w:spacing w:before="60" w:after="60"/>
        <w:jc w:val="both"/>
        <w:rPr>
          <w:rFonts w:ascii="Arial" w:hAnsi="Arial"/>
          <w:noProof/>
          <w:sz w:val="16"/>
          <w:szCs w:val="16"/>
        </w:rPr>
      </w:pPr>
    </w:p>
    <w:p w:rsidR="001609E3" w:rsidRDefault="00E45B63">
      <w:pPr>
        <w:pStyle w:val="Normal0"/>
        <w:numPr>
          <w:ilvl w:val="0"/>
          <w:numId w:val="24"/>
        </w:numPr>
        <w:tabs>
          <w:tab w:val="left" w:pos="1800"/>
        </w:tabs>
        <w:spacing w:before="60" w:after="60"/>
        <w:ind w:left="714" w:hanging="357"/>
        <w:jc w:val="both"/>
        <w:rPr>
          <w:rFonts w:ascii="Arial" w:hAnsi="Arial"/>
          <w:noProof/>
          <w:sz w:val="16"/>
          <w:szCs w:val="16"/>
        </w:rPr>
      </w:pPr>
      <w:r>
        <w:rPr>
          <w:rFonts w:ascii="Arial" w:hAnsi="Arial"/>
          <w:noProof/>
          <w:sz w:val="16"/>
        </w:rPr>
        <w:t>der Fazilität</w:t>
      </w:r>
      <w:r>
        <w:rPr>
          <w:rFonts w:ascii="Arial" w:hAnsi="Arial"/>
          <w:noProof/>
          <w:sz w:val="16"/>
        </w:rPr>
        <w:t>, eines risikotragenden revolvierenden Fonds in Höhe von 3685,5 Mio. EUR zu Zwecken der Förderung von Privatsektorinvestitionen in den AKP-Ländern, wovon 48,5 Mio. EUR überseeischen Ländern und Gebieten (ÜLG) zugewiesen werden;</w:t>
      </w:r>
    </w:p>
    <w:p w:rsidR="001609E3" w:rsidRDefault="00E45B63">
      <w:pPr>
        <w:pStyle w:val="Normal0"/>
        <w:numPr>
          <w:ilvl w:val="0"/>
          <w:numId w:val="25"/>
        </w:numPr>
        <w:tabs>
          <w:tab w:val="left" w:pos="1800"/>
        </w:tabs>
        <w:spacing w:before="60" w:after="60"/>
        <w:ind w:left="714" w:hanging="357"/>
        <w:jc w:val="both"/>
        <w:rPr>
          <w:rFonts w:ascii="Arial" w:hAnsi="Arial"/>
          <w:noProof/>
          <w:sz w:val="16"/>
          <w:szCs w:val="16"/>
        </w:rPr>
      </w:pPr>
      <w:r>
        <w:rPr>
          <w:rFonts w:ascii="Arial" w:hAnsi="Arial"/>
          <w:noProof/>
          <w:sz w:val="16"/>
        </w:rPr>
        <w:t>der Finanzhilfen zur Finanzi</w:t>
      </w:r>
      <w:r>
        <w:rPr>
          <w:rFonts w:ascii="Arial" w:hAnsi="Arial"/>
          <w:noProof/>
          <w:sz w:val="16"/>
        </w:rPr>
        <w:t>erung von Zinsverbilligungen in Höhe von maximal 1220,85 Mio. EUR für AKP-Länder und in Höhe von maximal 8,5 Mio. EUR für ÜLG. Bis zu 15 % dieser Finanzhilfen können zur Finanzierung von projektbezogener technischer Hilfe eingesetzt werden;</w:t>
      </w:r>
    </w:p>
    <w:p w:rsidR="001609E3" w:rsidRDefault="001609E3">
      <w:pPr>
        <w:pStyle w:val="Normal0"/>
        <w:tabs>
          <w:tab w:val="left" w:pos="1800"/>
        </w:tabs>
        <w:spacing w:before="60" w:after="60"/>
        <w:jc w:val="both"/>
        <w:rPr>
          <w:rFonts w:ascii="Arial" w:hAnsi="Arial"/>
          <w:noProof/>
          <w:sz w:val="16"/>
          <w:szCs w:val="16"/>
        </w:rPr>
      </w:pPr>
    </w:p>
    <w:p w:rsidR="001609E3" w:rsidRDefault="00E45B63">
      <w:pPr>
        <w:pStyle w:val="Normal0"/>
        <w:tabs>
          <w:tab w:val="left" w:pos="1800"/>
        </w:tabs>
        <w:spacing w:before="60" w:after="60"/>
        <w:jc w:val="both"/>
        <w:rPr>
          <w:rFonts w:ascii="Arial" w:hAnsi="Arial"/>
          <w:noProof/>
          <w:sz w:val="16"/>
          <w:szCs w:val="16"/>
        </w:rPr>
      </w:pPr>
      <w:r>
        <w:rPr>
          <w:rFonts w:ascii="Arial" w:hAnsi="Arial"/>
          <w:noProof/>
          <w:sz w:val="16"/>
        </w:rPr>
        <w:t>Die vorliegend</w:t>
      </w:r>
      <w:r>
        <w:rPr>
          <w:rFonts w:ascii="Arial" w:hAnsi="Arial"/>
          <w:noProof/>
          <w:sz w:val="16"/>
        </w:rPr>
        <w:t>en Jahresabschlüsse decken den Zeitraum vom 1. Januar 2016 bis zum 31. Dezember 2016 ab.</w:t>
      </w:r>
    </w:p>
    <w:p w:rsidR="001609E3" w:rsidRDefault="00E45B63">
      <w:pPr>
        <w:pStyle w:val="Normal0"/>
        <w:tabs>
          <w:tab w:val="left" w:pos="1800"/>
        </w:tabs>
        <w:spacing w:before="60" w:after="60"/>
        <w:jc w:val="both"/>
        <w:rPr>
          <w:rFonts w:ascii="Arial" w:hAnsi="Arial"/>
          <w:noProof/>
          <w:sz w:val="16"/>
          <w:szCs w:val="16"/>
        </w:rPr>
      </w:pPr>
      <w:r>
        <w:rPr>
          <w:rFonts w:ascii="Arial" w:hAnsi="Arial"/>
          <w:noProof/>
          <w:sz w:val="16"/>
        </w:rPr>
        <w:t xml:space="preserve"> </w:t>
      </w:r>
    </w:p>
    <w:p w:rsidR="001609E3" w:rsidRDefault="00E45B63">
      <w:pPr>
        <w:pStyle w:val="Normal0"/>
        <w:spacing w:before="60" w:after="60"/>
        <w:jc w:val="both"/>
        <w:rPr>
          <w:rFonts w:ascii="Arial" w:hAnsi="Arial"/>
          <w:noProof/>
          <w:sz w:val="16"/>
          <w:szCs w:val="16"/>
        </w:rPr>
      </w:pPr>
      <w:r>
        <w:rPr>
          <w:rFonts w:ascii="Arial" w:hAnsi="Arial"/>
          <w:noProof/>
          <w:sz w:val="16"/>
        </w:rPr>
        <w:t>Auf Vorschlag des Direktoriums der EIB nahm der Verwaltungsrat der EIB die Jahresabschlüsse am 9. März 2017 an und beschloss, diese dem Rat der Gouverneure spätesten</w:t>
      </w:r>
      <w:r>
        <w:rPr>
          <w:rFonts w:ascii="Arial" w:hAnsi="Arial"/>
          <w:noProof/>
          <w:sz w:val="16"/>
        </w:rPr>
        <w:t>s am 25. April 2017 zur Genehmigung vorzulegen.</w:t>
      </w:r>
    </w:p>
    <w:p w:rsidR="001609E3" w:rsidRDefault="001609E3">
      <w:pPr>
        <w:pStyle w:val="Normal0"/>
        <w:spacing w:before="60" w:after="60"/>
        <w:jc w:val="both"/>
        <w:rPr>
          <w:rFonts w:ascii="Arial" w:hAnsi="Arial"/>
          <w:noProof/>
          <w:sz w:val="16"/>
          <w:szCs w:val="16"/>
        </w:rPr>
      </w:pPr>
    </w:p>
    <w:p w:rsidR="001609E3" w:rsidRDefault="00E45B63">
      <w:pPr>
        <w:pStyle w:val="Notes1"/>
        <w:numPr>
          <w:ilvl w:val="0"/>
          <w:numId w:val="0"/>
        </w:numPr>
        <w:ind w:left="432" w:hanging="432"/>
        <w:rPr>
          <w:noProof/>
        </w:rPr>
      </w:pPr>
      <w:r>
        <w:rPr>
          <w:noProof/>
        </w:rPr>
        <w:t>2</w:t>
      </w:r>
      <w:r>
        <w:rPr>
          <w:noProof/>
        </w:rPr>
        <w:tab/>
        <w:t>Maßgebliche Rechnungslegungsregeln</w:t>
      </w:r>
    </w:p>
    <w:p w:rsidR="001609E3" w:rsidRDefault="001609E3">
      <w:pPr>
        <w:pStyle w:val="Title11a"/>
        <w:numPr>
          <w:ilvl w:val="0"/>
          <w:numId w:val="0"/>
        </w:numPr>
        <w:rPr>
          <w:noProof/>
          <w:sz w:val="16"/>
          <w:szCs w:val="16"/>
        </w:rPr>
      </w:pPr>
    </w:p>
    <w:p w:rsidR="001609E3" w:rsidRDefault="00E45B63">
      <w:pPr>
        <w:pStyle w:val="Title111"/>
        <w:rPr>
          <w:noProof/>
          <w:sz w:val="16"/>
          <w:szCs w:val="16"/>
        </w:rPr>
      </w:pPr>
      <w:r>
        <w:rPr>
          <w:noProof/>
          <w:sz w:val="16"/>
        </w:rPr>
        <w:t>Erstellungsgrundlage – Konformitätserklärung</w:t>
      </w:r>
    </w:p>
    <w:p w:rsidR="001609E3" w:rsidRDefault="001609E3">
      <w:pPr>
        <w:pStyle w:val="Title111"/>
        <w:numPr>
          <w:ilvl w:val="0"/>
          <w:numId w:val="0"/>
        </w:numPr>
        <w:spacing w:before="60" w:after="60"/>
        <w:rPr>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Der Jahresabschluss der Fazilität wurde im Einklang mit den von der Europäischen Union angenommenen Internationalen Finanzberichte-Standards (IFRS) erstellt. </w:t>
      </w:r>
    </w:p>
    <w:p w:rsidR="001609E3" w:rsidRDefault="001609E3">
      <w:pPr>
        <w:pStyle w:val="Title111"/>
        <w:numPr>
          <w:ilvl w:val="0"/>
          <w:numId w:val="0"/>
        </w:numPr>
        <w:spacing w:before="60" w:after="60"/>
        <w:ind w:left="431"/>
        <w:rPr>
          <w:noProof/>
          <w:sz w:val="16"/>
          <w:szCs w:val="16"/>
        </w:rPr>
      </w:pPr>
    </w:p>
    <w:p w:rsidR="001609E3" w:rsidRDefault="00E45B63">
      <w:pPr>
        <w:pStyle w:val="Title111"/>
        <w:numPr>
          <w:ilvl w:val="1"/>
          <w:numId w:val="27"/>
        </w:numPr>
        <w:rPr>
          <w:noProof/>
          <w:sz w:val="16"/>
          <w:szCs w:val="16"/>
        </w:rPr>
      </w:pPr>
      <w:r>
        <w:rPr>
          <w:noProof/>
          <w:sz w:val="16"/>
        </w:rPr>
        <w:t xml:space="preserve">Wesentliche Ermessensentscheidungen und Schätzungen </w:t>
      </w:r>
    </w:p>
    <w:p w:rsidR="001609E3" w:rsidRDefault="001609E3">
      <w:pPr>
        <w:pStyle w:val="Title111"/>
        <w:numPr>
          <w:ilvl w:val="0"/>
          <w:numId w:val="0"/>
        </w:numPr>
        <w:spacing w:before="60" w:after="60"/>
        <w:rPr>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Erstellung von Jahresabschlüssen erfor</w:t>
      </w:r>
      <w:r>
        <w:rPr>
          <w:rFonts w:ascii="Arial" w:hAnsi="Arial"/>
          <w:noProof/>
          <w:sz w:val="16"/>
        </w:rPr>
        <w:t>dert die Nutzung von rechnungslegungsbezogenen Schätzungen. Darüber hinaus muss die Europäische Investitionsbank bei der Anwendung der Rechnungslegungsregeln der Investitionsfazilität von ihrem Beurteilungsspielraum Gebrauch machen. Die Bereiche, die durch</w:t>
      </w:r>
      <w:r>
        <w:rPr>
          <w:rFonts w:ascii="Arial" w:hAnsi="Arial"/>
          <w:noProof/>
          <w:sz w:val="16"/>
        </w:rPr>
        <w:t xml:space="preserve"> einen höheren Grad der Ermessenausübung oder eine größere Komplexität gekennzeichnet sind, sowie Bereiche, in denen Annahmen und Schätzen von Bedeutung für den Jahresabschluss sind, werden im Folgenden ausgewiesen.</w:t>
      </w:r>
    </w:p>
    <w:p w:rsidR="001609E3" w:rsidRDefault="00E45B63">
      <w:pPr>
        <w:pStyle w:val="NotesText0"/>
        <w:spacing w:before="60" w:line="240" w:lineRule="auto"/>
        <w:rPr>
          <w:rFonts w:cs="Times New Roman"/>
          <w:noProof/>
          <w:sz w:val="16"/>
          <w:szCs w:val="16"/>
        </w:rPr>
      </w:pPr>
      <w:r>
        <w:rPr>
          <w:noProof/>
          <w:sz w:val="16"/>
        </w:rPr>
        <w:t>Ermessensausübungen und Schätzungen wurd</w:t>
      </w:r>
      <w:r>
        <w:rPr>
          <w:noProof/>
          <w:sz w:val="16"/>
        </w:rPr>
        <w:t>en in den folgenden Bereichen am stärksten eingesetzt:</w:t>
      </w:r>
    </w:p>
    <w:p w:rsidR="001609E3" w:rsidRDefault="001609E3">
      <w:pPr>
        <w:pStyle w:val="NotesText0"/>
        <w:spacing w:before="60" w:line="240" w:lineRule="auto"/>
        <w:rPr>
          <w:rFonts w:cs="Times New Roman"/>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Bemessung des beizulegenden Zeitwerts von Finanzinstrumenten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Der beizulegende Zeitwert von finanziellen Vermögenswerten und Verbindlichkeiten, die auf aktiven Märkten gehandelt werden, beruht auf  de</w:t>
      </w:r>
      <w:r>
        <w:rPr>
          <w:rFonts w:ascii="Arial" w:hAnsi="Arial"/>
          <w:noProof/>
          <w:sz w:val="16"/>
        </w:rPr>
        <w:t>n notierten Marktpreisen oder Preisnotierungen von Maklern.  Wenn sich die beizulegenden Zeitwerte nicht anhand der Notierungen auf aktiven Märkten ermitteln lassen, werden sie mit Hilfe einer Reihe von Bewertungstechniken (u. a. anhand mathematischer Mode</w:t>
      </w:r>
      <w:r>
        <w:rPr>
          <w:rFonts w:ascii="Arial" w:hAnsi="Arial"/>
          <w:noProof/>
          <w:sz w:val="16"/>
        </w:rPr>
        <w:t>lle) bestimmt. Die Daten für diese Modelle werden soweit wie möglich auf beobachtbaren Märkten erhoben, wo dies jedoch nicht möglich war, muss der Zeitwert bis zu einem gewissen Grad geschätzt werden. Auf der Grundlage der in den Bewertungstechniken beschr</w:t>
      </w:r>
      <w:r>
        <w:rPr>
          <w:rFonts w:ascii="Arial" w:hAnsi="Arial"/>
          <w:noProof/>
          <w:sz w:val="16"/>
        </w:rPr>
        <w:t>iebenen und in den Erläuterungen 2.4.3 und 4 dargelegten Inputs werden die Bewertungen verschiedenen Stufen der Bemessungshierarchie zugeordnet.</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Diese Bewertungstechniken können den Nettogegenwartswert und Discounted Cashflow-Verfahren, Vergleiche mit ähn</w:t>
      </w:r>
      <w:r>
        <w:rPr>
          <w:rFonts w:ascii="Arial" w:hAnsi="Arial"/>
          <w:noProof/>
          <w:sz w:val="16"/>
        </w:rPr>
        <w:t>lichen Instrumenten, für die beobachtbare Marktpreise vorliegen, Black-Scholes- und polynome Optionspreismodelle sowie weitere Bewertungsmodelle umfassen. Den Bewertungstechniken zugrunde gelegte Annahmen und Inputfaktoren sind unter anderem risikofreie un</w:t>
      </w:r>
      <w:r>
        <w:rPr>
          <w:rFonts w:ascii="Arial" w:hAnsi="Arial"/>
          <w:noProof/>
          <w:sz w:val="16"/>
        </w:rPr>
        <w:t>d Referenzzinssätze, die bei der Schätzung von Abzinsungssätzen verwendeten Credit Spreads, Anleihen- und Aktienkurse, Wechselkurse, Aktienkurse und Aktienindexpreise sowie erwartete Preisvolatilitäten und Korrelationen umfassen.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Der Zweck von Bewertungst</w:t>
      </w:r>
      <w:r>
        <w:rPr>
          <w:rFonts w:ascii="Arial" w:hAnsi="Arial"/>
          <w:noProof/>
          <w:sz w:val="16"/>
        </w:rPr>
        <w:t>echniken besteht darin, einen beizulegenden Zeitwert zu errechnen, der den Preis widerspiegelt, der am Bemessungsstichtag in einem geordneten Geschäftsvorfall zwischen Marktteilnehmern für den Verkauf eines Vermögenswertes empfangen oder für die Übertragun</w:t>
      </w:r>
      <w:r>
        <w:rPr>
          <w:rFonts w:ascii="Arial" w:hAnsi="Arial"/>
          <w:noProof/>
          <w:sz w:val="16"/>
        </w:rPr>
        <w:t>g einer Verbindlichkeit gezahlt werden würde.</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Für die Fazilität werden allgemein anerkannte Bewertungsmodelle für die Bestimmung des beizulegenden Zeitwerts von allgemeinen und einfachen Finanzinstrumenten wie Zins- oder Währungsswaps verwendet, bei denen</w:t>
      </w:r>
      <w:r>
        <w:rPr>
          <w:rFonts w:ascii="Arial" w:hAnsi="Arial"/>
          <w:noProof/>
          <w:sz w:val="16"/>
        </w:rPr>
        <w:t xml:space="preserve"> nur beobachtbare Marktdaten zugrunde gelegt werden und für die nur begrenzte Ermessensentscheidungen und Schätzwerte erforderlich sind. Beobachtbare Preise und Inputfaktoren für Modelle stehen in der Regel auf dem Markt für notierte Anleihe- und Aktientit</w:t>
      </w:r>
      <w:r>
        <w:rPr>
          <w:rFonts w:ascii="Arial" w:hAnsi="Arial"/>
          <w:noProof/>
          <w:sz w:val="16"/>
        </w:rPr>
        <w:t>el, börsengehandelte Derivate und einfache außerbörslich gehandelte Derivate wie Zinsswaps zur Verfügung. Durch die Verfügbarkeit von beobachtbaren Marktpreisen und Inputfaktoren für Modelle verringert sich die Notwendigkeit von Ermessensentscheidungen und</w:t>
      </w:r>
      <w:r>
        <w:rPr>
          <w:rFonts w:ascii="Arial" w:hAnsi="Arial"/>
          <w:noProof/>
          <w:sz w:val="16"/>
        </w:rPr>
        <w:t xml:space="preserve"> Schätzungen sowie die Unsicherheit im Zusammenhang mit der Bestimmung des beizulegenden Zeitwerts. Die Verfügbarkeit beobachtbarer Marktpreise und Inputfaktoren hängt von den Produkten und Märkten ab und unterliegt Änderungen aufgrund besonderer Ereigniss</w:t>
      </w:r>
      <w:r>
        <w:rPr>
          <w:rFonts w:ascii="Arial" w:hAnsi="Arial"/>
          <w:noProof/>
          <w:sz w:val="16"/>
        </w:rPr>
        <w:t>e und der allgemeinen Bedingungen auf den Finanzmärkten.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Für komplexere Instrumente der Fazilität werden eigene Bewertungsmodelle verwendet, die auf der Grundlage anerkannter Bewertungsmodelle entwickelt werden. Manche oder alle maßgeblichen Inputfaktoren</w:t>
      </w:r>
      <w:r>
        <w:rPr>
          <w:rFonts w:ascii="Arial" w:hAnsi="Arial"/>
          <w:noProof/>
          <w:sz w:val="16"/>
        </w:rPr>
        <w:t>, die in diese Modelle einfließen, sind möglicherweise auf dem Markt nicht beobachtbar und werden von Marktpreisen oder -sätzen abgeleitet bzw. anhand von Annahmen geschätzt. Zu den Instrumenten, bei denen maßgebliche nicht beobachtbare Inputfaktoren zugru</w:t>
      </w:r>
      <w:r>
        <w:rPr>
          <w:rFonts w:ascii="Arial" w:hAnsi="Arial"/>
          <w:noProof/>
          <w:sz w:val="16"/>
        </w:rPr>
        <w:t>nde gelegt werden, zählen beispielsweise bestimmte Kredite und Garantien, für die kein aktiver Markt besteht. Bewertungsmodelle, denen maßgebliche nicht beobachtbare Inputfaktoren zugrunde liegen, erfordern bei der Bestimmung des beizulegenden Zeitwerts ei</w:t>
      </w:r>
      <w:r>
        <w:rPr>
          <w:rFonts w:ascii="Arial" w:hAnsi="Arial"/>
          <w:noProof/>
          <w:sz w:val="16"/>
        </w:rPr>
        <w:t>n höheres Maß an Ermessensentscheidungen und Schätzungen. Ermessensentscheidungen und Schätzungen sind in der Regel für die Auswahl des zu verwendenden geeigneten Bewertungsmodells, die Bestimmung der erwarteten künftigen Cashflows des zu bewertenden Finan</w:t>
      </w:r>
      <w:r>
        <w:rPr>
          <w:rFonts w:ascii="Arial" w:hAnsi="Arial"/>
          <w:noProof/>
          <w:sz w:val="16"/>
        </w:rPr>
        <w:t>zinstruments, die Bestimmung der Wahrscheinlichkeit des Ausfalls der Gegenpartei und von Vorauszahlungen sowie die Auswahl der geeigneten Abzinsungssätze erforderlich.</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Die Fazilität verfügt über einen festgelegten Kontrollrahmen in Bezug auf die Bemessung</w:t>
      </w:r>
      <w:r>
        <w:rPr>
          <w:rFonts w:ascii="Arial" w:hAnsi="Arial"/>
          <w:noProof/>
          <w:sz w:val="16"/>
        </w:rPr>
        <w:t xml:space="preserve"> des beizulegenden Zeitwerts. Das Risikomanagement und das Marktdatenmanagement der Europäischen Investitionsbank (EIB) sind Bestandteil dieses Rahmens. Diese Funktionen sind unabhängig von den operativen Abteilungen und für die Überprüfung maßgeblicher Be</w:t>
      </w:r>
      <w:r>
        <w:rPr>
          <w:rFonts w:ascii="Arial" w:hAnsi="Arial"/>
          <w:noProof/>
          <w:sz w:val="16"/>
        </w:rPr>
        <w:t>messungen des beizulegenden Zeitwerts zuständig. Die konkreten Kontrollen umfassen Folgendes:</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Überprüfung der beobachtbaren Preisbildung;</w:t>
      </w:r>
    </w:p>
    <w:p w:rsidR="001609E3" w:rsidRDefault="00E45B63">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Überprüfungs- und Genehmigungsprozess für neue Bewertungsmodelle und Änderungen an bestehenden Modellen;</w:t>
      </w:r>
    </w:p>
    <w:p w:rsidR="001609E3" w:rsidRDefault="00E45B63">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Kalibrierung</w:t>
      </w:r>
      <w:r>
        <w:rPr>
          <w:rFonts w:ascii="Arial" w:hAnsi="Arial"/>
          <w:noProof/>
          <w:sz w:val="16"/>
        </w:rPr>
        <w:t xml:space="preserve"> und Backtesting von Modellen anhand beobachteter Markttransaktionen;</w:t>
      </w:r>
    </w:p>
    <w:p w:rsidR="001609E3" w:rsidRDefault="00E45B63">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Analyse und Untersuchung wesentlicher Bewertungsänderungen;</w:t>
      </w:r>
    </w:p>
    <w:p w:rsidR="001609E3" w:rsidRDefault="00E45B63">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Überprüfung maßgeblicher nicht beobachtbarer Inputfaktoren und Bewertungsanpassungen.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Sofern Informationen Dritter, wie Preis</w:t>
      </w:r>
      <w:r>
        <w:rPr>
          <w:rFonts w:ascii="Arial" w:hAnsi="Arial"/>
          <w:noProof/>
          <w:sz w:val="16"/>
        </w:rPr>
        <w:t>angebote von Händlern oder Pricing-Services, zur Bemessung des beizulegenden Zeitwerts verwendet werden, wird für die Fazilität überprüft, dass diese Bewertungen den Anforderungen der IFRS entsprechen. Dazu werden folgende Schritte durchgeführt:</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Ermittlun</w:t>
      </w:r>
      <w:r>
        <w:rPr>
          <w:rFonts w:ascii="Arial" w:hAnsi="Arial"/>
          <w:noProof/>
          <w:sz w:val="16"/>
        </w:rPr>
        <w:t>g, ob das Preisangebot des Händlers oder der Preis des Pricing-Services angemessen ist;</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Bewertung, ob das Preisangebot eines bestimmten Händlers oder Pricing-Services verlässlich ist:</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Überprüfung, wie der beizulegende Zeitwert ermittelt wurde und in welche</w:t>
      </w:r>
      <w:r>
        <w:rPr>
          <w:rFonts w:ascii="Arial" w:hAnsi="Arial"/>
          <w:noProof/>
          <w:sz w:val="16"/>
        </w:rPr>
        <w:t>m Umfang er den tatsächlichen Markttransaktionen entspricht;</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sofern Preise für vergleichbare Instrumente für die Bemessung des beizulegenden Zeitwerts herangezogen werden, Überprüfung, wie diese Preise angepasst wurden, um die Merkmale des zu bewertenden I</w:t>
      </w:r>
      <w:r>
        <w:rPr>
          <w:rFonts w:ascii="Arial" w:hAnsi="Arial"/>
          <w:noProof/>
          <w:sz w:val="16"/>
        </w:rPr>
        <w:t>nstruments widerzuspiegeln.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Wertminderungsaufwendungen aus Krediten und Forderungen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Die Kredite und Forderungen der Fazilität werden zu jedem Berichtstermin bewertet, um festzustellen, ob in der Gesamtergebnisrechnung Wertminderungen ausgewiesen werden s</w:t>
      </w:r>
      <w:r>
        <w:rPr>
          <w:rFonts w:ascii="Arial" w:hAnsi="Arial"/>
          <w:noProof/>
          <w:sz w:val="16"/>
        </w:rPr>
        <w:t>ollten. Insbesondere bei der Schätzung des Betrags und des Zeitpunkts künftiger Cashflows ist hinsichtlich der Höhe der Wertminderung eine Beurteilung durch die Leitung der Europäischen Investitionsbank erforderlich. Solche Schätzungen beruhen auf Annahmen</w:t>
      </w:r>
      <w:r>
        <w:rPr>
          <w:rFonts w:ascii="Arial" w:hAnsi="Arial"/>
          <w:noProof/>
          <w:sz w:val="16"/>
        </w:rPr>
        <w:t xml:space="preserve"> für eine Reihe von Faktoren. Die tatsächlichen Ergebnisse können davon abweichen, was zu künftigen Änderungen der Wertminderung führt. . Neben der besonderen Wertminderung für erhebliche Einzelkredite und -forderungen kann auch eine pauschale Wertberichti</w:t>
      </w:r>
      <w:r>
        <w:rPr>
          <w:rFonts w:ascii="Arial" w:hAnsi="Arial"/>
          <w:noProof/>
          <w:sz w:val="16"/>
        </w:rPr>
        <w:t>gung für finanzielle Engagements vorgenommen werden, die zwar für sich genommen nicht als  in ihrem Wert gemindert eingestuft wurden, aber ein größeres Ausfallrisiko als bei der ursprünglichen Gewährung aufweisen.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b/>
          <w:noProof/>
          <w:sz w:val="16"/>
          <w:szCs w:val="16"/>
        </w:rPr>
      </w:pPr>
      <w:r>
        <w:rPr>
          <w:rFonts w:ascii="Arial" w:hAnsi="Arial"/>
          <w:noProof/>
          <w:sz w:val="16"/>
        </w:rPr>
        <w:t>Grundsätzlich gilt ein Kredit als im Wert</w:t>
      </w:r>
      <w:r>
        <w:rPr>
          <w:rFonts w:ascii="Arial" w:hAnsi="Arial"/>
          <w:noProof/>
          <w:sz w:val="16"/>
        </w:rPr>
        <w:t xml:space="preserve"> gemindert, wenn die Zahlung von Zinsen und Kapital seit 90 Tagen oder länger fällig ist und es nach Auffassung der Europäischen Investitionsbank objektive Anhaltspunkte für eine Wertminderung gibt.</w:t>
      </w:r>
    </w:p>
    <w:p w:rsidR="001609E3" w:rsidRDefault="001609E3">
      <w:pPr>
        <w:pStyle w:val="Normal2"/>
        <w:widowControl w:val="0"/>
        <w:autoSpaceDE w:val="0"/>
        <w:spacing w:before="60" w:after="60"/>
        <w:jc w:val="both"/>
        <w:rPr>
          <w:rFonts w:ascii="Arial" w:hAnsi="Arial"/>
          <w:b/>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Rückstellung für Finanzsicherheiten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Die Garantiverträge</w:t>
      </w:r>
      <w:r>
        <w:rPr>
          <w:rFonts w:ascii="Arial" w:hAnsi="Arial"/>
          <w:noProof/>
          <w:sz w:val="16"/>
        </w:rPr>
        <w:t xml:space="preserve"> der Fazilität werden zu jedem Abschlussstichtag bewertet, um festzustellen, ob in der Gesamtergebnisrechnung eine Rückstellung ausgewiesen werden sollte. Bei den Schätzungen und Annahmen, die zum Zweck der Berechnung der Rückstellung durchgeführt werden m</w:t>
      </w:r>
      <w:r>
        <w:rPr>
          <w:rFonts w:ascii="Arial" w:hAnsi="Arial"/>
          <w:noProof/>
          <w:sz w:val="16"/>
        </w:rPr>
        <w:t>üssen, ist hinsichtlich einer Reihe von Faktoren (siehe unten) eine besondere Beurteilung erforderlich.</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Höhe und Terminierung künftiger Cashflows;</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Nutzungsgrad der Garantien;</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auf die geschätzten Cashflows angewendete Abzinsungsfaktoren.</w:t>
      </w:r>
    </w:p>
    <w:p w:rsidR="001609E3" w:rsidRDefault="001609E3">
      <w:pPr>
        <w:pStyle w:val="Normal2"/>
        <w:widowControl w:val="0"/>
        <w:autoSpaceDE w:val="0"/>
        <w:spacing w:before="60" w:after="60"/>
        <w:jc w:val="both"/>
        <w:rPr>
          <w:rFonts w:ascii="Arial" w:hAnsi="Arial"/>
          <w:b/>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 xml:space="preserve">Bewertung von zur </w:t>
      </w:r>
      <w:r>
        <w:rPr>
          <w:rFonts w:ascii="Arial" w:hAnsi="Arial"/>
          <w:b/>
          <w:noProof/>
          <w:sz w:val="16"/>
        </w:rPr>
        <w:t>Veräußerung verfügbaren, nicht börsennotierten Kapitalbeteiligungen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 xml:space="preserve">Die Bewertung zur Veräußerung verfügbarer, nicht börsennotierter Kapitalbeteiligungen beruht in der Regel auf einem der folgenden Faktoren:  </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aktuelle Marktgeschäfte zu marktüblichen Bed</w:t>
      </w:r>
      <w:r>
        <w:rPr>
          <w:rFonts w:ascii="Arial" w:hAnsi="Arial"/>
          <w:noProof/>
          <w:sz w:val="16"/>
        </w:rPr>
        <w:t xml:space="preserve">ingungen; </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aktueller beizulegender Zeitwert eines weitgehend identischen anderen Instruments; </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erwarteter Cashflow bei aktuellen Sätzen für Instrumente mit ähnlichen Bedingungen und Risikocharakteristika; </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Methode des bereinigten Nettovermögens oder  </w:t>
      </w:r>
    </w:p>
    <w:p w:rsidR="001609E3" w:rsidRDefault="00E45B63">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ande</w:t>
      </w:r>
      <w:r>
        <w:rPr>
          <w:rFonts w:ascii="Arial" w:hAnsi="Arial"/>
          <w:noProof/>
          <w:sz w:val="16"/>
        </w:rPr>
        <w:t>re Bewertungsmodelle.</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 xml:space="preserve">Die Bestimmung des Cashflows und der Abzinsungsfaktoren für zur Veräußerung verfügbare, nicht börsennotierte Kapitalbeteiligungen beruht in erheblichem Maß auf Schätzungen. Die Bewertungstechniken werden regelmäßig justiert und ihre </w:t>
      </w:r>
      <w:r>
        <w:rPr>
          <w:rFonts w:ascii="Arial" w:hAnsi="Arial"/>
          <w:noProof/>
          <w:sz w:val="16"/>
        </w:rPr>
        <w:t>Validität geprüft, wobei entweder Preise von gegenwärtig zu beobachtenden aktuellen Markttransaktionen für dasselbe Instrument oder Preise, die auf anderen verfügbaren, beobachtbaren Marktdaten beruhen, zugrunde gelegt werden.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Wertminderung bei zur Veräuß</w:t>
      </w:r>
      <w:r>
        <w:rPr>
          <w:rFonts w:ascii="Arial" w:hAnsi="Arial"/>
          <w:b/>
          <w:noProof/>
          <w:sz w:val="16"/>
        </w:rPr>
        <w:t>erung verfügbaren finanziellen Vermögenswerten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Im Rahmen der Fazilität werden am Markt verfügbare Kapitalbeteiligungen als in ihrem Wert gemindert eingestuft, wenn deren beizulegender Zeitwert erheblich oder anhaltend abnimmt und die Kosten unterschreitet</w:t>
      </w:r>
      <w:r>
        <w:rPr>
          <w:rFonts w:ascii="Arial" w:hAnsi="Arial"/>
          <w:noProof/>
          <w:sz w:val="16"/>
        </w:rPr>
        <w:t xml:space="preserve"> oder wenn andere objektive Anzeichen einer Wertminderung vorhanden sind. Die Feststellung, ob eine Wertminderung „wesentlich“ ist oder sich über einen „längeren Zeitraum“ erstreckt, ist eine Ermessensentscheidung. Generell gilt für die Fazilität eine Wert</w:t>
      </w:r>
      <w:r>
        <w:rPr>
          <w:rFonts w:ascii="Arial" w:hAnsi="Arial"/>
          <w:noProof/>
          <w:sz w:val="16"/>
        </w:rPr>
        <w:t>minderung von 30 % oder mehr als „wesentlich“ und ein Zeitraum von mehr als zwölf Monaten als „längerer Zeitraum“.  Zusätzlich werden im Rahmen der Fazilität andere Faktoren wie die üblichen Kursschwankungen börsennotierter Anteilstitel und die künftigen C</w:t>
      </w:r>
      <w:r>
        <w:rPr>
          <w:rFonts w:ascii="Arial" w:hAnsi="Arial"/>
          <w:noProof/>
          <w:sz w:val="16"/>
        </w:rPr>
        <w:t>ashflows sowie die Abzinsungsfaktoren für nicht börsennotierte Anteilstitel bewertet.</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 xml:space="preserve">Konsolidierung von Rechtssubjekten, an denen die Fazilität beteiligt ist </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 xml:space="preserve">Wesentliche Beurteilungen der Fazilität kamen zu dem Schluss, dass sie keines der </w:t>
      </w:r>
      <w:r>
        <w:rPr>
          <w:rFonts w:ascii="Arial" w:hAnsi="Arial"/>
          <w:noProof/>
          <w:sz w:val="16"/>
        </w:rPr>
        <w:t>Rechtssubjekte, an denen sie Anteile hält, beherrscht. Denn in allen diesen Rechtssubjekten trägt entweder der Komplementär, der Fondsverwalter oder die Geschäftsführung die alleinige Verantwortung für die Verwaltung und Kontrolle der Tätigkeiten und Angel</w:t>
      </w:r>
      <w:r>
        <w:rPr>
          <w:rFonts w:ascii="Arial" w:hAnsi="Arial"/>
          <w:noProof/>
          <w:sz w:val="16"/>
        </w:rPr>
        <w:t>egenheiten der Partnerschaft und ist dazu ermächtigt und befugt, alle notwendigen Schritte zu unternehmen, um den Zweck und die Ziele der Partnerschaft gemäß den politischen Leitlinien und den Investitionsleitlinien zu erfüllen.</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Title111"/>
        <w:numPr>
          <w:ilvl w:val="1"/>
          <w:numId w:val="27"/>
        </w:numPr>
        <w:rPr>
          <w:noProof/>
          <w:sz w:val="16"/>
          <w:szCs w:val="16"/>
        </w:rPr>
      </w:pPr>
      <w:r>
        <w:rPr>
          <w:noProof/>
          <w:sz w:val="16"/>
        </w:rPr>
        <w:t>Änderungen der Rechnungsle</w:t>
      </w:r>
      <w:r>
        <w:rPr>
          <w:noProof/>
          <w:sz w:val="16"/>
        </w:rPr>
        <w:t>gungsregeln</w:t>
      </w:r>
    </w:p>
    <w:p w:rsidR="001609E3" w:rsidRDefault="001609E3">
      <w:pPr>
        <w:pStyle w:val="Title111"/>
        <w:numPr>
          <w:ilvl w:val="0"/>
          <w:numId w:val="0"/>
        </w:numPr>
        <w:spacing w:before="60" w:after="60"/>
        <w:rPr>
          <w:noProof/>
          <w:sz w:val="16"/>
          <w:szCs w:val="16"/>
        </w:rPr>
      </w:pPr>
    </w:p>
    <w:p w:rsidR="001609E3" w:rsidRDefault="00E45B63">
      <w:pPr>
        <w:pStyle w:val="Title111"/>
        <w:numPr>
          <w:ilvl w:val="0"/>
          <w:numId w:val="0"/>
        </w:numPr>
        <w:spacing w:before="60" w:after="60"/>
        <w:rPr>
          <w:noProof/>
          <w:sz w:val="16"/>
          <w:szCs w:val="16"/>
        </w:rPr>
      </w:pPr>
      <w:r>
        <w:rPr>
          <w:noProof/>
          <w:sz w:val="16"/>
        </w:rPr>
        <w:t>Mit Ausnahme der nachstehenden Änderungen wurden im Rahmen der Fazilität für alle in diesen Jahresabschlüssen dargestellten Zeiträume die in Erläuterung 2.4 dargelegten Rechnungslegungsregeln angewandt. Für die Fazilität wurden die folgenden n</w:t>
      </w:r>
      <w:r>
        <w:rPr>
          <w:noProof/>
          <w:sz w:val="16"/>
        </w:rPr>
        <w:t>euen Standards und Änderungen an Standards angewendet.</w:t>
      </w:r>
    </w:p>
    <w:p w:rsidR="001609E3" w:rsidRDefault="001609E3">
      <w:pPr>
        <w:pStyle w:val="Title111"/>
        <w:numPr>
          <w:ilvl w:val="0"/>
          <w:numId w:val="0"/>
        </w:numPr>
        <w:spacing w:before="60" w:after="60"/>
        <w:rPr>
          <w:noProof/>
          <w:sz w:val="16"/>
          <w:szCs w:val="16"/>
        </w:rPr>
      </w:pPr>
    </w:p>
    <w:p w:rsidR="001609E3" w:rsidRDefault="00E45B63">
      <w:pPr>
        <w:pStyle w:val="Title111"/>
        <w:numPr>
          <w:ilvl w:val="0"/>
          <w:numId w:val="0"/>
        </w:numPr>
        <w:spacing w:before="60" w:after="60"/>
        <w:rPr>
          <w:b/>
          <w:noProof/>
          <w:sz w:val="16"/>
          <w:szCs w:val="16"/>
        </w:rPr>
      </w:pPr>
      <w:r>
        <w:rPr>
          <w:b/>
          <w:noProof/>
          <w:sz w:val="16"/>
        </w:rPr>
        <w:t>Übernommene Standards</w:t>
      </w:r>
    </w:p>
    <w:p w:rsidR="001609E3" w:rsidRDefault="001609E3">
      <w:pPr>
        <w:pStyle w:val="Title111"/>
        <w:numPr>
          <w:ilvl w:val="0"/>
          <w:numId w:val="0"/>
        </w:numPr>
        <w:spacing w:before="60" w:after="60"/>
        <w:rPr>
          <w:noProof/>
          <w:sz w:val="16"/>
          <w:szCs w:val="16"/>
        </w:rPr>
      </w:pPr>
    </w:p>
    <w:p w:rsidR="001609E3" w:rsidRDefault="00E45B63">
      <w:pPr>
        <w:pStyle w:val="Title111"/>
        <w:numPr>
          <w:ilvl w:val="0"/>
          <w:numId w:val="0"/>
        </w:numPr>
        <w:spacing w:before="60" w:after="60"/>
        <w:rPr>
          <w:noProof/>
          <w:sz w:val="16"/>
          <w:szCs w:val="16"/>
        </w:rPr>
      </w:pPr>
      <w:r>
        <w:rPr>
          <w:noProof/>
          <w:sz w:val="16"/>
        </w:rPr>
        <w:t>Bei der Erstellung dieses Jahresabschlusses wurden die folgenden Standards, geänderten Standards und Auslegungen berücksichtigt:</w:t>
      </w:r>
    </w:p>
    <w:p w:rsidR="001609E3" w:rsidRDefault="001609E3">
      <w:pPr>
        <w:pStyle w:val="Title111"/>
        <w:numPr>
          <w:ilvl w:val="0"/>
          <w:numId w:val="0"/>
        </w:numPr>
        <w:spacing w:before="60" w:after="60"/>
        <w:rPr>
          <w:noProof/>
          <w:sz w:val="16"/>
          <w:szCs w:val="16"/>
        </w:rPr>
      </w:pPr>
    </w:p>
    <w:p w:rsidR="001609E3" w:rsidRDefault="00E45B63">
      <w:pPr>
        <w:pStyle w:val="Title111"/>
        <w:numPr>
          <w:ilvl w:val="0"/>
          <w:numId w:val="31"/>
        </w:numPr>
        <w:spacing w:before="60" w:after="60"/>
        <w:rPr>
          <w:noProof/>
          <w:sz w:val="16"/>
          <w:szCs w:val="16"/>
        </w:rPr>
      </w:pPr>
      <w:r>
        <w:rPr>
          <w:noProof/>
          <w:sz w:val="16"/>
        </w:rPr>
        <w:t xml:space="preserve">Änderungen zu IAS 1 „Darstellung des </w:t>
      </w:r>
      <w:r>
        <w:rPr>
          <w:noProof/>
          <w:sz w:val="16"/>
        </w:rPr>
        <w:t>Abschlusses“ – Angabeninitiative,</w:t>
      </w:r>
    </w:p>
    <w:p w:rsidR="001609E3" w:rsidRDefault="00E45B63">
      <w:pPr>
        <w:pStyle w:val="Title111"/>
        <w:numPr>
          <w:ilvl w:val="0"/>
          <w:numId w:val="31"/>
        </w:numPr>
        <w:spacing w:before="60" w:after="60"/>
        <w:rPr>
          <w:noProof/>
          <w:sz w:val="16"/>
          <w:szCs w:val="16"/>
        </w:rPr>
      </w:pPr>
      <w:r>
        <w:rPr>
          <w:noProof/>
          <w:sz w:val="16"/>
        </w:rPr>
        <w:t>Jährliche Verbesserungen an den IFRS Zyklus 2012-2014 – verschiedene Standards.</w:t>
      </w:r>
    </w:p>
    <w:p w:rsidR="001609E3" w:rsidRDefault="001609E3">
      <w:pPr>
        <w:pStyle w:val="Title111"/>
        <w:numPr>
          <w:ilvl w:val="0"/>
          <w:numId w:val="0"/>
        </w:numPr>
        <w:spacing w:before="60" w:after="60"/>
        <w:ind w:left="431" w:hanging="431"/>
        <w:rPr>
          <w:noProof/>
          <w:sz w:val="16"/>
          <w:szCs w:val="16"/>
        </w:rPr>
      </w:pPr>
    </w:p>
    <w:p w:rsidR="001609E3" w:rsidRDefault="00E45B63">
      <w:pPr>
        <w:pStyle w:val="Normal2"/>
        <w:widowControl w:val="0"/>
        <w:autoSpaceDE w:val="0"/>
        <w:spacing w:before="60" w:after="60"/>
        <w:jc w:val="both"/>
        <w:rPr>
          <w:rFonts w:ascii="Arial" w:hAnsi="Arial"/>
          <w:noProof/>
          <w:sz w:val="16"/>
          <w:szCs w:val="16"/>
        </w:rPr>
      </w:pPr>
      <w:r>
        <w:rPr>
          <w:rFonts w:ascii="Arial" w:hAnsi="Arial"/>
          <w:noProof/>
          <w:sz w:val="16"/>
        </w:rPr>
        <w:t>Diese Änderungen hatten keine wesentlichen Auswirkungen auf den Jahresabschluss der Fazilität.</w:t>
      </w:r>
    </w:p>
    <w:p w:rsidR="001609E3" w:rsidRDefault="001609E3">
      <w:pPr>
        <w:pStyle w:val="Normal2"/>
        <w:widowControl w:val="0"/>
        <w:autoSpaceDE w:val="0"/>
        <w:spacing w:before="60" w:after="60"/>
        <w:jc w:val="both"/>
        <w:rPr>
          <w:rFonts w:ascii="Arial" w:hAnsi="Arial"/>
          <w:noProof/>
          <w:sz w:val="16"/>
          <w:szCs w:val="16"/>
          <w:highlight w:val="yellow"/>
        </w:rPr>
      </w:pPr>
    </w:p>
    <w:p w:rsidR="001609E3" w:rsidRDefault="00E45B63">
      <w:pPr>
        <w:pStyle w:val="Normal2"/>
        <w:widowControl w:val="0"/>
        <w:autoSpaceDE w:val="0"/>
        <w:spacing w:before="60" w:after="60"/>
        <w:jc w:val="both"/>
        <w:rPr>
          <w:rFonts w:ascii="Arial" w:hAnsi="Arial"/>
          <w:b/>
          <w:noProof/>
          <w:sz w:val="16"/>
          <w:szCs w:val="16"/>
        </w:rPr>
      </w:pPr>
      <w:r>
        <w:rPr>
          <w:rFonts w:ascii="Arial" w:hAnsi="Arial"/>
          <w:b/>
          <w:noProof/>
          <w:sz w:val="16"/>
        </w:rPr>
        <w:t>Veröffentlichte, aber noch nicht in Kraft get</w:t>
      </w:r>
      <w:r>
        <w:rPr>
          <w:rFonts w:ascii="Arial" w:hAnsi="Arial"/>
          <w:b/>
          <w:noProof/>
          <w:sz w:val="16"/>
        </w:rPr>
        <w:t>retene Standards</w:t>
      </w:r>
    </w:p>
    <w:p w:rsidR="001609E3" w:rsidRDefault="001609E3">
      <w:pPr>
        <w:pStyle w:val="Normal2"/>
        <w:widowControl w:val="0"/>
        <w:autoSpaceDE w:val="0"/>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Für Jahreszeiträume nach dem 1. Januar 2016 sind folgende neue Standards, geänderte Standards und Auslegungen in Kraft getreten; diese wurden bei der Erstellung der vorliegenden Jahresabschlüsse nicht berücksichtigt. Die Standards, die fü</w:t>
      </w:r>
      <w:r>
        <w:rPr>
          <w:rFonts w:ascii="Arial" w:hAnsi="Arial"/>
          <w:noProof/>
          <w:sz w:val="16"/>
        </w:rPr>
        <w:t xml:space="preserve">r die Fazilität möglicherweise von Bedeutung sind, werden nachstehend dargestellt.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IFRS 9 </w:t>
      </w:r>
      <w:r>
        <w:rPr>
          <w:rFonts w:ascii="Arial" w:hAnsi="Arial"/>
          <w:i/>
          <w:noProof/>
          <w:sz w:val="16"/>
        </w:rPr>
        <w:t>Finanzinstrumente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Der letzte Teil des Standards wurde am 24. Juli 2014 veröffentlicht und ersetzt die bisherigen Leitlinien im IAS 39 „Finanzinstrumente: Ansatz und Bewertung“.  IFRS 9 behandelt die Klassifizierung, Bewertung und Ausbuchung von finanziellen Vermögenswerten </w:t>
      </w:r>
      <w:r>
        <w:rPr>
          <w:rFonts w:ascii="Arial" w:hAnsi="Arial"/>
          <w:noProof/>
          <w:sz w:val="16"/>
        </w:rPr>
        <w:t xml:space="preserve">und finanziellen Verbindlichkeiten und führt ein neues Modell für erwartete Kreditverluste zur Berechnung der Wertminderung finanzieller Vermögenswerte  sowie neue Vorschriften zur Bilanzierung von Sicherungsgeschäften ein.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IFRS 9 beinhaltet einen neuen </w:t>
      </w:r>
      <w:r>
        <w:rPr>
          <w:rFonts w:ascii="Arial" w:hAnsi="Arial"/>
          <w:noProof/>
          <w:sz w:val="16"/>
        </w:rPr>
        <w:t>Ansatz für die Klassifizierung und Bewertung finanzieller Vermögenswerte, der das Geschäftsmodell, nach dem die Vermögenswerte verwaltet werden, sowie ihre Cashflow-Merkmale widerspiegelt. IFRS 9 enthält drei Hauptkategorien für die Klassifizierung finanzi</w:t>
      </w:r>
      <w:r>
        <w:rPr>
          <w:rFonts w:ascii="Arial" w:hAnsi="Arial"/>
          <w:noProof/>
          <w:sz w:val="16"/>
        </w:rPr>
        <w:t>eller Vermögenswerte: Bewertung zu fortgeführten Anschaffungskosten, Bewertung erfolgsneutral (über Rücklagen) zum beizulegenden Zeitwert und erfolgswirksam (über GuV) zum beizulegenden Zeitwert. Der Standard beseitigt die bestehenden Kategorie nach IAS 39</w:t>
      </w:r>
      <w:r>
        <w:rPr>
          <w:rFonts w:ascii="Arial" w:hAnsi="Arial"/>
          <w:noProof/>
          <w:sz w:val="16"/>
        </w:rPr>
        <w:t xml:space="preserve"> „bis zur Endfälligkeit zu haltend“, „Kredite und Forderungen“ und „zur Veräußerung verfügbar“. Nach IFRS 9 werden in Verträge eingebettete Derivate, bei denen der Basisvertrag ein in den Geltungsbereich des Standards fallender finanzieller Vermögenswert i</w:t>
      </w:r>
      <w:r>
        <w:rPr>
          <w:rFonts w:ascii="Arial" w:hAnsi="Arial"/>
          <w:noProof/>
          <w:sz w:val="16"/>
        </w:rPr>
        <w:t xml:space="preserve">st, niemals abgespalten. Stattdessen wird das hybride Finanzinstrument zur Klassifizierung in seiner Gesamtheit bewertet.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Hinsichtlich der Klassifizierung der finanziellen Vermögenswerte behält der IFRS 9 die bestehenden Anforderungen aus IAS 39 weitgehe</w:t>
      </w:r>
      <w:r>
        <w:rPr>
          <w:rFonts w:ascii="Arial" w:hAnsi="Arial"/>
          <w:noProof/>
          <w:sz w:val="16"/>
        </w:rPr>
        <w:t>nd bei. Allerdings werden nach  IAS 39 alle Veränderungen des beizulegenden Zeitwerts der unter die erfolgswirksam (über GuV) zum beizulegenden Zeitwert bewerteten Verbindlichkeiten im Gewinn oder Verlust (ergebniswirksam) ausgewiesen, während diese Veränd</w:t>
      </w:r>
      <w:r>
        <w:rPr>
          <w:rFonts w:ascii="Arial" w:hAnsi="Arial"/>
          <w:noProof/>
          <w:sz w:val="16"/>
        </w:rPr>
        <w:t>erungen des beizulegenden Zeitwerts nach IFRS 9 im Allgemeinen wie folgt dargestellt werden:</w:t>
      </w:r>
    </w:p>
    <w:p w:rsidR="001609E3" w:rsidRDefault="00E45B63">
      <w:pPr>
        <w:pStyle w:val="ListParagraph0"/>
        <w:numPr>
          <w:ilvl w:val="0"/>
          <w:numId w:val="31"/>
        </w:numPr>
        <w:spacing w:before="60" w:after="60"/>
        <w:ind w:left="714" w:hanging="357"/>
        <w:jc w:val="both"/>
        <w:rPr>
          <w:rFonts w:ascii="Arial" w:hAnsi="Arial"/>
          <w:noProof/>
          <w:sz w:val="16"/>
          <w:szCs w:val="16"/>
        </w:rPr>
      </w:pPr>
      <w:r>
        <w:rPr>
          <w:rFonts w:ascii="Arial" w:hAnsi="Arial"/>
          <w:noProof/>
          <w:sz w:val="16"/>
        </w:rPr>
        <w:t>der Betrag der Veränderung des beizulegenden Zeitwerts, der Veränderungen beim Kreditrisiko der Verbindlichkeit zuzuordnen ist, wird im sonstigen Ergebnis ausgewie</w:t>
      </w:r>
      <w:r>
        <w:rPr>
          <w:rFonts w:ascii="Arial" w:hAnsi="Arial"/>
          <w:noProof/>
          <w:sz w:val="16"/>
        </w:rPr>
        <w:t>sen; und</w:t>
      </w:r>
    </w:p>
    <w:p w:rsidR="001609E3" w:rsidRDefault="00E45B63">
      <w:pPr>
        <w:pStyle w:val="ListParagraph0"/>
        <w:numPr>
          <w:ilvl w:val="0"/>
          <w:numId w:val="31"/>
        </w:numPr>
        <w:spacing w:before="60" w:after="60"/>
        <w:jc w:val="both"/>
        <w:rPr>
          <w:rFonts w:ascii="Arial" w:hAnsi="Arial"/>
          <w:noProof/>
          <w:sz w:val="16"/>
          <w:szCs w:val="16"/>
        </w:rPr>
      </w:pPr>
      <w:r>
        <w:rPr>
          <w:rFonts w:ascii="Arial" w:hAnsi="Arial"/>
          <w:noProof/>
          <w:sz w:val="16"/>
        </w:rPr>
        <w:t xml:space="preserve">der verbleibende Betrag der Veränderung des beizulegenden Zeitwerts wird im Gewinn oder Verlust ausgewiesen.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IFRS 9 ersetzt das Modell bereits eingetretener Verluste („Incurred Loss Model“) durch ein zukunftsorientiertes Modell erwarteter Kredit</w:t>
      </w:r>
      <w:r>
        <w:rPr>
          <w:rFonts w:ascii="Arial" w:hAnsi="Arial"/>
          <w:noProof/>
          <w:sz w:val="16"/>
        </w:rPr>
        <w:t>verluste („expected credit loss“). Dieses Modell erfordert eine erhebliche Ermessensausübung hinsichtlich dessen, in welcher Weise Veränderungen wirtschaftlicher Faktoren erwartete Kreditverluste beeinflussen, wobei diese auf wahrscheinlichkeitsgewichteter</w:t>
      </w:r>
      <w:r>
        <w:rPr>
          <w:rFonts w:ascii="Arial" w:hAnsi="Arial"/>
          <w:noProof/>
          <w:sz w:val="16"/>
        </w:rPr>
        <w:t xml:space="preserve"> Basis bestimmt werden. Das neue Wertminderungsmodell gilt für finanzielle Vermögenwerte, die zu fortgeführten Anschaffungskosten oder aber erfolgsneutral (über Rücklagen) zum beizulegenden Zeitwert bewertet werden, sowie für auf vertraglichen Vereinbarung</w:t>
      </w:r>
      <w:r>
        <w:rPr>
          <w:rFonts w:ascii="Arial" w:hAnsi="Arial"/>
          <w:noProof/>
          <w:sz w:val="16"/>
        </w:rPr>
        <w:t>en beruhende Vermögenswerte; ausgenommen sind Investitionen in Eigenkapitalinstrumente.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Im Rahmen von IFRS 9 werden Wertberichtungen für Kreditverluste auf einer der beiden folgenden Grundlagen bewertet:</w:t>
      </w:r>
    </w:p>
    <w:p w:rsidR="001609E3" w:rsidRDefault="00E45B63">
      <w:pPr>
        <w:pStyle w:val="Normal2"/>
        <w:spacing w:before="60" w:after="60"/>
        <w:jc w:val="both"/>
        <w:rPr>
          <w:rFonts w:ascii="Arial" w:hAnsi="Arial"/>
          <w:noProof/>
          <w:sz w:val="16"/>
          <w:szCs w:val="16"/>
        </w:rPr>
      </w:pPr>
      <w:r>
        <w:rPr>
          <w:rFonts w:ascii="Arial" w:hAnsi="Arial"/>
          <w:noProof/>
          <w:sz w:val="16"/>
        </w:rPr>
        <w:t>•</w:t>
      </w:r>
      <w:r>
        <w:rPr>
          <w:rFonts w:ascii="Arial" w:hAnsi="Arial" w:cs="Arial"/>
          <w:noProof/>
          <w:sz w:val="16"/>
          <w:szCs w:val="16"/>
        </w:rPr>
        <w:tab/>
        <w:t>über 12 Monate erwartete Kreditverluste.</w:t>
      </w:r>
      <w:r>
        <w:rPr>
          <w:rFonts w:ascii="Arial" w:hAnsi="Arial"/>
          <w:noProof/>
          <w:sz w:val="16"/>
        </w:rPr>
        <w:t xml:space="preserve"> Hierbei </w:t>
      </w:r>
      <w:r>
        <w:rPr>
          <w:rFonts w:ascii="Arial" w:hAnsi="Arial"/>
          <w:noProof/>
          <w:sz w:val="16"/>
        </w:rPr>
        <w:t>handelt es sich um erwartete Kreditverluste aus Ausfällen, die sich möglicherweise innerhalb des 12-Monatszeitraums nach dem Abschlussstichtag ereignen; und</w:t>
      </w:r>
    </w:p>
    <w:p w:rsidR="001609E3" w:rsidRDefault="00E45B63">
      <w:pPr>
        <w:pStyle w:val="Normal2"/>
        <w:spacing w:before="60" w:after="60"/>
        <w:jc w:val="both"/>
        <w:rPr>
          <w:rFonts w:ascii="Arial" w:hAnsi="Arial"/>
          <w:noProof/>
          <w:sz w:val="16"/>
          <w:szCs w:val="16"/>
        </w:rPr>
      </w:pPr>
      <w:r>
        <w:rPr>
          <w:rFonts w:ascii="Arial" w:hAnsi="Arial" w:cs="Arial"/>
          <w:noProof/>
          <w:sz w:val="16"/>
          <w:szCs w:val="16"/>
        </w:rPr>
        <w:t>•</w:t>
      </w:r>
      <w:r>
        <w:rPr>
          <w:rFonts w:ascii="Arial" w:hAnsi="Arial" w:cs="Arial"/>
          <w:noProof/>
          <w:sz w:val="16"/>
          <w:szCs w:val="16"/>
        </w:rPr>
        <w:tab/>
        <w:t>über die Gesamtlaufzeit erwartete Kreditverluste.</w:t>
      </w:r>
      <w:r>
        <w:rPr>
          <w:rFonts w:ascii="Arial" w:hAnsi="Arial"/>
          <w:noProof/>
          <w:sz w:val="16"/>
        </w:rPr>
        <w:t xml:space="preserve"> Hierbei handelt es sich um erwartete Kreditverl</w:t>
      </w:r>
      <w:r>
        <w:rPr>
          <w:rFonts w:ascii="Arial" w:hAnsi="Arial"/>
          <w:noProof/>
          <w:sz w:val="16"/>
        </w:rPr>
        <w:t>uste aus Ausfällen, die sich möglicherweise während der gesamten erwarteten Laufzeit eines Finanzinstruments ereignen.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Eine Bewertung der über die Gesamtlaufzeit erwarteten Kreditverluste ist vorzunehmen, wenn das Kreditrisiko eines finanziellen Vermögens</w:t>
      </w:r>
      <w:r>
        <w:rPr>
          <w:rFonts w:ascii="Arial" w:hAnsi="Arial"/>
          <w:noProof/>
          <w:sz w:val="16"/>
        </w:rPr>
        <w:t>werts zum Abschlussstichtag gegenüber dem erstmaligen Ansatz erheblich angestiegen ist; die über 12 Monate erwarteten Kreditverluste sind zu bewerten, wenn eine solche Veränderung nicht eingetreten ist. Ein Rechtssubjekt kann bestimmen, dass das Kreditrisi</w:t>
      </w:r>
      <w:r>
        <w:rPr>
          <w:rFonts w:ascii="Arial" w:hAnsi="Arial"/>
          <w:noProof/>
          <w:sz w:val="16"/>
        </w:rPr>
        <w:t>ko eines finanziellen Vermögenswerts nicht erheblich gestiegen ist, wenn sich der Vermögenswert zum Abschlussstichtag durch ein geringes Kreditrisiko auszeichnet.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Fazilität hat noch keine detaillierte Beurteilung der im Rahmen von IFRS 9 anzuwendenden</w:t>
      </w:r>
      <w:r>
        <w:rPr>
          <w:rFonts w:ascii="Arial" w:hAnsi="Arial"/>
          <w:noProof/>
          <w:sz w:val="16"/>
        </w:rPr>
        <w:t xml:space="preserve"> Wertminderungsmethoden vorgenommen, die Beurteilung kann jedoch einen früheren Ansatz von Kreditverlusten mit höherer Volatilität zur Folge haben.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IFRS 9 wird umfassende neue Angaben, insbesondere zu Kreditrisiken und erwarteten Kreditverlusten, erforder</w:t>
      </w:r>
      <w:r>
        <w:rPr>
          <w:rFonts w:ascii="Arial" w:hAnsi="Arial"/>
          <w:noProof/>
          <w:sz w:val="16"/>
        </w:rPr>
        <w:t>n. Eine von der Fazilität durchgeführte, vorläufige Analyse beinhaltete auch die Ermittlung der gegenüber derzeitigen Prozessen entstandenen Datenlücken. Die Fazilität plant die Umsetzung des Systems und kontrolliert derzeit die Änderungen, die ihrer Auffa</w:t>
      </w:r>
      <w:r>
        <w:rPr>
          <w:rFonts w:ascii="Arial" w:hAnsi="Arial"/>
          <w:noProof/>
          <w:sz w:val="16"/>
        </w:rPr>
        <w:t>ssung nach zur Erfassung der erforderlichen Daten notwendig sein werden.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IFRS 9 ist am 22. November 2016 von der EU gebilligt wurden und findet auf an oder nach dem 1. Januar 2018 beginnende jährliche Berichtsperioden Anwendung, wobei eine frühere Anwendu</w:t>
      </w:r>
      <w:r>
        <w:rPr>
          <w:rFonts w:ascii="Arial" w:hAnsi="Arial"/>
          <w:noProof/>
          <w:sz w:val="16"/>
        </w:rPr>
        <w:t>ng zulässig ist. Die Fazilität beabsichtigt nicht, den Standard vor dem Datum seines Inkrafttretens einzuführen.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Derzeit führt die Fazilität eine detaillierte Beurteilung der aus der Anwendung des IFRS9 entstehenden Auswirkungen durch.</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i/>
          <w:noProof/>
          <w:sz w:val="16"/>
          <w:szCs w:val="16"/>
        </w:rPr>
      </w:pPr>
      <w:r>
        <w:rPr>
          <w:rFonts w:ascii="Arial" w:hAnsi="Arial"/>
          <w:i/>
          <w:noProof/>
          <w:sz w:val="16"/>
        </w:rPr>
        <w:t xml:space="preserve">IFRS 15 Umsatzerlöse aus Verträgen mit Kunden </w:t>
      </w:r>
    </w:p>
    <w:p w:rsidR="001609E3" w:rsidRDefault="00E45B63">
      <w:pPr>
        <w:pStyle w:val="Normal2"/>
        <w:spacing w:before="60" w:after="60"/>
        <w:jc w:val="both"/>
        <w:rPr>
          <w:rFonts w:ascii="Arial" w:hAnsi="Arial"/>
          <w:noProof/>
          <w:sz w:val="16"/>
          <w:szCs w:val="16"/>
        </w:rPr>
      </w:pPr>
      <w:r>
        <w:rPr>
          <w:rFonts w:ascii="Arial" w:hAnsi="Arial"/>
          <w:noProof/>
          <w:sz w:val="16"/>
        </w:rPr>
        <w:t>Mit IFRS 15 wird ein umfassender Rahmen für die Entscheidung geschaffen, ob, wann und in welcher Höhe Einnahmen  zu erfassen sind. Dieser Standard ersetzt die bisherigen Leitlinien für die Erfassung von Einnah</w:t>
      </w:r>
      <w:r>
        <w:rPr>
          <w:rFonts w:ascii="Arial" w:hAnsi="Arial"/>
          <w:noProof/>
          <w:sz w:val="16"/>
        </w:rPr>
        <w:t>men nach IAS 18 (Umsatzerlöse), IAS 11 (Fertigungsaufträge) und IFRIC 13 (Kundenbindungsprogramme). Der Standard IFRS 15 ist am 22. September 2016 von der EU gebilligt worden und findet auf an oder nach dem 1. Januar 2018 beginnende jährliche Berichtsperio</w:t>
      </w:r>
      <w:r>
        <w:rPr>
          <w:rFonts w:ascii="Arial" w:hAnsi="Arial"/>
          <w:noProof/>
          <w:sz w:val="16"/>
        </w:rPr>
        <w:t>den Anwendung, wobei eine frühere Anwendung zulässig ist. Der Umfang der Auswirkungen dieses Standards auf die Fazilität wurde noch nicht ermittelt.</w:t>
      </w:r>
    </w:p>
    <w:p w:rsidR="001609E3" w:rsidRDefault="001609E3">
      <w:pPr>
        <w:pStyle w:val="Normal2"/>
        <w:spacing w:before="60" w:after="60"/>
        <w:jc w:val="both"/>
        <w:rPr>
          <w:rFonts w:ascii="Arial" w:hAnsi="Arial" w:cs="Arial"/>
          <w:noProof/>
          <w:sz w:val="16"/>
          <w:szCs w:val="16"/>
        </w:rPr>
      </w:pPr>
    </w:p>
    <w:p w:rsidR="001609E3" w:rsidRDefault="00E45B63">
      <w:pPr>
        <w:pStyle w:val="Normal2"/>
        <w:spacing w:before="60" w:after="60"/>
        <w:rPr>
          <w:rFonts w:ascii="Arial" w:hAnsi="Arial" w:cs="Arial"/>
          <w:i/>
          <w:noProof/>
          <w:sz w:val="16"/>
          <w:szCs w:val="16"/>
          <w:bdr w:val="nil"/>
        </w:rPr>
      </w:pPr>
      <w:r>
        <w:rPr>
          <w:rFonts w:ascii="Arial" w:hAnsi="Arial"/>
          <w:i/>
          <w:noProof/>
          <w:sz w:val="16"/>
          <w:bdr w:val="nil"/>
        </w:rPr>
        <w:t>Änderung zu IAS 7 „Kapitalflussrechnungen“ – Angabeninitiative</w:t>
      </w:r>
    </w:p>
    <w:p w:rsidR="001609E3" w:rsidRDefault="00E45B63">
      <w:pPr>
        <w:pStyle w:val="Normal2"/>
        <w:spacing w:before="60" w:after="240"/>
        <w:jc w:val="both"/>
        <w:rPr>
          <w:rFonts w:ascii="Arial" w:hAnsi="Arial" w:cs="Arial"/>
          <w:noProof/>
          <w:sz w:val="16"/>
          <w:szCs w:val="16"/>
          <w:bdr w:val="nil"/>
        </w:rPr>
      </w:pPr>
      <w:r>
        <w:rPr>
          <w:rFonts w:ascii="Arial" w:hAnsi="Arial"/>
          <w:noProof/>
          <w:sz w:val="16"/>
          <w:bdr w:val="nil"/>
        </w:rPr>
        <w:t>In den Änderungen werden Angaben vorgeschri</w:t>
      </w:r>
      <w:r>
        <w:rPr>
          <w:rFonts w:ascii="Arial" w:hAnsi="Arial"/>
          <w:noProof/>
          <w:sz w:val="16"/>
          <w:bdr w:val="nil"/>
        </w:rPr>
        <w:t>eben, die den Lesern von Jahresabschlüssen ermöglichen, aus Finanzierungstätigkeiten entstehende Veränderungen bei den Verbindlichkeiten zu bewerten, wobei diese sowohl durch Änderungen im Cashflow als auch durch nicht zahlungswirksame Änderungen ausgelöst</w:t>
      </w:r>
      <w:r>
        <w:rPr>
          <w:rFonts w:ascii="Arial" w:hAnsi="Arial"/>
          <w:noProof/>
          <w:sz w:val="16"/>
          <w:bdr w:val="nil"/>
        </w:rPr>
        <w:t xml:space="preserve"> worden sein können. Diese Änderungen finden auf an oder nach dem 1. Januar 2017 beginnende jährliche Berichtsperioden Anwendung, wobei eine frühere Anwendung zulässig ist. Die Änderungen werden voraussichtlich bis zum Jahresende von der EU gebilligt werde</w:t>
      </w:r>
      <w:r>
        <w:rPr>
          <w:rFonts w:ascii="Arial" w:hAnsi="Arial"/>
          <w:noProof/>
          <w:sz w:val="16"/>
          <w:bdr w:val="nil"/>
        </w:rPr>
        <w:t>n. Die Fazilität plant keine vorzeitige Annahme dieses Standards und geht nicht davon aus, dass er wesentliche Auswirkungen auf die Jahresabschlüsse der Fazilität haben wird.</w:t>
      </w:r>
    </w:p>
    <w:p w:rsidR="001609E3" w:rsidRDefault="00E45B63">
      <w:pPr>
        <w:pStyle w:val="Title111"/>
        <w:numPr>
          <w:ilvl w:val="1"/>
          <w:numId w:val="27"/>
        </w:numPr>
        <w:rPr>
          <w:noProof/>
          <w:sz w:val="16"/>
          <w:szCs w:val="16"/>
        </w:rPr>
      </w:pPr>
      <w:r>
        <w:rPr>
          <w:noProof/>
          <w:sz w:val="16"/>
        </w:rPr>
        <w:t>Zusammenfassung maßgeblicher Rechnungslegungsregeln</w:t>
      </w:r>
    </w:p>
    <w:p w:rsidR="001609E3" w:rsidRDefault="001609E3">
      <w:pPr>
        <w:pStyle w:val="Title111"/>
        <w:numPr>
          <w:ilvl w:val="0"/>
          <w:numId w:val="0"/>
        </w:numPr>
        <w:spacing w:before="60" w:after="60"/>
        <w:rPr>
          <w:noProof/>
          <w:sz w:val="16"/>
          <w:szCs w:val="16"/>
        </w:rPr>
      </w:pPr>
    </w:p>
    <w:p w:rsidR="001609E3" w:rsidRDefault="00E45B63">
      <w:pPr>
        <w:pStyle w:val="Title111"/>
        <w:numPr>
          <w:ilvl w:val="0"/>
          <w:numId w:val="0"/>
        </w:numPr>
        <w:spacing w:before="60" w:after="60"/>
        <w:rPr>
          <w:noProof/>
          <w:sz w:val="16"/>
          <w:szCs w:val="16"/>
        </w:rPr>
      </w:pPr>
      <w:r>
        <w:rPr>
          <w:noProof/>
          <w:sz w:val="16"/>
        </w:rPr>
        <w:t xml:space="preserve">In der Bilanz werden Aktiva </w:t>
      </w:r>
      <w:r>
        <w:rPr>
          <w:noProof/>
          <w:sz w:val="16"/>
        </w:rPr>
        <w:t>und Passiva in absteigender Reihenfolge ihrer Liquidität ausgewiesen, wobei nicht zwischen kurz- und langfristigen Posten unterschieden wird.</w:t>
      </w:r>
    </w:p>
    <w:p w:rsidR="001609E3" w:rsidRDefault="001609E3">
      <w:pPr>
        <w:pStyle w:val="Title111"/>
        <w:numPr>
          <w:ilvl w:val="0"/>
          <w:numId w:val="0"/>
        </w:numPr>
        <w:spacing w:before="60" w:after="60"/>
        <w:rPr>
          <w:noProof/>
          <w:sz w:val="16"/>
          <w:szCs w:val="16"/>
        </w:rPr>
      </w:pPr>
    </w:p>
    <w:p w:rsidR="001609E3" w:rsidRDefault="00E45B63">
      <w:pPr>
        <w:pStyle w:val="Title1110"/>
        <w:numPr>
          <w:ilvl w:val="2"/>
          <w:numId w:val="27"/>
        </w:numPr>
        <w:spacing w:before="60" w:after="60"/>
        <w:rPr>
          <w:noProof/>
          <w:sz w:val="16"/>
          <w:szCs w:val="16"/>
        </w:rPr>
      </w:pPr>
      <w:bookmarkStart w:id="410" w:name="_Ref110032770"/>
      <w:r>
        <w:rPr>
          <w:noProof/>
          <w:sz w:val="16"/>
        </w:rPr>
        <w:t xml:space="preserve"> </w:t>
      </w:r>
      <w:r>
        <w:rPr>
          <w:noProof/>
        </w:rPr>
        <w:tab/>
      </w:r>
      <w:r>
        <w:rPr>
          <w:noProof/>
          <w:sz w:val="16"/>
        </w:rPr>
        <w:t>Umrechnung von Fremdwährungen</w:t>
      </w:r>
      <w:bookmarkEnd w:id="410"/>
    </w:p>
    <w:p w:rsidR="001609E3" w:rsidRDefault="001609E3">
      <w:pPr>
        <w:pStyle w:val="Title1110"/>
        <w:numPr>
          <w:ilvl w:val="0"/>
          <w:numId w:val="0"/>
        </w:numPr>
        <w:spacing w:before="60" w:after="60"/>
        <w:rPr>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Die Jahresabschlüsse der Fazilität werden in Euro (EUR) vorgelegt, der auch die </w:t>
      </w:r>
      <w:r>
        <w:rPr>
          <w:rFonts w:ascii="Arial" w:hAnsi="Arial"/>
          <w:noProof/>
          <w:sz w:val="16"/>
        </w:rPr>
        <w:t xml:space="preserve">funktionale Währung ist. Sofern nichts anderes vermerkt ist, wurden in EUR aufgeführte Finanzangaben auf Tausend gerundet.  </w:t>
      </w:r>
    </w:p>
    <w:p w:rsidR="001609E3" w:rsidRDefault="001609E3">
      <w:pPr>
        <w:pStyle w:val="Normal2"/>
        <w:spacing w:before="60" w:after="60"/>
        <w:jc w:val="both"/>
        <w:rPr>
          <w:rFonts w:ascii="Arial" w:hAnsi="Arial"/>
          <w:noProof/>
          <w:sz w:val="16"/>
          <w:szCs w:val="16"/>
        </w:rPr>
      </w:pPr>
    </w:p>
    <w:p w:rsidR="001609E3" w:rsidRDefault="00E45B63">
      <w:pPr>
        <w:pStyle w:val="NotesText0"/>
        <w:spacing w:before="60" w:line="240" w:lineRule="auto"/>
        <w:rPr>
          <w:rFonts w:cs="Times New Roman"/>
          <w:noProof/>
          <w:sz w:val="16"/>
          <w:szCs w:val="16"/>
        </w:rPr>
      </w:pPr>
      <w:r>
        <w:rPr>
          <w:noProof/>
          <w:sz w:val="16"/>
        </w:rPr>
        <w:t xml:space="preserve">Geschäftsvorfälle in Fremdwährung werden zu dem zum Zeitpunkt des Geschäftsvorfalls geltenden Wechselkurs umgerechnet. </w:t>
      </w:r>
    </w:p>
    <w:p w:rsidR="001609E3" w:rsidRDefault="001609E3">
      <w:pPr>
        <w:pStyle w:val="NotesText0"/>
        <w:spacing w:before="60" w:line="240" w:lineRule="auto"/>
        <w:rPr>
          <w:rFonts w:cs="Times New Roman"/>
          <w:noProof/>
          <w:sz w:val="16"/>
          <w:szCs w:val="16"/>
        </w:rPr>
      </w:pPr>
    </w:p>
    <w:p w:rsidR="001609E3" w:rsidRDefault="00E45B63">
      <w:pPr>
        <w:pStyle w:val="NotesText0"/>
        <w:spacing w:before="60" w:line="240" w:lineRule="auto"/>
        <w:rPr>
          <w:rFonts w:cs="Times New Roman"/>
          <w:noProof/>
          <w:sz w:val="16"/>
          <w:szCs w:val="16"/>
        </w:rPr>
      </w:pPr>
      <w:r>
        <w:rPr>
          <w:noProof/>
          <w:sz w:val="16"/>
        </w:rPr>
        <w:t xml:space="preserve">Auf </w:t>
      </w:r>
      <w:r>
        <w:rPr>
          <w:noProof/>
          <w:sz w:val="16"/>
        </w:rPr>
        <w:t>andere Währungen als Euro lautende monetäre Aktiva und Passiva werden zu dem am Bilanzstichtag geltenden Wechselkurs in Euro umgerechnet. Gewinne oder Verluste aus solchen Umrechnungen werden in der Gesamtergebnisrechnung ausgewiesen.</w:t>
      </w:r>
    </w:p>
    <w:p w:rsidR="001609E3" w:rsidRDefault="001609E3">
      <w:pPr>
        <w:pStyle w:val="NotesText0"/>
        <w:spacing w:before="60" w:line="240" w:lineRule="auto"/>
        <w:rPr>
          <w:rFonts w:cs="Times New Roman"/>
          <w:noProof/>
          <w:sz w:val="16"/>
          <w:szCs w:val="16"/>
        </w:rPr>
      </w:pPr>
    </w:p>
    <w:p w:rsidR="001609E3" w:rsidRDefault="00E45B63">
      <w:pPr>
        <w:pStyle w:val="NotesText0"/>
        <w:spacing w:before="60" w:line="240" w:lineRule="auto"/>
        <w:rPr>
          <w:rFonts w:cs="Times New Roman"/>
          <w:noProof/>
          <w:sz w:val="16"/>
          <w:szCs w:val="16"/>
        </w:rPr>
      </w:pPr>
      <w:r>
        <w:rPr>
          <w:noProof/>
          <w:sz w:val="16"/>
        </w:rPr>
        <w:t>Nichtmonetäre Posten</w:t>
      </w:r>
      <w:r>
        <w:rPr>
          <w:noProof/>
          <w:sz w:val="16"/>
        </w:rPr>
        <w:t>, die zu den Anschaffungskosten in einer Fremdwährung bewertet werden, werden zu den Wechselkursen zum Zeitpunkt der ursprünglichen Geschäftsvorfälle umgerechnet. Nichtmonetäre Posten, die zum beizulegenden Zeitwert in einer Fremdwährung bewertet werden, w</w:t>
      </w:r>
      <w:r>
        <w:rPr>
          <w:noProof/>
          <w:sz w:val="16"/>
        </w:rPr>
        <w:t>erden zu den Wechselkursen zum Zeitpunkt der Bestimmung des beizulegenden Zeitwerts umgerechnet.</w:t>
      </w:r>
    </w:p>
    <w:p w:rsidR="001609E3" w:rsidRDefault="001609E3">
      <w:pPr>
        <w:pStyle w:val="NotesText0"/>
        <w:spacing w:before="60" w:line="240" w:lineRule="auto"/>
        <w:rPr>
          <w:rFonts w:cs="Times New Roman"/>
          <w:noProof/>
          <w:sz w:val="16"/>
          <w:szCs w:val="16"/>
        </w:rPr>
      </w:pPr>
    </w:p>
    <w:p w:rsidR="001609E3" w:rsidRDefault="00E45B63">
      <w:pPr>
        <w:pStyle w:val="NotesText0"/>
        <w:spacing w:before="60" w:line="240" w:lineRule="auto"/>
        <w:rPr>
          <w:rFonts w:cs="Times New Roman"/>
          <w:noProof/>
          <w:sz w:val="16"/>
          <w:szCs w:val="16"/>
        </w:rPr>
      </w:pPr>
      <w:r>
        <w:rPr>
          <w:noProof/>
          <w:sz w:val="16"/>
        </w:rPr>
        <w:t>Wechselkursdifferenzen, die sich bei der Abrechnung von Geschäftsvorfällen zu anderen Kursen als den Kursen zum Zeitpunkt des Geschäftsvorfalls ergeben, und n</w:t>
      </w:r>
      <w:r>
        <w:rPr>
          <w:noProof/>
          <w:sz w:val="16"/>
        </w:rPr>
        <w:t>icht realisierte Fremdwährungsdifferenzen aus nicht abgerechneten, auf Fremdwährungen lautenden monetären Aktiva und Passiva werden in der Gesamtergebnisrechnung ausgewiesen.</w:t>
      </w:r>
    </w:p>
    <w:p w:rsidR="001609E3" w:rsidRDefault="001609E3">
      <w:pPr>
        <w:pStyle w:val="NotesText0"/>
        <w:rPr>
          <w:noProof/>
          <w:sz w:val="16"/>
          <w:szCs w:val="16"/>
        </w:rPr>
      </w:pPr>
    </w:p>
    <w:p w:rsidR="001609E3" w:rsidRDefault="00E45B63">
      <w:pPr>
        <w:pStyle w:val="NotesText0"/>
        <w:rPr>
          <w:noProof/>
          <w:sz w:val="16"/>
          <w:szCs w:val="16"/>
        </w:rPr>
      </w:pPr>
      <w:r>
        <w:rPr>
          <w:noProof/>
          <w:sz w:val="16"/>
        </w:rPr>
        <w:t>Die Posten der Gesamtergebnisrechnung werden auf der Grundlage der zum Zeitpunkt</w:t>
      </w:r>
      <w:r>
        <w:rPr>
          <w:noProof/>
          <w:sz w:val="16"/>
        </w:rPr>
        <w:t xml:space="preserve"> des Geschäftsvorfalls geltenden Umrechnungskurse in Euro umgerechnet.</w:t>
      </w:r>
    </w:p>
    <w:p w:rsidR="001609E3" w:rsidRDefault="001609E3">
      <w:pPr>
        <w:pStyle w:val="NotesText0"/>
        <w:spacing w:before="60" w:line="240" w:lineRule="auto"/>
        <w:rPr>
          <w:rFonts w:cs="Times New Roman"/>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Zahlungsmittel und Zahlungsmitteläquivalente</w:t>
      </w:r>
    </w:p>
    <w:p w:rsidR="001609E3" w:rsidRDefault="001609E3">
      <w:pPr>
        <w:pStyle w:val="Title1110"/>
        <w:numPr>
          <w:ilvl w:val="0"/>
          <w:numId w:val="0"/>
        </w:numPr>
        <w:spacing w:before="60" w:after="60"/>
        <w:rPr>
          <w:rStyle w:val="Title111Char0"/>
          <w:b/>
          <w:noProof/>
          <w:sz w:val="16"/>
          <w:szCs w:val="16"/>
        </w:rPr>
      </w:pPr>
    </w:p>
    <w:p w:rsidR="001609E3" w:rsidRDefault="00E45B63">
      <w:pPr>
        <w:pStyle w:val="Notes1"/>
        <w:numPr>
          <w:ilvl w:val="0"/>
          <w:numId w:val="0"/>
        </w:numPr>
        <w:tabs>
          <w:tab w:val="clear" w:pos="4320"/>
          <w:tab w:val="clear" w:pos="8640"/>
          <w:tab w:val="right" w:pos="-2700"/>
        </w:tabs>
        <w:spacing w:before="60" w:after="60"/>
        <w:rPr>
          <w:b w:val="0"/>
          <w:noProof/>
          <w:sz w:val="16"/>
          <w:szCs w:val="16"/>
        </w:rPr>
      </w:pPr>
      <w:r>
        <w:rPr>
          <w:b w:val="0"/>
          <w:noProof/>
          <w:sz w:val="16"/>
        </w:rPr>
        <w:t>Zahlungsmittel und Zahlungsmitteläquivalente werden im Rahmen der Fazilität als Sichtkonten, kurzfristige Einlagen oder Commercial Paper</w:t>
      </w:r>
      <w:r>
        <w:rPr>
          <w:b w:val="0"/>
          <w:noProof/>
          <w:sz w:val="16"/>
        </w:rPr>
        <w:t xml:space="preserve"> mit einer ursprünglichen Laufzeit von höchstens drei Monaten definiert.</w:t>
      </w:r>
    </w:p>
    <w:p w:rsidR="001609E3" w:rsidRDefault="001609E3">
      <w:pPr>
        <w:pStyle w:val="Normal2"/>
        <w:spacing w:before="60" w:after="60"/>
        <w:jc w:val="both"/>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 xml:space="preserve"> Finanzielle Vermögenswerte ohne Derivate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Finanzielle Vermögenswerte werden zum Erfüllungstag verbucht.</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Beizulegender Zeitwert von Finanzinstrumenten</w:t>
      </w:r>
    </w:p>
    <w:p w:rsidR="001609E3" w:rsidRDefault="001609E3">
      <w:pPr>
        <w:pStyle w:val="Normal2"/>
        <w:tabs>
          <w:tab w:val="left" w:pos="1560"/>
        </w:tabs>
        <w:suppressAutoHyphens w:val="0"/>
        <w:spacing w:before="60" w:after="60"/>
        <w:jc w:val="both"/>
        <w:rPr>
          <w:rFonts w:ascii="Arial" w:hAnsi="Arial"/>
          <w:noProof/>
          <w:sz w:val="16"/>
          <w:szCs w:val="16"/>
        </w:rPr>
      </w:pPr>
    </w:p>
    <w:p w:rsidR="001609E3" w:rsidRDefault="00E45B63">
      <w:pPr>
        <w:pStyle w:val="Normal2"/>
        <w:tabs>
          <w:tab w:val="left" w:pos="1560"/>
        </w:tabs>
        <w:suppressAutoHyphens w:val="0"/>
        <w:spacing w:before="60" w:after="60"/>
        <w:jc w:val="both"/>
        <w:rPr>
          <w:rFonts w:ascii="Arial" w:hAnsi="Arial"/>
          <w:noProof/>
          <w:sz w:val="16"/>
          <w:szCs w:val="16"/>
        </w:rPr>
      </w:pPr>
      <w:r>
        <w:rPr>
          <w:rFonts w:ascii="Arial" w:hAnsi="Arial"/>
          <w:noProof/>
          <w:sz w:val="16"/>
        </w:rPr>
        <w:t>Der beizulegende Zeitwert (</w:t>
      </w:r>
      <w:r>
        <w:rPr>
          <w:rFonts w:ascii="Arial" w:hAnsi="Arial"/>
          <w:noProof/>
          <w:sz w:val="16"/>
        </w:rPr>
        <w:t>Fair Value) ist der Preis, der in einem geordneten Geschäftsvorfall zwischen Marktteilnehmern am Bemessungsstichtag für den Verkauf eines Vermögenswerts eingenommen bzw. für die Übertragung einer Schuld auf dem Hauptmarkt bzw. sofern kein Hauptmarkt vorhan</w:t>
      </w:r>
      <w:r>
        <w:rPr>
          <w:rFonts w:ascii="Arial" w:hAnsi="Arial"/>
          <w:noProof/>
          <w:sz w:val="16"/>
        </w:rPr>
        <w:t xml:space="preserve">den ist, auf dem vorteilhaftesten Markt, zu dem die Fazilität an diesem Datum Zugang hat, gezahlt würde. </w:t>
      </w:r>
    </w:p>
    <w:p w:rsidR="001609E3" w:rsidRDefault="001609E3">
      <w:pPr>
        <w:pStyle w:val="Normal2"/>
        <w:tabs>
          <w:tab w:val="left" w:pos="1560"/>
        </w:tabs>
        <w:suppressAutoHyphens w:val="0"/>
        <w:spacing w:before="60" w:after="60"/>
        <w:jc w:val="both"/>
        <w:rPr>
          <w:rFonts w:ascii="Arial" w:hAnsi="Arial"/>
          <w:noProof/>
          <w:sz w:val="16"/>
          <w:szCs w:val="16"/>
        </w:rPr>
      </w:pPr>
    </w:p>
    <w:p w:rsidR="001609E3" w:rsidRDefault="00E45B63">
      <w:pPr>
        <w:pStyle w:val="Normal2"/>
        <w:tabs>
          <w:tab w:val="left" w:pos="1560"/>
        </w:tabs>
        <w:suppressAutoHyphens w:val="0"/>
        <w:spacing w:before="60" w:after="60"/>
        <w:jc w:val="both"/>
        <w:rPr>
          <w:rFonts w:ascii="Arial" w:hAnsi="Arial"/>
          <w:noProof/>
          <w:sz w:val="16"/>
          <w:szCs w:val="16"/>
        </w:rPr>
      </w:pPr>
      <w:r>
        <w:rPr>
          <w:rFonts w:ascii="Arial" w:hAnsi="Arial"/>
          <w:noProof/>
          <w:sz w:val="16"/>
        </w:rPr>
        <w:t>Gegebenenfalls bemisst die EIB für die Fazilität den beizulegenden Zeitwert eines Instruments anhand des notierten Preises an einem aktiven Markt für</w:t>
      </w:r>
      <w:r>
        <w:rPr>
          <w:rFonts w:ascii="Arial" w:hAnsi="Arial"/>
          <w:noProof/>
          <w:sz w:val="16"/>
        </w:rPr>
        <w:t xml:space="preserve"> dieses Instrument.  Ein Markt gilt als aktiv, wenn mit ausreichender Häufigkeit und in einem ausreichenden Volumen Transaktionen für den Vermögenswert oder die Verbindlichkeit stattfinden, um fortlaufend Informationen über die Preisbildung zu liefern.</w:t>
      </w:r>
    </w:p>
    <w:p w:rsidR="001609E3" w:rsidRDefault="001609E3">
      <w:pPr>
        <w:pStyle w:val="Normal2"/>
        <w:tabs>
          <w:tab w:val="left" w:pos="1560"/>
        </w:tabs>
        <w:suppressAutoHyphens w:val="0"/>
        <w:spacing w:before="60" w:after="60"/>
        <w:jc w:val="both"/>
        <w:rPr>
          <w:rFonts w:ascii="Arial" w:hAnsi="Arial"/>
          <w:noProof/>
          <w:sz w:val="16"/>
          <w:szCs w:val="16"/>
        </w:rPr>
      </w:pPr>
    </w:p>
    <w:p w:rsidR="001609E3" w:rsidRDefault="00E45B63">
      <w:pPr>
        <w:pStyle w:val="Normal2"/>
        <w:tabs>
          <w:tab w:val="left" w:pos="1560"/>
        </w:tabs>
        <w:suppressAutoHyphens w:val="0"/>
        <w:spacing w:before="60" w:after="60"/>
        <w:jc w:val="both"/>
        <w:rPr>
          <w:rFonts w:ascii="Arial" w:hAnsi="Arial"/>
          <w:noProof/>
          <w:sz w:val="16"/>
          <w:szCs w:val="16"/>
        </w:rPr>
      </w:pPr>
      <w:r>
        <w:rPr>
          <w:rFonts w:ascii="Arial" w:hAnsi="Arial"/>
          <w:noProof/>
          <w:sz w:val="16"/>
        </w:rPr>
        <w:t>We</w:t>
      </w:r>
      <w:r>
        <w:rPr>
          <w:rFonts w:ascii="Arial" w:hAnsi="Arial"/>
          <w:noProof/>
          <w:sz w:val="16"/>
        </w:rPr>
        <w:t>nn sich der beizulegende Zeitwert in der Vermögensübersicht erfasster finanzieller Vermögenswerte und finanzieller Verbindlichkeiten nicht anhand der Notierungen auf aktiven Märkten ermitteln lässt, wird er mit Hilfe einer Reihe von Bewertungstechniken (u.</w:t>
      </w:r>
      <w:r>
        <w:rPr>
          <w:rFonts w:ascii="Arial" w:hAnsi="Arial"/>
          <w:noProof/>
          <w:sz w:val="16"/>
        </w:rPr>
        <w:t> a. anhand mathematischer Modelle) bestimmt. Die Daten für diese Modelle werden soweit wie möglich auf beobachtbaren Märkten erhoben, wo dies jedoch nicht möglich war, muss der Zeitwert bis zu einem gewissen Grad geschätzt werden. Bei der gewählten Bewertu</w:t>
      </w:r>
      <w:r>
        <w:rPr>
          <w:rFonts w:ascii="Arial" w:hAnsi="Arial"/>
          <w:noProof/>
          <w:sz w:val="16"/>
        </w:rPr>
        <w:t>ngstechnik werden alle Faktoren einbezogen, die Marktteilnehmer bei der Preisfestsetzung für einen Geschäftsvorfall berücksichtigen würden.</w:t>
      </w:r>
    </w:p>
    <w:p w:rsidR="001609E3" w:rsidRDefault="001609E3">
      <w:pPr>
        <w:pStyle w:val="Normal2"/>
        <w:tabs>
          <w:tab w:val="left" w:pos="1560"/>
        </w:tabs>
        <w:suppressAutoHyphens w:val="0"/>
        <w:spacing w:before="60" w:after="60"/>
        <w:jc w:val="both"/>
        <w:rPr>
          <w:rFonts w:ascii="Arial" w:hAnsi="Arial"/>
          <w:noProof/>
          <w:sz w:val="16"/>
          <w:szCs w:val="16"/>
        </w:rPr>
      </w:pPr>
    </w:p>
    <w:p w:rsidR="001609E3" w:rsidRDefault="00E45B63">
      <w:pPr>
        <w:pStyle w:val="Normal2"/>
        <w:tabs>
          <w:tab w:val="left" w:pos="1560"/>
        </w:tabs>
        <w:suppressAutoHyphens w:val="0"/>
        <w:spacing w:before="60" w:after="60"/>
        <w:jc w:val="both"/>
        <w:rPr>
          <w:rFonts w:ascii="Arial" w:hAnsi="Arial"/>
          <w:noProof/>
          <w:sz w:val="16"/>
          <w:szCs w:val="16"/>
        </w:rPr>
      </w:pPr>
      <w:r>
        <w:rPr>
          <w:rFonts w:ascii="Arial" w:hAnsi="Arial"/>
          <w:noProof/>
          <w:sz w:val="16"/>
        </w:rPr>
        <w:t>Die EIB stützt sich bei der Bemessung des beizulegenden Zeitwerts auf die folgende Bemessungshierarchie, die der Be</w:t>
      </w:r>
      <w:r>
        <w:rPr>
          <w:rFonts w:ascii="Arial" w:hAnsi="Arial"/>
          <w:noProof/>
          <w:sz w:val="16"/>
        </w:rPr>
        <w:t>deutung der Inputfaktoren bei der Bemessung entspricht:</w:t>
      </w:r>
    </w:p>
    <w:p w:rsidR="001609E3" w:rsidRDefault="001609E3">
      <w:pPr>
        <w:pStyle w:val="Normal2"/>
        <w:tabs>
          <w:tab w:val="left" w:pos="1560"/>
        </w:tabs>
        <w:suppressAutoHyphens w:val="0"/>
        <w:spacing w:before="60" w:after="60"/>
        <w:jc w:val="both"/>
        <w:rPr>
          <w:rFonts w:ascii="Arial" w:hAnsi="Arial"/>
          <w:noProof/>
          <w:sz w:val="16"/>
          <w:szCs w:val="16"/>
        </w:rPr>
      </w:pPr>
    </w:p>
    <w:p w:rsidR="001609E3" w:rsidRDefault="00E45B63">
      <w:pPr>
        <w:pStyle w:val="Normal2"/>
        <w:numPr>
          <w:ilvl w:val="0"/>
          <w:numId w:val="33"/>
        </w:numPr>
        <w:tabs>
          <w:tab w:val="left" w:pos="1560"/>
        </w:tabs>
        <w:suppressAutoHyphens w:val="0"/>
        <w:spacing w:before="60" w:after="60"/>
        <w:jc w:val="both"/>
        <w:rPr>
          <w:rFonts w:ascii="Arial" w:hAnsi="Arial"/>
          <w:noProof/>
          <w:sz w:val="16"/>
          <w:szCs w:val="16"/>
        </w:rPr>
      </w:pPr>
      <w:r>
        <w:rPr>
          <w:rFonts w:ascii="Arial" w:hAnsi="Arial"/>
          <w:noProof/>
          <w:sz w:val="16"/>
        </w:rPr>
        <w:t>Stufe 1: Inputfaktoren, bei denen es sich um nicht berichtigte notierte Marktpreise für identische Instrumente an aktiven Märkten, zu denen ein Zugang für die Fazilität besteht, handelt.</w:t>
      </w:r>
    </w:p>
    <w:p w:rsidR="001609E3" w:rsidRDefault="00E45B63">
      <w:pPr>
        <w:pStyle w:val="Normal2"/>
        <w:numPr>
          <w:ilvl w:val="0"/>
          <w:numId w:val="33"/>
        </w:numPr>
        <w:tabs>
          <w:tab w:val="left" w:pos="1560"/>
        </w:tabs>
        <w:suppressAutoHyphens w:val="0"/>
        <w:spacing w:before="60" w:after="60"/>
        <w:jc w:val="both"/>
        <w:rPr>
          <w:rFonts w:ascii="Arial" w:hAnsi="Arial"/>
          <w:noProof/>
          <w:sz w:val="16"/>
          <w:szCs w:val="16"/>
        </w:rPr>
      </w:pPr>
      <w:r>
        <w:rPr>
          <w:rFonts w:ascii="Arial" w:hAnsi="Arial"/>
          <w:noProof/>
          <w:sz w:val="16"/>
        </w:rPr>
        <w:t xml:space="preserve">Stufe 2: </w:t>
      </w:r>
      <w:r>
        <w:rPr>
          <w:rFonts w:ascii="Arial" w:hAnsi="Arial"/>
          <w:noProof/>
          <w:sz w:val="16"/>
        </w:rPr>
        <w:t xml:space="preserve">andere Inputfaktoren als die auf Stufe 1 genannten Marktpreisnotierungen, die entweder unmittelbar (d. h. als Preise) oder mittelbar (d. h. von Preisen abgeleitet) beobachtbar sind.  Diese Kategorie umfasst Instrumente, die anhand notierter Marktpreise an </w:t>
      </w:r>
      <w:r>
        <w:rPr>
          <w:rFonts w:ascii="Arial" w:hAnsi="Arial"/>
          <w:noProof/>
          <w:sz w:val="16"/>
        </w:rPr>
        <w:t>aktiven Märkten für vergleichbare Instrumente, notierter Preise für identische oder vergleichbare Instrumente an Märkten, die als weniger aktiv gelten, oder nach anderen Bewertungstechniken, bei denen alle wesentlichen Inputfaktoren direkt oder indirekt au</w:t>
      </w:r>
      <w:r>
        <w:rPr>
          <w:rFonts w:ascii="Arial" w:hAnsi="Arial"/>
          <w:noProof/>
          <w:sz w:val="16"/>
        </w:rPr>
        <w:t>f beobachtbaren Marktdaten beruhen, bewertet werden.</w:t>
      </w:r>
    </w:p>
    <w:p w:rsidR="001609E3" w:rsidRDefault="00E45B63">
      <w:pPr>
        <w:pStyle w:val="Normal2"/>
        <w:numPr>
          <w:ilvl w:val="0"/>
          <w:numId w:val="33"/>
        </w:numPr>
        <w:tabs>
          <w:tab w:val="left" w:pos="1560"/>
        </w:tabs>
        <w:suppressAutoHyphens w:val="0"/>
        <w:spacing w:before="60" w:after="60"/>
        <w:jc w:val="both"/>
        <w:rPr>
          <w:rFonts w:ascii="Arial" w:hAnsi="Arial"/>
          <w:noProof/>
          <w:sz w:val="16"/>
          <w:szCs w:val="16"/>
        </w:rPr>
      </w:pPr>
      <w:r>
        <w:rPr>
          <w:rFonts w:ascii="Arial" w:hAnsi="Arial"/>
          <w:noProof/>
          <w:sz w:val="16"/>
        </w:rPr>
        <w:t xml:space="preserve">Stufe 3: nicht beobachtbare Inputfaktoren.  Diese Kategorie beinhaltet alle Instrumente, bei denen die Bewertungstechniken Inputfaktoren umfassen, die nicht auf beobachtbaren Daten beruhen und bei denen </w:t>
      </w:r>
      <w:r>
        <w:rPr>
          <w:rFonts w:ascii="Arial" w:hAnsi="Arial"/>
          <w:noProof/>
          <w:sz w:val="16"/>
        </w:rPr>
        <w:t>die nicht beobachtbaren Inputfaktoren eine wesentliche Auswirkung auf die Bewertung des Instruments aufweisen.  Diese Kategorie umfasst Instrumente, die anhand notierter Preise für vergleichbare Instrumente bewertet werden, wobei wesentliche nicht beobacht</w:t>
      </w:r>
      <w:r>
        <w:rPr>
          <w:rFonts w:ascii="Arial" w:hAnsi="Arial"/>
          <w:noProof/>
          <w:sz w:val="16"/>
        </w:rPr>
        <w:t>bare Anpassungen oder Annahmen erforderlich sind, um die Unterschiede zwischen den Instrumenten widerzuspiegeln.</w:t>
      </w:r>
    </w:p>
    <w:p w:rsidR="001609E3" w:rsidRDefault="001609E3">
      <w:pPr>
        <w:pStyle w:val="Normal2"/>
        <w:tabs>
          <w:tab w:val="left" w:pos="1560"/>
        </w:tabs>
        <w:suppressAutoHyphens w:val="0"/>
        <w:spacing w:before="60" w:after="60"/>
        <w:jc w:val="both"/>
        <w:rPr>
          <w:rFonts w:ascii="Arial" w:hAnsi="Arial"/>
          <w:noProof/>
          <w:sz w:val="16"/>
          <w:szCs w:val="16"/>
        </w:rPr>
      </w:pPr>
    </w:p>
    <w:p w:rsidR="001609E3" w:rsidRDefault="00E45B63">
      <w:pPr>
        <w:pStyle w:val="Normal2"/>
        <w:tabs>
          <w:tab w:val="left" w:pos="1560"/>
        </w:tabs>
        <w:suppressAutoHyphens w:val="0"/>
        <w:spacing w:before="60" w:after="60"/>
        <w:jc w:val="both"/>
        <w:rPr>
          <w:rFonts w:ascii="Arial" w:hAnsi="Arial"/>
          <w:noProof/>
          <w:sz w:val="16"/>
          <w:szCs w:val="16"/>
        </w:rPr>
      </w:pPr>
      <w:r>
        <w:rPr>
          <w:rFonts w:ascii="Arial" w:hAnsi="Arial"/>
          <w:noProof/>
          <w:sz w:val="16"/>
        </w:rPr>
        <w:t>Für die Fazilität werden Umgliederungen zwischen Stufen der Bemessungshierarchie am Ende der Berichtsperiode, in der die Änderung stattfand, b</w:t>
      </w:r>
      <w:r>
        <w:rPr>
          <w:rFonts w:ascii="Arial" w:hAnsi="Arial"/>
          <w:noProof/>
          <w:sz w:val="16"/>
        </w:rPr>
        <w:t>uchmäßig erfasst.</w:t>
      </w:r>
    </w:p>
    <w:p w:rsidR="001609E3" w:rsidRDefault="001609E3">
      <w:pPr>
        <w:pStyle w:val="Normal2"/>
        <w:tabs>
          <w:tab w:val="left" w:pos="1560"/>
        </w:tabs>
        <w:suppressAutoHyphens w:val="0"/>
        <w:spacing w:before="60" w:after="60"/>
        <w:jc w:val="both"/>
        <w:rPr>
          <w:rFonts w:ascii="Arial" w:hAnsi="Arial"/>
          <w:noProof/>
          <w:sz w:val="16"/>
          <w:szCs w:val="16"/>
          <w:highlight w:val="yellow"/>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Bis zur Endfälligkeit zu haltende finanzielle Vermögenswerte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Bis zur Endfälligkeit zu haltende finanzielle Vermögenswerte umfassen börsennotierte Anleihen, die bis zur Endfälligkeit gehalten werden sollen, sowie Commercial Paper mit </w:t>
      </w:r>
      <w:r>
        <w:rPr>
          <w:rFonts w:ascii="Arial" w:hAnsi="Arial"/>
          <w:noProof/>
          <w:sz w:val="16"/>
        </w:rPr>
        <w:t>einer ursprünglichen Laufzeit von mehr als drei Monaten.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Diese Anleihen und Commercial Paper werden zunächst zu ihrem beizulegenden Zeitwert zuzüglich jeglicher direkt zuzuweisenden Transaktionskosten erfasst.  Die Differenz zwischen Ausgangspreis und Til</w:t>
      </w:r>
      <w:r>
        <w:rPr>
          <w:rFonts w:ascii="Arial" w:hAnsi="Arial"/>
          <w:noProof/>
          <w:sz w:val="16"/>
        </w:rPr>
        <w:t>gungswert wird unter Verwendung der Effektivzinsmethode über die Restlaufzeit des Instruments abgeschrieben.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Zu jedem Bilanzstichtag wird von der Fazilität geprüft, ob objektive Hinweise darauf schließen lassen, dass eine Wertminderung eines finanziellen </w:t>
      </w:r>
      <w:r>
        <w:rPr>
          <w:rFonts w:ascii="Arial" w:hAnsi="Arial"/>
          <w:noProof/>
          <w:sz w:val="16"/>
        </w:rPr>
        <w:t>Vermögenswertes oder einer Gruppe von finanziellen Vermögenswerten vorliegt. Ein finanzieller Vermögenswert oder eine Gruppe finanzieller Vermögenswerte gilt als im Wert gemindert, wenn (und nur dann, wenn) es objektive Hinweise auf die Wertminderung als F</w:t>
      </w:r>
      <w:r>
        <w:rPr>
          <w:rFonts w:ascii="Arial" w:hAnsi="Arial"/>
          <w:noProof/>
          <w:sz w:val="16"/>
        </w:rPr>
        <w:t>olge eines oder mehrerer Ereignisse nach dem ursprünglichen Ausweis des Vermögenswerts (eines eingetretenen „Verlustereignisses“) gibt und dieses Verlustereignis (oder Ereignis) Auswirkungen auf die erwarteten künftigen Cashflows des finanziellen Vermögens</w:t>
      </w:r>
      <w:r>
        <w:rPr>
          <w:rFonts w:ascii="Arial" w:hAnsi="Arial"/>
          <w:noProof/>
          <w:sz w:val="16"/>
        </w:rPr>
        <w:t>werts oder der Gruppe von finanziellen Vermögenswerten hat, die zuverlässig bestimmt werden können. Ein Wertminderungsaufwand wird in der Ergebnisrechnung erfasst und als Differenz zwischen Buchwert und Barwert der geschätzten künftigen Cashflows gemessen,</w:t>
      </w:r>
      <w:r>
        <w:rPr>
          <w:rFonts w:ascii="Arial" w:hAnsi="Arial"/>
          <w:noProof/>
          <w:sz w:val="16"/>
        </w:rPr>
        <w:t xml:space="preserve"> abgezinst zum ursprünglichen effektiven Zinssatz des Instruments.</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0"/>
          <w:numId w:val="28"/>
        </w:numPr>
        <w:spacing w:before="60" w:after="60"/>
        <w:jc w:val="both"/>
        <w:rPr>
          <w:rFonts w:ascii="Arial" w:hAnsi="Arial"/>
          <w:b/>
          <w:noProof/>
          <w:sz w:val="16"/>
          <w:szCs w:val="16"/>
        </w:rPr>
      </w:pPr>
      <w:r>
        <w:rPr>
          <w:rFonts w:ascii="Arial" w:hAnsi="Arial"/>
          <w:b/>
          <w:noProof/>
          <w:sz w:val="16"/>
        </w:rPr>
        <w:t>Kredite</w:t>
      </w:r>
    </w:p>
    <w:p w:rsidR="001609E3" w:rsidRDefault="001609E3">
      <w:pPr>
        <w:pStyle w:val="Normal2"/>
        <w:spacing w:before="60" w:after="60"/>
        <w:jc w:val="both"/>
        <w:rPr>
          <w:rFonts w:ascii="Arial" w:hAnsi="Arial"/>
          <w:b/>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Von der Fazilität vergebene Kredite werden in den Aktiva der Fazilität ausgewiesen, wenn die Zahlung an die Kreditnehmer erfolgt.  Sie werden zunächst zu ihren Gestehungskosten er</w:t>
      </w:r>
      <w:r>
        <w:rPr>
          <w:rFonts w:ascii="Arial" w:hAnsi="Arial"/>
          <w:noProof/>
          <w:sz w:val="16"/>
        </w:rPr>
        <w:t xml:space="preserve">fasst (Nettoauszahlungsbetrag), d. h. zum beizulegenden Zeitwert des Zahlungsmittels, das zur Vergabe des Kredits bereitgestellt wird, einschließlich etwaiger Transaktionskosten, und im Anschluss daran anhand der Methode zur Ermittlung der Effektivrendite </w:t>
      </w:r>
      <w:r>
        <w:rPr>
          <w:rFonts w:ascii="Arial" w:hAnsi="Arial"/>
          <w:noProof/>
          <w:sz w:val="16"/>
        </w:rPr>
        <w:t>abzüglich etwaiger Rückstellungen für Wertminderungen oder Uneinbringlichkeit zum Restbuchwert bewertet.</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0"/>
          <w:numId w:val="34"/>
        </w:numPr>
        <w:spacing w:before="60" w:after="60"/>
        <w:jc w:val="both"/>
        <w:rPr>
          <w:rFonts w:ascii="Arial" w:hAnsi="Arial"/>
          <w:b/>
          <w:noProof/>
          <w:sz w:val="16"/>
          <w:szCs w:val="16"/>
        </w:rPr>
      </w:pPr>
      <w:r>
        <w:rPr>
          <w:rFonts w:ascii="Arial" w:hAnsi="Arial"/>
          <w:b/>
          <w:noProof/>
          <w:sz w:val="16"/>
        </w:rPr>
        <w:t>Zur Veräußerung verfügbare finanzielle Vermögenswerte</w:t>
      </w:r>
    </w:p>
    <w:p w:rsidR="001609E3" w:rsidRDefault="001609E3">
      <w:pPr>
        <w:pStyle w:val="Normal2"/>
        <w:spacing w:before="60" w:after="60"/>
        <w:jc w:val="both"/>
        <w:rPr>
          <w:rFonts w:ascii="Arial" w:hAnsi="Arial"/>
          <w:b/>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Zur Veräußerung verfügbare finanzielle Vermögenswerte sind Vermögenswerte, die als solche desig</w:t>
      </w:r>
      <w:r>
        <w:rPr>
          <w:rFonts w:ascii="Arial" w:hAnsi="Arial"/>
          <w:noProof/>
          <w:sz w:val="16"/>
        </w:rPr>
        <w:t>niert sind oder die nicht dafür in Frage kommen, als erfolgswirksam zum beizulegenden Zeitwert designierte Werte, als bis zur Endfälligkeit zu haltende Werte oder als Kredite und Forderungen klassifiziert zu werden. Zu diesen Vermögenswerten zählen direkte</w:t>
      </w:r>
      <w:r>
        <w:rPr>
          <w:rFonts w:ascii="Arial" w:hAnsi="Arial"/>
          <w:noProof/>
          <w:sz w:val="16"/>
        </w:rPr>
        <w:t xml:space="preserve"> Kapitalbeteiligungen und Investitionen in Wagniskapitalfonds; sie werden anfänglich zum beizulegenden Zeitwert zuzüglich Transaktionskosten erfasst.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Nach der ersten Bewertung werden zur Veräußerung verfügbare finanzielle Vermögenswerte später zu ihrem </w:t>
      </w:r>
      <w:r>
        <w:rPr>
          <w:rFonts w:ascii="Arial" w:hAnsi="Arial"/>
          <w:noProof/>
          <w:sz w:val="16"/>
        </w:rPr>
        <w:t>beizulegenden Zeitwert ausgewiesen.  Für die Bemessung des beizulegenden Zeitwerts von Kapitalbeteiligungen, der nicht aus aktiven Märkten abgeleitet werden kann, gilt Folgendes:</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2"/>
          <w:numId w:val="35"/>
        </w:numPr>
        <w:tabs>
          <w:tab w:val="left" w:pos="-2700"/>
        </w:tabs>
        <w:spacing w:before="60" w:after="60"/>
        <w:jc w:val="both"/>
        <w:rPr>
          <w:rFonts w:ascii="Arial" w:hAnsi="Arial"/>
          <w:noProof/>
          <w:sz w:val="16"/>
          <w:szCs w:val="16"/>
        </w:rPr>
      </w:pPr>
      <w:r>
        <w:rPr>
          <w:rFonts w:ascii="Arial" w:hAnsi="Arial"/>
          <w:noProof/>
          <w:sz w:val="16"/>
        </w:rPr>
        <w:t>Wagniskapital</w:t>
      </w:r>
      <w:r>
        <w:rPr>
          <w:noProof/>
        </w:rPr>
        <w:softHyphen/>
      </w:r>
      <w:r>
        <w:rPr>
          <w:rFonts w:ascii="Arial" w:hAnsi="Arial"/>
          <w:noProof/>
          <w:sz w:val="16"/>
        </w:rPr>
        <w:t>fonds</w:t>
      </w:r>
    </w:p>
    <w:p w:rsidR="001609E3" w:rsidRDefault="00E45B63">
      <w:pPr>
        <w:pStyle w:val="Normal2"/>
        <w:spacing w:before="60" w:after="60"/>
        <w:jc w:val="both"/>
        <w:rPr>
          <w:rFonts w:ascii="Arial" w:hAnsi="Arial"/>
          <w:noProof/>
          <w:sz w:val="16"/>
          <w:szCs w:val="16"/>
        </w:rPr>
      </w:pPr>
      <w:r>
        <w:rPr>
          <w:rFonts w:ascii="Arial" w:hAnsi="Arial"/>
          <w:noProof/>
          <w:sz w:val="16"/>
        </w:rPr>
        <w:t>Der beizulegende Zeitwert der einzelnen Wagniskapitalfon</w:t>
      </w:r>
      <w:r>
        <w:rPr>
          <w:rFonts w:ascii="Arial" w:hAnsi="Arial"/>
          <w:noProof/>
          <w:sz w:val="16"/>
        </w:rPr>
        <w:t>ds stützt sich auf den vom Fonds mitgeteilten letzten Nettoinventarwert (NIW) – wenn er nach international anerkannten, mit den IFRS abgestimmten Bewertungsgrundsätzen ermittelt wird (beispielsweise den IPEV-Richtlinien – International Private Equity &amp; Ven</w:t>
      </w:r>
      <w:r>
        <w:rPr>
          <w:rFonts w:ascii="Arial" w:hAnsi="Arial"/>
          <w:noProof/>
          <w:sz w:val="16"/>
        </w:rPr>
        <w:t>ture Capital Valuation Guidelines – wie sie von der Europäischen Risikokapitalvereinigung veröffentlicht wurden). Sollte die Bewertung jedoch in irgendeiner Weise beeinträchtigt werden, kann die Fazilität eine Anpassung des vom Fonds gemeldeten NIW beschli</w:t>
      </w:r>
      <w:r>
        <w:rPr>
          <w:rFonts w:ascii="Arial" w:hAnsi="Arial"/>
          <w:noProof/>
          <w:sz w:val="16"/>
        </w:rPr>
        <w:t>eßen.</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2"/>
          <w:numId w:val="35"/>
        </w:numPr>
        <w:tabs>
          <w:tab w:val="left" w:pos="-2700"/>
        </w:tabs>
        <w:spacing w:before="60" w:after="60"/>
        <w:jc w:val="both"/>
        <w:rPr>
          <w:rFonts w:ascii="Arial" w:hAnsi="Arial"/>
          <w:noProof/>
          <w:sz w:val="16"/>
          <w:szCs w:val="16"/>
        </w:rPr>
      </w:pPr>
      <w:r>
        <w:rPr>
          <w:rFonts w:ascii="Arial" w:hAnsi="Arial"/>
          <w:noProof/>
          <w:sz w:val="16"/>
        </w:rPr>
        <w:t>Direkte Kapital</w:t>
      </w:r>
      <w:r>
        <w:rPr>
          <w:noProof/>
        </w:rPr>
        <w:softHyphen/>
      </w:r>
      <w:r>
        <w:rPr>
          <w:rFonts w:ascii="Arial" w:hAnsi="Arial"/>
          <w:noProof/>
          <w:sz w:val="16"/>
        </w:rPr>
        <w:t>beteiligungen</w:t>
      </w:r>
    </w:p>
    <w:p w:rsidR="001609E3" w:rsidRDefault="00E45B63">
      <w:pPr>
        <w:pStyle w:val="Normal2"/>
        <w:spacing w:before="60" w:after="60"/>
        <w:jc w:val="both"/>
        <w:rPr>
          <w:rFonts w:ascii="Arial" w:hAnsi="Arial"/>
          <w:noProof/>
          <w:sz w:val="16"/>
          <w:szCs w:val="16"/>
        </w:rPr>
      </w:pPr>
      <w:r>
        <w:rPr>
          <w:rFonts w:ascii="Arial" w:hAnsi="Arial"/>
          <w:noProof/>
          <w:sz w:val="16"/>
        </w:rPr>
        <w:t>Der beizulegende Zeitwert der Beteiligung wird anhand des neuesten verfügbaren Abschlusses bestimmt, wobei gegebenenfalls wieder nach dem gleichen Muster verfahren wird wie beim Erwerb der Beteiligung.</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Nicht realisiert</w:t>
      </w:r>
      <w:r>
        <w:rPr>
          <w:rFonts w:ascii="Arial" w:hAnsi="Arial"/>
          <w:noProof/>
          <w:sz w:val="16"/>
        </w:rPr>
        <w:t>e Gewinne oder Verluste aus Wagniskapitalfonds und direkten Kapitalbeteiligungen werden so lange unter den Beiträgen der Geber ausgewiesen, bis die Beteiligungen veräußert, übergeben oder in anderer Form überlassen sind oder eine Wertminderung festgestellt</w:t>
      </w:r>
      <w:r>
        <w:rPr>
          <w:rFonts w:ascii="Arial" w:hAnsi="Arial"/>
          <w:noProof/>
          <w:sz w:val="16"/>
        </w:rPr>
        <w:t xml:space="preserve"> wird.  Wird die Wertminderung einer zur Veräußerung verfügbaren Beteiligung festgestellt, wird der zuvor unter der Rubrik Eigenkapital ausgewiesene kumulative nicht realisierte Gewinn oder Verlust in die Gesamtergebnisrechnung übertragen.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Bei Beteiligung</w:t>
      </w:r>
      <w:r>
        <w:rPr>
          <w:rFonts w:ascii="Arial" w:hAnsi="Arial"/>
          <w:noProof/>
          <w:sz w:val="16"/>
        </w:rPr>
        <w:t>en an nicht börsennotierten Gesellschaften wird der beizulegende Zeitwert mit Hilfe anerkannter Bewertungstechniken (beispielsweise bereinigtes Nettovermögen, Discounted Cash Flows- oder Multiple-Verfahren) bestimmt.  Kann der beizulegende Zeitwert nicht z</w:t>
      </w:r>
      <w:r>
        <w:rPr>
          <w:rFonts w:ascii="Arial" w:hAnsi="Arial"/>
          <w:noProof/>
          <w:sz w:val="16"/>
        </w:rPr>
        <w:t>uverlässig ermittelt werden, so werden diese Beteiligungen zu ihren Gestehungskosten verbucht.  Es sei darauf hingewiesen, dass sie in den ersten zwei Jahren der Investition zu den Gestehungskosten erfasst werden.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Bei den von der Fazilität erworbenen Bete</w:t>
      </w:r>
      <w:r>
        <w:rPr>
          <w:rFonts w:ascii="Arial" w:hAnsi="Arial"/>
          <w:noProof/>
          <w:sz w:val="16"/>
        </w:rPr>
        <w:t>iligungen handelt es sich in der Regel um Investitionen in Private Equity- oder Wagniskapitalfonds.  Im Einklang mit den branchenüblichen Gepflogenheiten sind derartige Investitionen normalerweise Investitionen, die von verschiedenen Investoren gemeinsam g</w:t>
      </w:r>
      <w:r>
        <w:rPr>
          <w:rFonts w:ascii="Arial" w:hAnsi="Arial"/>
          <w:noProof/>
          <w:sz w:val="16"/>
        </w:rPr>
        <w:t>ezeichnet werden, und von denen keiner in der Lage wäre, allein Einfluss auf das Tagesgeschäft und die Anlagetätigkeit eines derartigen Fonds zu nehmen.  Folglich ist ein Investor, der einem leitenden Gremium eines solchen Fonds angehört, nicht grundsätzli</w:t>
      </w:r>
      <w:r>
        <w:rPr>
          <w:rFonts w:ascii="Arial" w:hAnsi="Arial"/>
          <w:noProof/>
          <w:sz w:val="16"/>
        </w:rPr>
        <w:t>ch berechtigt, Einfluss auf das Tagesgeschäft des Fonds zu nehmen.  Darüber hinaus werden die Strategien eines Fonds, etwa im Zusammenhang mit der Dividendenausschüttung oder anderen Ausschüttungen, nicht von einzelnen Investoren eines Private Equity- oder</w:t>
      </w:r>
      <w:r>
        <w:rPr>
          <w:rFonts w:ascii="Arial" w:hAnsi="Arial"/>
          <w:noProof/>
          <w:sz w:val="16"/>
        </w:rPr>
        <w:t xml:space="preserve"> Wagniskapitalfonds bestimmt.  Derartige Entscheidungen werden üblicherweise vom Management eines Fonds auf der Grundlage der Anteilseignervereinbarung getroffen, in der die Rechte und Pflichten des Managements und aller Aktionäre des Fonds festgelegt sind</w:t>
      </w:r>
      <w:r>
        <w:rPr>
          <w:rFonts w:ascii="Arial" w:hAnsi="Arial"/>
          <w:noProof/>
          <w:sz w:val="16"/>
        </w:rPr>
        <w:t>.  Darüber hinaus verhindert die Anteilseignervereinbarung in der Regel, dass einzelne Investoren bilateral wesentliche Fondstransaktionen ausführen, leitendes Personal auswechseln oder privilegierten Zugang zu wesentlichen technischen Informationen erhalt</w:t>
      </w:r>
      <w:r>
        <w:rPr>
          <w:rFonts w:ascii="Arial" w:hAnsi="Arial"/>
          <w:noProof/>
          <w:sz w:val="16"/>
        </w:rPr>
        <w:t>en.  Die Investitionen der Fazilität werden in Einklang mit den vorstehenden branchenüblichen Gepflogenheiten ausgeführt, damit gewährleistet ist, dass die Fazilität keinerlei maßgeblichen Einfluss im Sinne von IFRS 10 und IAS 28 auf diese Investitionen ni</w:t>
      </w:r>
      <w:r>
        <w:rPr>
          <w:rFonts w:ascii="Arial" w:hAnsi="Arial"/>
          <w:noProof/>
          <w:sz w:val="16"/>
        </w:rPr>
        <w:t>mmt oder Kontrolle über sie hat, einschließlich Investitionen, an denen die Fazilität über 20 % der Stimmrechte hält.</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0"/>
          <w:numId w:val="36"/>
        </w:numPr>
        <w:spacing w:before="60" w:after="60"/>
        <w:jc w:val="both"/>
        <w:rPr>
          <w:rFonts w:ascii="Arial" w:hAnsi="Arial"/>
          <w:b/>
          <w:noProof/>
          <w:sz w:val="16"/>
          <w:szCs w:val="16"/>
        </w:rPr>
      </w:pPr>
      <w:r>
        <w:rPr>
          <w:rFonts w:ascii="Arial" w:hAnsi="Arial"/>
          <w:b/>
          <w:noProof/>
          <w:sz w:val="16"/>
        </w:rPr>
        <w:t>Garantien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Finanzgarantieverträge sind Verträge, die der Fazilität vorschreiben, dem Inhaber bestimmte Zahlungen zur Erstattung von Verlu</w:t>
      </w:r>
      <w:r>
        <w:rPr>
          <w:rFonts w:ascii="Arial" w:hAnsi="Arial"/>
          <w:noProof/>
          <w:sz w:val="16"/>
        </w:rPr>
        <w:t>sten zu leisten, die diesem dadurch entstehen, dass ein bestimmter Schuldner seine Zahlung nicht bei Fälligkeit gemäß den Bestimmungen eines Schuldtitels leistet.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Nach den bestehenden Vorschriften erfüllen diese Garantien nicht die Definition eines Versic</w:t>
      </w:r>
      <w:r>
        <w:rPr>
          <w:rFonts w:ascii="Arial" w:hAnsi="Arial"/>
          <w:noProof/>
          <w:sz w:val="16"/>
        </w:rPr>
        <w:t>herungsvertrags (IFRS 4 „Versicherungsverträge“) und werden nach IAS 39 „Finanzinstrumente:  Ansatz und Bewertung“ je nach ihren, in IAS 39 definierten Merkmalen und Eigenschaften entweder als „Derivate“ oder als „Finanzgarantien“ verbucht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Rechnungsle</w:t>
      </w:r>
      <w:r>
        <w:rPr>
          <w:rFonts w:ascii="Arial" w:hAnsi="Arial"/>
          <w:noProof/>
          <w:sz w:val="16"/>
        </w:rPr>
        <w:t>gungsmethoden für Derivate werden in Erläuterung 2.4.5 offengelegt.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Beim erstmaligen Ansatz werden Finanzgarantien zum beizulegenden Zeitwert angesetzt; dieser entspricht dem Nettogegenwartswert der erwarteten Prämieneinnahmen und des anfänglich erwartete</w:t>
      </w:r>
      <w:r>
        <w:rPr>
          <w:rFonts w:ascii="Arial" w:hAnsi="Arial"/>
          <w:noProof/>
          <w:sz w:val="16"/>
        </w:rPr>
        <w:t xml:space="preserve">n Verlusts. Diese Berechnung erfolgt unmittelbar zu Beginn jeder Transaktion und wird in der Bilanz unter den Rubriken „Sonstige Vermögenswerte“ und „Sonstige Verbindlichkeiten“ als „Finanzgarantien“ ausgewiesen.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Nach dieser ersten Erfassung werden die Verbindlichkeiten der Fazilität aus diesen Garantien zum jeweils höheren der beiden folgenden Werte angesetzt: </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0"/>
          <w:numId w:val="37"/>
        </w:numPr>
        <w:spacing w:before="60" w:after="60"/>
        <w:jc w:val="both"/>
        <w:rPr>
          <w:rFonts w:ascii="Arial" w:hAnsi="Arial"/>
          <w:noProof/>
          <w:sz w:val="16"/>
          <w:szCs w:val="16"/>
        </w:rPr>
      </w:pPr>
      <w:r>
        <w:rPr>
          <w:rFonts w:ascii="Arial" w:hAnsi="Arial"/>
          <w:noProof/>
          <w:sz w:val="16"/>
        </w:rPr>
        <w:t>dem anfänglich angesetzten Betrag, gegebenenfalls abzüglich der gemäß IAS 18 „Umsatzerlöse“ angesetzten</w:t>
      </w:r>
      <w:r>
        <w:rPr>
          <w:rFonts w:ascii="Arial" w:hAnsi="Arial"/>
          <w:noProof/>
          <w:sz w:val="16"/>
        </w:rPr>
        <w:t xml:space="preserve">, kumulierten Abschreibungen, und </w:t>
      </w:r>
    </w:p>
    <w:p w:rsidR="001609E3" w:rsidRDefault="00E45B63">
      <w:pPr>
        <w:pStyle w:val="Normal2"/>
        <w:numPr>
          <w:ilvl w:val="0"/>
          <w:numId w:val="37"/>
        </w:numPr>
        <w:spacing w:before="60" w:after="60"/>
        <w:jc w:val="both"/>
        <w:rPr>
          <w:rFonts w:ascii="Arial" w:hAnsi="Arial"/>
          <w:noProof/>
          <w:sz w:val="16"/>
          <w:szCs w:val="16"/>
        </w:rPr>
      </w:pPr>
      <w:r>
        <w:rPr>
          <w:rFonts w:ascii="Arial" w:hAnsi="Arial"/>
          <w:noProof/>
          <w:sz w:val="16"/>
        </w:rPr>
        <w:t>der bestmöglichen Schätzung der Ausgaben, die zur Erfüllung derzeitiger, infolge der Garantie entstehender finanzieller Verpflichtungen erforderlich sind, und zwar nach IAS 37 „Rückstellungen, Eventualschulden, Eventualfo</w:t>
      </w:r>
      <w:r>
        <w:rPr>
          <w:rFonts w:ascii="Arial" w:hAnsi="Arial"/>
          <w:noProof/>
          <w:sz w:val="16"/>
        </w:rPr>
        <w:t>rderungen“.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bestmögliche Schätzung der Ausgaben wird nach IAS 37 vorgenommen. Die Rückstellungen für Finanzgarantien entsprechen den Kosten der Begleichung der finanziellen Verpflichtungen, wobei diese den erwarten Verlust darstellen, der auf der Grun</w:t>
      </w:r>
      <w:r>
        <w:rPr>
          <w:rFonts w:ascii="Arial" w:hAnsi="Arial"/>
          <w:noProof/>
          <w:sz w:val="16"/>
        </w:rPr>
        <w:t>dlage aller am Bilanzstichtag gegebenen relevanten Faktoren und vorliegenden Informationen geschätzt wurde.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Wird ein nach IAS 39 bewertetes Finanzgarantiegeschäft ausgebucht und nach IAS 37 behandelt, wird dessen zuvor unter „Sonstige Verbindlichkeiten“ e</w:t>
      </w:r>
      <w:r>
        <w:rPr>
          <w:rFonts w:ascii="Arial" w:hAnsi="Arial"/>
          <w:noProof/>
          <w:sz w:val="16"/>
        </w:rPr>
        <w:t>rfasster Wert in die Bilanzrubrik „Rückstellungen für gestellte Garantien“ übertragen.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Rückstellung für (nach IAS 37 bewertete) Finanzgarantien wird in der Gesamtergebnisrechnung unter „Veränderung der Rückstellungen für Garantien, abzüglich Rückbuchu</w:t>
      </w:r>
      <w:r>
        <w:rPr>
          <w:rFonts w:ascii="Arial" w:hAnsi="Arial"/>
          <w:noProof/>
          <w:sz w:val="16"/>
        </w:rPr>
        <w:t xml:space="preserve">ngen“ angesetzt.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vereinnahmte Prämie wird unter Zugrundelegung eines nach IAS 18 erstellten Abschreibungsplans über die Laufzeit der Finanzgarantie in der Gesamtergebnisrechnung unter „Erträge aus Gebühren und Provisionen“ angesetzt.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Zudem wird die </w:t>
      </w:r>
      <w:r>
        <w:rPr>
          <w:rFonts w:ascii="Arial" w:hAnsi="Arial"/>
          <w:noProof/>
          <w:sz w:val="16"/>
        </w:rPr>
        <w:t>Unterzeichnung einer Garantievereinbarung als Eventualverbindlichkeit für die Fazilität und die Inanspruchnahme der Garantie als Verpflichtung für die Fazilität ausgewiesen.</w:t>
      </w:r>
    </w:p>
    <w:p w:rsidR="001609E3" w:rsidRDefault="001609E3">
      <w:pPr>
        <w:pStyle w:val="Normal2"/>
        <w:spacing w:before="60" w:after="60"/>
        <w:jc w:val="both"/>
        <w:rPr>
          <w:rFonts w:ascii="Arial" w:hAnsi="Arial"/>
          <w:noProof/>
          <w:sz w:val="16"/>
          <w:szCs w:val="16"/>
        </w:rPr>
      </w:pPr>
    </w:p>
    <w:p w:rsidR="001609E3" w:rsidRDefault="00E45B63">
      <w:pPr>
        <w:pStyle w:val="Title1110"/>
        <w:numPr>
          <w:ilvl w:val="2"/>
          <w:numId w:val="27"/>
        </w:numPr>
        <w:spacing w:before="60" w:after="60"/>
        <w:rPr>
          <w:rStyle w:val="Title111Char0"/>
          <w:noProof/>
          <w:sz w:val="16"/>
          <w:szCs w:val="16"/>
        </w:rPr>
      </w:pPr>
      <w:r>
        <w:rPr>
          <w:rStyle w:val="Title111Char0"/>
          <w:noProof/>
          <w:sz w:val="16"/>
        </w:rPr>
        <w:t xml:space="preserve"> </w:t>
      </w:r>
      <w:r>
        <w:rPr>
          <w:noProof/>
        </w:rPr>
        <w:tab/>
      </w:r>
      <w:r>
        <w:rPr>
          <w:rStyle w:val="Title111Char0"/>
          <w:noProof/>
          <w:sz w:val="16"/>
        </w:rPr>
        <w:t>Wertminderung finanzieller Vermögenswerte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Zu jedem Bilanzstichtag wird von der</w:t>
      </w:r>
      <w:r>
        <w:rPr>
          <w:rFonts w:ascii="Arial" w:hAnsi="Arial"/>
          <w:noProof/>
          <w:sz w:val="16"/>
        </w:rPr>
        <w:t xml:space="preserve"> Fazilität geprüft, ob objektive Hinweise darauf schließen lassen, dass eine Wertminderung eines finanziellen Vermögenswertes vorliegt. Ein finanzieller Vermögenswert oder eine Gruppe finanzieller Vermögenswerte gilt als im Wert gemindert, wenn (und nur da</w:t>
      </w:r>
      <w:r>
        <w:rPr>
          <w:rFonts w:ascii="Arial" w:hAnsi="Arial"/>
          <w:noProof/>
          <w:sz w:val="16"/>
        </w:rPr>
        <w:t>nn, wenn) es objektive Hinweise auf die Wertminderung als Folge eines oder mehrerer Ereignisse nach dem ursprünglichen Ausweis des Vermögenswerts (eines eingetretenen „Verlustereignisses“) gibt und dieses Verlustereignis Auswirkungen auf die erwarteten kün</w:t>
      </w:r>
      <w:r>
        <w:rPr>
          <w:rFonts w:ascii="Arial" w:hAnsi="Arial"/>
          <w:noProof/>
          <w:sz w:val="16"/>
        </w:rPr>
        <w:t>ftigen Cashflows des finanziellen Vermögenswerts oder der Gruppe von finanziellen Vermögenswerten hat, die zuverlässig bestimmt werden können. Zu den Hinweisen auf eine Wertminderung zählen Anzeichen für erhebliche finanzielle Schwierigkeiten der Kreditneh</w:t>
      </w:r>
      <w:r>
        <w:rPr>
          <w:rFonts w:ascii="Arial" w:hAnsi="Arial"/>
          <w:noProof/>
          <w:sz w:val="16"/>
        </w:rPr>
        <w:t>mer oder einer Gruppe von Kreditnehmern, Ausfall oder Verzug von Zins- oder Tilgungszahlungen sowie eine erhöhte Wahrscheinlichkeit, dass sie in Insolvenz oder ein sonstiges Sanierungsverfahren gehen. Gleiches gilt, wenn beobachtbare Daten wie Änderungen b</w:t>
      </w:r>
      <w:r>
        <w:rPr>
          <w:rFonts w:ascii="Arial" w:hAnsi="Arial"/>
          <w:noProof/>
          <w:sz w:val="16"/>
        </w:rPr>
        <w:t>ei den Zahlungsrückständen oder wirtschaftliche Rahmenbedingungen, die mit Ausfällen korrelieren, auf eine messbare Verringerung der erwarteten künftigen Cashflows hinweisen.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Bei Krediten, die am Ende des Geschäftsjahres noch ausstehen und zum Restbuchwer</w:t>
      </w:r>
      <w:r>
        <w:rPr>
          <w:rFonts w:ascii="Arial" w:hAnsi="Arial"/>
          <w:noProof/>
          <w:sz w:val="16"/>
        </w:rPr>
        <w:t>t bewertet sind, werden Wertminderungen vorgenommen, wenn objektive Hinweise auf das Risiko eines vollständigen oder teilweisen Ausfalls der im ursprünglichen Vertrag genannten Summe oder des entsprechenden Werts hindeuten. Wenn es objektive Hinweise gibt,</w:t>
      </w:r>
      <w:r>
        <w:rPr>
          <w:rFonts w:ascii="Arial" w:hAnsi="Arial"/>
          <w:noProof/>
          <w:sz w:val="16"/>
        </w:rPr>
        <w:t xml:space="preserve"> dass ein Wertminderungsaufwand entstanden ist, wird er als Differenz zwischen dem Buchwert des Vermögenswerts und dem Barwert des erwarteten künftigen Cashflows bewertet. Der Buchwert des Vermögenswerts wird über ein Wertberichtigungskonto reduziert und d</w:t>
      </w:r>
      <w:r>
        <w:rPr>
          <w:rFonts w:ascii="Arial" w:hAnsi="Arial"/>
          <w:noProof/>
          <w:sz w:val="16"/>
        </w:rPr>
        <w:t>er Betrag des Verlusts wird in der Gesamtergebnisrechnung ausgewiesen.  Zinseinnahmen laufen auf der Grundlage des effektiven Zinses weiter auf den reduzierten Buchwert des Vermögenswerts auf.  Kredite werden zusammen mit der entsprechenden Wertberichtigun</w:t>
      </w:r>
      <w:r>
        <w:rPr>
          <w:rFonts w:ascii="Arial" w:hAnsi="Arial"/>
          <w:noProof/>
          <w:sz w:val="16"/>
        </w:rPr>
        <w:t>g abgeschrieben, wenn keine realistische Aussicht auf eine künftige Eintreibung besteht.  Wenn sich der Betrag des geschätzten Wertminderungsaufwands in einem späteren Jahr wegen eines nach dem Ausweis der Wertminderung auftretenden Ereignisses erhöht oder</w:t>
      </w:r>
      <w:r>
        <w:rPr>
          <w:rFonts w:ascii="Arial" w:hAnsi="Arial"/>
          <w:noProof/>
          <w:sz w:val="16"/>
        </w:rPr>
        <w:t xml:space="preserve"> verringert, wird der zuvor ausgewiesene Wertminderungsaufwand durch Anpassung des Wertberichtigungskontos erhöht oder reduziert.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Für die Fazilität wird das Kreditrisiko auf der Basis jeder einzelnen Transaktion bewertet und keine Gesamtminderung der Verm</w:t>
      </w:r>
      <w:r>
        <w:rPr>
          <w:rFonts w:ascii="Arial" w:hAnsi="Arial"/>
          <w:noProof/>
          <w:sz w:val="16"/>
        </w:rPr>
        <w:t xml:space="preserve">ögenswerte in Erwägung gezogen.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Für die zur Veräußerung verfügbaren finanziellen Vermögenswerte wird zu jedem Bilanzstichtag geprüft, ob es objektive Hinweise dafür gibt, dass eine Beteiligung wertgemindert ist. Ein objektiver Hinweis wäre unter anderem,</w:t>
      </w:r>
      <w:r>
        <w:rPr>
          <w:rFonts w:ascii="Arial" w:hAnsi="Arial"/>
          <w:noProof/>
          <w:sz w:val="16"/>
        </w:rPr>
        <w:t xml:space="preserve"> wenn der beizulegende Zeitwert der Beteiligung erheblich oder anhaltend abnimmt und die Kosten unterschreitet.  Gibt es Hinweise für eine Wertminderung, so wird der kumulierte Aufwand (berechnet als Differenz zwischen den Anschaffungskosten und dem gelten</w:t>
      </w:r>
      <w:r>
        <w:rPr>
          <w:rFonts w:ascii="Arial" w:hAnsi="Arial"/>
          <w:noProof/>
          <w:sz w:val="16"/>
        </w:rPr>
        <w:t>den beizulegenden Zeitwert abzüglich eventueller, zuvor in der Gesamtergebnisrechnung berücksichtigter Wertminderungsaufwendungen für diese Beteiligung) aus den Beiträgen der Geber herausgenommen und in der Gesamtergebnisrechnung erfasst.  Wertminderungsau</w:t>
      </w:r>
      <w:r>
        <w:rPr>
          <w:rFonts w:ascii="Arial" w:hAnsi="Arial"/>
          <w:noProof/>
          <w:sz w:val="16"/>
        </w:rPr>
        <w:t>fwendungen für zur Veräußerung verfügbare finanzielle Vermögenswerte werden in der Gesamtergebnisrechnung nicht aufgehoben; Erhöhungen ihres beizulegenden Zeitwerts nach der Wertminderung werden direkt unter den Beiträgen der Geber ausgewiesen.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Im Rahmen </w:t>
      </w:r>
      <w:r>
        <w:rPr>
          <w:rFonts w:ascii="Arial" w:hAnsi="Arial"/>
          <w:noProof/>
          <w:sz w:val="16"/>
        </w:rPr>
        <w:t>des Risikomanagements der Europäischen Investitionsbank werden finanzielle Vermögenswerte mindestens einmal jährlich auf etwaige Wertminderungen hin überprüft.  Die daraus resultierenden Anpassungen umfassen die Auflösung des Abschlags in der Gesamtergebni</w:t>
      </w:r>
      <w:r>
        <w:rPr>
          <w:rFonts w:ascii="Arial" w:hAnsi="Arial"/>
          <w:noProof/>
          <w:sz w:val="16"/>
        </w:rPr>
        <w:t>srechnung über die gesamte Laufzeit des Vermögenswertes sowie jede Anpassung, die aufgrund einer Neubewertung der ursprünglichen Wertminderung erforderlich ist</w:t>
      </w:r>
    </w:p>
    <w:p w:rsidR="001609E3" w:rsidRDefault="001609E3">
      <w:pPr>
        <w:pStyle w:val="Normal2"/>
        <w:suppressAutoHyphens w:val="0"/>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Derivative Finanzinstrumente</w:t>
      </w:r>
    </w:p>
    <w:p w:rsidR="001609E3" w:rsidRDefault="001609E3">
      <w:pPr>
        <w:pStyle w:val="Normal2"/>
        <w:spacing w:before="60" w:after="60"/>
        <w:jc w:val="both"/>
        <w:rPr>
          <w:rFonts w:ascii="Arial" w:hAnsi="Arial"/>
          <w:noProof/>
          <w:sz w:val="16"/>
          <w:szCs w:val="16"/>
        </w:rPr>
      </w:pPr>
    </w:p>
    <w:p w:rsidR="001609E3" w:rsidRDefault="00E45B63">
      <w:pPr>
        <w:pStyle w:val="Normal2"/>
        <w:tabs>
          <w:tab w:val="left" w:pos="7720"/>
        </w:tabs>
        <w:spacing w:before="60" w:after="60"/>
        <w:jc w:val="both"/>
        <w:rPr>
          <w:rFonts w:ascii="Arial" w:hAnsi="Arial"/>
          <w:noProof/>
          <w:sz w:val="16"/>
          <w:szCs w:val="16"/>
        </w:rPr>
      </w:pPr>
      <w:r>
        <w:rPr>
          <w:rFonts w:ascii="Arial" w:hAnsi="Arial"/>
          <w:noProof/>
          <w:sz w:val="16"/>
        </w:rPr>
        <w:t xml:space="preserve">Zu den Derivaten zählen Währungsswaps, Währungs-Zins-Swaps, </w:t>
      </w:r>
      <w:r>
        <w:rPr>
          <w:rFonts w:ascii="Arial" w:hAnsi="Arial"/>
          <w:noProof/>
          <w:sz w:val="16"/>
        </w:rPr>
        <w:t>kurzfristige Währungsswaps („FX-Swaps“) und Zinsswaps.</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Im Rahmen ihrer normalen Tätigkeit kann die Fazilität Swap-Verträge abschließen, um spezifische Finanzierungen abzusichern, oder Devisenterminkontrakte abschließen; so können die auf andere aktiv geha</w:t>
      </w:r>
      <w:r>
        <w:rPr>
          <w:rFonts w:ascii="Arial" w:hAnsi="Arial"/>
          <w:noProof/>
          <w:sz w:val="16"/>
        </w:rPr>
        <w:t>ndelte Währungen als den Euro lautenden Währungspositionen abgesichert und somit durch Wechselkursschwankungen bedingte Gewinne oder Verluste ausgeglichen werden.</w:t>
      </w:r>
    </w:p>
    <w:p w:rsidR="001609E3" w:rsidRDefault="00E45B63">
      <w:pPr>
        <w:pStyle w:val="Normal2"/>
        <w:spacing w:before="60" w:after="60"/>
        <w:jc w:val="both"/>
        <w:rPr>
          <w:rFonts w:ascii="Arial" w:hAnsi="Arial"/>
          <w:noProof/>
          <w:sz w:val="16"/>
          <w:szCs w:val="16"/>
        </w:rPr>
      </w:pPr>
      <w:r>
        <w:rPr>
          <w:rFonts w:ascii="Arial" w:hAnsi="Arial"/>
          <w:noProof/>
          <w:sz w:val="16"/>
        </w:rPr>
        <w:t> </w:t>
      </w:r>
    </w:p>
    <w:p w:rsidR="001609E3" w:rsidRDefault="00E45B63">
      <w:pPr>
        <w:pStyle w:val="Normal2"/>
        <w:spacing w:before="60" w:after="60"/>
        <w:jc w:val="both"/>
        <w:rPr>
          <w:rFonts w:ascii="Arial" w:hAnsi="Arial"/>
          <w:noProof/>
          <w:sz w:val="16"/>
          <w:szCs w:val="16"/>
        </w:rPr>
      </w:pPr>
      <w:r>
        <w:rPr>
          <w:rFonts w:ascii="Arial" w:hAnsi="Arial"/>
          <w:noProof/>
          <w:sz w:val="16"/>
        </w:rPr>
        <w:t>Die Fazilität nutzt keine Sicherungsgeschäfte nach IAS 39. Alle Derivate werden in der Erge</w:t>
      </w:r>
      <w:r>
        <w:rPr>
          <w:rFonts w:ascii="Arial" w:hAnsi="Arial"/>
          <w:noProof/>
          <w:sz w:val="16"/>
        </w:rPr>
        <w:t>bnisrechnung zum beizulegenden Zeitwert bewertet und als derivative Finanzinstrumente ausgewiesen. Der beizulegende Zeitwert wird in erster Linie anhand von Discounted Cashflow-Verfahren, Optionspreismodellen und Kursofferten Dritter ermittelt.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Ist der be</w:t>
      </w:r>
      <w:r>
        <w:rPr>
          <w:rFonts w:ascii="Arial" w:hAnsi="Arial"/>
          <w:noProof/>
          <w:sz w:val="16"/>
        </w:rPr>
        <w:t>izulegende Zeitwert eines Derivats positiv, wird es zum beizulegenden Zeitwert als Aktivposten ausgewiesen, ist er negativ, wird es als Passivposten ausgewiesen.  Änderungen des beizulegenden Zeitwerts derivativer Finanzinstrumente werden in der Gesamterge</w:t>
      </w:r>
      <w:r>
        <w:rPr>
          <w:rFonts w:ascii="Arial" w:hAnsi="Arial"/>
          <w:noProof/>
          <w:sz w:val="16"/>
        </w:rPr>
        <w:t>bnisrechnung unter „Veränderung des beizulegenden Zeitwerts bei derivativen Finanzinstrumenten“ ausgewiesen.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Derivate werden zunächst auf Basis des Handelsdatums erfasst.</w:t>
      </w:r>
    </w:p>
    <w:p w:rsidR="001609E3" w:rsidRDefault="001609E3">
      <w:pPr>
        <w:pStyle w:val="Normal2"/>
        <w:suppressAutoHyphens w:val="0"/>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Beiträge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In der Bilanz werden Beiträge der Mitgliedstaaten ab dem Tag des Ratsbe</w:t>
      </w:r>
      <w:r>
        <w:rPr>
          <w:rFonts w:ascii="Arial" w:hAnsi="Arial"/>
          <w:noProof/>
          <w:sz w:val="16"/>
        </w:rPr>
        <w:t>schlusses, in dem die Finanzbeiträge der Mitgliedstaaten an die Fazilität festgelegt werden, als Forderungen ausgewiesen.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Die Beiträge der Mitgliedstaaten erfüllen die folgenden Voraussetzungen und werden daher als Eigenkapitalinstrument eingestuft:</w:t>
      </w:r>
    </w:p>
    <w:p w:rsidR="001609E3" w:rsidRDefault="001609E3">
      <w:pPr>
        <w:pStyle w:val="Normal2"/>
        <w:spacing w:before="60" w:after="60"/>
        <w:jc w:val="both"/>
        <w:rPr>
          <w:rFonts w:ascii="Arial" w:hAnsi="Arial"/>
          <w:noProof/>
          <w:sz w:val="16"/>
          <w:szCs w:val="16"/>
        </w:rPr>
      </w:pPr>
    </w:p>
    <w:p w:rsidR="001609E3" w:rsidRDefault="00E45B63">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gemä</w:t>
      </w:r>
      <w:r>
        <w:rPr>
          <w:rFonts w:ascii="Arial" w:hAnsi="Arial"/>
          <w:noProof/>
          <w:sz w:val="16"/>
        </w:rPr>
        <w:t>ß der Beitragsvereinbarung sind die Mitgliedstaaten berechtigt, im Falle der Liquidation der Fazilität über die Verwendung des Nettovermögens zu entscheiden;</w:t>
      </w:r>
    </w:p>
    <w:p w:rsidR="001609E3" w:rsidRDefault="00E45B63">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die Beiträge zählen zu der Klasse von Instrumenten, die allen anderen im Rang nachsteht;</w:t>
      </w:r>
    </w:p>
    <w:p w:rsidR="001609E3" w:rsidRDefault="00E45B63">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alle Fina</w:t>
      </w:r>
      <w:r>
        <w:rPr>
          <w:rFonts w:ascii="Arial" w:hAnsi="Arial"/>
          <w:noProof/>
          <w:sz w:val="16"/>
        </w:rPr>
        <w:t>nzinstrumente der nachrangigsten Klasse haben die gleichen Merkmale;</w:t>
      </w:r>
    </w:p>
    <w:p w:rsidR="001609E3" w:rsidRDefault="00E45B63">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das Instrument weist keine Merkmale auf, die eine Einstufung als Verbindlichkeit rechtfertigen würden, und</w:t>
      </w:r>
    </w:p>
    <w:p w:rsidR="001609E3" w:rsidRDefault="00E45B63">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 xml:space="preserve">die für das Instrument über seine Laufzeit insgesamt erwarteten Cashflows </w:t>
      </w:r>
      <w:r>
        <w:rPr>
          <w:rFonts w:ascii="Arial" w:hAnsi="Arial"/>
          <w:noProof/>
          <w:sz w:val="16"/>
        </w:rPr>
        <w:t>beruhen im Wesentlichen auf den Gewinnen oder Verlusten während der Laufzeit, auf Veränderungen, die in dieser Zeit bei den bilanzwirksamen Nettovermögenswerten eintreten, oder auf Veränderungen, die während der Laufzeit beim beizulegenden Zeitwert der bil</w:t>
      </w:r>
      <w:r>
        <w:rPr>
          <w:rFonts w:ascii="Arial" w:hAnsi="Arial"/>
          <w:noProof/>
          <w:sz w:val="16"/>
        </w:rPr>
        <w:t>anzwirksamen und –unwirksamen Nettovermögenswerte der Fazilität zu verzeichnen sind.</w:t>
      </w:r>
    </w:p>
    <w:p w:rsidR="001609E3" w:rsidRDefault="001609E3">
      <w:pPr>
        <w:pStyle w:val="Normal2"/>
        <w:tabs>
          <w:tab w:val="left" w:pos="340"/>
        </w:tabs>
        <w:spacing w:before="60" w:after="60"/>
        <w:jc w:val="both"/>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Zinserträge aus Krediten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Zinsen auf Kredite der Fazilität werden in der Gesamtergebnisrechnung („Zinserträge und ähnliche Erträge“) und in der Bilanz („Kredite und For</w:t>
      </w:r>
      <w:r>
        <w:rPr>
          <w:rFonts w:ascii="Arial" w:hAnsi="Arial"/>
          <w:noProof/>
          <w:sz w:val="16"/>
        </w:rPr>
        <w:t>derungen“) periodengerecht unter Verwendung des effektiven Zinses ausgewiesen, d. h. des Zinses, der genau den erwarteten künftigen Barzahlungen oder -einnahmen während der voraussichtlichen Laufzeit des Kredits auf den Nettobuchwert des Kredits entspricht</w:t>
      </w:r>
      <w:r>
        <w:rPr>
          <w:rFonts w:ascii="Arial" w:hAnsi="Arial"/>
          <w:noProof/>
          <w:sz w:val="16"/>
        </w:rPr>
        <w:t>.  Nachdem der ausgewiesene Wert eines Kredits durch einen Wertminderungsaufwand reduziert wurde, werden Zinserträge unter Anwendung des ursprünglichen effektiven Zinses auf den neuen Buchwert weiter ausgewiesen.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Bereitstellungsprovisionen werden abgegren</w:t>
      </w:r>
      <w:r>
        <w:rPr>
          <w:rFonts w:ascii="Arial" w:hAnsi="Arial"/>
          <w:noProof/>
          <w:sz w:val="16"/>
        </w:rPr>
        <w:t>zt und ab dem Zeitpunkt der Auszahlung bis zur Rückzahlung des betreffenden Kredits unter Verwendung der Effektivzinsmethode auf der Ertragsseite ausgewiesen; in der Gesamtergebnisrechnung werden sie unter „Zinserträge und ähnliche Erträge“ erfasst.</w:t>
      </w:r>
    </w:p>
    <w:p w:rsidR="001609E3" w:rsidRDefault="001609E3">
      <w:pPr>
        <w:pStyle w:val="Normal2"/>
        <w:spacing w:before="60" w:after="60"/>
        <w:jc w:val="both"/>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Zin</w:t>
      </w:r>
      <w:r>
        <w:rPr>
          <w:noProof/>
          <w:sz w:val="16"/>
        </w:rPr>
        <w:t>sverbilligungen und technische Hilfe</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Im Rahmen der Fazilität werden Zinsverbilligungen und technische Hilfe im Namen der Mitgliedstaaten verwaltet.</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Der für die Zahlung von Zinsverbilligungen und technische Hilfe verwendete Teil der Beiträge der Mitglieds</w:t>
      </w:r>
      <w:r>
        <w:rPr>
          <w:rFonts w:ascii="Arial" w:hAnsi="Arial"/>
          <w:noProof/>
          <w:sz w:val="16"/>
        </w:rPr>
        <w:t>taaten wird nicht unter „Beiträge der Geber“, sondern unter „Verbindlichkeiten gegenüber Dritten“ verbucht.  Nach Auszahlungen aus der Fazilität an Endempfänger verringert sich dementsprechend der unter „Verbindlichkeiten gegenüber Dritten“ ausgewiesene Be</w:t>
      </w:r>
      <w:r>
        <w:rPr>
          <w:rFonts w:ascii="Arial" w:hAnsi="Arial"/>
          <w:noProof/>
          <w:sz w:val="16"/>
        </w:rPr>
        <w:t>trag.</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Nicht vollständig ausgeschöpfte Beiträge für Zinsverbilligungen und technische Hilfe werden als Beiträge zur Fazilität umgebucht.</w:t>
      </w:r>
    </w:p>
    <w:p w:rsidR="001609E3" w:rsidRDefault="001609E3">
      <w:pPr>
        <w:pStyle w:val="Normal2"/>
        <w:suppressAutoHyphens w:val="0"/>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 xml:space="preserve"> </w:t>
      </w:r>
      <w:r>
        <w:rPr>
          <w:noProof/>
        </w:rPr>
        <w:tab/>
      </w:r>
      <w:r>
        <w:rPr>
          <w:noProof/>
          <w:sz w:val="16"/>
        </w:rPr>
        <w:t>Zinserträge aus Zahlungsmitteln und Zahlungsmitteläquivalenten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Die Zinserträge aus Zahlungsmitteln und </w:t>
      </w:r>
      <w:r>
        <w:rPr>
          <w:rFonts w:ascii="Arial" w:hAnsi="Arial"/>
          <w:noProof/>
          <w:sz w:val="16"/>
        </w:rPr>
        <w:t>Zahlungsmitteläquivalenten werden in der Gesamtergebnisrechnung der Fazilität periodengerecht erfasst.</w:t>
      </w:r>
    </w:p>
    <w:p w:rsidR="001609E3" w:rsidRDefault="001609E3">
      <w:pPr>
        <w:pStyle w:val="Normal2"/>
        <w:suppressAutoHyphens w:val="0"/>
        <w:rPr>
          <w:rFonts w:ascii="Arial" w:hAnsi="Arial"/>
          <w:noProof/>
          <w:sz w:val="16"/>
          <w:szCs w:val="16"/>
        </w:rPr>
      </w:pPr>
    </w:p>
    <w:p w:rsidR="001609E3" w:rsidRDefault="00E45B63">
      <w:pPr>
        <w:pStyle w:val="Title1110"/>
        <w:numPr>
          <w:ilvl w:val="2"/>
          <w:numId w:val="27"/>
        </w:numPr>
        <w:spacing w:before="60" w:after="60"/>
        <w:rPr>
          <w:noProof/>
          <w:sz w:val="16"/>
          <w:szCs w:val="16"/>
        </w:rPr>
      </w:pPr>
      <w:r>
        <w:rPr>
          <w:noProof/>
          <w:sz w:val="16"/>
        </w:rPr>
        <w:t>Gebühren, Provisionen und Dividenden</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Bei Gebühren für Dienstleistungen, die über einen gewissen Zeitraum hinweg erbracht werden, erfolgt die Verbuchung</w:t>
      </w:r>
      <w:r>
        <w:rPr>
          <w:rFonts w:ascii="Arial" w:hAnsi="Arial"/>
          <w:noProof/>
          <w:sz w:val="16"/>
        </w:rPr>
        <w:t xml:space="preserve"> als Ertrag zu dem Zeitpunkt, zu dem die Dienstleistungen erbracht werden; Gebühren, die für eine maßgebliche Leistung erhoben werden, werden hingegen als Ertrag erfasst, wenn die maßgebliche Leistung abgeschlossen wurde.  Diese Gebühren werden in der Gesa</w:t>
      </w:r>
      <w:r>
        <w:rPr>
          <w:rFonts w:ascii="Arial" w:hAnsi="Arial"/>
          <w:noProof/>
          <w:sz w:val="16"/>
        </w:rPr>
        <w:t xml:space="preserve">mtergebnisrechnung unter „Erträge aus Gebühren und Provisionen“ ausgewiesen. </w:t>
      </w:r>
    </w:p>
    <w:p w:rsidR="001609E3" w:rsidRDefault="001609E3">
      <w:pPr>
        <w:pStyle w:val="Normal2"/>
        <w:spacing w:before="60" w:after="60"/>
        <w:jc w:val="both"/>
        <w:rPr>
          <w:rFonts w:ascii="Arial" w:hAnsi="Arial"/>
          <w:noProof/>
          <w:sz w:val="16"/>
          <w:szCs w:val="16"/>
        </w:rPr>
      </w:pPr>
    </w:p>
    <w:p w:rsidR="001609E3" w:rsidRDefault="00E45B63">
      <w:pPr>
        <w:pStyle w:val="Normal2"/>
        <w:spacing w:before="60" w:after="60"/>
        <w:jc w:val="both"/>
        <w:rPr>
          <w:rFonts w:ascii="Arial" w:hAnsi="Arial"/>
          <w:noProof/>
          <w:sz w:val="16"/>
          <w:szCs w:val="16"/>
        </w:rPr>
      </w:pPr>
      <w:r>
        <w:rPr>
          <w:rFonts w:ascii="Arial" w:hAnsi="Arial"/>
          <w:noProof/>
          <w:sz w:val="16"/>
        </w:rPr>
        <w:t xml:space="preserve">Dividenden auf zur Veräußerung verfügbare finanzielle Vermögenswerte werden erfasst, wenn sie eingehen, und in der Gesamtergebnisrechnung unter „Realisierte Gewinne aus zur </w:t>
      </w:r>
      <w:r>
        <w:rPr>
          <w:rFonts w:ascii="Arial" w:hAnsi="Arial"/>
          <w:noProof/>
          <w:sz w:val="16"/>
        </w:rPr>
        <w:t>Veräußerung verfügbaren finanziellen Vermögenswerten (netto)“ ausgewiesen.</w:t>
      </w:r>
    </w:p>
    <w:p w:rsidR="001609E3" w:rsidRDefault="001609E3">
      <w:pPr>
        <w:pStyle w:val="Normal2"/>
        <w:spacing w:before="60" w:after="60"/>
        <w:jc w:val="both"/>
        <w:rPr>
          <w:rFonts w:ascii="Arial" w:hAnsi="Arial"/>
          <w:noProof/>
          <w:sz w:val="16"/>
          <w:szCs w:val="16"/>
        </w:rPr>
      </w:pPr>
    </w:p>
    <w:p w:rsidR="001609E3" w:rsidRDefault="00E45B63">
      <w:pPr>
        <w:pStyle w:val="Title1110"/>
        <w:numPr>
          <w:ilvl w:val="1"/>
          <w:numId w:val="27"/>
        </w:numPr>
        <w:spacing w:before="60" w:after="60"/>
        <w:rPr>
          <w:noProof/>
          <w:sz w:val="16"/>
          <w:szCs w:val="16"/>
        </w:rPr>
      </w:pPr>
      <w:r>
        <w:rPr>
          <w:noProof/>
          <w:sz w:val="16"/>
        </w:rPr>
        <w:t>Besteuerung</w:t>
      </w:r>
    </w:p>
    <w:p w:rsidR="001609E3" w:rsidRDefault="001609E3">
      <w:pPr>
        <w:pStyle w:val="Normal2"/>
        <w:spacing w:before="60" w:after="60"/>
        <w:jc w:val="both"/>
        <w:rPr>
          <w:rFonts w:ascii="Arial" w:hAnsi="Arial"/>
          <w:noProof/>
          <w:sz w:val="16"/>
          <w:szCs w:val="16"/>
        </w:rPr>
      </w:pPr>
    </w:p>
    <w:p w:rsidR="001609E3" w:rsidRDefault="00E45B63">
      <w:pPr>
        <w:pStyle w:val="xx0"/>
        <w:spacing w:before="60" w:after="60"/>
        <w:rPr>
          <w:rFonts w:ascii="Arial" w:hAnsi="Arial"/>
          <w:noProof/>
          <w:sz w:val="16"/>
          <w:szCs w:val="16"/>
        </w:rPr>
      </w:pPr>
      <w:r>
        <w:rPr>
          <w:rFonts w:ascii="Arial" w:hAnsi="Arial"/>
          <w:noProof/>
          <w:sz w:val="16"/>
        </w:rPr>
        <w:t>Nach dem Protokoll über die Vorrechte und Befreiungen der Europäischen Union, das einen Anhang zu dem Vertrag über die Europäische Union und dem Vertrag über die Arbei</w:t>
      </w:r>
      <w:r>
        <w:rPr>
          <w:rFonts w:ascii="Arial" w:hAnsi="Arial"/>
          <w:noProof/>
          <w:sz w:val="16"/>
        </w:rPr>
        <w:t>tsweise der Europäischen Union bildet, sind die Guthaben, Einkünfte und sonstigen Vermögensgegenstände der Organe der Europäischen Union von jeder direkten Steuer befreit.</w:t>
      </w:r>
    </w:p>
    <w:p w:rsidR="001609E3" w:rsidRDefault="00E45B63">
      <w:pPr>
        <w:pStyle w:val="Notes2"/>
        <w:pageBreakBefore/>
        <w:numPr>
          <w:ilvl w:val="0"/>
          <w:numId w:val="0"/>
        </w:numPr>
        <w:ind w:left="432" w:hanging="432"/>
        <w:rPr>
          <w:noProof/>
        </w:rPr>
      </w:pPr>
      <w:r>
        <w:rPr>
          <w:noProof/>
        </w:rPr>
        <w:t xml:space="preserve">3 </w:t>
      </w:r>
      <w:r>
        <w:rPr>
          <w:noProof/>
        </w:rPr>
        <w:tab/>
        <w:t>Risikomanagement</w:t>
      </w:r>
    </w:p>
    <w:p w:rsidR="001609E3" w:rsidRDefault="001609E3">
      <w:pPr>
        <w:pStyle w:val="Title12"/>
        <w:numPr>
          <w:ilvl w:val="0"/>
          <w:numId w:val="0"/>
        </w:numPr>
        <w:spacing w:before="60" w:after="60"/>
        <w:rPr>
          <w:noProof/>
          <w:sz w:val="16"/>
          <w:szCs w:val="16"/>
        </w:rPr>
      </w:pPr>
    </w:p>
    <w:p w:rsidR="001609E3" w:rsidRDefault="00E45B63">
      <w:pPr>
        <w:pStyle w:val="Notes2"/>
        <w:numPr>
          <w:ilvl w:val="0"/>
          <w:numId w:val="0"/>
        </w:numPr>
        <w:tabs>
          <w:tab w:val="clear" w:pos="4320"/>
          <w:tab w:val="clear" w:pos="8640"/>
          <w:tab w:val="right" w:pos="-2700"/>
        </w:tabs>
        <w:spacing w:before="60" w:after="60"/>
        <w:rPr>
          <w:b w:val="0"/>
          <w:iCs/>
          <w:noProof/>
          <w:sz w:val="16"/>
          <w:szCs w:val="16"/>
        </w:rPr>
      </w:pPr>
      <w:r>
        <w:rPr>
          <w:b w:val="0"/>
          <w:noProof/>
          <w:sz w:val="16"/>
        </w:rPr>
        <w:t>Im Folgenden werden die Kredit- und Finanzrisiken der Fazilität</w:t>
      </w:r>
      <w:r>
        <w:rPr>
          <w:b w:val="0"/>
          <w:noProof/>
          <w:sz w:val="16"/>
        </w:rPr>
        <w:t xml:space="preserve"> sowie deren Management und Überwachung erläutert, insbesondere die primären Risiken im Zusammenhang mit der Verwendung von Finanzinstrumenten. Darunter fallen:</w:t>
      </w:r>
    </w:p>
    <w:p w:rsidR="001609E3" w:rsidRDefault="001609E3">
      <w:pPr>
        <w:pStyle w:val="Notes2"/>
        <w:numPr>
          <w:ilvl w:val="0"/>
          <w:numId w:val="0"/>
        </w:numPr>
        <w:tabs>
          <w:tab w:val="clear" w:pos="4320"/>
          <w:tab w:val="clear" w:pos="8640"/>
          <w:tab w:val="right" w:pos="-2700"/>
        </w:tabs>
        <w:spacing w:before="60" w:after="60"/>
        <w:rPr>
          <w:b w:val="0"/>
          <w:iCs/>
          <w:noProof/>
          <w:sz w:val="16"/>
          <w:szCs w:val="16"/>
        </w:rPr>
      </w:pPr>
    </w:p>
    <w:p w:rsidR="001609E3" w:rsidRDefault="00E45B63">
      <w:pPr>
        <w:pStyle w:val="Notes2"/>
        <w:numPr>
          <w:ilvl w:val="0"/>
          <w:numId w:val="40"/>
        </w:numPr>
        <w:spacing w:before="60" w:after="60"/>
        <w:rPr>
          <w:b w:val="0"/>
          <w:noProof/>
          <w:sz w:val="16"/>
          <w:szCs w:val="16"/>
        </w:rPr>
      </w:pPr>
      <w:r>
        <w:rPr>
          <w:b w:val="0"/>
          <w:noProof/>
          <w:sz w:val="16"/>
        </w:rPr>
        <w:t>das Kreditrisiko – das Risiko eines Verlustes aufgrund eines Ausfalls des Kunden oder der Gege</w:t>
      </w:r>
      <w:r>
        <w:rPr>
          <w:b w:val="0"/>
          <w:noProof/>
          <w:sz w:val="16"/>
        </w:rPr>
        <w:t>npartei, das bei sämtlichen Arten von Kreditengagements entsteht, einschließlich bei der Abwicklung;</w:t>
      </w:r>
    </w:p>
    <w:p w:rsidR="001609E3" w:rsidRDefault="00E45B63">
      <w:pPr>
        <w:pStyle w:val="Notes2"/>
        <w:numPr>
          <w:ilvl w:val="0"/>
          <w:numId w:val="40"/>
        </w:numPr>
        <w:spacing w:before="60" w:after="60"/>
        <w:rPr>
          <w:b w:val="0"/>
          <w:noProof/>
          <w:sz w:val="16"/>
          <w:szCs w:val="16"/>
        </w:rPr>
      </w:pPr>
      <w:r>
        <w:rPr>
          <w:b w:val="0"/>
          <w:noProof/>
          <w:sz w:val="16"/>
        </w:rPr>
        <w:t>das Liquiditätsrisiko – das Risiko, dass ein Rechtssubjekt die Aufstockung von Aktiva nicht finanzieren und seinen Verpflichtungen bei Fälligkeit nicht nac</w:t>
      </w:r>
      <w:r>
        <w:rPr>
          <w:b w:val="0"/>
          <w:noProof/>
          <w:sz w:val="16"/>
        </w:rPr>
        <w:t>hkommen kann, ohne dass inakzeptable Verluste entstehen;</w:t>
      </w:r>
    </w:p>
    <w:p w:rsidR="001609E3" w:rsidRDefault="00E45B63">
      <w:pPr>
        <w:pStyle w:val="Notes2"/>
        <w:numPr>
          <w:ilvl w:val="0"/>
          <w:numId w:val="40"/>
        </w:numPr>
        <w:spacing w:before="60" w:after="60"/>
        <w:rPr>
          <w:noProof/>
          <w:sz w:val="16"/>
          <w:szCs w:val="16"/>
        </w:rPr>
      </w:pPr>
      <w:r>
        <w:rPr>
          <w:b w:val="0"/>
          <w:noProof/>
          <w:sz w:val="16"/>
        </w:rPr>
        <w:t>das Marktrisiko – das Risiko, dass die Einnahmen eines Rechtssubjekts oder der Wert der von ihm gehaltenen Finanzinstrumente aufgrund sich verändernder Marktpreise, wie Aktienkurse oder Wechselkurse,</w:t>
      </w:r>
      <w:r>
        <w:rPr>
          <w:b w:val="0"/>
          <w:noProof/>
          <w:sz w:val="16"/>
        </w:rPr>
        <w:t xml:space="preserve"> und Zinssätze, Schwankungen ausgesetzt sind.</w:t>
      </w:r>
    </w:p>
    <w:p w:rsidR="001609E3" w:rsidRDefault="001609E3">
      <w:pPr>
        <w:pStyle w:val="Notes2"/>
        <w:numPr>
          <w:ilvl w:val="0"/>
          <w:numId w:val="0"/>
        </w:numPr>
        <w:spacing w:before="60" w:after="60"/>
        <w:rPr>
          <w:b w:val="0"/>
          <w:noProof/>
          <w:sz w:val="16"/>
          <w:szCs w:val="16"/>
        </w:rPr>
      </w:pPr>
    </w:p>
    <w:p w:rsidR="001609E3" w:rsidRDefault="00E45B63">
      <w:pPr>
        <w:pStyle w:val="Title112"/>
        <w:spacing w:before="60" w:after="60"/>
        <w:rPr>
          <w:noProof/>
          <w:sz w:val="16"/>
          <w:szCs w:val="16"/>
        </w:rPr>
      </w:pPr>
      <w:r>
        <w:rPr>
          <w:noProof/>
          <w:sz w:val="16"/>
        </w:rPr>
        <w:t>Organisation des Risikomanagements</w:t>
      </w:r>
    </w:p>
    <w:p w:rsidR="001609E3" w:rsidRDefault="001609E3">
      <w:pPr>
        <w:pStyle w:val="Title112"/>
        <w:numPr>
          <w:ilvl w:val="0"/>
          <w:numId w:val="0"/>
        </w:numPr>
        <w:spacing w:before="60" w:after="60"/>
        <w:jc w:val="center"/>
        <w:rPr>
          <w:noProof/>
          <w:sz w:val="16"/>
          <w:szCs w:val="16"/>
        </w:rPr>
      </w:pPr>
    </w:p>
    <w:p w:rsidR="001609E3" w:rsidRDefault="00E45B63">
      <w:pPr>
        <w:pStyle w:val="Notes2"/>
        <w:numPr>
          <w:ilvl w:val="0"/>
          <w:numId w:val="0"/>
        </w:numPr>
        <w:tabs>
          <w:tab w:val="clear" w:pos="4320"/>
          <w:tab w:val="clear" w:pos="8640"/>
          <w:tab w:val="right" w:pos="-2700"/>
        </w:tabs>
        <w:spacing w:before="60" w:after="60"/>
        <w:rPr>
          <w:b w:val="0"/>
          <w:noProof/>
          <w:sz w:val="16"/>
          <w:szCs w:val="16"/>
        </w:rPr>
      </w:pPr>
      <w:r>
        <w:rPr>
          <w:b w:val="0"/>
          <w:noProof/>
          <w:sz w:val="16"/>
        </w:rPr>
        <w:t>Die Europäische Investitionsbank passt ihr Risikomanagement laufend an.</w:t>
      </w:r>
    </w:p>
    <w:p w:rsidR="001609E3" w:rsidRDefault="001609E3">
      <w:pPr>
        <w:pStyle w:val="Title12"/>
        <w:numPr>
          <w:ilvl w:val="0"/>
          <w:numId w:val="0"/>
        </w:numPr>
        <w:spacing w:before="60" w:after="60"/>
        <w:rPr>
          <w:noProof/>
          <w:sz w:val="16"/>
          <w:szCs w:val="16"/>
        </w:rPr>
      </w:pPr>
    </w:p>
    <w:p w:rsidR="001609E3" w:rsidRDefault="00E45B63">
      <w:pPr>
        <w:pStyle w:val="Title12"/>
        <w:numPr>
          <w:ilvl w:val="0"/>
          <w:numId w:val="0"/>
        </w:numPr>
        <w:spacing w:before="60" w:after="60"/>
        <w:rPr>
          <w:b w:val="0"/>
          <w:noProof/>
          <w:sz w:val="16"/>
          <w:szCs w:val="16"/>
        </w:rPr>
      </w:pPr>
      <w:r>
        <w:rPr>
          <w:b w:val="0"/>
          <w:noProof/>
          <w:sz w:val="16"/>
        </w:rPr>
        <w:t xml:space="preserve">Als unabhängige Instanz ermittelt, beurteilt und überwacht die Direktion Risikomanagement der EIB </w:t>
      </w:r>
      <w:r>
        <w:rPr>
          <w:b w:val="0"/>
          <w:noProof/>
          <w:sz w:val="16"/>
        </w:rPr>
        <w:t>die Risiken, denen die Fazilität ausgesetzt ist, und erstattet darüber Bericht.  Das Risikomanagement ist unabhängig von den operativen Abteilungen und arbeitet in einem Rahmen, der die Trennung der Aufgaben gewährleistet.  Auf EIB-Ebene berichtet der Gene</w:t>
      </w:r>
      <w:r>
        <w:rPr>
          <w:b w:val="0"/>
          <w:noProof/>
          <w:sz w:val="16"/>
        </w:rPr>
        <w:t>raldirektor für Risikomanagement an den zuständigen Vizepräsidenten für Risikomanagement.  Der zuständige Vizepräsident für Risikomanagement überwacht auch die Risikoberichterstattung an das Direktorium und den Verwaltungsrat der Europäischen Investitionsb</w:t>
      </w:r>
      <w:r>
        <w:rPr>
          <w:b w:val="0"/>
          <w:noProof/>
          <w:sz w:val="16"/>
        </w:rPr>
        <w:t>ank.</w:t>
      </w:r>
    </w:p>
    <w:p w:rsidR="001609E3" w:rsidRDefault="001609E3">
      <w:pPr>
        <w:pStyle w:val="Normal3"/>
        <w:tabs>
          <w:tab w:val="left" w:pos="1065"/>
        </w:tabs>
        <w:spacing w:before="60" w:after="60"/>
        <w:jc w:val="both"/>
        <w:rPr>
          <w:rFonts w:ascii="Arial" w:hAnsi="Arial" w:cs="Arial"/>
          <w:iCs/>
          <w:noProof/>
          <w:sz w:val="16"/>
          <w:szCs w:val="16"/>
        </w:rPr>
      </w:pPr>
    </w:p>
    <w:p w:rsidR="001609E3" w:rsidRDefault="00E45B63">
      <w:pPr>
        <w:pStyle w:val="Title113"/>
        <w:rPr>
          <w:noProof/>
          <w:sz w:val="16"/>
          <w:szCs w:val="16"/>
        </w:rPr>
      </w:pPr>
      <w:r>
        <w:rPr>
          <w:noProof/>
          <w:sz w:val="16"/>
        </w:rPr>
        <w:t>Kreditrisiko</w:t>
      </w:r>
    </w:p>
    <w:p w:rsidR="001609E3" w:rsidRDefault="001609E3">
      <w:pPr>
        <w:pStyle w:val="Title113"/>
        <w:numPr>
          <w:ilvl w:val="0"/>
          <w:numId w:val="0"/>
        </w:numPr>
        <w:spacing w:before="60" w:after="60"/>
        <w:rPr>
          <w:noProof/>
          <w:sz w:val="16"/>
          <w:szCs w:val="16"/>
        </w:rPr>
      </w:pPr>
    </w:p>
    <w:p w:rsidR="001609E3" w:rsidRDefault="00E45B63">
      <w:pPr>
        <w:pStyle w:val="Normal4"/>
        <w:spacing w:before="60" w:after="60"/>
        <w:jc w:val="both"/>
        <w:rPr>
          <w:rFonts w:ascii="Arial" w:hAnsi="Arial"/>
          <w:noProof/>
          <w:sz w:val="16"/>
          <w:szCs w:val="16"/>
        </w:rPr>
      </w:pPr>
      <w:r>
        <w:rPr>
          <w:rFonts w:ascii="Arial" w:hAnsi="Arial"/>
          <w:noProof/>
          <w:sz w:val="16"/>
        </w:rPr>
        <w:t>Das Kreditrisiko entspricht dem potenziellen Verlust, der aufgrund eines Ausfalls des Kunden oder der Gegenpartei und bei sämtlichen Arten von Kreditengagement entsteht, einschließlich bei der Abwicklung.</w:t>
      </w:r>
    </w:p>
    <w:p w:rsidR="001609E3" w:rsidRDefault="001609E3">
      <w:pPr>
        <w:pStyle w:val="Normal4"/>
        <w:spacing w:before="60" w:after="60"/>
        <w:jc w:val="both"/>
        <w:rPr>
          <w:rFonts w:ascii="Arial" w:hAnsi="Arial"/>
          <w:noProof/>
          <w:sz w:val="16"/>
          <w:szCs w:val="16"/>
        </w:rPr>
      </w:pPr>
    </w:p>
    <w:p w:rsidR="001609E3" w:rsidRDefault="00E45B63">
      <w:pPr>
        <w:pStyle w:val="Title113"/>
        <w:numPr>
          <w:ilvl w:val="2"/>
          <w:numId w:val="41"/>
        </w:numPr>
        <w:rPr>
          <w:rStyle w:val="Title111Char1"/>
          <w:noProof/>
          <w:sz w:val="16"/>
          <w:szCs w:val="16"/>
        </w:rPr>
      </w:pPr>
      <w:r>
        <w:rPr>
          <w:rStyle w:val="Title111Char1"/>
          <w:noProof/>
          <w:sz w:val="16"/>
        </w:rPr>
        <w:t>Kreditrisikopolitik</w:t>
      </w:r>
    </w:p>
    <w:p w:rsidR="001609E3" w:rsidRDefault="001609E3">
      <w:pPr>
        <w:pStyle w:val="Normal4"/>
        <w:spacing w:before="60" w:after="60"/>
        <w:jc w:val="both"/>
        <w:rPr>
          <w:rFonts w:ascii="Arial" w:hAnsi="Arial"/>
          <w:noProof/>
          <w:sz w:val="16"/>
          <w:szCs w:val="16"/>
        </w:rPr>
      </w:pPr>
    </w:p>
    <w:p w:rsidR="001609E3" w:rsidRDefault="00E45B63">
      <w:pPr>
        <w:pStyle w:val="Normal4"/>
        <w:autoSpaceDE w:val="0"/>
        <w:autoSpaceDN w:val="0"/>
        <w:adjustRightInd w:val="0"/>
        <w:spacing w:before="60" w:after="60"/>
        <w:jc w:val="both"/>
        <w:rPr>
          <w:rFonts w:ascii="Arial" w:hAnsi="Arial"/>
          <w:noProof/>
          <w:sz w:val="16"/>
          <w:szCs w:val="16"/>
        </w:rPr>
      </w:pPr>
      <w:r>
        <w:rPr>
          <w:rFonts w:ascii="Arial" w:hAnsi="Arial"/>
          <w:noProof/>
          <w:sz w:val="16"/>
        </w:rPr>
        <w:t>Bei der K</w:t>
      </w:r>
      <w:r>
        <w:rPr>
          <w:rFonts w:ascii="Arial" w:hAnsi="Arial"/>
          <w:noProof/>
          <w:sz w:val="16"/>
        </w:rPr>
        <w:t>reditanalyse der Kreditnehmer bewertet die EIB das Kreditrisiko und den erwarteten Verlust im Hinblick auf die Quantifizierung und Einpreisung des Risikos. Die EIB hat eine interne Ratingmethode (IRM) entwickelt, um interne Ratings für ihre kreditrelevante</w:t>
      </w:r>
      <w:r>
        <w:rPr>
          <w:rFonts w:ascii="Arial" w:hAnsi="Arial"/>
          <w:noProof/>
          <w:sz w:val="16"/>
        </w:rPr>
        <w:t>n Kreditnehmer/Garantiegeber zu vergeben. Die Methode basiert auf einem für sämtliche wichtigen Arten von Gegenparteien (z. B. Unternehmen, Banken, öffentlichen Einrichtungen) maßgeschneiderten System aus Auswertungsformularen. Unter Berücksichtigung bewäh</w:t>
      </w:r>
      <w:r>
        <w:rPr>
          <w:rFonts w:ascii="Arial" w:hAnsi="Arial"/>
          <w:noProof/>
          <w:sz w:val="16"/>
        </w:rPr>
        <w:t>rter Bankpraktiken und der im Rahmen des Basler Bankenausschusses vereinbarten Regeln (Basel II) werden alle für ein Kreditprofil einer spezifischen Transaktion wesentlichen Gegenparteien anhand der IRM für die jeweilige Kategorie der Gegenpartei in intern</w:t>
      </w:r>
      <w:r>
        <w:rPr>
          <w:rFonts w:ascii="Arial" w:hAnsi="Arial"/>
          <w:noProof/>
          <w:sz w:val="16"/>
        </w:rPr>
        <w:t>e Ratingkategorien eingestuft.  Jede Gegenpartei erhält nach einer umfassenden Analyse ihres geschäftlichen und finanziellen Risikoprofils und dem Kontext des Länderrisikos ein internes Rating, aus dem das Rating der Ausfallwahrscheinlichkeit der Gegenpart</w:t>
      </w:r>
      <w:r>
        <w:rPr>
          <w:rFonts w:ascii="Arial" w:hAnsi="Arial"/>
          <w:noProof/>
          <w:sz w:val="16"/>
        </w:rPr>
        <w:t>ei in einer Fremdwährung hervorgeht.</w:t>
      </w:r>
    </w:p>
    <w:p w:rsidR="001609E3" w:rsidRDefault="001609E3">
      <w:pPr>
        <w:pStyle w:val="Normal4"/>
        <w:spacing w:before="60" w:after="60"/>
        <w:jc w:val="both"/>
        <w:rPr>
          <w:rFonts w:ascii="Arial" w:hAnsi="Arial"/>
          <w:noProof/>
          <w:sz w:val="16"/>
          <w:szCs w:val="16"/>
        </w:rPr>
      </w:pPr>
    </w:p>
    <w:p w:rsidR="001609E3" w:rsidRDefault="00E45B63">
      <w:pPr>
        <w:pStyle w:val="Normal4"/>
        <w:autoSpaceDE w:val="0"/>
        <w:autoSpaceDN w:val="0"/>
        <w:adjustRightInd w:val="0"/>
        <w:spacing w:before="60" w:after="240"/>
        <w:jc w:val="both"/>
        <w:rPr>
          <w:rFonts w:ascii="Arial" w:hAnsi="Arial"/>
          <w:noProof/>
          <w:sz w:val="16"/>
          <w:szCs w:val="16"/>
        </w:rPr>
      </w:pPr>
      <w:r>
        <w:rPr>
          <w:rFonts w:ascii="Arial" w:hAnsi="Arial"/>
          <w:noProof/>
          <w:sz w:val="16"/>
        </w:rPr>
        <w:t>Bei der Kreditbewertung von Projektfinanzierungen und anderen strukturierten Maßnahmen mit begrenztem Rückgriff werden die für den Sektor relevanten Kreditrisikoinstrumente angewendet, wobei der Schwerpunkt auf der Ver</w:t>
      </w:r>
      <w:r>
        <w:rPr>
          <w:rFonts w:ascii="Arial" w:hAnsi="Arial"/>
          <w:noProof/>
          <w:sz w:val="16"/>
        </w:rPr>
        <w:t>fügbarkeit des Kapitalflusses und der Fähigkeit zur Bedienung der Schulden liegt.  Zu diesen Instrumenten gehören die Analyse des Vertragsrahmens der Projekte, die Analyse der Gegenpartei und Kapitalflusssimulationen.  Ähnlich wie bei Unternehmen und Finan</w:t>
      </w:r>
      <w:r>
        <w:rPr>
          <w:rFonts w:ascii="Arial" w:hAnsi="Arial"/>
          <w:noProof/>
          <w:sz w:val="16"/>
        </w:rPr>
        <w:t>zinstituten wird jedem Projekt ein internes Risikorating zugewiesen.</w:t>
      </w:r>
    </w:p>
    <w:p w:rsidR="001609E3" w:rsidRDefault="00E45B63">
      <w:pPr>
        <w:pStyle w:val="Normal4"/>
        <w:autoSpaceDE w:val="0"/>
        <w:autoSpaceDN w:val="0"/>
        <w:adjustRightInd w:val="0"/>
        <w:spacing w:before="60" w:after="240"/>
        <w:jc w:val="both"/>
        <w:rPr>
          <w:rFonts w:ascii="Arial" w:hAnsi="Arial"/>
          <w:noProof/>
          <w:sz w:val="16"/>
          <w:szCs w:val="16"/>
        </w:rPr>
      </w:pPr>
      <w:r>
        <w:rPr>
          <w:rFonts w:ascii="Arial" w:hAnsi="Arial"/>
          <w:noProof/>
          <w:sz w:val="16"/>
        </w:rPr>
        <w:t xml:space="preserve">Alle internen Ratings werden über die Kreditlaufzeit hinweg überwacht und regelmäßig aktualisiert. </w:t>
      </w:r>
    </w:p>
    <w:p w:rsidR="001609E3" w:rsidRDefault="00E45B63">
      <w:pPr>
        <w:pStyle w:val="Normal4"/>
        <w:autoSpaceDE w:val="0"/>
        <w:autoSpaceDN w:val="0"/>
        <w:adjustRightInd w:val="0"/>
        <w:spacing w:before="60" w:after="60"/>
        <w:jc w:val="both"/>
        <w:rPr>
          <w:rFonts w:ascii="Arial" w:hAnsi="Arial"/>
          <w:noProof/>
          <w:sz w:val="16"/>
          <w:szCs w:val="16"/>
        </w:rPr>
      </w:pPr>
      <w:r>
        <w:rPr>
          <w:rFonts w:ascii="Arial" w:hAnsi="Arial"/>
          <w:noProof/>
          <w:sz w:val="16"/>
        </w:rPr>
        <w:t xml:space="preserve">Alle nicht staatlichen (oder nicht staatlich garantierten/assimilierten) Tätigkeiten </w:t>
      </w:r>
      <w:r>
        <w:rPr>
          <w:rFonts w:ascii="Arial" w:hAnsi="Arial"/>
          <w:noProof/>
          <w:sz w:val="16"/>
        </w:rPr>
        <w:t>unterliegen spezifischen Größenbegrenzungen hinsichtlich der Transaktion und der Gegenpartei. Die Begrenzungen hinsichtlich der Gegenparteien werden ggf. auf das konsolidierte Gruppenrisiko festgesetzt.  Derartige Begrenzungen spiegeln üblicherweise die Hö</w:t>
      </w:r>
      <w:r>
        <w:rPr>
          <w:rFonts w:ascii="Arial" w:hAnsi="Arial"/>
          <w:noProof/>
          <w:sz w:val="16"/>
        </w:rPr>
        <w:t>he des Eigenkapitals der Gegenparteien wider.</w:t>
      </w:r>
    </w:p>
    <w:p w:rsidR="001609E3" w:rsidRDefault="001609E3">
      <w:pPr>
        <w:pStyle w:val="Normal4"/>
        <w:autoSpaceDE w:val="0"/>
        <w:autoSpaceDN w:val="0"/>
        <w:adjustRightInd w:val="0"/>
        <w:spacing w:before="60" w:after="60"/>
        <w:jc w:val="both"/>
        <w:rPr>
          <w:rFonts w:ascii="Arial" w:hAnsi="Arial" w:cs="Arial"/>
          <w:iCs/>
          <w:noProof/>
          <w:sz w:val="16"/>
          <w:szCs w:val="16"/>
        </w:rPr>
      </w:pPr>
    </w:p>
    <w:p w:rsidR="001609E3" w:rsidRDefault="00E45B63">
      <w:pPr>
        <w:pStyle w:val="Normal4"/>
        <w:autoSpaceDE w:val="0"/>
        <w:autoSpaceDN w:val="0"/>
        <w:adjustRightInd w:val="0"/>
        <w:spacing w:before="60" w:after="60"/>
        <w:jc w:val="both"/>
        <w:rPr>
          <w:rFonts w:ascii="Arial" w:hAnsi="Arial" w:cs="Arial"/>
          <w:iCs/>
          <w:noProof/>
          <w:sz w:val="16"/>
          <w:szCs w:val="16"/>
        </w:rPr>
      </w:pPr>
      <w:r>
        <w:rPr>
          <w:rFonts w:ascii="Arial" w:hAnsi="Arial"/>
          <w:noProof/>
          <w:sz w:val="16"/>
        </w:rPr>
        <w:t>Um die Kreditrisiken zu verringern, verwendet die EIB ggf. fallweise verschiedene Instrumente zur Kreditverbesserung:</w:t>
      </w:r>
    </w:p>
    <w:p w:rsidR="001609E3" w:rsidRDefault="001609E3">
      <w:pPr>
        <w:pStyle w:val="Normal4"/>
        <w:tabs>
          <w:tab w:val="left" w:pos="1065"/>
        </w:tabs>
        <w:suppressAutoHyphens w:val="0"/>
        <w:autoSpaceDE w:val="0"/>
        <w:autoSpaceDN w:val="0"/>
        <w:adjustRightInd w:val="0"/>
        <w:spacing w:before="60" w:after="60"/>
        <w:rPr>
          <w:rFonts w:ascii="Arial" w:hAnsi="Arial" w:cs="Arial"/>
          <w:iCs/>
          <w:noProof/>
          <w:sz w:val="16"/>
          <w:szCs w:val="16"/>
        </w:rPr>
      </w:pPr>
    </w:p>
    <w:p w:rsidR="001609E3" w:rsidRDefault="00E45B63">
      <w:pPr>
        <w:pStyle w:val="Normal4"/>
        <w:numPr>
          <w:ilvl w:val="0"/>
          <w:numId w:val="43"/>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noProof/>
          <w:sz w:val="16"/>
        </w:rPr>
        <w:t>auf die Gegenpartei bezogene oder projektbezogene Sicherheiten (z. B. Pfandrecht an den An</w:t>
      </w:r>
      <w:r>
        <w:rPr>
          <w:rFonts w:ascii="Arial" w:hAnsi="Arial"/>
          <w:noProof/>
          <w:sz w:val="16"/>
        </w:rPr>
        <w:t>teilen; Pfandrecht an den Vermögenswerten; Abtretung von Rechten; Pfandrecht an den Konten); oder/und</w:t>
      </w:r>
    </w:p>
    <w:p w:rsidR="001609E3" w:rsidRDefault="00E45B63">
      <w:pPr>
        <w:pStyle w:val="Normal4"/>
        <w:numPr>
          <w:ilvl w:val="0"/>
          <w:numId w:val="43"/>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noProof/>
          <w:sz w:val="16"/>
        </w:rPr>
        <w:t xml:space="preserve">Garantien, die normalerweise von einem Träger des finanzierten Projekts gestellt werden (z. B. Fertigstellungsgarantien, auf erste Anforderung zu </w:t>
      </w:r>
      <w:r>
        <w:rPr>
          <w:rFonts w:ascii="Arial" w:hAnsi="Arial"/>
          <w:noProof/>
          <w:sz w:val="16"/>
        </w:rPr>
        <w:t>erfüllende Garantien), oder Bankgarantien.</w:t>
      </w:r>
    </w:p>
    <w:p w:rsidR="001609E3" w:rsidRDefault="001609E3">
      <w:pPr>
        <w:pStyle w:val="Normal4"/>
        <w:tabs>
          <w:tab w:val="left" w:pos="1065"/>
        </w:tabs>
        <w:spacing w:before="60" w:after="60"/>
        <w:jc w:val="both"/>
        <w:rPr>
          <w:rFonts w:ascii="Arial" w:hAnsi="Arial" w:cs="Arial"/>
          <w:iCs/>
          <w:noProof/>
          <w:sz w:val="16"/>
          <w:szCs w:val="16"/>
        </w:rPr>
      </w:pPr>
    </w:p>
    <w:p w:rsidR="001609E3" w:rsidRDefault="00E45B63">
      <w:pPr>
        <w:pStyle w:val="Normal4"/>
        <w:tabs>
          <w:tab w:val="left" w:pos="1065"/>
        </w:tabs>
        <w:spacing w:before="60" w:after="60"/>
        <w:jc w:val="both"/>
        <w:rPr>
          <w:rFonts w:ascii="Arial" w:hAnsi="Arial" w:cs="Arial"/>
          <w:iCs/>
          <w:noProof/>
          <w:sz w:val="16"/>
          <w:szCs w:val="16"/>
        </w:rPr>
      </w:pPr>
      <w:r>
        <w:rPr>
          <w:rFonts w:ascii="Arial" w:hAnsi="Arial"/>
          <w:noProof/>
          <w:sz w:val="16"/>
        </w:rPr>
        <w:t>Die Fazilität verwendet zur Verringerung des Kreditrisikos keine Kreditderivate.</w:t>
      </w:r>
    </w:p>
    <w:p w:rsidR="001609E3" w:rsidRDefault="00E45B63">
      <w:pPr>
        <w:pStyle w:val="Title3210"/>
        <w:pageBreakBefore/>
        <w:ind w:hanging="822"/>
        <w:rPr>
          <w:b w:val="0"/>
          <w:noProof/>
          <w:sz w:val="16"/>
          <w:szCs w:val="16"/>
        </w:rPr>
      </w:pPr>
      <w:r>
        <w:rPr>
          <w:b w:val="0"/>
          <w:noProof/>
          <w:sz w:val="16"/>
        </w:rPr>
        <w:t>Maximales Kreditrisiko ohne Berücksichtigung gehaltener Sicherheiten und sonstiger Kreditverbesserungen.</w:t>
      </w:r>
    </w:p>
    <w:p w:rsidR="001609E3" w:rsidRDefault="001609E3">
      <w:pPr>
        <w:pStyle w:val="Notes4"/>
        <w:numPr>
          <w:ilvl w:val="0"/>
          <w:numId w:val="0"/>
        </w:numPr>
        <w:tabs>
          <w:tab w:val="clear" w:pos="4320"/>
          <w:tab w:val="clear" w:pos="8640"/>
          <w:tab w:val="right" w:pos="-2700"/>
        </w:tabs>
        <w:spacing w:before="60" w:after="60"/>
        <w:ind w:left="431" w:hanging="431"/>
        <w:rPr>
          <w:noProof/>
          <w:sz w:val="16"/>
          <w:szCs w:val="16"/>
        </w:rPr>
      </w:pPr>
    </w:p>
    <w:p w:rsidR="001609E3" w:rsidRDefault="00E45B63">
      <w:pPr>
        <w:pStyle w:val="Notes4"/>
        <w:numPr>
          <w:ilvl w:val="0"/>
          <w:numId w:val="0"/>
        </w:numPr>
        <w:tabs>
          <w:tab w:val="clear" w:pos="4320"/>
          <w:tab w:val="clear" w:pos="8640"/>
          <w:tab w:val="right" w:pos="-2700"/>
          <w:tab w:val="right" w:pos="720"/>
        </w:tabs>
        <w:spacing w:before="60" w:after="60"/>
        <w:rPr>
          <w:b w:val="0"/>
          <w:iCs/>
          <w:noProof/>
          <w:sz w:val="16"/>
          <w:szCs w:val="16"/>
        </w:rPr>
      </w:pPr>
      <w:r>
        <w:rPr>
          <w:b w:val="0"/>
          <w:noProof/>
          <w:sz w:val="16"/>
        </w:rPr>
        <w:t>Die Tabelle zeigt das max</w:t>
      </w:r>
      <w:r>
        <w:rPr>
          <w:b w:val="0"/>
          <w:noProof/>
          <w:sz w:val="16"/>
        </w:rPr>
        <w:t>imale Kreditrisiko der verschiedenen Bilanzposten, einschließlich der Derivate.  Angegeben wird jeweils der Bruttowert vor dem Ausgleich des Risikos durch Besicherungsvereinbarungen.</w:t>
      </w:r>
    </w:p>
    <w:p w:rsidR="001609E3" w:rsidRDefault="001609E3">
      <w:pPr>
        <w:pStyle w:val="Normal5"/>
        <w:suppressAutoHyphens w:val="0"/>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hRule="exact" w:val="255"/>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Maximales Risiko (in Tsd. EUR)</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Zahlungsmittel und Zahlungsmitteläquivalente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360 817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448 995</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Derivative Finanzinstrumente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und Forderungen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1 729 380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1 460 057</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Forderungen gegenüber Beitragszahlern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86 395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 xml:space="preserve">- </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Bis zur Endfälligkeit zu haltende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169 398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228 521</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w:t>
            </w:r>
          </w:p>
        </w:tc>
      </w:tr>
      <w:tr w:rsidR="001609E3">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Vermögenswerte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2 353 255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2 137 911</w:t>
            </w:r>
          </w:p>
        </w:tc>
      </w:tr>
      <w:tr w:rsidR="001609E3">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BILANZWIRKSAME POSTEN</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Eventualverbindlichkeiten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Unterzeichnete nicht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35 337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10 000</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w:t>
            </w:r>
            <w:r>
              <w:rPr>
                <w:noProof/>
              </w:rPr>
              <w:softHyphen/>
            </w:r>
            <w:r>
              <w:rPr>
                <w:rFonts w:ascii="Arial" w:hAnsi="Arial"/>
                <w:noProof/>
                <w:color w:val="000000"/>
                <w:sz w:val="16"/>
              </w:rPr>
              <w:t>bindungen,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 Nicht </w:t>
            </w:r>
            <w:r>
              <w:rPr>
                <w:rFonts w:ascii="Arial" w:hAnsi="Arial"/>
                <w:noProof/>
                <w:color w:val="000000"/>
                <w:sz w:val="16"/>
              </w:rPr>
              <w:t>ausgezahlte Kredite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901 899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1 189 564</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8 627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798</w:t>
            </w:r>
          </w:p>
        </w:tc>
      </w:tr>
      <w:tr w:rsidR="001609E3">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bilanzwirksame Posten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945 863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1 200 362</w:t>
            </w:r>
          </w:p>
        </w:tc>
      </w:tr>
      <w:tr w:rsidR="001609E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Kreditrisiko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3 299 118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3 338 273</w:t>
            </w:r>
          </w:p>
        </w:tc>
      </w:tr>
    </w:tbl>
    <w:p w:rsidR="001609E3" w:rsidRDefault="001609E3">
      <w:pPr>
        <w:pStyle w:val="Normal6"/>
        <w:rPr>
          <w:b/>
          <w:noProof/>
          <w:sz w:val="16"/>
          <w:szCs w:val="16"/>
        </w:rPr>
      </w:pPr>
    </w:p>
    <w:p w:rsidR="001609E3" w:rsidRDefault="00E45B63">
      <w:pPr>
        <w:pStyle w:val="Title3211"/>
        <w:tabs>
          <w:tab w:val="clear" w:pos="822"/>
          <w:tab w:val="num" w:pos="709"/>
        </w:tabs>
        <w:ind w:hanging="822"/>
        <w:rPr>
          <w:b w:val="0"/>
          <w:noProof/>
          <w:sz w:val="16"/>
          <w:szCs w:val="16"/>
        </w:rPr>
      </w:pPr>
      <w:r>
        <w:rPr>
          <w:b w:val="0"/>
          <w:noProof/>
          <w:sz w:val="16"/>
        </w:rPr>
        <w:t>Kreditrisiko aus Krediten und Forderungen</w:t>
      </w:r>
    </w:p>
    <w:p w:rsidR="001609E3" w:rsidRDefault="001609E3">
      <w:pPr>
        <w:pStyle w:val="Notes5"/>
        <w:numPr>
          <w:ilvl w:val="0"/>
          <w:numId w:val="0"/>
        </w:numPr>
        <w:tabs>
          <w:tab w:val="clear" w:pos="4320"/>
          <w:tab w:val="clear" w:pos="8640"/>
          <w:tab w:val="right" w:pos="-2700"/>
          <w:tab w:val="right" w:pos="720"/>
        </w:tabs>
        <w:spacing w:before="60" w:after="60"/>
        <w:rPr>
          <w:bCs/>
          <w:noProof/>
          <w:sz w:val="16"/>
          <w:szCs w:val="16"/>
        </w:rPr>
      </w:pPr>
    </w:p>
    <w:p w:rsidR="001609E3" w:rsidRDefault="00E45B63">
      <w:pPr>
        <w:pStyle w:val="Notes5"/>
        <w:numPr>
          <w:ilvl w:val="3"/>
          <w:numId w:val="48"/>
        </w:numPr>
        <w:tabs>
          <w:tab w:val="clear" w:pos="4320"/>
          <w:tab w:val="clear" w:pos="8640"/>
          <w:tab w:val="right" w:pos="-2700"/>
          <w:tab w:val="right" w:pos="720"/>
        </w:tabs>
        <w:spacing w:before="60" w:after="60"/>
        <w:rPr>
          <w:b w:val="0"/>
          <w:bCs/>
          <w:noProof/>
          <w:sz w:val="16"/>
          <w:szCs w:val="16"/>
        </w:rPr>
      </w:pPr>
      <w:r>
        <w:rPr>
          <w:b w:val="0"/>
          <w:noProof/>
          <w:sz w:val="16"/>
        </w:rPr>
        <w:t xml:space="preserve">Ermittlung des Kreditrisikos aus </w:t>
      </w:r>
      <w:r>
        <w:rPr>
          <w:b w:val="0"/>
          <w:noProof/>
          <w:sz w:val="16"/>
        </w:rPr>
        <w:t>Krediten und Forderungen</w:t>
      </w:r>
    </w:p>
    <w:p w:rsidR="001609E3" w:rsidRDefault="001609E3">
      <w:pPr>
        <w:pStyle w:val="Notes5"/>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FootnoteText"/>
        <w:rPr>
          <w:rFonts w:ascii="Arial" w:hAnsi="Arial"/>
          <w:noProof/>
          <w:sz w:val="16"/>
          <w:szCs w:val="16"/>
        </w:rPr>
      </w:pPr>
      <w:r>
        <w:rPr>
          <w:rFonts w:ascii="Arial" w:hAnsi="Arial"/>
          <w:noProof/>
          <w:sz w:val="16"/>
        </w:rPr>
        <w:t xml:space="preserve">Jede(r) einzelne, von der Fazilität gewährte Kredit oder Garantie durchläuft eine umfassende Risikobewertung und Quantifizierung der mit Hilfe der „Expected loss“-Methode geschätzten Verluste (Verlusterwartungswert), denen in </w:t>
      </w:r>
      <w:r>
        <w:rPr>
          <w:rFonts w:ascii="Arial" w:hAnsi="Arial"/>
          <w:noProof/>
          <w:sz w:val="16"/>
        </w:rPr>
        <w:t>einem Krediteinstufungssystem Rechnung getragen wird. Vorgänge im Rahmen des IFE (lauf Beschreibung in Erläuterung 23), mit Ausnahme von über zwischengeschaltete Finanzinstitute gewährten Krediten, unterliegen nicht den Leitlinien für die Kreditrisikopolit</w:t>
      </w:r>
      <w:r>
        <w:rPr>
          <w:rFonts w:ascii="Arial" w:hAnsi="Arial"/>
          <w:noProof/>
          <w:sz w:val="16"/>
        </w:rPr>
        <w:t>ik sondern durchlaufen ein anderes Verfahren. Die Krediteinstufungen werden nach allgemein anerkannten Kriterien auf der Basis der Qualität des Kreditnehmers, der Laufzeit des Kredits, der Garantie und gegebenenfalls des Garantiegebers festgelegt.</w:t>
      </w:r>
    </w:p>
    <w:p w:rsidR="001609E3" w:rsidRDefault="001609E3">
      <w:pPr>
        <w:pStyle w:val="Normal6"/>
        <w:autoSpaceDE w:val="0"/>
        <w:autoSpaceDN w:val="0"/>
        <w:adjustRightInd w:val="0"/>
        <w:spacing w:before="60" w:after="60"/>
        <w:jc w:val="both"/>
        <w:rPr>
          <w:rFonts w:ascii="Arial" w:hAnsi="Arial"/>
          <w:noProof/>
          <w:sz w:val="16"/>
          <w:szCs w:val="16"/>
        </w:rPr>
      </w:pPr>
    </w:p>
    <w:p w:rsidR="001609E3" w:rsidRDefault="00E45B63">
      <w:pPr>
        <w:pStyle w:val="Normal6"/>
        <w:autoSpaceDE w:val="0"/>
        <w:autoSpaceDN w:val="0"/>
        <w:adjustRightInd w:val="0"/>
        <w:spacing w:before="60" w:after="60"/>
        <w:jc w:val="both"/>
        <w:rPr>
          <w:rFonts w:ascii="Arial" w:hAnsi="Arial"/>
          <w:noProof/>
          <w:sz w:val="16"/>
          <w:szCs w:val="16"/>
        </w:rPr>
      </w:pPr>
      <w:r>
        <w:rPr>
          <w:rFonts w:ascii="Arial" w:hAnsi="Arial"/>
          <w:noProof/>
          <w:sz w:val="16"/>
        </w:rPr>
        <w:t>Das Kre</w:t>
      </w:r>
      <w:r>
        <w:rPr>
          <w:rFonts w:ascii="Arial" w:hAnsi="Arial"/>
          <w:noProof/>
          <w:sz w:val="16"/>
        </w:rPr>
        <w:t>diteinstufungssystem umfasst Methoden, Verfahren, Datenbanken und IT-Systeme, die die Beurteilung des Kreditrisikos bei Finanzierungsoperationen und die Quantifizierung der mithilfe der „Expected loss“-Methode geschätzten Verluste unterstützen.  Es führt z</w:t>
      </w:r>
      <w:r>
        <w:rPr>
          <w:rFonts w:ascii="Arial" w:hAnsi="Arial"/>
          <w:noProof/>
          <w:sz w:val="16"/>
        </w:rPr>
        <w:t>ahlreiche Informationen mit dem Ziel zusammen, ein relatives Ranking der mit den Finanzierungen verbundenen Kreditrisiken aufzustellen. Bei der Krediteinstufung wird jeweils der Barwert des „erwarteten Verlusts“ ermittelt, der von der Wahrscheinlichkeit de</w:t>
      </w:r>
      <w:r>
        <w:rPr>
          <w:rFonts w:ascii="Arial" w:hAnsi="Arial"/>
          <w:noProof/>
          <w:sz w:val="16"/>
        </w:rPr>
        <w:t>s Ausfalls der Hauptschuldner, dem Risikoengagement und der Verlustquote im Falle des Ausfalls abhängt. Die Krediteinstufung wird für folgende Zwecke genutzt:</w:t>
      </w:r>
    </w:p>
    <w:p w:rsidR="001609E3" w:rsidRDefault="001609E3">
      <w:pPr>
        <w:pStyle w:val="Normal6"/>
        <w:autoSpaceDE w:val="0"/>
        <w:autoSpaceDN w:val="0"/>
        <w:adjustRightInd w:val="0"/>
        <w:spacing w:before="60" w:after="60"/>
        <w:jc w:val="both"/>
        <w:rPr>
          <w:rFonts w:ascii="Arial" w:hAnsi="Arial"/>
          <w:noProof/>
          <w:sz w:val="16"/>
          <w:szCs w:val="16"/>
        </w:rPr>
      </w:pPr>
    </w:p>
    <w:p w:rsidR="001609E3" w:rsidRDefault="00E45B63">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als Hilfe für eine genauere quantitative Beurteilung von Kreditrisiken;</w:t>
      </w:r>
    </w:p>
    <w:p w:rsidR="001609E3" w:rsidRDefault="00E45B63">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 xml:space="preserve">als Hilfe bei der </w:t>
      </w:r>
      <w:r>
        <w:rPr>
          <w:rFonts w:ascii="Arial" w:hAnsi="Arial"/>
          <w:noProof/>
          <w:sz w:val="16"/>
        </w:rPr>
        <w:t>Aufteilung der Überwachungsaktivitäten;</w:t>
      </w:r>
    </w:p>
    <w:p w:rsidR="001609E3" w:rsidRDefault="00E45B63">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zur Beschreibung der Qualität des Finanzierungsbestands zu einem gegebenen Zeitpunkt;</w:t>
      </w:r>
    </w:p>
    <w:p w:rsidR="001609E3" w:rsidRDefault="00E45B63">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als einer der Faktoren für die risikoorientierte Zinsfestsetzung auf der Grundlage des erwarteten Verlusts.</w:t>
      </w:r>
    </w:p>
    <w:p w:rsidR="001609E3" w:rsidRDefault="001609E3">
      <w:pPr>
        <w:pStyle w:val="Normal6"/>
        <w:autoSpaceDE w:val="0"/>
        <w:autoSpaceDN w:val="0"/>
        <w:adjustRightInd w:val="0"/>
        <w:spacing w:before="60" w:after="60"/>
        <w:ind w:left="720"/>
        <w:jc w:val="both"/>
        <w:rPr>
          <w:rFonts w:ascii="Arial" w:hAnsi="Arial"/>
          <w:noProof/>
          <w:sz w:val="16"/>
          <w:szCs w:val="16"/>
        </w:rPr>
      </w:pPr>
    </w:p>
    <w:p w:rsidR="001609E3" w:rsidRDefault="00E45B63">
      <w:pPr>
        <w:pStyle w:val="Normal6"/>
        <w:autoSpaceDE w:val="0"/>
        <w:autoSpaceDN w:val="0"/>
        <w:adjustRightInd w:val="0"/>
        <w:spacing w:before="60" w:after="60"/>
        <w:jc w:val="both"/>
        <w:rPr>
          <w:rFonts w:ascii="Arial" w:hAnsi="Arial"/>
          <w:noProof/>
          <w:sz w:val="16"/>
          <w:szCs w:val="16"/>
        </w:rPr>
      </w:pPr>
      <w:r>
        <w:rPr>
          <w:rFonts w:ascii="Arial" w:hAnsi="Arial"/>
          <w:noProof/>
          <w:sz w:val="16"/>
        </w:rPr>
        <w:t>Die folgenden Faktore</w:t>
      </w:r>
      <w:r>
        <w:rPr>
          <w:rFonts w:ascii="Arial" w:hAnsi="Arial"/>
          <w:noProof/>
          <w:sz w:val="16"/>
        </w:rPr>
        <w:t>n werden bei einer Krediteinstufung berücksichtigt:</w:t>
      </w:r>
    </w:p>
    <w:p w:rsidR="001609E3" w:rsidRDefault="001609E3">
      <w:pPr>
        <w:pStyle w:val="Normal6"/>
        <w:autoSpaceDE w:val="0"/>
        <w:autoSpaceDN w:val="0"/>
        <w:adjustRightInd w:val="0"/>
        <w:spacing w:before="60" w:after="60"/>
        <w:jc w:val="both"/>
        <w:rPr>
          <w:rFonts w:ascii="Arial" w:hAnsi="Arial"/>
          <w:noProof/>
          <w:sz w:val="16"/>
          <w:szCs w:val="16"/>
        </w:rPr>
      </w:pPr>
    </w:p>
    <w:p w:rsidR="001609E3" w:rsidRDefault="00E45B63">
      <w:pPr>
        <w:pStyle w:val="Listi0"/>
        <w:tabs>
          <w:tab w:val="clear" w:pos="180"/>
          <w:tab w:val="num" w:pos="426"/>
        </w:tabs>
        <w:spacing w:before="60" w:after="60"/>
        <w:ind w:left="426" w:hanging="426"/>
        <w:rPr>
          <w:sz w:val="16"/>
          <w:szCs w:val="16"/>
        </w:rPr>
      </w:pPr>
      <w:r>
        <w:rPr>
          <w:sz w:val="16"/>
        </w:rPr>
        <w:t xml:space="preserve">Bonität des Kreditnehmers:  Die Direktion Risikomanagement überprüft die Kreditnehmer und beurteilt deren Bonität unabhängig auf der Grundlage interner Verfahren und externer Daten.  Im Einklang mit dem </w:t>
      </w:r>
      <w:r>
        <w:rPr>
          <w:sz w:val="16"/>
        </w:rPr>
        <w:t>fortgeschrittenen IRB-Ansatz nach Basel II hat die Bank eine interne Ratingmethode (IRM) entwickelt, um ein internes Rating der Kreditnehmer und Garantiegeber festlegen zu können.  Das Verfahren beruht auf einem System von Auswertungsformularen für bestimm</w:t>
      </w:r>
      <w:r>
        <w:rPr>
          <w:sz w:val="16"/>
        </w:rPr>
        <w:t>te Gegenparteiengagements.</w:t>
      </w:r>
    </w:p>
    <w:p w:rsidR="001609E3" w:rsidRDefault="001609E3">
      <w:pPr>
        <w:pStyle w:val="Normal6"/>
        <w:spacing w:before="60" w:after="60"/>
        <w:rPr>
          <w:rFonts w:ascii="Arial" w:hAnsi="Arial"/>
          <w:noProof/>
          <w:sz w:val="16"/>
          <w:szCs w:val="16"/>
        </w:rPr>
      </w:pPr>
    </w:p>
    <w:p w:rsidR="001609E3" w:rsidRDefault="00E45B63">
      <w:pPr>
        <w:pStyle w:val="Listi0"/>
        <w:tabs>
          <w:tab w:val="clear" w:pos="180"/>
          <w:tab w:val="num" w:pos="426"/>
        </w:tabs>
        <w:spacing w:before="60" w:after="60"/>
        <w:ind w:left="426" w:hanging="426"/>
        <w:rPr>
          <w:sz w:val="16"/>
          <w:szCs w:val="16"/>
        </w:rPr>
      </w:pPr>
      <w:r>
        <w:rPr>
          <w:sz w:val="16"/>
        </w:rPr>
        <w:t>Ausfallkorrelation: Sie gibt die Wahrscheinlichkeit gleichzeitiger finanzieller Probleme für den Kreditnehmer und den Garantiegeber an. Je höher die Korrelation zwischen der Ausfallwahrscheinlichkeit beim Kreditnehmer und beim G</w:t>
      </w:r>
      <w:r>
        <w:rPr>
          <w:sz w:val="16"/>
        </w:rPr>
        <w:t>arantiegeber ist, desto niedriger ist der Wert der Garantie und damit auch die Krediteinstufung.</w:t>
      </w:r>
    </w:p>
    <w:p w:rsidR="001609E3" w:rsidRDefault="001609E3">
      <w:pPr>
        <w:pStyle w:val="Normal6"/>
        <w:spacing w:before="60" w:after="60"/>
        <w:rPr>
          <w:noProof/>
          <w:sz w:val="16"/>
          <w:szCs w:val="16"/>
        </w:rPr>
      </w:pPr>
    </w:p>
    <w:p w:rsidR="001609E3" w:rsidRDefault="00E45B63">
      <w:pPr>
        <w:pStyle w:val="Listi0"/>
        <w:tabs>
          <w:tab w:val="clear" w:pos="180"/>
          <w:tab w:val="num" w:pos="426"/>
        </w:tabs>
        <w:spacing w:before="60" w:after="60"/>
        <w:ind w:left="426" w:hanging="426"/>
        <w:rPr>
          <w:sz w:val="16"/>
          <w:szCs w:val="16"/>
        </w:rPr>
      </w:pPr>
      <w:r>
        <w:rPr>
          <w:sz w:val="16"/>
        </w:rPr>
        <w:t>Wert der Garantieinstrumente und der Sicherheiten: Dieser Wert wird auf der Grundlage der Kombination von Bonität des Garantiegebers und Art des verwendeten I</w:t>
      </w:r>
      <w:r>
        <w:rPr>
          <w:sz w:val="16"/>
        </w:rPr>
        <w:t>nstruments ermittelt.</w:t>
      </w:r>
    </w:p>
    <w:p w:rsidR="001609E3" w:rsidRDefault="001609E3">
      <w:pPr>
        <w:pStyle w:val="Normal6"/>
        <w:spacing w:before="60" w:after="60"/>
        <w:rPr>
          <w:noProof/>
          <w:sz w:val="16"/>
          <w:szCs w:val="16"/>
        </w:rPr>
      </w:pPr>
    </w:p>
    <w:p w:rsidR="001609E3" w:rsidRDefault="00E45B63">
      <w:pPr>
        <w:pStyle w:val="Listi0"/>
        <w:tabs>
          <w:tab w:val="clear" w:pos="180"/>
          <w:tab w:val="num" w:pos="426"/>
        </w:tabs>
        <w:spacing w:before="60" w:after="60"/>
        <w:ind w:left="426" w:hanging="426"/>
        <w:rPr>
          <w:sz w:val="16"/>
          <w:szCs w:val="16"/>
        </w:rPr>
      </w:pPr>
      <w:r>
        <w:rPr>
          <w:sz w:val="16"/>
        </w:rPr>
        <w:t>Vertraglicher Rahmen: Ein solider vertraglicher Rahmen verbessert die Qualität und die interne Einstufung des Kredits.</w:t>
      </w:r>
    </w:p>
    <w:p w:rsidR="001609E3" w:rsidRDefault="001609E3">
      <w:pPr>
        <w:pStyle w:val="Normal6"/>
        <w:spacing w:before="60" w:after="60"/>
        <w:rPr>
          <w:noProof/>
          <w:sz w:val="16"/>
          <w:szCs w:val="16"/>
        </w:rPr>
      </w:pPr>
    </w:p>
    <w:p w:rsidR="001609E3" w:rsidRDefault="00E45B63">
      <w:pPr>
        <w:pStyle w:val="Listi0"/>
        <w:tabs>
          <w:tab w:val="clear" w:pos="180"/>
          <w:tab w:val="num" w:pos="426"/>
        </w:tabs>
        <w:spacing w:before="60" w:after="60"/>
        <w:ind w:left="426" w:hanging="426"/>
        <w:rPr>
          <w:sz w:val="16"/>
          <w:szCs w:val="16"/>
        </w:rPr>
      </w:pPr>
      <w:r>
        <w:rPr>
          <w:sz w:val="16"/>
        </w:rPr>
        <w:t>Laufzeit des Kredits: Bleiben alle anderen Faktoren unverändert, so wird das Risiko von Schwierigkeiten bei der B</w:t>
      </w:r>
      <w:r>
        <w:rPr>
          <w:sz w:val="16"/>
        </w:rPr>
        <w:t>edienung des Kredits umso höher, je länger der Kredit läuft.</w:t>
      </w:r>
    </w:p>
    <w:p w:rsidR="001609E3" w:rsidRDefault="001609E3">
      <w:pPr>
        <w:pStyle w:val="Normal6"/>
        <w:autoSpaceDE w:val="0"/>
        <w:autoSpaceDN w:val="0"/>
        <w:adjustRightInd w:val="0"/>
        <w:spacing w:before="60" w:after="60"/>
        <w:jc w:val="both"/>
        <w:rPr>
          <w:rFonts w:ascii="Arial" w:hAnsi="Arial"/>
          <w:noProof/>
          <w:sz w:val="16"/>
          <w:szCs w:val="16"/>
        </w:rPr>
      </w:pPr>
    </w:p>
    <w:p w:rsidR="001609E3" w:rsidRDefault="00E45B63">
      <w:pPr>
        <w:pStyle w:val="Normal6"/>
        <w:autoSpaceDE w:val="0"/>
        <w:autoSpaceDN w:val="0"/>
        <w:adjustRightInd w:val="0"/>
        <w:spacing w:before="60" w:after="60"/>
        <w:jc w:val="both"/>
        <w:rPr>
          <w:rFonts w:ascii="Arial" w:hAnsi="Arial"/>
          <w:noProof/>
          <w:sz w:val="16"/>
          <w:szCs w:val="16"/>
        </w:rPr>
      </w:pPr>
      <w:r>
        <w:rPr>
          <w:rFonts w:ascii="Arial" w:hAnsi="Arial"/>
          <w:noProof/>
          <w:sz w:val="16"/>
        </w:rPr>
        <w:t>Der Verlusterwartungswert eines Kredits wird unter Verwendung dieser fünf Elemente berechnet.  In Abhängigkeit von der Höhe des so ermittelten Verlusts wird der Kredit in eine der folgenden Kred</w:t>
      </w:r>
      <w:r>
        <w:rPr>
          <w:rFonts w:ascii="Arial" w:hAnsi="Arial"/>
          <w:noProof/>
          <w:sz w:val="16"/>
        </w:rPr>
        <w:t>itkategorien eingestuft:</w:t>
      </w:r>
    </w:p>
    <w:p w:rsidR="001609E3" w:rsidRDefault="001609E3">
      <w:pPr>
        <w:pStyle w:val="Normal6"/>
        <w:autoSpaceDE w:val="0"/>
        <w:autoSpaceDN w:val="0"/>
        <w:adjustRightInd w:val="0"/>
        <w:spacing w:before="60" w:after="60"/>
        <w:jc w:val="both"/>
        <w:rPr>
          <w:rFonts w:ascii="Arial" w:hAnsi="Arial"/>
          <w:noProof/>
          <w:sz w:val="16"/>
          <w:szCs w:val="16"/>
        </w:rPr>
      </w:pPr>
    </w:p>
    <w:p w:rsidR="001609E3" w:rsidRDefault="00E45B63">
      <w:pPr>
        <w:pStyle w:val="Normal6"/>
        <w:tabs>
          <w:tab w:val="left" w:pos="360"/>
        </w:tabs>
        <w:spacing w:before="60" w:after="60"/>
        <w:ind w:left="360" w:hanging="360"/>
        <w:jc w:val="both"/>
        <w:rPr>
          <w:rFonts w:ascii="Arial" w:hAnsi="Arial"/>
          <w:noProof/>
          <w:sz w:val="16"/>
          <w:szCs w:val="16"/>
        </w:rPr>
      </w:pPr>
      <w:r>
        <w:rPr>
          <w:rFonts w:ascii="Arial" w:hAnsi="Arial" w:cs="Arial"/>
          <w:noProof/>
          <w:sz w:val="16"/>
          <w:szCs w:val="16"/>
        </w:rPr>
        <w:t>A</w:t>
      </w:r>
      <w:r>
        <w:rPr>
          <w:rFonts w:ascii="Arial" w:hAnsi="Arial" w:cs="Arial"/>
          <w:noProof/>
          <w:sz w:val="16"/>
          <w:szCs w:val="16"/>
        </w:rPr>
        <w:tab/>
      </w:r>
      <w:r>
        <w:rPr>
          <w:rFonts w:ascii="Arial" w:hAnsi="Arial"/>
          <w:noProof/>
          <w:sz w:val="16"/>
        </w:rPr>
        <w:t>Erstklassige Kredite: Sie werden in drei Unterkategorien eingeteilt:</w:t>
      </w:r>
      <w:r>
        <w:rPr>
          <w:noProof/>
        </w:rPr>
        <w:t xml:space="preserve"> </w:t>
      </w:r>
      <w:r>
        <w:rPr>
          <w:rFonts w:ascii="Arial" w:hAnsi="Arial"/>
          <w:noProof/>
          <w:sz w:val="16"/>
        </w:rPr>
        <w:t xml:space="preserve"> A umfasst alle Länderrisiken in der EU, d. h. Kredite an Mitgliedstaaten bzw. Kredite, die von diesen vollständig, explizit und uneingeschränkt garantiert werden und bei denen keine Rückzahlungsprobleme zu erwarten sind sowie von einem unerwarteten Verlus</w:t>
      </w:r>
      <w:r>
        <w:rPr>
          <w:rFonts w:ascii="Arial" w:hAnsi="Arial"/>
          <w:noProof/>
          <w:sz w:val="16"/>
        </w:rPr>
        <w:t>t von 0 % ausgegangen wird.  A+ bezeichnet Kredite, die anderen Rechtssubjekten als den Mitgliedstaaten gewährt bzw. von diesen garantiert werden und bei denen keine Verschlechterung während der Laufzeit zu erwarten ist.  A- umfasst die Finanzierungsoperat</w:t>
      </w:r>
      <w:r>
        <w:rPr>
          <w:rFonts w:ascii="Arial" w:hAnsi="Arial"/>
          <w:noProof/>
          <w:sz w:val="16"/>
        </w:rPr>
        <w:t>ionen, bei denen gewisse Zweifel bestehen, ob der derzeitige Status fortbestehen wird (z. B. wegen einer langen Laufzeit oder der hohen Volatilität des künftigen Preises einer ansonsten hochwertigen Sicherheit), bei denen es gegebenenfalls jedoch nur in äu</w:t>
      </w:r>
      <w:r>
        <w:rPr>
          <w:rFonts w:ascii="Arial" w:hAnsi="Arial"/>
          <w:noProof/>
          <w:sz w:val="16"/>
        </w:rPr>
        <w:t>ßerst begrenztem Maße zu einer Verschlechterung kommen dürfte.</w:t>
      </w:r>
    </w:p>
    <w:p w:rsidR="001609E3" w:rsidRDefault="001609E3">
      <w:pPr>
        <w:pStyle w:val="Normal6"/>
        <w:tabs>
          <w:tab w:val="left" w:pos="360"/>
        </w:tabs>
        <w:spacing w:before="60" w:after="60"/>
        <w:ind w:left="360" w:hanging="360"/>
        <w:jc w:val="both"/>
        <w:rPr>
          <w:rFonts w:ascii="Arial" w:hAnsi="Arial"/>
          <w:noProof/>
          <w:sz w:val="16"/>
          <w:szCs w:val="16"/>
        </w:rPr>
      </w:pPr>
    </w:p>
    <w:p w:rsidR="001609E3" w:rsidRDefault="00E45B63">
      <w:pPr>
        <w:pStyle w:val="Normal6"/>
        <w:tabs>
          <w:tab w:val="left" w:pos="360"/>
        </w:tabs>
        <w:spacing w:before="60" w:after="60"/>
        <w:ind w:left="360" w:hanging="360"/>
        <w:jc w:val="both"/>
        <w:rPr>
          <w:rFonts w:ascii="Arial" w:hAnsi="Arial"/>
          <w:noProof/>
          <w:sz w:val="16"/>
          <w:szCs w:val="16"/>
        </w:rPr>
      </w:pPr>
      <w:r>
        <w:rPr>
          <w:rFonts w:ascii="Arial" w:hAnsi="Arial" w:cs="Arial"/>
          <w:noProof/>
          <w:sz w:val="16"/>
          <w:szCs w:val="16"/>
        </w:rPr>
        <w:t>B</w:t>
      </w:r>
      <w:r>
        <w:rPr>
          <w:rFonts w:ascii="Arial" w:hAnsi="Arial" w:cs="Arial"/>
          <w:noProof/>
          <w:sz w:val="16"/>
          <w:szCs w:val="16"/>
        </w:rPr>
        <w:tab/>
      </w:r>
      <w:r>
        <w:rPr>
          <w:rFonts w:ascii="Arial" w:hAnsi="Arial"/>
          <w:noProof/>
          <w:sz w:val="16"/>
        </w:rPr>
        <w:t>Kredite von hoher Qualität: Diese stellen eine für die Bank zufriedenstellende Kategorie von Aktiva dar, wenngleich eine geringfügige Verschlechterung in der Zukunft nicht auszuschließen ist</w:t>
      </w:r>
      <w:r>
        <w:rPr>
          <w:rFonts w:ascii="Arial" w:hAnsi="Arial"/>
          <w:noProof/>
          <w:sz w:val="16"/>
        </w:rPr>
        <w:t>.  B+ und B- dienen zur Bezeichnung der relativen Wahrscheinlichkeit, dass diese Verschlechterung eintritt.</w:t>
      </w:r>
    </w:p>
    <w:p w:rsidR="001609E3" w:rsidRDefault="001609E3">
      <w:pPr>
        <w:pStyle w:val="Normal6"/>
        <w:tabs>
          <w:tab w:val="left" w:pos="360"/>
        </w:tabs>
        <w:spacing w:before="60" w:after="60"/>
        <w:ind w:left="360" w:hanging="360"/>
        <w:jc w:val="both"/>
        <w:rPr>
          <w:rFonts w:ascii="Arial" w:hAnsi="Arial"/>
          <w:noProof/>
          <w:sz w:val="16"/>
          <w:szCs w:val="16"/>
        </w:rPr>
      </w:pPr>
    </w:p>
    <w:p w:rsidR="001609E3" w:rsidRDefault="00E45B63">
      <w:pPr>
        <w:pStyle w:val="Normal6"/>
        <w:tabs>
          <w:tab w:val="left" w:pos="360"/>
        </w:tabs>
        <w:spacing w:before="60" w:after="60"/>
        <w:ind w:left="360" w:hanging="360"/>
        <w:jc w:val="both"/>
        <w:rPr>
          <w:rFonts w:ascii="Arial" w:hAnsi="Arial"/>
          <w:noProof/>
          <w:sz w:val="16"/>
          <w:szCs w:val="16"/>
        </w:rPr>
      </w:pPr>
      <w:r>
        <w:rPr>
          <w:rFonts w:ascii="Arial" w:hAnsi="Arial" w:cs="Arial"/>
          <w:noProof/>
          <w:sz w:val="16"/>
          <w:szCs w:val="16"/>
        </w:rPr>
        <w:t>C</w:t>
      </w:r>
      <w:r>
        <w:rPr>
          <w:rFonts w:ascii="Arial" w:hAnsi="Arial" w:cs="Arial"/>
          <w:noProof/>
          <w:sz w:val="16"/>
          <w:szCs w:val="16"/>
        </w:rPr>
        <w:tab/>
      </w:r>
      <w:r>
        <w:rPr>
          <w:rFonts w:ascii="Arial" w:hAnsi="Arial"/>
          <w:noProof/>
          <w:sz w:val="16"/>
        </w:rPr>
        <w:t>Kredite von guter Qualität: Beispiele sind unbesicherte Kredite an solide Banken und Unternehmen mit einer Laufzeit von sieben Jahren und Endfäll</w:t>
      </w:r>
      <w:r>
        <w:rPr>
          <w:rFonts w:ascii="Arial" w:hAnsi="Arial"/>
          <w:noProof/>
          <w:sz w:val="16"/>
        </w:rPr>
        <w:t>igkeit bzw. entsprechender laufender Tilgung ab Auszahlung.</w:t>
      </w:r>
    </w:p>
    <w:p w:rsidR="001609E3" w:rsidRDefault="001609E3">
      <w:pPr>
        <w:pStyle w:val="Normal6"/>
        <w:tabs>
          <w:tab w:val="left" w:pos="360"/>
        </w:tabs>
        <w:spacing w:before="60" w:after="60"/>
        <w:ind w:left="360" w:hanging="360"/>
        <w:rPr>
          <w:noProof/>
          <w:sz w:val="16"/>
          <w:szCs w:val="16"/>
        </w:rPr>
      </w:pPr>
    </w:p>
    <w:p w:rsidR="001609E3" w:rsidRDefault="00E45B63">
      <w:pPr>
        <w:pStyle w:val="Normal6"/>
        <w:tabs>
          <w:tab w:val="left" w:pos="360"/>
        </w:tabs>
        <w:spacing w:before="60" w:after="60"/>
        <w:ind w:left="360" w:hanging="360"/>
        <w:jc w:val="both"/>
        <w:rPr>
          <w:rFonts w:ascii="Arial" w:hAnsi="Arial"/>
          <w:noProof/>
          <w:sz w:val="16"/>
          <w:szCs w:val="16"/>
        </w:rPr>
      </w:pPr>
      <w:r>
        <w:rPr>
          <w:rFonts w:ascii="Arial" w:hAnsi="Arial" w:cs="Arial"/>
          <w:noProof/>
          <w:sz w:val="16"/>
          <w:szCs w:val="16"/>
        </w:rPr>
        <w:t>D</w:t>
      </w:r>
      <w:r>
        <w:rPr>
          <w:rFonts w:ascii="Arial" w:hAnsi="Arial" w:cs="Arial"/>
          <w:noProof/>
          <w:sz w:val="16"/>
          <w:szCs w:val="16"/>
        </w:rPr>
        <w:tab/>
      </w:r>
      <w:r>
        <w:rPr>
          <w:rFonts w:ascii="Arial" w:hAnsi="Arial"/>
          <w:noProof/>
          <w:sz w:val="16"/>
        </w:rPr>
        <w:t>Diese Bonitätskategorie stellt die Grenze zwischen Krediten „von akzeptabler Qualität“ und solchen dar, bei denen Probleme aufgetreten sind.</w:t>
      </w:r>
      <w:r>
        <w:rPr>
          <w:noProof/>
        </w:rPr>
        <w:t xml:space="preserve"> </w:t>
      </w:r>
      <w:r>
        <w:rPr>
          <w:rFonts w:ascii="Arial" w:hAnsi="Arial"/>
          <w:noProof/>
          <w:sz w:val="16"/>
        </w:rPr>
        <w:t xml:space="preserve"> Diese Trennlinie bei der Krediteinstufung wird durc</w:t>
      </w:r>
      <w:r>
        <w:rPr>
          <w:rFonts w:ascii="Arial" w:hAnsi="Arial"/>
          <w:noProof/>
          <w:sz w:val="16"/>
        </w:rPr>
        <w:t>h die Unterkategorien D+ und D- näher bestimmt.  Mit D- bewertete Kredite erfordern eine verstärkte Überwachung.</w:t>
      </w:r>
    </w:p>
    <w:p w:rsidR="001609E3" w:rsidRDefault="001609E3">
      <w:pPr>
        <w:pStyle w:val="Normal6"/>
        <w:tabs>
          <w:tab w:val="left" w:pos="360"/>
        </w:tabs>
        <w:spacing w:before="60" w:after="60"/>
        <w:ind w:left="360" w:hanging="360"/>
        <w:rPr>
          <w:noProof/>
          <w:sz w:val="16"/>
          <w:szCs w:val="16"/>
        </w:rPr>
      </w:pPr>
    </w:p>
    <w:p w:rsidR="001609E3" w:rsidRDefault="00E45B63">
      <w:pPr>
        <w:pStyle w:val="Normal6"/>
        <w:tabs>
          <w:tab w:val="left" w:pos="360"/>
        </w:tabs>
        <w:spacing w:before="60" w:after="60"/>
        <w:ind w:left="360" w:hanging="360"/>
        <w:jc w:val="both"/>
        <w:rPr>
          <w:rFonts w:ascii="Arial" w:hAnsi="Arial"/>
          <w:noProof/>
          <w:sz w:val="16"/>
          <w:szCs w:val="16"/>
        </w:rPr>
      </w:pPr>
      <w:r>
        <w:rPr>
          <w:rFonts w:ascii="Arial" w:hAnsi="Arial" w:cs="Arial"/>
          <w:noProof/>
          <w:sz w:val="16"/>
          <w:szCs w:val="16"/>
        </w:rPr>
        <w:t>E</w:t>
      </w:r>
      <w:r>
        <w:rPr>
          <w:rFonts w:ascii="Arial" w:hAnsi="Arial" w:cs="Arial"/>
          <w:noProof/>
          <w:sz w:val="16"/>
          <w:szCs w:val="16"/>
        </w:rPr>
        <w:tab/>
      </w:r>
      <w:r>
        <w:rPr>
          <w:rFonts w:ascii="Arial" w:hAnsi="Arial"/>
          <w:noProof/>
          <w:sz w:val="16"/>
        </w:rPr>
        <w:t>Diese Kategorie umfasst Kredite, die ein höheres Risikoprofil aufweisen als normalerweise zulässig.</w:t>
      </w:r>
      <w:r>
        <w:rPr>
          <w:noProof/>
        </w:rPr>
        <w:t xml:space="preserve"> </w:t>
      </w:r>
      <w:r>
        <w:rPr>
          <w:rFonts w:ascii="Arial" w:hAnsi="Arial"/>
          <w:noProof/>
          <w:sz w:val="16"/>
        </w:rPr>
        <w:t xml:space="preserve"> Sie umfasst außerdem Kredite, in deren </w:t>
      </w:r>
      <w:r>
        <w:rPr>
          <w:rFonts w:ascii="Arial" w:hAnsi="Arial"/>
          <w:noProof/>
          <w:sz w:val="16"/>
        </w:rPr>
        <w:t>Laufzeit ernsthafte Probleme aufgetreten sind und bei denen nicht ausgeschlossen werden kann, dass es zu Verlusten kommt.  Aus diesem Grund werden die Kredite lückenlos und intensiv überwacht.  Die Unterkategorien E+ und E- bestimmen den Intensitätsgrad di</w:t>
      </w:r>
      <w:r>
        <w:rPr>
          <w:rFonts w:ascii="Arial" w:hAnsi="Arial"/>
          <w:noProof/>
          <w:sz w:val="16"/>
        </w:rPr>
        <w:t xml:space="preserve">eses besonderen Überwachungsverfahrens. Bei den mit E- bewerteten Operationen besteht eine hohe Wahrscheinlichkeit, dass der Schuldendienst nicht termingerecht fortgesetzt werden kann und daher eine Umstrukturierung der Verbindlichkeiten erforderlich ist, </w:t>
      </w:r>
      <w:r>
        <w:rPr>
          <w:rFonts w:ascii="Arial" w:hAnsi="Arial"/>
          <w:noProof/>
          <w:sz w:val="16"/>
        </w:rPr>
        <w:t>was möglicherweise zu Wertminderungen führt.</w:t>
      </w:r>
    </w:p>
    <w:p w:rsidR="001609E3" w:rsidRDefault="001609E3">
      <w:pPr>
        <w:pStyle w:val="Normal6"/>
        <w:tabs>
          <w:tab w:val="left" w:pos="360"/>
        </w:tabs>
        <w:spacing w:before="60" w:after="60"/>
        <w:ind w:left="360" w:hanging="360"/>
        <w:rPr>
          <w:noProof/>
          <w:sz w:val="16"/>
          <w:szCs w:val="16"/>
        </w:rPr>
      </w:pPr>
    </w:p>
    <w:p w:rsidR="001609E3" w:rsidRDefault="00E45B63">
      <w:pPr>
        <w:pStyle w:val="Normal6"/>
        <w:tabs>
          <w:tab w:val="left" w:pos="360"/>
        </w:tabs>
        <w:spacing w:before="60" w:after="60"/>
        <w:ind w:left="360" w:hanging="360"/>
        <w:jc w:val="both"/>
        <w:rPr>
          <w:rFonts w:ascii="Arial" w:hAnsi="Arial"/>
          <w:noProof/>
          <w:sz w:val="16"/>
          <w:szCs w:val="16"/>
        </w:rPr>
      </w:pPr>
      <w:r>
        <w:rPr>
          <w:rFonts w:ascii="Arial" w:hAnsi="Arial"/>
          <w:noProof/>
          <w:sz w:val="16"/>
        </w:rPr>
        <w:t>F</w:t>
      </w:r>
      <w:r>
        <w:rPr>
          <w:noProof/>
        </w:rPr>
        <w:tab/>
      </w:r>
      <w:r>
        <w:rPr>
          <w:rFonts w:ascii="Arial" w:hAnsi="Arial"/>
          <w:noProof/>
          <w:sz w:val="16"/>
        </w:rPr>
        <w:t>bezeichnet Kredite, die nicht akzeptable Risiken darstellen. Zu einer Einstufung in F- kommt es nur bei ausstehenden Krediten, bei denen sich nach der Unterzeichnung unvorhergesehene, außergewöhnliche und seh</w:t>
      </w:r>
      <w:r>
        <w:rPr>
          <w:rFonts w:ascii="Arial" w:hAnsi="Arial"/>
          <w:noProof/>
          <w:sz w:val="16"/>
        </w:rPr>
        <w:t>r ungünstige Umstände ergeben haben. Alle Operationen, bei denen die Fazilität einen Verlust der Hauptschuld erlitten hat, werden mit F bewertet, und es wird eine spezifische Rückstellung für sie gebildet.</w:t>
      </w:r>
    </w:p>
    <w:p w:rsidR="001609E3" w:rsidRDefault="001609E3">
      <w:pPr>
        <w:pStyle w:val="Notes5"/>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Notes5"/>
        <w:numPr>
          <w:ilvl w:val="0"/>
          <w:numId w:val="0"/>
        </w:numPr>
        <w:tabs>
          <w:tab w:val="clear" w:pos="4320"/>
          <w:tab w:val="clear" w:pos="8640"/>
          <w:tab w:val="right" w:pos="-2700"/>
          <w:tab w:val="right" w:pos="720"/>
        </w:tabs>
        <w:spacing w:before="60" w:after="60"/>
        <w:rPr>
          <w:b w:val="0"/>
          <w:noProof/>
          <w:sz w:val="16"/>
          <w:szCs w:val="16"/>
        </w:rPr>
      </w:pPr>
      <w:r>
        <w:rPr>
          <w:b w:val="0"/>
          <w:noProof/>
          <w:sz w:val="16"/>
        </w:rPr>
        <w:t>Die intern in Kategorie D- oder darunter eingestu</w:t>
      </w:r>
      <w:r>
        <w:rPr>
          <w:b w:val="0"/>
          <w:noProof/>
          <w:sz w:val="16"/>
        </w:rPr>
        <w:t xml:space="preserve">ften Kredite werden grundsätzlich in die sogenannte Watch List (Beobachtungsliste) aufgenommen. Wurde der Kredit ursprünglich allerdings mit einem Risikoprofil von D- oder darunter genehmigt, wird er nur dann in die Beobachtungsliste aufgenommen, wenn ein </w:t>
      </w:r>
      <w:r>
        <w:rPr>
          <w:b w:val="0"/>
          <w:noProof/>
          <w:sz w:val="16"/>
        </w:rPr>
        <w:t>wesentliches Kreditereignis zu einer Einstufung in eine niedrigere Kategorie führt.</w:t>
      </w:r>
    </w:p>
    <w:p w:rsidR="001609E3" w:rsidRDefault="001609E3">
      <w:pPr>
        <w:pStyle w:val="Notes5"/>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Notes5"/>
        <w:numPr>
          <w:ilvl w:val="0"/>
          <w:numId w:val="0"/>
        </w:numPr>
        <w:tabs>
          <w:tab w:val="clear" w:pos="4320"/>
          <w:tab w:val="clear" w:pos="8640"/>
          <w:tab w:val="right" w:pos="-2700"/>
          <w:tab w:val="right" w:pos="720"/>
        </w:tabs>
        <w:spacing w:before="60" w:after="60"/>
        <w:rPr>
          <w:b w:val="0"/>
          <w:noProof/>
          <w:sz w:val="16"/>
          <w:szCs w:val="16"/>
        </w:rPr>
      </w:pPr>
      <w:r>
        <w:rPr>
          <w:b w:val="0"/>
          <w:noProof/>
          <w:sz w:val="16"/>
        </w:rPr>
        <w:t>Die Tabelle unter 3.2.3.3 stellt die Analyse der Kreditqualität des Kreditportfolios der Fazilität auf der Grundlage der verschiedenen vorstehend beschriebenen Einstufunge</w:t>
      </w:r>
      <w:r>
        <w:rPr>
          <w:b w:val="0"/>
          <w:noProof/>
          <w:sz w:val="16"/>
        </w:rPr>
        <w:t>n dar.</w:t>
      </w:r>
    </w:p>
    <w:p w:rsidR="001609E3" w:rsidRDefault="00E45B63">
      <w:pPr>
        <w:pStyle w:val="Notes6"/>
        <w:pageBreakBefore/>
        <w:numPr>
          <w:ilvl w:val="3"/>
          <w:numId w:val="52"/>
        </w:numPr>
        <w:tabs>
          <w:tab w:val="clear" w:pos="4320"/>
          <w:tab w:val="clear" w:pos="8640"/>
          <w:tab w:val="right" w:pos="-2700"/>
          <w:tab w:val="right" w:pos="720"/>
        </w:tabs>
        <w:spacing w:before="60" w:after="60"/>
        <w:rPr>
          <w:b w:val="0"/>
          <w:bCs/>
          <w:noProof/>
          <w:sz w:val="16"/>
          <w:szCs w:val="16"/>
        </w:rPr>
      </w:pPr>
      <w:r>
        <w:rPr>
          <w:b w:val="0"/>
          <w:noProof/>
          <w:sz w:val="16"/>
        </w:rPr>
        <w:t>Analyse des Kreditrisikos bei Finanzierungen</w:t>
      </w:r>
    </w:p>
    <w:p w:rsidR="001609E3" w:rsidRDefault="001609E3">
      <w:pPr>
        <w:pStyle w:val="Notes6"/>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Notes6"/>
        <w:numPr>
          <w:ilvl w:val="0"/>
          <w:numId w:val="0"/>
        </w:numPr>
        <w:tabs>
          <w:tab w:val="clear" w:pos="4320"/>
          <w:tab w:val="clear" w:pos="8640"/>
          <w:tab w:val="right" w:pos="-2700"/>
          <w:tab w:val="right" w:pos="720"/>
        </w:tabs>
        <w:spacing w:before="60" w:after="60"/>
        <w:rPr>
          <w:b w:val="0"/>
          <w:noProof/>
          <w:sz w:val="16"/>
          <w:szCs w:val="16"/>
        </w:rPr>
      </w:pPr>
      <w:r>
        <w:rPr>
          <w:b w:val="0"/>
          <w:noProof/>
          <w:sz w:val="16"/>
        </w:rPr>
        <w:t xml:space="preserve">Die nachstehende Tabelle enthält eine Übersicht über das maximale Kreditrisiko bei unterzeichneten und ausgezahlten Krediten verschiedener Kreditnehmer unter Berücksichtigung der Garantien von </w:t>
      </w:r>
      <w:r>
        <w:rPr>
          <w:b w:val="0"/>
          <w:noProof/>
          <w:sz w:val="16"/>
        </w:rPr>
        <w:t>Garantiegebern.</w:t>
      </w:r>
    </w:p>
    <w:p w:rsidR="001609E3" w:rsidRDefault="001609E3">
      <w:pPr>
        <w:pStyle w:val="Notes6"/>
        <w:numPr>
          <w:ilvl w:val="0"/>
          <w:numId w:val="0"/>
        </w:numPr>
        <w:tabs>
          <w:tab w:val="clear" w:pos="4320"/>
          <w:tab w:val="clear" w:pos="8640"/>
          <w:tab w:val="right" w:pos="-2700"/>
          <w:tab w:val="right" w:pos="72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5"/>
        <w:gridCol w:w="1500"/>
        <w:gridCol w:w="1500"/>
        <w:gridCol w:w="1500"/>
        <w:gridCol w:w="1500"/>
        <w:gridCol w:w="1500"/>
      </w:tblGrid>
      <w:tr w:rsidR="001609E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31.12.2016</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Garantiert</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Sonstige Kredit</w:t>
            </w:r>
            <w:r>
              <w:rPr>
                <w:noProof/>
              </w:rPr>
              <w:softHyphen/>
            </w:r>
            <w:r>
              <w:rPr>
                <w:rFonts w:ascii="Arial" w:hAnsi="Arial"/>
                <w:b/>
                <w:noProof/>
                <w:color w:val="000000"/>
                <w:sz w:val="16"/>
              </w:rPr>
              <w:t>verbesserungen</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Ohne Garantie</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Anteil in %</w:t>
            </w:r>
          </w:p>
        </w:tc>
      </w:tr>
      <w:tr w:rsidR="001609E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Banken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22 691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34 597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933 609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990 897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57 %</w:t>
            </w:r>
          </w:p>
        </w:tc>
      </w:tr>
      <w:tr w:rsidR="001609E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Unternehmen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110 849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97 213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320 406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528 468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31 %</w:t>
            </w:r>
          </w:p>
        </w:tc>
      </w:tr>
      <w:tr w:rsidR="001609E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Öffentliche Einrichtungen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38 330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38 330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w:t>
            </w:r>
          </w:p>
        </w:tc>
      </w:tr>
      <w:tr w:rsidR="001609E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Staaten</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3 764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167 921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171 685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10 %</w:t>
            </w:r>
          </w:p>
        </w:tc>
      </w:tr>
      <w:tr w:rsidR="001609E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Insgesamt ausgezahlt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171 870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135 574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1 421 936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1 729 380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r>
      <w:tr w:rsidR="001609E3">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Unterzeichnet, noch nicht ausgezahlt</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94 976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806 923</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901 899</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hRule="exact" w:val="300"/>
        </w:trPr>
        <w:tc>
          <w:tcPr>
            <w:tcW w:w="24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31.12.2015</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Garantiert</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Sonstige Kredit</w:t>
            </w:r>
            <w:r>
              <w:rPr>
                <w:noProof/>
              </w:rPr>
              <w:softHyphen/>
            </w:r>
            <w:r>
              <w:rPr>
                <w:rFonts w:ascii="Arial" w:hAnsi="Arial"/>
                <w:b/>
                <w:noProof/>
                <w:color w:val="000000"/>
                <w:sz w:val="16"/>
              </w:rPr>
              <w:t>verbesserungen</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Ohne Garantie</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Anteil in %</w:t>
            </w:r>
          </w:p>
        </w:tc>
      </w:tr>
      <w:tr w:rsidR="001609E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Banken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18 964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73 670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758 412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851 046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58 %</w:t>
            </w:r>
          </w:p>
        </w:tc>
      </w:tr>
      <w:tr w:rsidR="001609E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Unternehmen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37 431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89 170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272 186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398 787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27 %</w:t>
            </w:r>
          </w:p>
        </w:tc>
      </w:tr>
      <w:tr w:rsidR="001609E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Öffentliche Einrichtungen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37 112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37 126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w:t>
            </w:r>
          </w:p>
        </w:tc>
      </w:tr>
      <w:tr w:rsidR="001609E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Staaten</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4 295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168 803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173 098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12 %</w:t>
            </w:r>
          </w:p>
        </w:tc>
      </w:tr>
      <w:tr w:rsidR="001609E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Insgesamt </w:t>
            </w:r>
            <w:r>
              <w:rPr>
                <w:rFonts w:ascii="Arial" w:hAnsi="Arial"/>
                <w:b/>
                <w:noProof/>
                <w:color w:val="000000"/>
                <w:sz w:val="16"/>
              </w:rPr>
              <w:t>ausgezahlt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93 507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167 135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1 199 415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1 460 057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r>
      <w:tr w:rsidR="001609E3">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Unterzeichnet, noch nicht ausgezahlt</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135 821</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1 053 743</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1 189 564</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1609E3">
            <w:pPr>
              <w:jc w:val="right"/>
              <w:rPr>
                <w:rFonts w:ascii="Arial" w:eastAsia="Arial" w:hAnsi="Arial" w:cs="Arial"/>
                <w:b/>
                <w:noProof/>
                <w:color w:val="000000"/>
                <w:sz w:val="16"/>
              </w:rPr>
            </w:pPr>
          </w:p>
        </w:tc>
      </w:tr>
    </w:tbl>
    <w:p w:rsidR="001609E3" w:rsidRDefault="001609E3">
      <w:pPr>
        <w:pStyle w:val="Default"/>
        <w:pBdr>
          <w:top w:val="nil"/>
          <w:left w:val="nil"/>
          <w:bottom w:val="nil"/>
          <w:right w:val="nil"/>
          <w:between w:val="nil"/>
          <w:bar w:val="nil"/>
        </w:pBdr>
        <w:jc w:val="both"/>
        <w:rPr>
          <w:noProof/>
          <w:sz w:val="16"/>
          <w:szCs w:val="16"/>
          <w:bdr w:val="nil"/>
        </w:rPr>
      </w:pPr>
    </w:p>
    <w:p w:rsidR="001609E3" w:rsidRDefault="001609E3">
      <w:pPr>
        <w:pStyle w:val="Default"/>
        <w:pBdr>
          <w:top w:val="nil"/>
          <w:left w:val="nil"/>
          <w:bottom w:val="nil"/>
          <w:right w:val="nil"/>
          <w:between w:val="nil"/>
          <w:bar w:val="nil"/>
        </w:pBdr>
        <w:jc w:val="both"/>
        <w:rPr>
          <w:noProof/>
          <w:sz w:val="16"/>
          <w:szCs w:val="16"/>
          <w:bdr w:val="nil"/>
        </w:rPr>
      </w:pPr>
    </w:p>
    <w:p w:rsidR="001609E3" w:rsidRDefault="00E45B63">
      <w:pPr>
        <w:pStyle w:val="Default"/>
        <w:pBdr>
          <w:top w:val="nil"/>
          <w:left w:val="nil"/>
          <w:bottom w:val="nil"/>
          <w:right w:val="nil"/>
          <w:between w:val="nil"/>
          <w:bar w:val="nil"/>
        </w:pBdr>
        <w:jc w:val="both"/>
        <w:rPr>
          <w:noProof/>
          <w:sz w:val="16"/>
          <w:szCs w:val="16"/>
          <w:bdr w:val="nil"/>
        </w:rPr>
      </w:pPr>
      <w:r>
        <w:rPr>
          <w:noProof/>
          <w:sz w:val="16"/>
          <w:bdr w:val="nil"/>
        </w:rPr>
        <w:t xml:space="preserve">Die Direktion Management und Umstrukturierung von Operationen ist für die Überwachung der Kreditnehmer und Garantiegeber sowie die </w:t>
      </w:r>
      <w:r>
        <w:rPr>
          <w:noProof/>
          <w:sz w:val="16"/>
          <w:bdr w:val="nil"/>
        </w:rPr>
        <w:t>finanzielle und vertragliche Überwachung von Projekten zuständig. Somit werden die Kreditwürdigkeit des Kreditportfolios der Fazilität, der Kreditnehmer und Garantiegeber kontinuierlich überwacht, mindestens jährlich, häufiger jedoch nach Bedarf und in Abh</w:t>
      </w:r>
      <w:r>
        <w:rPr>
          <w:noProof/>
          <w:sz w:val="16"/>
          <w:bdr w:val="nil"/>
        </w:rPr>
        <w:t>ängigkeit eintretender Kreditereignisse. Insbesondere prüft die Direktion Management und Umstrukturierung von Operationen, ob die vertraglichen Rechte eingehalten werden, und ergreift im Falle einer Verschlechterung eines Ratings und/oder bei einem Verstoß</w:t>
      </w:r>
      <w:r>
        <w:rPr>
          <w:noProof/>
          <w:sz w:val="16"/>
          <w:bdr w:val="nil"/>
        </w:rPr>
        <w:t xml:space="preserve"> gegen die Vertragsbedingungen Abhilfemaßnahmen.  Bei Bedarf werden Abhilfemaßnahmen im Einklang mit den Kreditrisikoleitlinien getroffen.  Auch bei Erneuerungen von für Kredite erhaltenen Bankgarantien wird gewährleistet, dass diese ersetzt werden oder ra</w:t>
      </w:r>
      <w:r>
        <w:rPr>
          <w:noProof/>
          <w:sz w:val="16"/>
          <w:bdr w:val="nil"/>
        </w:rPr>
        <w:t>sch Maßnahmen ergriffen werden.</w:t>
      </w:r>
    </w:p>
    <w:p w:rsidR="001609E3" w:rsidRDefault="001609E3">
      <w:pPr>
        <w:pStyle w:val="Default"/>
        <w:pBdr>
          <w:top w:val="nil"/>
          <w:left w:val="nil"/>
          <w:bottom w:val="nil"/>
          <w:right w:val="nil"/>
          <w:between w:val="nil"/>
          <w:bar w:val="nil"/>
        </w:pBdr>
        <w:jc w:val="both"/>
        <w:rPr>
          <w:noProof/>
          <w:sz w:val="16"/>
          <w:szCs w:val="16"/>
          <w:bdr w:val="nil"/>
        </w:rPr>
      </w:pPr>
    </w:p>
    <w:p w:rsidR="001609E3" w:rsidRDefault="00E45B63">
      <w:pPr>
        <w:pStyle w:val="Notes7"/>
        <w:pageBreakBefore/>
        <w:numPr>
          <w:ilvl w:val="3"/>
          <w:numId w:val="54"/>
        </w:numPr>
        <w:tabs>
          <w:tab w:val="clear" w:pos="4320"/>
          <w:tab w:val="clear" w:pos="8640"/>
          <w:tab w:val="right" w:pos="-2700"/>
          <w:tab w:val="right" w:pos="720"/>
        </w:tabs>
        <w:spacing w:before="60" w:after="60"/>
        <w:rPr>
          <w:b w:val="0"/>
          <w:bCs/>
          <w:noProof/>
          <w:sz w:val="16"/>
          <w:szCs w:val="16"/>
        </w:rPr>
      </w:pPr>
      <w:r>
        <w:rPr>
          <w:b w:val="0"/>
          <w:noProof/>
          <w:sz w:val="16"/>
        </w:rPr>
        <w:t>Analyse der Kreditqualität nach der Art des Kreditnehmers</w:t>
      </w:r>
    </w:p>
    <w:p w:rsidR="001609E3" w:rsidRDefault="001609E3">
      <w:pPr>
        <w:pStyle w:val="Notes7"/>
        <w:numPr>
          <w:ilvl w:val="0"/>
          <w:numId w:val="0"/>
        </w:numPr>
        <w:tabs>
          <w:tab w:val="clear" w:pos="4320"/>
          <w:tab w:val="clear" w:pos="8640"/>
          <w:tab w:val="right" w:pos="-2700"/>
          <w:tab w:val="right" w:pos="720"/>
        </w:tabs>
        <w:spacing w:before="60" w:after="60"/>
        <w:rPr>
          <w:b w:val="0"/>
          <w:bCs/>
          <w:noProof/>
          <w:sz w:val="16"/>
          <w:szCs w:val="16"/>
        </w:rPr>
      </w:pPr>
    </w:p>
    <w:p w:rsidR="001609E3" w:rsidRDefault="00E45B63">
      <w:pPr>
        <w:pStyle w:val="Notes7"/>
        <w:numPr>
          <w:ilvl w:val="0"/>
          <w:numId w:val="0"/>
        </w:numPr>
        <w:tabs>
          <w:tab w:val="clear" w:pos="4320"/>
          <w:tab w:val="clear" w:pos="8640"/>
          <w:tab w:val="right" w:pos="-2700"/>
        </w:tabs>
        <w:spacing w:before="60" w:after="60"/>
        <w:rPr>
          <w:b w:val="0"/>
          <w:noProof/>
          <w:sz w:val="16"/>
          <w:szCs w:val="16"/>
        </w:rPr>
      </w:pPr>
      <w:r>
        <w:rPr>
          <w:b w:val="0"/>
          <w:noProof/>
          <w:sz w:val="16"/>
        </w:rPr>
        <w:t xml:space="preserve">Die nachstehenden Tabellen enthalten die Analyse der Kreditqualität des Kreditbestands der Fazilität per 31. Dezember 2016 und per 31. Dezember 2015 nach </w:t>
      </w:r>
      <w:r>
        <w:rPr>
          <w:b w:val="0"/>
          <w:noProof/>
          <w:sz w:val="16"/>
        </w:rPr>
        <w:t>Kreditkategorie auf der Grundlage des unterzeichneten Engagements (ausgezahlt und nicht ausgezahlt):</w:t>
      </w:r>
    </w:p>
    <w:p w:rsidR="001609E3" w:rsidRDefault="001609E3">
      <w:pPr>
        <w:pStyle w:val="Notes7"/>
        <w:numPr>
          <w:ilvl w:val="0"/>
          <w:numId w:val="0"/>
        </w:numPr>
        <w:tabs>
          <w:tab w:val="clear" w:pos="4320"/>
          <w:tab w:val="clear" w:pos="8640"/>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rsidR="001609E3">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31.12.2016</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Hohe Qualität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Standard</w:t>
            </w:r>
            <w:r>
              <w:rPr>
                <w:noProof/>
              </w:rPr>
              <w:softHyphen/>
            </w:r>
            <w:r>
              <w:rPr>
                <w:rFonts w:ascii="Arial" w:hAnsi="Arial"/>
                <w:b/>
                <w:noProof/>
                <w:color w:val="000000"/>
                <w:sz w:val="16"/>
              </w:rPr>
              <w:t xml:space="preserve">qualität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Min. akz. Risiko</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Hohes Risiko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Keine Einstufung</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Gesamt</w:t>
            </w:r>
            <w:r>
              <w:rPr>
                <w:noProof/>
              </w:rPr>
              <w:softHyphen/>
            </w:r>
            <w:r>
              <w:rPr>
                <w:rFonts w:ascii="Arial" w:hAnsi="Arial"/>
                <w:b/>
                <w:noProof/>
                <w:color w:val="000000"/>
                <w:sz w:val="16"/>
              </w:rPr>
              <w:t xml:space="preserve">betrag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Anteil in %</w:t>
            </w:r>
          </w:p>
        </w:tc>
      </w:tr>
      <w:tr w:rsidR="001609E3">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A bis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D- und darunter</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Kreditnehmer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Banken</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94 081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53 970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315 524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1 038 705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126 951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1 629 231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62 %</w:t>
            </w:r>
          </w:p>
        </w:tc>
      </w:tr>
      <w:tr w:rsidR="001609E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Unternehmen</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125 810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19 389</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393 877</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152 355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691 431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26 %</w:t>
            </w:r>
          </w:p>
        </w:tc>
      </w:tr>
      <w:tr w:rsidR="001609E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Öffentliche Einrichtungen</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38 330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38 330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w:t>
            </w:r>
          </w:p>
        </w:tc>
      </w:tr>
      <w:tr w:rsidR="001609E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18 131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254 156</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272 287</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11 %</w:t>
            </w:r>
          </w:p>
        </w:tc>
      </w:tr>
      <w:tr w:rsidR="001609E3">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1609E3">
            <w:pPr>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219 891</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53 970</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391 374</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1 686 738</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279 306</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2 631 279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r>
      <w:tr w:rsidR="001609E3">
        <w:trPr>
          <w:trHeight w:hRule="exact" w:val="30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31.12.2015</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Hohe Qualität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Standard</w:t>
            </w:r>
            <w:r>
              <w:rPr>
                <w:noProof/>
              </w:rPr>
              <w:softHyphen/>
            </w:r>
            <w:r>
              <w:rPr>
                <w:rFonts w:ascii="Arial" w:hAnsi="Arial"/>
                <w:b/>
                <w:noProof/>
                <w:color w:val="000000"/>
                <w:sz w:val="16"/>
              </w:rPr>
              <w:t xml:space="preserve">qualität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Min. akz. Risiko</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Hohes Risiko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Keine Einstufung</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Gesamt</w:t>
            </w:r>
            <w:r>
              <w:rPr>
                <w:noProof/>
              </w:rPr>
              <w:softHyphen/>
            </w:r>
            <w:r>
              <w:rPr>
                <w:rFonts w:ascii="Arial" w:hAnsi="Arial"/>
                <w:b/>
                <w:noProof/>
                <w:color w:val="000000"/>
                <w:sz w:val="16"/>
              </w:rPr>
              <w:t xml:space="preserve">betrag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Anteil in %</w:t>
            </w:r>
          </w:p>
        </w:tc>
      </w:tr>
      <w:tr w:rsidR="001609E3">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A bis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D- und darunter</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Kreditnehmer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Banken</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92 260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31 558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326 635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990 971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245 160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1 686 584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64 %</w:t>
            </w:r>
          </w:p>
        </w:tc>
      </w:tr>
      <w:tr w:rsidR="001609E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Unternehmen</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125 963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12 493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450 045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588 501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w:t>
            </w:r>
          </w:p>
        </w:tc>
      </w:tr>
      <w:tr w:rsidR="001609E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Öffentliche Einrichtungen</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37 112</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40 014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77 126</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w:t>
            </w:r>
          </w:p>
        </w:tc>
      </w:tr>
      <w:tr w:rsidR="001609E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9 277</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288 133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297 410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11 %</w:t>
            </w:r>
          </w:p>
        </w:tc>
      </w:tr>
      <w:tr w:rsidR="001609E3">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1609E3">
            <w:pPr>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218 223</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31 558</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385 517</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1 769 163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245 160</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2 649 621</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r>
    </w:tbl>
    <w:p w:rsidR="001609E3" w:rsidRDefault="00E45B63">
      <w:pPr>
        <w:pStyle w:val="Notes8"/>
        <w:pageBreakBefore/>
        <w:numPr>
          <w:ilvl w:val="3"/>
          <w:numId w:val="56"/>
        </w:numPr>
        <w:tabs>
          <w:tab w:val="clear" w:pos="4320"/>
          <w:tab w:val="clear" w:pos="8640"/>
          <w:tab w:val="right" w:pos="-2700"/>
          <w:tab w:val="right" w:pos="720"/>
        </w:tabs>
        <w:spacing w:before="60" w:after="60"/>
        <w:rPr>
          <w:b w:val="0"/>
          <w:bCs/>
          <w:noProof/>
          <w:sz w:val="16"/>
          <w:szCs w:val="16"/>
        </w:rPr>
      </w:pPr>
      <w:r>
        <w:rPr>
          <w:b w:val="0"/>
          <w:noProof/>
          <w:sz w:val="16"/>
        </w:rPr>
        <w:t>Konzentration des Risikos bei Krediten und Forderungen</w:t>
      </w:r>
    </w:p>
    <w:p w:rsidR="001609E3" w:rsidRDefault="001609E3">
      <w:pPr>
        <w:pStyle w:val="Notes8"/>
        <w:numPr>
          <w:ilvl w:val="0"/>
          <w:numId w:val="0"/>
        </w:numPr>
        <w:tabs>
          <w:tab w:val="clear" w:pos="4320"/>
          <w:tab w:val="clear" w:pos="8640"/>
          <w:tab w:val="right" w:pos="-2700"/>
          <w:tab w:val="right" w:pos="720"/>
        </w:tabs>
        <w:spacing w:before="60" w:after="60"/>
        <w:rPr>
          <w:b w:val="0"/>
          <w:bCs/>
          <w:noProof/>
          <w:sz w:val="16"/>
          <w:szCs w:val="16"/>
        </w:rPr>
      </w:pPr>
    </w:p>
    <w:p w:rsidR="001609E3" w:rsidRDefault="00E45B63">
      <w:pPr>
        <w:pStyle w:val="Notes8"/>
        <w:numPr>
          <w:ilvl w:val="4"/>
          <w:numId w:val="56"/>
        </w:numPr>
        <w:tabs>
          <w:tab w:val="clear" w:pos="4320"/>
          <w:tab w:val="clear" w:pos="8640"/>
          <w:tab w:val="right" w:pos="-2700"/>
          <w:tab w:val="left" w:pos="993"/>
        </w:tabs>
        <w:spacing w:before="60" w:after="60"/>
        <w:rPr>
          <w:b w:val="0"/>
          <w:noProof/>
          <w:sz w:val="16"/>
          <w:szCs w:val="16"/>
        </w:rPr>
      </w:pPr>
      <w:r>
        <w:rPr>
          <w:b w:val="0"/>
          <w:noProof/>
          <w:sz w:val="16"/>
        </w:rPr>
        <w:t>Geografische Analyse</w:t>
      </w:r>
    </w:p>
    <w:p w:rsidR="001609E3" w:rsidRDefault="001609E3">
      <w:pPr>
        <w:pStyle w:val="Notes8"/>
        <w:numPr>
          <w:ilvl w:val="0"/>
          <w:numId w:val="0"/>
        </w:numPr>
        <w:tabs>
          <w:tab w:val="clear" w:pos="4320"/>
          <w:tab w:val="clear" w:pos="8640"/>
          <w:tab w:val="right" w:pos="-2700"/>
        </w:tabs>
        <w:spacing w:before="60" w:after="60"/>
        <w:rPr>
          <w:b w:val="0"/>
          <w:noProof/>
          <w:sz w:val="16"/>
          <w:szCs w:val="16"/>
        </w:rPr>
      </w:pPr>
    </w:p>
    <w:p w:rsidR="001609E3" w:rsidRDefault="00E45B63">
      <w:pPr>
        <w:pStyle w:val="Notes8"/>
        <w:numPr>
          <w:ilvl w:val="0"/>
          <w:numId w:val="0"/>
        </w:numPr>
        <w:tabs>
          <w:tab w:val="clear" w:pos="4320"/>
          <w:tab w:val="clear" w:pos="8640"/>
          <w:tab w:val="right" w:pos="-2700"/>
        </w:tabs>
        <w:spacing w:before="60" w:after="60"/>
        <w:rPr>
          <w:b w:val="0"/>
          <w:noProof/>
          <w:sz w:val="16"/>
          <w:szCs w:val="16"/>
        </w:rPr>
      </w:pPr>
      <w:r>
        <w:rPr>
          <w:b w:val="0"/>
          <w:noProof/>
          <w:sz w:val="16"/>
        </w:rPr>
        <w:t xml:space="preserve">Das Kreditportfolio der Fazilität kann nach den folgenden geografischen Regionen </w:t>
      </w:r>
      <w:r>
        <w:rPr>
          <w:b w:val="0"/>
          <w:noProof/>
          <w:sz w:val="16"/>
        </w:rPr>
        <w:t>analysiert werden (nach dem Land des Kreditnehmers, in Tsd. EUR):</w:t>
      </w:r>
    </w:p>
    <w:p w:rsidR="001609E3" w:rsidRDefault="001609E3">
      <w:pPr>
        <w:pStyle w:val="Notes8"/>
        <w:numPr>
          <w:ilvl w:val="0"/>
          <w:numId w:val="0"/>
        </w:numPr>
        <w:tabs>
          <w:tab w:val="clear" w:pos="4320"/>
          <w:tab w:val="clear" w:pos="8640"/>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Land des Kreditnehmers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4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Kenia</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341 805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192 945</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241 547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195 290</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175 424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178 515</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Tansania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115 239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56 367</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Jamaika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90 237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85 278</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Burundi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87 373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40</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Mauretanien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85 008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94 123</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Dominikanische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81 230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72 474</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64 605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75 387</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Äthiopien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59 837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67 589</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Kongo, demokratische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47 122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39 766</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45 715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40 439</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Kamerun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41 255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51 930</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Mauritius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31 518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18 882</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Ruanda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29 918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20 466</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Kap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23 029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24 623</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Mosambik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22 389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25 124</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Französisch-Polynesien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21 387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22 095</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Senegal</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18 544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10 991</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AKP-Regionen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15 640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111 103</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11 493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13 030</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Kaimaninseln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11 221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Sambia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11 079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8 733</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Botswana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7 889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6 605</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Haiti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6 879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7 071</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Barbados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6 809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6 356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6 267</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6 159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6 688</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Burkina Faso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4 480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5 967</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Kongo (Demokratische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3 460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5 189</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2 470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2 772</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Neukaledonien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2 191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2 705</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Seychellen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2 058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468</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Palau</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1 929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2 197</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Liberia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921</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Südafrika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1 336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Mikronesien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1 088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1 169</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Trinidad und Tobago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1 010</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1 372</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 Lucia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2 671</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Bahamas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Tonga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54</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 Martin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w:t>
            </w:r>
          </w:p>
        </w:tc>
      </w:tr>
      <w:tr w:rsidR="001609E3">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Grenada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1 735</w:t>
            </w:r>
          </w:p>
        </w:tc>
      </w:tr>
      <w:tr w:rsidR="001609E3">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1 729 380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1 460 057</w:t>
            </w:r>
          </w:p>
        </w:tc>
      </w:tr>
    </w:tbl>
    <w:p w:rsidR="001609E3" w:rsidRDefault="00E45B63">
      <w:pPr>
        <w:pStyle w:val="Notes9"/>
        <w:pageBreakBefore/>
        <w:numPr>
          <w:ilvl w:val="4"/>
          <w:numId w:val="58"/>
        </w:numPr>
        <w:tabs>
          <w:tab w:val="clear" w:pos="4320"/>
          <w:tab w:val="clear" w:pos="8640"/>
          <w:tab w:val="right" w:pos="-2700"/>
          <w:tab w:val="left" w:pos="993"/>
        </w:tabs>
        <w:spacing w:before="60" w:after="60"/>
        <w:rPr>
          <w:b w:val="0"/>
          <w:noProof/>
          <w:sz w:val="16"/>
          <w:szCs w:val="16"/>
        </w:rPr>
      </w:pPr>
      <w:r>
        <w:rPr>
          <w:b w:val="0"/>
          <w:noProof/>
          <w:sz w:val="16"/>
        </w:rPr>
        <w:t>Analyse nach Wirtschaftsbereichen</w:t>
      </w:r>
    </w:p>
    <w:p w:rsidR="001609E3" w:rsidRDefault="001609E3">
      <w:pPr>
        <w:pStyle w:val="Notes9"/>
        <w:numPr>
          <w:ilvl w:val="0"/>
          <w:numId w:val="0"/>
        </w:numPr>
        <w:tabs>
          <w:tab w:val="clear" w:pos="4320"/>
          <w:tab w:val="clear" w:pos="8640"/>
          <w:tab w:val="right" w:pos="-2700"/>
          <w:tab w:val="left" w:pos="993"/>
        </w:tabs>
        <w:spacing w:before="60" w:after="60"/>
        <w:rPr>
          <w:b w:val="0"/>
          <w:noProof/>
          <w:sz w:val="16"/>
          <w:szCs w:val="16"/>
        </w:rPr>
      </w:pPr>
    </w:p>
    <w:p w:rsidR="001609E3" w:rsidRDefault="00E45B63">
      <w:pPr>
        <w:pStyle w:val="Normal11"/>
        <w:spacing w:before="60" w:after="60"/>
        <w:jc w:val="both"/>
        <w:rPr>
          <w:rFonts w:ascii="Arial" w:hAnsi="Arial"/>
          <w:noProof/>
          <w:sz w:val="16"/>
          <w:szCs w:val="16"/>
        </w:rPr>
      </w:pPr>
      <w:r>
        <w:rPr>
          <w:rFonts w:ascii="Arial" w:hAnsi="Arial"/>
          <w:noProof/>
          <w:sz w:val="16"/>
        </w:rPr>
        <w:t xml:space="preserve">Der folgenden Tabelle ist die </w:t>
      </w:r>
      <w:r>
        <w:rPr>
          <w:rFonts w:ascii="Arial" w:hAnsi="Arial"/>
          <w:noProof/>
          <w:sz w:val="16"/>
        </w:rPr>
        <w:t>Analyse des Kreditportfolios der Fazilität nach den Wirtschaftsbereichen, in denen die Kreditnehmer tätig sind, zu entnehmen. Die Operationen, bei denen zunächst eine Auszahlung an einen Finanzmittler erfolgt, der die Mittel dann an den Endempfänger weiter</w:t>
      </w:r>
      <w:r>
        <w:rPr>
          <w:rFonts w:ascii="Arial" w:hAnsi="Arial"/>
          <w:noProof/>
          <w:sz w:val="16"/>
        </w:rPr>
        <w:t>leitet, werden unter „Globalkredite“ ausgewiesen (in Tsd. EUR).</w:t>
      </w:r>
    </w:p>
    <w:p w:rsidR="001609E3" w:rsidRDefault="001609E3">
      <w:pPr>
        <w:pStyle w:val="Normal11"/>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Wirtschaftsbereich des Kreditnehmers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Globalkredite und Vertreterverträge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987 242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658 098</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Elektrizität, Kohle und andere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277 524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197 547</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Stadtentwicklung, Erneuerung </w:t>
            </w:r>
            <w:r>
              <w:rPr>
                <w:rFonts w:ascii="Arial" w:hAnsi="Arial"/>
                <w:noProof/>
                <w:color w:val="000000"/>
                <w:sz w:val="16"/>
              </w:rPr>
              <w:t>und Verkehr</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203 094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207 773</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Grundstoffe und Bergbau</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78 849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88 615</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Dienstleistungen und andere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67 590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201 361</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Straßen und Autobahnen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48 600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48 165</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Flughäfen und Flugverkehrsmanagementsysteme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38 330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37 126</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Lebensmittelherstellungskette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13 178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7 643</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Sammlung und Verwertung von Abfall</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7 988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Materialverarbeitung, Bauwesen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6 964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13 719</w:t>
            </w: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Telekommunikation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w:t>
            </w:r>
          </w:p>
        </w:tc>
      </w:tr>
      <w:tr w:rsidR="001609E3">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1 729 380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1 460 057</w:t>
            </w:r>
          </w:p>
        </w:tc>
      </w:tr>
    </w:tbl>
    <w:p w:rsidR="001609E3" w:rsidRDefault="00E45B63">
      <w:pPr>
        <w:pStyle w:val="Notes10"/>
        <w:pageBreakBefore/>
        <w:numPr>
          <w:ilvl w:val="3"/>
          <w:numId w:val="60"/>
        </w:numPr>
        <w:tabs>
          <w:tab w:val="clear" w:pos="4320"/>
          <w:tab w:val="clear" w:pos="8640"/>
          <w:tab w:val="right" w:pos="-2700"/>
          <w:tab w:val="right" w:pos="720"/>
        </w:tabs>
        <w:spacing w:before="60" w:after="60"/>
        <w:rPr>
          <w:b w:val="0"/>
          <w:bCs/>
          <w:noProof/>
          <w:sz w:val="16"/>
          <w:szCs w:val="16"/>
        </w:rPr>
      </w:pPr>
      <w:r>
        <w:rPr>
          <w:b w:val="0"/>
          <w:noProof/>
          <w:sz w:val="16"/>
        </w:rPr>
        <w:t>Zahlungsrückstände bei Krediten und Wertminderungen</w:t>
      </w:r>
    </w:p>
    <w:p w:rsidR="001609E3" w:rsidRDefault="001609E3">
      <w:pPr>
        <w:pStyle w:val="Normal12"/>
        <w:spacing w:before="60" w:after="60"/>
        <w:jc w:val="both"/>
        <w:rPr>
          <w:rFonts w:ascii="Arial" w:hAnsi="Arial"/>
          <w:noProof/>
          <w:sz w:val="16"/>
          <w:szCs w:val="16"/>
        </w:rPr>
      </w:pPr>
    </w:p>
    <w:p w:rsidR="001609E3" w:rsidRDefault="00E45B63">
      <w:pPr>
        <w:pStyle w:val="Normal12"/>
        <w:spacing w:before="60" w:after="60"/>
        <w:jc w:val="both"/>
        <w:rPr>
          <w:rFonts w:ascii="Arial" w:hAnsi="Arial"/>
          <w:noProof/>
          <w:sz w:val="16"/>
          <w:szCs w:val="16"/>
        </w:rPr>
      </w:pPr>
      <w:r>
        <w:rPr>
          <w:rFonts w:ascii="Arial" w:hAnsi="Arial"/>
          <w:noProof/>
          <w:sz w:val="16"/>
        </w:rPr>
        <w:t>Zahlungsrückstände bei Krediten werden gemäß den in den</w:t>
      </w:r>
      <w:r>
        <w:rPr>
          <w:rFonts w:ascii="Arial" w:hAnsi="Arial"/>
          <w:noProof/>
          <w:sz w:val="16"/>
        </w:rPr>
        <w:t xml:space="preserve"> „Verfahren und Leitlinien für die Überwachung der Finanzen“ von der EIB festgelegten Verfahren ermittelt, überwacht und gemeldet. Diese Verfahren entsprechen den allgemein anerkannten Bankenpraktiken und werden für alle von der EIB verwalteten Kredite ang</w:t>
      </w:r>
      <w:r>
        <w:rPr>
          <w:rFonts w:ascii="Arial" w:hAnsi="Arial"/>
          <w:noProof/>
          <w:sz w:val="16"/>
        </w:rPr>
        <w:t>ewendet.</w:t>
      </w:r>
    </w:p>
    <w:p w:rsidR="001609E3" w:rsidRDefault="00E45B63">
      <w:pPr>
        <w:pStyle w:val="Normal12"/>
        <w:spacing w:before="60" w:after="60"/>
        <w:jc w:val="both"/>
        <w:rPr>
          <w:noProof/>
          <w:szCs w:val="20"/>
        </w:rPr>
      </w:pPr>
      <w:r>
        <w:rPr>
          <w:rFonts w:ascii="Arial" w:hAnsi="Arial"/>
          <w:noProof/>
          <w:sz w:val="16"/>
        </w:rPr>
        <w:t>Das Überwachungsverfahren ist derart strukturiert, dass sichergestellt wird, dass i) potenzielle Zahlungsrückstände festgestellt und den zuständigen Dienststellen binnen kürzester Frist gemeldet werden; ii) kritische Fälle umgehend auf die richtig</w:t>
      </w:r>
      <w:r>
        <w:rPr>
          <w:rFonts w:ascii="Arial" w:hAnsi="Arial"/>
          <w:noProof/>
          <w:sz w:val="16"/>
        </w:rPr>
        <w:t>e operative und Entscheidungsebene weitergeleitet werden und iii) eine regelmäßige Berichterstattung an die EIB und die Mitgliedstaaten über die Gesamtsituation in Bezug auf Zahlungsrückstände und die bereits eingeleiteten oder einzuleitenden Einziehungsma</w:t>
      </w:r>
      <w:r>
        <w:rPr>
          <w:rFonts w:ascii="Arial" w:hAnsi="Arial"/>
          <w:noProof/>
          <w:sz w:val="16"/>
        </w:rPr>
        <w:t>ßnahmen erfolgt.</w:t>
      </w:r>
    </w:p>
    <w:p w:rsidR="001609E3" w:rsidRDefault="001609E3">
      <w:pPr>
        <w:pStyle w:val="Normal12"/>
        <w:suppressAutoHyphens w:val="0"/>
        <w:rPr>
          <w:rFonts w:ascii="Arial" w:hAnsi="Arial"/>
          <w:noProof/>
          <w:sz w:val="16"/>
          <w:szCs w:val="16"/>
        </w:rPr>
      </w:pPr>
    </w:p>
    <w:p w:rsidR="001609E3" w:rsidRDefault="00E45B63">
      <w:pPr>
        <w:pStyle w:val="Normal12"/>
        <w:spacing w:before="60" w:after="60"/>
        <w:jc w:val="both"/>
        <w:rPr>
          <w:rFonts w:ascii="Arial" w:hAnsi="Arial"/>
          <w:noProof/>
          <w:sz w:val="16"/>
          <w:szCs w:val="16"/>
        </w:rPr>
      </w:pPr>
      <w:r>
        <w:rPr>
          <w:rFonts w:ascii="Arial" w:hAnsi="Arial"/>
          <w:noProof/>
          <w:sz w:val="16"/>
        </w:rPr>
        <w:t>Die Zahlungsrückstände und Wertminderungen bei Krediten können folgendermaßen aufgegliedert werden (in Tsd. EUR):</w:t>
      </w:r>
    </w:p>
    <w:p w:rsidR="001609E3" w:rsidRDefault="001609E3">
      <w:pPr>
        <w:pStyle w:val="Normal12"/>
        <w:spacing w:before="60" w:after="60"/>
        <w:jc w:val="both"/>
        <w:rPr>
          <w:rFonts w:ascii="Arial" w:hAnsi="Arial"/>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00"/>
        <w:gridCol w:w="750"/>
        <w:gridCol w:w="2355"/>
        <w:gridCol w:w="2355"/>
      </w:tblGrid>
      <w:tr w:rsidR="001609E3">
        <w:trPr>
          <w:trHeight w:val="300"/>
        </w:trPr>
        <w:tc>
          <w:tcPr>
            <w:tcW w:w="4500" w:type="dxa"/>
            <w:vMerge w:val="restart"/>
            <w:tcBorders>
              <w:top w:val="single" w:sz="8" w:space="0" w:color="000000"/>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Kredite und Forderungen</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Kredite und Forderungen</w:t>
            </w:r>
          </w:p>
        </w:tc>
      </w:tr>
      <w:tr w:rsidR="001609E3">
        <w:trPr>
          <w:trHeight w:val="300"/>
        </w:trPr>
        <w:tc>
          <w:tcPr>
            <w:tcW w:w="4500" w:type="dxa"/>
            <w:vMerge/>
            <w:tcBorders>
              <w:top w:val="nil"/>
              <w:left w:val="nil"/>
              <w:bottom w:val="single" w:sz="8" w:space="0" w:color="000000"/>
              <w:right w:val="nil"/>
              <w:tl2br w:val="nil"/>
              <w:tr2bl w:val="nil"/>
            </w:tcBorders>
            <w:shd w:val="clear" w:color="auto" w:fill="auto"/>
            <w:tcMar>
              <w:left w:w="40" w:type="dxa"/>
              <w:right w:w="40" w:type="dxa"/>
            </w:tcMar>
            <w:vAlign w:val="bottom"/>
          </w:tcPr>
          <w:p w:rsidR="001609E3" w:rsidRDefault="001609E3">
            <w:pPr>
              <w:jc w:val="cente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rsidR="001609E3" w:rsidRDefault="00E45B63">
            <w:pPr>
              <w:jc w:val="center"/>
              <w:rPr>
                <w:rFonts w:ascii="Arial" w:eastAsia="Arial" w:hAnsi="Arial" w:cs="Arial"/>
                <w:b/>
                <w:noProof/>
                <w:color w:val="000000"/>
                <w:sz w:val="16"/>
              </w:rPr>
            </w:pPr>
            <w:r>
              <w:rPr>
                <w:rFonts w:ascii="Arial" w:hAnsi="Arial"/>
                <w:b/>
                <w:noProof/>
                <w:color w:val="000000"/>
                <w:sz w:val="16"/>
              </w:rPr>
              <w:t>Erläu</w:t>
            </w:r>
            <w:r>
              <w:rPr>
                <w:noProof/>
              </w:rPr>
              <w:softHyphen/>
            </w:r>
            <w:r>
              <w:rPr>
                <w:rFonts w:ascii="Arial" w:hAnsi="Arial"/>
                <w:b/>
                <w:noProof/>
                <w:color w:val="000000"/>
                <w:sz w:val="16"/>
              </w:rPr>
              <w:t>terungen</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Buchwert</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1 729 380</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1 460 057</w:t>
            </w:r>
          </w:p>
        </w:tc>
      </w:tr>
      <w:tr w:rsidR="001609E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Einzeln wertgemindert</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Brutto</w:t>
            </w:r>
            <w:r>
              <w:rPr>
                <w:noProof/>
              </w:rPr>
              <w:softHyphen/>
            </w:r>
            <w:r>
              <w:rPr>
                <w:rFonts w:ascii="Arial" w:hAnsi="Arial"/>
                <w:noProof/>
                <w:color w:val="000000"/>
                <w:sz w:val="16"/>
              </w:rPr>
              <w:t>betrag</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119 381</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214 232</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Rückstellung für Wertminderungen</w:t>
            </w:r>
          </w:p>
        </w:tc>
        <w:tc>
          <w:tcPr>
            <w:tcW w:w="7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 xml:space="preserve"> 7</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-117 640</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-191 046</w:t>
            </w:r>
          </w:p>
        </w:tc>
      </w:tr>
      <w:tr w:rsidR="001609E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Buchwert einzeln wertgemindert</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1 741</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23 186</w:t>
            </w:r>
          </w:p>
        </w:tc>
      </w:tr>
      <w:tr w:rsidR="001609E3">
        <w:trPr>
          <w:trHeight w:val="300"/>
        </w:trPr>
        <w:tc>
          <w:tcPr>
            <w:tcW w:w="4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noProof/>
                <w:color w:val="000000"/>
                <w:sz w:val="20"/>
              </w:rPr>
            </w:pPr>
          </w:p>
        </w:tc>
      </w:tr>
      <w:tr w:rsidR="001609E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Pauschal wertgemindert</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Brutto</w:t>
            </w:r>
            <w:r>
              <w:rPr>
                <w:noProof/>
              </w:rPr>
              <w:softHyphen/>
            </w:r>
            <w:r>
              <w:rPr>
                <w:rFonts w:ascii="Arial" w:hAnsi="Arial"/>
                <w:noProof/>
                <w:color w:val="000000"/>
                <w:sz w:val="16"/>
              </w:rPr>
              <w:t>betrag</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Rückstellung für Wertminderungen</w:t>
            </w:r>
          </w:p>
        </w:tc>
        <w:tc>
          <w:tcPr>
            <w:tcW w:w="750" w:type="dxa"/>
            <w:tcBorders>
              <w:top w:val="nil"/>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Buchwert pauschal wertgemindert</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r>
      <w:tr w:rsidR="001609E3">
        <w:trPr>
          <w:trHeight w:hRule="exact" w:val="300"/>
        </w:trPr>
        <w:tc>
          <w:tcPr>
            <w:tcW w:w="4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7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jc w:val="right"/>
              <w:rPr>
                <w:noProof/>
                <w:color w:val="000000"/>
                <w:sz w:val="20"/>
              </w:rPr>
            </w:pPr>
          </w:p>
        </w:tc>
      </w:tr>
      <w:tr w:rsidR="001609E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Überfällig, aber nicht wertgemindert</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hRule="exact" w:val="300"/>
        </w:trPr>
        <w:tc>
          <w:tcPr>
            <w:tcW w:w="45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75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jc w:val="right"/>
              <w:rPr>
                <w:noProof/>
                <w:color w:val="000000"/>
                <w:sz w:val="20"/>
              </w:rPr>
            </w:pP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Überfällig umfasst</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noProof/>
                <w:color w:val="000000"/>
                <w:sz w:val="20"/>
              </w:rPr>
            </w:pP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0-30 Tage</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1 620</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1 521</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30-60 Tage</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60-90 Tage</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90-180 Tage</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über 180 Tage</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w:t>
            </w:r>
          </w:p>
        </w:tc>
      </w:tr>
      <w:tr w:rsidR="001609E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Buchwert überfällig, aber nicht wertgemindert</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1 651</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1 549</w:t>
            </w:r>
          </w:p>
        </w:tc>
      </w:tr>
      <w:tr w:rsidR="001609E3">
        <w:trPr>
          <w:trHeight w:hRule="exact" w:val="300"/>
        </w:trPr>
        <w:tc>
          <w:tcPr>
            <w:tcW w:w="4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noProof/>
                <w:color w:val="000000"/>
                <w:sz w:val="20"/>
              </w:rPr>
            </w:pPr>
          </w:p>
        </w:tc>
        <w:tc>
          <w:tcPr>
            <w:tcW w:w="2355"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noProof/>
                <w:color w:val="000000"/>
                <w:sz w:val="20"/>
              </w:rPr>
            </w:pPr>
          </w:p>
        </w:tc>
        <w:tc>
          <w:tcPr>
            <w:tcW w:w="235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jc w:val="right"/>
              <w:rPr>
                <w:noProof/>
                <w:color w:val="000000"/>
                <w:sz w:val="20"/>
              </w:rPr>
            </w:pPr>
          </w:p>
        </w:tc>
      </w:tr>
      <w:tr w:rsidR="001609E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Buchwert weder überfällig noch wertgemindert</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1 725 988</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1 435 322</w:t>
            </w:r>
          </w:p>
        </w:tc>
      </w:tr>
      <w:tr w:rsidR="001609E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750" w:type="dxa"/>
            <w:tcBorders>
              <w:top w:val="nil"/>
              <w:left w:val="nil"/>
              <w:bottom w:val="nil"/>
              <w:right w:val="nil"/>
              <w:tl2br w:val="nil"/>
              <w:tr2bl w:val="nil"/>
            </w:tcBorders>
            <w:shd w:val="clear" w:color="auto" w:fill="auto"/>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Buchwert der Kredite und Forderungen insgesamt</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1609E3" w:rsidRDefault="001609E3">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1 729 380</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1 460 057</w:t>
            </w:r>
          </w:p>
        </w:tc>
      </w:tr>
    </w:tbl>
    <w:p w:rsidR="001609E3" w:rsidRDefault="00E45B63">
      <w:pPr>
        <w:pStyle w:val="Notes11"/>
        <w:pageBreakBefore/>
        <w:numPr>
          <w:ilvl w:val="3"/>
          <w:numId w:val="62"/>
        </w:numPr>
        <w:tabs>
          <w:tab w:val="clear" w:pos="4320"/>
          <w:tab w:val="clear" w:pos="8640"/>
          <w:tab w:val="right" w:pos="-2700"/>
          <w:tab w:val="right" w:pos="720"/>
        </w:tabs>
        <w:spacing w:before="60" w:after="60"/>
        <w:rPr>
          <w:b w:val="0"/>
          <w:bCs/>
          <w:noProof/>
          <w:sz w:val="16"/>
          <w:szCs w:val="16"/>
        </w:rPr>
      </w:pPr>
      <w:r>
        <w:rPr>
          <w:b w:val="0"/>
          <w:noProof/>
          <w:sz w:val="16"/>
        </w:rPr>
        <w:t>Neuverhandlung und Stundung von Krediten</w:t>
      </w:r>
    </w:p>
    <w:p w:rsidR="001609E3" w:rsidRDefault="001609E3">
      <w:pPr>
        <w:pStyle w:val="Normal13"/>
        <w:spacing w:before="60" w:after="60"/>
        <w:jc w:val="both"/>
        <w:rPr>
          <w:rFonts w:ascii="Arial" w:hAnsi="Arial"/>
          <w:noProof/>
          <w:sz w:val="16"/>
          <w:szCs w:val="16"/>
        </w:rPr>
      </w:pPr>
    </w:p>
    <w:p w:rsidR="001609E3" w:rsidRDefault="00E45B63">
      <w:pPr>
        <w:pStyle w:val="Normal13"/>
        <w:spacing w:before="60" w:after="60"/>
        <w:jc w:val="both"/>
        <w:rPr>
          <w:rFonts w:ascii="Arial" w:hAnsi="Arial"/>
          <w:noProof/>
          <w:sz w:val="16"/>
          <w:szCs w:val="16"/>
        </w:rPr>
      </w:pPr>
      <w:r>
        <w:rPr>
          <w:rFonts w:ascii="Arial" w:hAnsi="Arial"/>
          <w:noProof/>
          <w:sz w:val="16"/>
        </w:rPr>
        <w:t>Die Fazilität betrachtet Kredite als gestundet, wenn sie in Reaktion auf nachteilige Veränderungen der Finanzlage des Kreditnehmers die ursprünglichen Bedingungen der vertraglichen Vereinbarungen mit dem betreffenden Kreditnehmer neu verhandelt und dies un</w:t>
      </w:r>
      <w:r>
        <w:rPr>
          <w:rFonts w:ascii="Arial" w:hAnsi="Arial"/>
          <w:noProof/>
          <w:sz w:val="16"/>
        </w:rPr>
        <w:t>mittelbare Auswirkungen auf die künftigen Cashflows des betreffenden Finanzinstruments hat bzw. wenn dies zu einem Verlust für die Fazilität führen kann. Die finanziellen Auswirkungen von Umschuldungen beschränken sich jedoch im Allgemeinen auf Wertminderu</w:t>
      </w:r>
      <w:r>
        <w:rPr>
          <w:rFonts w:ascii="Arial" w:hAnsi="Arial"/>
          <w:noProof/>
          <w:sz w:val="16"/>
        </w:rPr>
        <w:t xml:space="preserve">ngsaufwendungen, denn generell wird von der Fazilität der Grundsatz finanzieller Neutralität angewendet. Dieser Grundsatz spiegelt sich in den neu verhandelten Preisbildungsbedingungen der umgeschuldeten Geschäfte wider. </w:t>
      </w:r>
    </w:p>
    <w:p w:rsidR="001609E3" w:rsidRDefault="001609E3">
      <w:pPr>
        <w:pStyle w:val="Normal13"/>
        <w:spacing w:before="60" w:after="60"/>
        <w:jc w:val="both"/>
        <w:rPr>
          <w:rFonts w:ascii="Arial" w:hAnsi="Arial"/>
          <w:noProof/>
          <w:sz w:val="16"/>
          <w:szCs w:val="16"/>
        </w:rPr>
      </w:pPr>
    </w:p>
    <w:p w:rsidR="001609E3" w:rsidRDefault="00E45B63">
      <w:pPr>
        <w:pStyle w:val="Normal13"/>
        <w:spacing w:before="60" w:after="60"/>
        <w:jc w:val="both"/>
        <w:rPr>
          <w:rFonts w:ascii="Arial" w:hAnsi="Arial"/>
          <w:noProof/>
          <w:sz w:val="16"/>
          <w:szCs w:val="16"/>
        </w:rPr>
      </w:pPr>
      <w:r>
        <w:rPr>
          <w:rFonts w:ascii="Arial" w:hAnsi="Arial"/>
          <w:noProof/>
          <w:sz w:val="16"/>
        </w:rPr>
        <w:t>Im normalen Geschäftsablauf hätte</w:t>
      </w:r>
      <w:r>
        <w:rPr>
          <w:rFonts w:ascii="Arial" w:hAnsi="Arial"/>
          <w:noProof/>
          <w:sz w:val="16"/>
        </w:rPr>
        <w:t xml:space="preserve"> sich die Krediteinstufung der fraglichen Kredite verschlechtert und die Kredite wären vor der Neuverhandlung in die Watch List (Beobachtungsliste) aufgenommen worden. Auch nach der Neuverhandlung setzt die Fazilität die engmaschige Überwachung dieser Kred</w:t>
      </w:r>
      <w:r>
        <w:rPr>
          <w:rFonts w:ascii="Arial" w:hAnsi="Arial"/>
          <w:noProof/>
          <w:sz w:val="16"/>
        </w:rPr>
        <w:t>ite fort. Ermöglichen die neu verhandelten Zahlungsbedingungen nicht, den ursprünglichen Buchwert des Vermögenswerts einzuziehen, gilt dieser als wertgemindert. Die entsprechenden Wertminderungsaufwendungen werden auf der Basis der prognostizierten, zum ur</w:t>
      </w:r>
      <w:r>
        <w:rPr>
          <w:rFonts w:ascii="Arial" w:hAnsi="Arial"/>
          <w:noProof/>
          <w:sz w:val="16"/>
        </w:rPr>
        <w:t>sprünglichen effektiven Zinssatz abgezinsten Cashflows berechnet. Die Notwendigkeit einer Wertminderung wird bei allen Krediten, deren Einstufung sich auf E- verschlechterte, regelmäßig geprüft; bei allen Krediten mit einer Einstufung von F ist eine Wertmi</w:t>
      </w:r>
      <w:r>
        <w:rPr>
          <w:rFonts w:ascii="Arial" w:hAnsi="Arial"/>
          <w:noProof/>
          <w:sz w:val="16"/>
        </w:rPr>
        <w:t>nderung erforderlich.  Sobald sich die Einstufung eines Kredits hinreichend gebessert hat, wird dieser den Verfahren der Fazilität entsprechend von der Beobachtungsliste (Watch List) gestrichen.</w:t>
      </w:r>
    </w:p>
    <w:p w:rsidR="001609E3" w:rsidRDefault="001609E3">
      <w:pPr>
        <w:pStyle w:val="Normal13"/>
        <w:spacing w:before="60" w:after="60"/>
        <w:jc w:val="both"/>
        <w:rPr>
          <w:rFonts w:ascii="Arial" w:hAnsi="Arial"/>
          <w:noProof/>
          <w:sz w:val="16"/>
          <w:szCs w:val="16"/>
        </w:rPr>
      </w:pPr>
    </w:p>
    <w:p w:rsidR="001609E3" w:rsidRDefault="00E45B63">
      <w:pPr>
        <w:pStyle w:val="Normal13"/>
        <w:spacing w:before="60" w:after="60"/>
        <w:jc w:val="both"/>
        <w:rPr>
          <w:rFonts w:ascii="Arial" w:hAnsi="Arial"/>
          <w:noProof/>
          <w:sz w:val="16"/>
          <w:szCs w:val="16"/>
        </w:rPr>
      </w:pPr>
      <w:r>
        <w:rPr>
          <w:rFonts w:ascii="Arial" w:hAnsi="Arial"/>
          <w:noProof/>
          <w:sz w:val="16"/>
        </w:rPr>
        <w:t>Während der Berichtsperiode vom Umschuldungsteam der Fazilit</w:t>
      </w:r>
      <w:r>
        <w:rPr>
          <w:rFonts w:ascii="Arial" w:hAnsi="Arial"/>
          <w:noProof/>
          <w:sz w:val="16"/>
        </w:rPr>
        <w:t xml:space="preserve">ät durchgeführte Stundungsmaßnahmen und -praktiken umfassen unter anderem eine Verlängerung der Fälligkeit, Aufschub nur der Kapitalrückzahlung, Aufschub der Kapital- und Zinszahlung und Aktivierung von Zahlungsrückständen. Diese Stundungsmaßnahmen führen </w:t>
      </w:r>
      <w:r>
        <w:rPr>
          <w:rFonts w:ascii="Arial" w:hAnsi="Arial"/>
          <w:noProof/>
          <w:sz w:val="16"/>
        </w:rPr>
        <w:t xml:space="preserve">nicht zur Ausbuchung des zugrundliegenden Geschäfts. </w:t>
      </w:r>
    </w:p>
    <w:p w:rsidR="001609E3" w:rsidRDefault="001609E3">
      <w:pPr>
        <w:pStyle w:val="Normal13"/>
        <w:spacing w:before="60" w:after="60"/>
        <w:jc w:val="both"/>
        <w:rPr>
          <w:rFonts w:ascii="Arial" w:hAnsi="Arial"/>
          <w:noProof/>
          <w:sz w:val="16"/>
          <w:szCs w:val="16"/>
        </w:rPr>
      </w:pPr>
    </w:p>
    <w:p w:rsidR="001609E3" w:rsidRDefault="00E45B63">
      <w:pPr>
        <w:pStyle w:val="Normal13"/>
        <w:spacing w:before="60" w:after="60"/>
        <w:jc w:val="both"/>
        <w:rPr>
          <w:rFonts w:ascii="Arial" w:hAnsi="Arial"/>
          <w:noProof/>
          <w:sz w:val="16"/>
          <w:szCs w:val="16"/>
        </w:rPr>
      </w:pPr>
      <w:r>
        <w:rPr>
          <w:rFonts w:ascii="Arial" w:hAnsi="Arial"/>
          <w:noProof/>
          <w:sz w:val="16"/>
        </w:rPr>
        <w:t>Engagements, bei denen Änderungen der Vertragsbedingungen ohne Einfluss auf künftige Cashflows eintreten können, beispielsweise Sicherheiten, sonstige Sicherungsvereinbarungen oder der Verzicht auf ver</w:t>
      </w:r>
      <w:r>
        <w:rPr>
          <w:rFonts w:ascii="Arial" w:hAnsi="Arial"/>
          <w:noProof/>
          <w:sz w:val="16"/>
        </w:rPr>
        <w:t>tragliche Rechte aus Vereinbarungen, werden nicht als gestundet betrachtet. Folglich werden auch die betreffenden Ereignisse nicht als schwerwiegend genug betrachtet, um für sich genommen auf eine Wertminderung hinzuweisen.</w:t>
      </w:r>
    </w:p>
    <w:p w:rsidR="001609E3" w:rsidRDefault="001609E3">
      <w:pPr>
        <w:pStyle w:val="Normal13"/>
        <w:spacing w:before="60" w:after="60"/>
        <w:jc w:val="both"/>
        <w:rPr>
          <w:rFonts w:ascii="Arial" w:hAnsi="Arial"/>
          <w:noProof/>
          <w:sz w:val="16"/>
          <w:szCs w:val="16"/>
        </w:rPr>
      </w:pPr>
    </w:p>
    <w:p w:rsidR="001609E3" w:rsidRDefault="00E45B63">
      <w:pPr>
        <w:pStyle w:val="Normal13"/>
        <w:spacing w:before="60" w:after="60"/>
        <w:jc w:val="both"/>
        <w:rPr>
          <w:rFonts w:ascii="Arial" w:hAnsi="Arial"/>
          <w:noProof/>
          <w:sz w:val="16"/>
          <w:szCs w:val="16"/>
        </w:rPr>
      </w:pPr>
      <w:r>
        <w:rPr>
          <w:rFonts w:ascii="Arial" w:hAnsi="Arial"/>
          <w:noProof/>
          <w:sz w:val="16"/>
        </w:rPr>
        <w:t>Stundungsmaßnahmen unterliegend</w:t>
      </w:r>
      <w:r>
        <w:rPr>
          <w:rFonts w:ascii="Arial" w:hAnsi="Arial"/>
          <w:noProof/>
          <w:sz w:val="16"/>
        </w:rPr>
        <w:t>e Geschäfte werden in der folgenden Tabelle ausgewiesen:</w:t>
      </w:r>
    </w:p>
    <w:p w:rsidR="001609E3" w:rsidRDefault="001609E3">
      <w:pPr>
        <w:pStyle w:val="Normal13"/>
        <w:spacing w:before="60" w:after="60"/>
        <w:jc w:val="both"/>
        <w:rPr>
          <w:rFonts w:ascii="Arial" w:hAnsi="Arial"/>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60"/>
        <w:gridCol w:w="1500"/>
        <w:gridCol w:w="1500"/>
      </w:tblGrid>
      <w:tr w:rsidR="001609E3">
        <w:trPr>
          <w:trHeight w:val="300"/>
        </w:trPr>
        <w:tc>
          <w:tcPr>
            <w:tcW w:w="6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300"/>
        </w:trPr>
        <w:tc>
          <w:tcPr>
            <w:tcW w:w="6960" w:type="dxa"/>
            <w:tcBorders>
              <w:top w:val="single" w:sz="4" w:space="0" w:color="000000"/>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Anzahl der Stundungen unterliegenden Geschäfte</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w:t>
            </w:r>
          </w:p>
        </w:tc>
      </w:tr>
      <w:tr w:rsidR="001609E3">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Buchwerte</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171 135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225 631</w:t>
            </w:r>
          </w:p>
        </w:tc>
      </w:tr>
      <w:tr w:rsidR="001609E3">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davon wertgemindert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124 250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204 711</w:t>
            </w:r>
          </w:p>
        </w:tc>
      </w:tr>
      <w:tr w:rsidR="001609E3">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Wertminderung angesetzt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113 052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188 197</w:t>
            </w:r>
          </w:p>
        </w:tc>
      </w:tr>
      <w:tr w:rsidR="001609E3">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Zinseinnahmen in Bezug auf gestundete Geschäfte</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19 877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14 262</w:t>
            </w:r>
          </w:p>
        </w:tc>
      </w:tr>
      <w:tr w:rsidR="001609E3">
        <w:trPr>
          <w:trHeight w:val="300"/>
        </w:trPr>
        <w:tc>
          <w:tcPr>
            <w:tcW w:w="6960" w:type="dxa"/>
            <w:tcBorders>
              <w:top w:val="nil"/>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Abgeschriebene Engagements (nach Beendigung/Verkauf des Geschäfts)</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31 298</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bl>
    <w:p w:rsidR="001609E3" w:rsidRDefault="001609E3">
      <w:pPr>
        <w:rPr>
          <w:noProof/>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00"/>
        <w:gridCol w:w="1200"/>
        <w:gridCol w:w="1200"/>
        <w:gridCol w:w="1200"/>
        <w:gridCol w:w="1200"/>
        <w:gridCol w:w="1200"/>
        <w:gridCol w:w="1275"/>
        <w:gridCol w:w="1200"/>
      </w:tblGrid>
      <w:tr w:rsidR="001609E3">
        <w:trPr>
          <w:trHeight w:hRule="exact" w:val="300"/>
        </w:trPr>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2400"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Stundungsmaßnahmen</w:t>
            </w: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r>
      <w:tr w:rsidR="001609E3">
        <w:trPr>
          <w:trHeight w:val="945"/>
        </w:trPr>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1609E3" w:rsidRDefault="00E45B63">
            <w:pPr>
              <w:jc w:val="both"/>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Verlängerung von Fälligkeiten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Aufschub nur der Kapitalrück</w:t>
            </w:r>
            <w:r>
              <w:rPr>
                <w:noProof/>
              </w:rPr>
              <w:softHyphen/>
            </w:r>
            <w:r>
              <w:rPr>
                <w:rFonts w:ascii="Arial" w:hAnsi="Arial"/>
                <w:b/>
                <w:noProof/>
                <w:color w:val="000000"/>
                <w:sz w:val="16"/>
              </w:rPr>
              <w:t>zahlung</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Aufschub der Kapital- und Zinszahlung</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Sonstiges</w:t>
            </w:r>
          </w:p>
        </w:tc>
        <w:tc>
          <w:tcPr>
            <w:tcW w:w="12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Vertragliche Rückzahlung und Kündigung </w:t>
            </w:r>
            <w:r>
              <w:rPr>
                <w:rFonts w:ascii="Arial" w:hAnsi="Arial"/>
                <w:b/>
                <w:noProof/>
                <w:color w:val="000000"/>
                <w:sz w:val="18"/>
                <w:vertAlign w:val="superscript"/>
              </w:rPr>
              <w:t>(1)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r>
      <w:tr w:rsidR="001609E3">
        <w:trPr>
          <w:trHeight w:val="300"/>
        </w:trPr>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Banken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17 891</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12 150</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8 062</w:t>
            </w:r>
          </w:p>
        </w:tc>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-827</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37 276</w:t>
            </w:r>
          </w:p>
        </w:tc>
      </w:tr>
      <w:tr w:rsidR="001609E3">
        <w:trPr>
          <w:trHeight w:val="300"/>
        </w:trPr>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both"/>
              <w:rPr>
                <w:rFonts w:ascii="Arial" w:eastAsia="Arial" w:hAnsi="Arial" w:cs="Arial"/>
                <w:noProof/>
                <w:color w:val="000000"/>
                <w:sz w:val="16"/>
              </w:rPr>
            </w:pPr>
            <w:r>
              <w:rPr>
                <w:rFonts w:ascii="Arial" w:hAnsi="Arial"/>
                <w:noProof/>
                <w:color w:val="000000"/>
                <w:sz w:val="16"/>
              </w:rPr>
              <w:t>Unternehmen</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207 740</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26 203</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-100 084</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133 859</w:t>
            </w:r>
          </w:p>
        </w:tc>
      </w:tr>
      <w:tr w:rsidR="001609E3">
        <w:trPr>
          <w:trHeight w:hRule="exact" w:val="300"/>
        </w:trPr>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225 631</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12 150</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34 265</w:t>
            </w:r>
          </w:p>
        </w:tc>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-100 911</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171 135</w:t>
            </w:r>
          </w:p>
        </w:tc>
      </w:tr>
      <w:tr w:rsidR="001609E3">
        <w:trPr>
          <w:trHeight w:hRule="exact" w:val="225"/>
        </w:trPr>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7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16"/>
              </w:rPr>
            </w:pPr>
          </w:p>
        </w:tc>
      </w:tr>
      <w:tr w:rsidR="001609E3">
        <w:trPr>
          <w:trHeight w:val="465"/>
        </w:trPr>
        <w:tc>
          <w:tcPr>
            <w:tcW w:w="9975" w:type="dxa"/>
            <w:gridSpan w:val="8"/>
            <w:tcBorders>
              <w:top w:val="nil"/>
              <w:left w:val="nil"/>
              <w:bottom w:val="nil"/>
              <w:right w:val="nil"/>
              <w:tl2br w:val="nil"/>
              <w:tr2bl w:val="nil"/>
            </w:tcBorders>
            <w:shd w:val="clear" w:color="auto" w:fill="auto"/>
            <w:tcMar>
              <w:left w:w="40" w:type="dxa"/>
              <w:right w:w="40" w:type="dxa"/>
            </w:tcMar>
            <w:vAlign w:val="bottom"/>
          </w:tcPr>
          <w:p w:rsidR="001609E3" w:rsidRDefault="00E45B63">
            <w:pPr>
              <w:rPr>
                <w:rFonts w:ascii="Arial" w:eastAsia="Arial" w:hAnsi="Arial" w:cs="Arial"/>
                <w:noProof/>
                <w:color w:val="000000"/>
                <w:sz w:val="20"/>
                <w:vertAlign w:val="superscript"/>
              </w:rPr>
            </w:pPr>
            <w:r>
              <w:rPr>
                <w:rFonts w:ascii="Arial" w:hAnsi="Arial"/>
                <w:noProof/>
                <w:color w:val="000000"/>
                <w:sz w:val="20"/>
                <w:vertAlign w:val="superscript"/>
              </w:rPr>
              <w:t>(1) Rückgänge sind durch Kapitalrückzahlungen, die auf seit 31. Dezember 2015 bereits als gestundet betrachtete Geschäfte geleistet wurden, sowie durch im Laufe des Haushaltsjahres erfolgte Kündigungen zu erklären.</w:t>
            </w:r>
          </w:p>
        </w:tc>
      </w:tr>
    </w:tbl>
    <w:p w:rsidR="001609E3" w:rsidRDefault="00E45B63">
      <w:pPr>
        <w:pStyle w:val="Title3212"/>
        <w:pageBreakBefore/>
        <w:tabs>
          <w:tab w:val="clear" w:pos="822"/>
          <w:tab w:val="num" w:pos="709"/>
        </w:tabs>
        <w:ind w:hanging="822"/>
        <w:rPr>
          <w:b w:val="0"/>
          <w:noProof/>
          <w:sz w:val="16"/>
          <w:szCs w:val="16"/>
        </w:rPr>
      </w:pPr>
      <w:bookmarkStart w:id="411" w:name="OLE_LINK3"/>
      <w:bookmarkStart w:id="412" w:name="OLE_LINK4"/>
      <w:r>
        <w:rPr>
          <w:b w:val="0"/>
          <w:noProof/>
          <w:sz w:val="16"/>
        </w:rPr>
        <w:t xml:space="preserve">Kreditrisiko bei </w:t>
      </w:r>
      <w:r>
        <w:rPr>
          <w:b w:val="0"/>
          <w:noProof/>
          <w:sz w:val="16"/>
        </w:rPr>
        <w:t>Zahlungsmitteln und Zahlungsmitteläquivalenten</w:t>
      </w:r>
    </w:p>
    <w:p w:rsidR="001609E3" w:rsidRDefault="001609E3">
      <w:pPr>
        <w:pStyle w:val="Normal14"/>
        <w:spacing w:before="60" w:after="60"/>
        <w:rPr>
          <w:rFonts w:ascii="Arial" w:hAnsi="Arial"/>
          <w:noProof/>
          <w:sz w:val="16"/>
          <w:szCs w:val="16"/>
          <w:shd w:val="clear" w:color="auto" w:fill="00FF00"/>
        </w:rPr>
      </w:pPr>
    </w:p>
    <w:bookmarkEnd w:id="411"/>
    <w:bookmarkEnd w:id="412"/>
    <w:p w:rsidR="001609E3" w:rsidRDefault="00E45B63">
      <w:pPr>
        <w:pStyle w:val="Notes12"/>
        <w:numPr>
          <w:ilvl w:val="0"/>
          <w:numId w:val="0"/>
        </w:numPr>
        <w:tabs>
          <w:tab w:val="right" w:pos="-2700"/>
        </w:tabs>
        <w:spacing w:before="60" w:after="60"/>
        <w:rPr>
          <w:b w:val="0"/>
          <w:noProof/>
          <w:sz w:val="16"/>
          <w:szCs w:val="16"/>
        </w:rPr>
      </w:pPr>
      <w:r>
        <w:rPr>
          <w:b w:val="0"/>
          <w:noProof/>
          <w:sz w:val="16"/>
        </w:rPr>
        <w:t>Die verfügbaren Mittel werden im Einklang mit dem Zeitplan der Fazilität für vertragliche Zahlungsverpflichtungen investiert. Per 31. Dezember 2016 und 31. Dezember 2015 waren Investitionen in Form von Bankei</w:t>
      </w:r>
      <w:r>
        <w:rPr>
          <w:b w:val="0"/>
          <w:noProof/>
          <w:sz w:val="16"/>
        </w:rPr>
        <w:t xml:space="preserve">nlagen, Einlagenzertifikaten und Commercial Papers vorgenommen worden. </w:t>
      </w:r>
    </w:p>
    <w:p w:rsidR="001609E3" w:rsidRDefault="001609E3">
      <w:pPr>
        <w:pStyle w:val="Notes12"/>
        <w:numPr>
          <w:ilvl w:val="0"/>
          <w:numId w:val="0"/>
        </w:numPr>
        <w:tabs>
          <w:tab w:val="right" w:pos="-2700"/>
        </w:tabs>
        <w:spacing w:before="60" w:after="60"/>
        <w:rPr>
          <w:b w:val="0"/>
          <w:noProof/>
          <w:sz w:val="16"/>
          <w:szCs w:val="16"/>
        </w:rPr>
      </w:pPr>
    </w:p>
    <w:p w:rsidR="001609E3" w:rsidRDefault="00E45B63">
      <w:pPr>
        <w:pStyle w:val="Notes12"/>
        <w:numPr>
          <w:ilvl w:val="0"/>
          <w:numId w:val="0"/>
        </w:numPr>
        <w:tabs>
          <w:tab w:val="right" w:pos="-2700"/>
        </w:tabs>
        <w:spacing w:before="60" w:after="60"/>
        <w:rPr>
          <w:b w:val="0"/>
          <w:noProof/>
          <w:sz w:val="16"/>
          <w:szCs w:val="16"/>
        </w:rPr>
      </w:pPr>
      <w:r>
        <w:rPr>
          <w:b w:val="0"/>
          <w:noProof/>
          <w:sz w:val="16"/>
        </w:rPr>
        <w:t>Die zulässigen Rechtssubjekte haben eine ähnliche Bonitätsbewertung wie die kurz- und langfristigen Bonitätsbewertungen, die für die eigenen Wertpapieranlagen der EIB erforderlich sin</w:t>
      </w:r>
      <w:r>
        <w:rPr>
          <w:b w:val="0"/>
          <w:noProof/>
          <w:sz w:val="16"/>
        </w:rPr>
        <w:t>d. Die von zulässigen Rechtssubjekten geforderte kurzfristige Bonitätsbewertung entspricht einem Rating von mindestens P-1/A-1/F1 (Moody’s, S&amp;P, Fitch). Werden von mehr als einer Ratingagentur verschiedene Ratings abgegeben, so ist das niedrigste Rating ma</w:t>
      </w:r>
      <w:r>
        <w:rPr>
          <w:b w:val="0"/>
          <w:noProof/>
          <w:sz w:val="16"/>
        </w:rPr>
        <w:t xml:space="preserve">ßgebend. Der genehmigte Höchstbetrag für jede zulässige Bank liegt derzeit bei </w:t>
      </w:r>
      <w:r>
        <w:rPr>
          <w:b w:val="0"/>
          <w:noProof/>
          <w:sz w:val="16"/>
          <w:szCs w:val="16"/>
        </w:rPr>
        <w:br/>
      </w:r>
      <w:r>
        <w:rPr>
          <w:b w:val="0"/>
          <w:noProof/>
          <w:sz w:val="16"/>
        </w:rPr>
        <w:t xml:space="preserve">50 000 000 EUR (fünfzig Millionen EUR). Der Societe Generale, bei der die Fazilität ihre operativen Kassenkonten führt, wurde eine Ausnahme von dieser Regel gewährt. Das </w:t>
      </w:r>
      <w:r>
        <w:rPr>
          <w:b w:val="0"/>
          <w:noProof/>
          <w:sz w:val="16"/>
        </w:rPr>
        <w:t xml:space="preserve">kurzfristige Kreditlimit für die Societe Generale beträgt zum 31. Dezember 2016 und zum 31. Dezember 2015 110 000 000 EUR (einhundertzehn Millionen EUR). Das erhöhte Limit gilt für die Summe der in den operativen Kassenkonten gehaltenen Zahlungsmittel und </w:t>
      </w:r>
      <w:r>
        <w:rPr>
          <w:b w:val="0"/>
          <w:noProof/>
          <w:sz w:val="16"/>
        </w:rPr>
        <w:t>die von diesem Vertragspartner emittierten, im Treasury-Portfolio gehaltenen Finanzinstrumente.</w:t>
      </w:r>
    </w:p>
    <w:p w:rsidR="001609E3" w:rsidRDefault="001609E3">
      <w:pPr>
        <w:pStyle w:val="Notes12"/>
        <w:numPr>
          <w:ilvl w:val="0"/>
          <w:numId w:val="0"/>
        </w:numPr>
        <w:tabs>
          <w:tab w:val="right" w:pos="-2700"/>
        </w:tabs>
        <w:spacing w:before="60" w:after="60"/>
        <w:rPr>
          <w:b w:val="0"/>
          <w:noProof/>
          <w:sz w:val="16"/>
          <w:szCs w:val="16"/>
        </w:rPr>
      </w:pPr>
    </w:p>
    <w:p w:rsidR="001609E3" w:rsidRDefault="00E45B63">
      <w:pPr>
        <w:pStyle w:val="Notes12"/>
        <w:numPr>
          <w:ilvl w:val="0"/>
          <w:numId w:val="0"/>
        </w:numPr>
        <w:tabs>
          <w:tab w:val="right" w:pos="-2700"/>
        </w:tabs>
        <w:spacing w:before="60" w:after="60"/>
        <w:rPr>
          <w:b w:val="0"/>
          <w:noProof/>
          <w:sz w:val="16"/>
          <w:szCs w:val="16"/>
        </w:rPr>
      </w:pPr>
      <w:r>
        <w:rPr>
          <w:b w:val="0"/>
          <w:noProof/>
          <w:sz w:val="16"/>
        </w:rPr>
        <w:t>Alle Anlagen wurden bei zulässigen Rechtssubjekten mit einer Höchstlaufzeit von drei Monaten ab dem Wertstellungsdatum und bis zum Limit für das Kreditengageme</w:t>
      </w:r>
      <w:r>
        <w:rPr>
          <w:b w:val="0"/>
          <w:noProof/>
          <w:sz w:val="16"/>
        </w:rPr>
        <w:t>nt getätigt. Zum 31. Dezember 2016 und 31. Dezember 2015 hatten alle Bankeinlagen, Einlagenzertifikate, Commercial Paper und der Barbestand im Treasury-Portfolio der Fazilität eine Bonitätseinstufung von mindestens P-1 (oder eine Einstufung gleichwertig zu</w:t>
      </w:r>
      <w:r>
        <w:rPr>
          <w:b w:val="0"/>
          <w:noProof/>
          <w:sz w:val="16"/>
        </w:rPr>
        <w:t xml:space="preserve"> diesem Moody's-Rating) am Erfüllungstag. </w:t>
      </w:r>
    </w:p>
    <w:p w:rsidR="001609E3" w:rsidRDefault="001609E3">
      <w:pPr>
        <w:pStyle w:val="Notes12"/>
        <w:numPr>
          <w:ilvl w:val="0"/>
          <w:numId w:val="0"/>
        </w:numPr>
        <w:tabs>
          <w:tab w:val="right" w:pos="-2700"/>
        </w:tabs>
        <w:spacing w:before="60" w:after="60"/>
        <w:rPr>
          <w:b w:val="0"/>
          <w:noProof/>
          <w:sz w:val="16"/>
          <w:szCs w:val="16"/>
        </w:rPr>
      </w:pPr>
    </w:p>
    <w:p w:rsidR="001609E3" w:rsidRDefault="00E45B63">
      <w:pPr>
        <w:pStyle w:val="Notes12"/>
        <w:numPr>
          <w:ilvl w:val="0"/>
          <w:numId w:val="0"/>
        </w:numPr>
        <w:tabs>
          <w:tab w:val="clear" w:pos="4320"/>
          <w:tab w:val="clear" w:pos="8640"/>
          <w:tab w:val="right" w:pos="-2700"/>
        </w:tabs>
        <w:spacing w:before="60" w:after="60"/>
        <w:rPr>
          <w:b w:val="0"/>
          <w:noProof/>
          <w:sz w:val="16"/>
          <w:szCs w:val="16"/>
        </w:rPr>
      </w:pPr>
      <w:r>
        <w:rPr>
          <w:b w:val="0"/>
          <w:noProof/>
          <w:sz w:val="16"/>
        </w:rPr>
        <w:t>Die folgende Tabelle gibt Aufschluss über die Zahlungsmittel und Zahlungsmitteläquivalente, einschließlich aufgelaufener Zinsen (in Tsd. EUR):</w:t>
      </w:r>
    </w:p>
    <w:p w:rsidR="001609E3" w:rsidRDefault="001609E3">
      <w:pPr>
        <w:pStyle w:val="Notes12"/>
        <w:numPr>
          <w:ilvl w:val="0"/>
          <w:numId w:val="0"/>
        </w:numPr>
        <w:tabs>
          <w:tab w:val="clear" w:pos="4320"/>
          <w:tab w:val="clear" w:pos="8640"/>
          <w:tab w:val="right" w:pos="-2700"/>
        </w:tabs>
        <w:spacing w:before="60" w:after="60"/>
        <w:rPr>
          <w:b w:val="0"/>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rsidR="001609E3">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Kurzfristiges Rating (mindestens)</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Langfristiges Rating (mindestens)</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37 949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49 999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46 963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40 436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100 012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115 705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135 457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283 265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63 %</w:t>
            </w:r>
          </w:p>
        </w:tc>
      </w:tr>
      <w:tr w:rsidR="001609E3">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360 817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448 995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r>
    </w:tbl>
    <w:p w:rsidR="001609E3" w:rsidRDefault="001609E3">
      <w:pPr>
        <w:pStyle w:val="Normal15"/>
        <w:spacing w:before="60" w:after="60"/>
        <w:rPr>
          <w:b/>
          <w:bCs/>
          <w:noProof/>
          <w:sz w:val="16"/>
          <w:szCs w:val="16"/>
        </w:rPr>
      </w:pPr>
    </w:p>
    <w:p w:rsidR="001609E3" w:rsidRDefault="00E45B63">
      <w:pPr>
        <w:pStyle w:val="Notes13"/>
        <w:numPr>
          <w:ilvl w:val="2"/>
          <w:numId w:val="66"/>
        </w:numPr>
        <w:tabs>
          <w:tab w:val="clear" w:pos="4320"/>
          <w:tab w:val="clear" w:pos="8640"/>
          <w:tab w:val="right" w:pos="-2700"/>
          <w:tab w:val="right" w:pos="720"/>
        </w:tabs>
        <w:spacing w:before="60" w:after="60"/>
        <w:jc w:val="left"/>
        <w:rPr>
          <w:b w:val="0"/>
          <w:bCs/>
          <w:noProof/>
          <w:sz w:val="16"/>
          <w:szCs w:val="16"/>
        </w:rPr>
      </w:pPr>
      <w:r>
        <w:rPr>
          <w:b w:val="0"/>
          <w:noProof/>
          <w:sz w:val="16"/>
        </w:rPr>
        <w:t>Kreditrisiko bei Derivaten</w:t>
      </w:r>
    </w:p>
    <w:p w:rsidR="001609E3" w:rsidRDefault="001609E3">
      <w:pPr>
        <w:pStyle w:val="Notes13"/>
        <w:numPr>
          <w:ilvl w:val="0"/>
          <w:numId w:val="0"/>
        </w:numPr>
        <w:tabs>
          <w:tab w:val="clear" w:pos="4320"/>
          <w:tab w:val="clear" w:pos="8640"/>
          <w:tab w:val="right" w:pos="-2700"/>
        </w:tabs>
        <w:spacing w:before="60" w:after="60"/>
        <w:rPr>
          <w:b w:val="0"/>
          <w:noProof/>
          <w:sz w:val="16"/>
          <w:szCs w:val="16"/>
        </w:rPr>
      </w:pPr>
    </w:p>
    <w:p w:rsidR="001609E3" w:rsidRDefault="00E45B63">
      <w:pPr>
        <w:pStyle w:val="Notes13"/>
        <w:numPr>
          <w:ilvl w:val="3"/>
          <w:numId w:val="66"/>
        </w:numPr>
        <w:tabs>
          <w:tab w:val="clear" w:pos="4320"/>
          <w:tab w:val="clear" w:pos="8640"/>
          <w:tab w:val="right" w:pos="-2700"/>
          <w:tab w:val="right" w:pos="720"/>
        </w:tabs>
        <w:spacing w:before="60" w:after="60"/>
        <w:ind w:left="794" w:hanging="794"/>
        <w:jc w:val="left"/>
        <w:rPr>
          <w:b w:val="0"/>
          <w:bCs/>
          <w:noProof/>
          <w:sz w:val="16"/>
          <w:szCs w:val="16"/>
        </w:rPr>
      </w:pPr>
      <w:r>
        <w:rPr>
          <w:b w:val="0"/>
          <w:noProof/>
          <w:sz w:val="16"/>
        </w:rPr>
        <w:t>Kreditrisikopolitik bei Derivaten</w:t>
      </w:r>
    </w:p>
    <w:p w:rsidR="001609E3" w:rsidRDefault="001609E3">
      <w:pPr>
        <w:pStyle w:val="Notes13"/>
        <w:numPr>
          <w:ilvl w:val="0"/>
          <w:numId w:val="0"/>
        </w:numPr>
        <w:tabs>
          <w:tab w:val="clear" w:pos="4320"/>
          <w:tab w:val="clear" w:pos="8640"/>
          <w:tab w:val="right" w:pos="-2700"/>
        </w:tabs>
        <w:spacing w:before="60" w:after="60"/>
        <w:rPr>
          <w:b w:val="0"/>
          <w:noProof/>
          <w:sz w:val="16"/>
          <w:szCs w:val="16"/>
        </w:rPr>
      </w:pPr>
    </w:p>
    <w:p w:rsidR="001609E3" w:rsidRDefault="00E45B63">
      <w:pPr>
        <w:pStyle w:val="Notes13"/>
        <w:numPr>
          <w:ilvl w:val="0"/>
          <w:numId w:val="0"/>
        </w:numPr>
        <w:tabs>
          <w:tab w:val="clear" w:pos="4320"/>
          <w:tab w:val="clear" w:pos="8640"/>
          <w:tab w:val="right" w:pos="-2700"/>
        </w:tabs>
        <w:spacing w:before="60" w:after="60"/>
        <w:rPr>
          <w:b w:val="0"/>
          <w:noProof/>
          <w:sz w:val="16"/>
          <w:szCs w:val="16"/>
        </w:rPr>
      </w:pPr>
      <w:r>
        <w:rPr>
          <w:b w:val="0"/>
          <w:noProof/>
          <w:sz w:val="16"/>
        </w:rPr>
        <w:t xml:space="preserve">Das Kreditrisiko im Zusammenhang mit Derivaten ist der Verlust, den eine Partei erleiden würde, wenn eine Gegenpartei nicht in der Lage wäre, ihren vertraglichen Verpflichtungen nachzukommen. </w:t>
      </w:r>
      <w:r>
        <w:rPr>
          <w:b w:val="0"/>
          <w:noProof/>
          <w:sz w:val="16"/>
        </w:rPr>
        <w:t>Das mit den Derivaten verbundene Kreditrisiko variiert in Abhängigkeit von mehreren Faktoren (z. B. Zinssätze und Wechselkurse) und macht im Allgemeinen nur einen kleinen Teil ihres Nominalwerts aus.</w:t>
      </w:r>
    </w:p>
    <w:p w:rsidR="001609E3" w:rsidRDefault="001609E3">
      <w:pPr>
        <w:pStyle w:val="Notes13"/>
        <w:numPr>
          <w:ilvl w:val="0"/>
          <w:numId w:val="0"/>
        </w:numPr>
        <w:tabs>
          <w:tab w:val="clear" w:pos="4320"/>
          <w:tab w:val="clear" w:pos="8640"/>
          <w:tab w:val="right" w:pos="-2700"/>
        </w:tabs>
        <w:spacing w:before="60" w:after="60"/>
        <w:rPr>
          <w:b w:val="0"/>
          <w:noProof/>
          <w:sz w:val="16"/>
          <w:szCs w:val="16"/>
        </w:rPr>
      </w:pPr>
    </w:p>
    <w:p w:rsidR="001609E3" w:rsidRDefault="00E45B63">
      <w:pPr>
        <w:pStyle w:val="Notes13"/>
        <w:numPr>
          <w:ilvl w:val="0"/>
          <w:numId w:val="0"/>
        </w:numPr>
        <w:tabs>
          <w:tab w:val="clear" w:pos="4320"/>
          <w:tab w:val="clear" w:pos="8640"/>
          <w:tab w:val="right" w:pos="-2700"/>
        </w:tabs>
        <w:spacing w:before="60" w:after="60"/>
        <w:rPr>
          <w:b w:val="0"/>
          <w:noProof/>
          <w:sz w:val="16"/>
          <w:szCs w:val="16"/>
        </w:rPr>
      </w:pPr>
      <w:r>
        <w:rPr>
          <w:b w:val="0"/>
          <w:noProof/>
          <w:sz w:val="16"/>
        </w:rPr>
        <w:t>Im Rahmen ihrer normalen Tätigkeit kann die Investition</w:t>
      </w:r>
      <w:r>
        <w:rPr>
          <w:b w:val="0"/>
          <w:noProof/>
          <w:sz w:val="16"/>
        </w:rPr>
        <w:t>sfazilität Swap-Verträge abschließen, um spezifische Finanzierungen abzusichern, oder Devisenterminkontrakte abschließen, um die auf andere aktiv gehandelte Währungen als den Euro lautenden Währungspositionen abzusichern. Alle Swaps werden von der Europäis</w:t>
      </w:r>
      <w:r>
        <w:rPr>
          <w:b w:val="0"/>
          <w:noProof/>
          <w:sz w:val="16"/>
        </w:rPr>
        <w:t>chen Investitionsbank mit einer externen Gegenpartei durchgeführt.  Die Swaps unterliegen den von der Europäischen Investitionsbank und ihren externen Gegenparteien unterzeichneten Rahmenverträgen für Swaps (Master Swap Agreements) und Vereinbarungen zur A</w:t>
      </w:r>
      <w:r>
        <w:rPr>
          <w:b w:val="0"/>
          <w:noProof/>
          <w:sz w:val="16"/>
        </w:rPr>
        <w:t xml:space="preserve">bsicherung des Kreditrisikos (Credit Support Annexes). </w:t>
      </w:r>
    </w:p>
    <w:p w:rsidR="001609E3" w:rsidRDefault="001609E3">
      <w:pPr>
        <w:pStyle w:val="Notes13"/>
        <w:numPr>
          <w:ilvl w:val="0"/>
          <w:numId w:val="0"/>
        </w:numPr>
        <w:tabs>
          <w:tab w:val="clear" w:pos="4320"/>
          <w:tab w:val="clear" w:pos="8640"/>
          <w:tab w:val="right" w:pos="-2700"/>
        </w:tabs>
        <w:spacing w:before="60" w:after="60"/>
        <w:jc w:val="left"/>
        <w:rPr>
          <w:b w:val="0"/>
          <w:noProof/>
          <w:sz w:val="16"/>
          <w:szCs w:val="16"/>
          <w:shd w:val="clear" w:color="auto" w:fill="FFFF00"/>
        </w:rPr>
      </w:pPr>
    </w:p>
    <w:p w:rsidR="001609E3" w:rsidRDefault="00E45B63">
      <w:pPr>
        <w:pStyle w:val="Notes13"/>
        <w:numPr>
          <w:ilvl w:val="3"/>
          <w:numId w:val="66"/>
        </w:numPr>
        <w:tabs>
          <w:tab w:val="clear" w:pos="4320"/>
          <w:tab w:val="clear" w:pos="8640"/>
          <w:tab w:val="right" w:pos="-2700"/>
          <w:tab w:val="right" w:pos="720"/>
        </w:tabs>
        <w:spacing w:before="60" w:after="60"/>
        <w:ind w:left="794" w:hanging="794"/>
        <w:jc w:val="left"/>
        <w:rPr>
          <w:b w:val="0"/>
          <w:bCs/>
          <w:noProof/>
          <w:sz w:val="16"/>
          <w:szCs w:val="16"/>
        </w:rPr>
      </w:pPr>
      <w:r>
        <w:rPr>
          <w:b w:val="0"/>
          <w:noProof/>
          <w:sz w:val="16"/>
        </w:rPr>
        <w:t>Ermittlung des Kreditrisikos bei Derivate-Operationen</w:t>
      </w:r>
    </w:p>
    <w:p w:rsidR="001609E3" w:rsidRDefault="001609E3">
      <w:pPr>
        <w:pStyle w:val="Notes13"/>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Notes13"/>
        <w:numPr>
          <w:ilvl w:val="0"/>
          <w:numId w:val="0"/>
        </w:numPr>
        <w:tabs>
          <w:tab w:val="clear" w:pos="4320"/>
          <w:tab w:val="clear" w:pos="8640"/>
          <w:tab w:val="right" w:pos="-2700"/>
          <w:tab w:val="right" w:pos="720"/>
        </w:tabs>
        <w:spacing w:before="60" w:after="60"/>
        <w:rPr>
          <w:b w:val="0"/>
          <w:noProof/>
          <w:sz w:val="16"/>
          <w:szCs w:val="16"/>
        </w:rPr>
      </w:pPr>
      <w:r>
        <w:rPr>
          <w:b w:val="0"/>
          <w:noProof/>
          <w:sz w:val="16"/>
        </w:rPr>
        <w:t xml:space="preserve">Alle von der Europäischen Investitionsbank im Zusammenhang mit der Fazilität durchgeführten Swap-Geschäfte werden im gleichen vertraglichen </w:t>
      </w:r>
      <w:r>
        <w:rPr>
          <w:b w:val="0"/>
          <w:noProof/>
          <w:sz w:val="16"/>
        </w:rPr>
        <w:t>Rahmen und anhand der gleichen Methoden vorgenommen, die auch auf die von der Europäischen Investitionsbank für eigene Zwecke durchgeführten Derivate-Operationen Anwendung finden. Insbesondere werden die Kriterien für in Betracht kommende Swap-Gegenparteie</w:t>
      </w:r>
      <w:r>
        <w:rPr>
          <w:b w:val="0"/>
          <w:noProof/>
          <w:sz w:val="16"/>
        </w:rPr>
        <w:t>n von der Europäischen Investitionsbank auf Grundlage derselben Kriterien bestimmt, die auch für allgemeine Zwecke im Zusammenhang mit Swap-Geschäften gelten.</w:t>
      </w:r>
    </w:p>
    <w:p w:rsidR="001609E3" w:rsidRDefault="001609E3">
      <w:pPr>
        <w:pStyle w:val="Notes13"/>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Notes13"/>
        <w:numPr>
          <w:ilvl w:val="0"/>
          <w:numId w:val="0"/>
        </w:numPr>
        <w:tabs>
          <w:tab w:val="clear" w:pos="4320"/>
          <w:tab w:val="clear" w:pos="8640"/>
          <w:tab w:val="right" w:pos="-2700"/>
          <w:tab w:val="right" w:pos="720"/>
        </w:tabs>
        <w:spacing w:before="60" w:after="60"/>
        <w:rPr>
          <w:b w:val="0"/>
          <w:noProof/>
          <w:sz w:val="16"/>
          <w:szCs w:val="16"/>
        </w:rPr>
      </w:pPr>
      <w:r>
        <w:rPr>
          <w:b w:val="0"/>
          <w:noProof/>
          <w:sz w:val="16"/>
        </w:rPr>
        <w:t>Die Europäische Investitionsbank ermittelt das mit Swap- und Derivate-Transaktionen verbundene K</w:t>
      </w:r>
      <w:r>
        <w:rPr>
          <w:b w:val="0"/>
          <w:noProof/>
          <w:sz w:val="16"/>
        </w:rPr>
        <w:t>reditrisiko, indem sie für die Berichterstattung und die Überwachung der Limits auf das Nettomarktengagement (Net Market Exposure – NME) und das potenzielle künftige Engagement (Potential Future Exposure – PFE) zurückgreift. NME und PFE umfassen vollumfäng</w:t>
      </w:r>
      <w:r>
        <w:rPr>
          <w:b w:val="0"/>
          <w:noProof/>
          <w:sz w:val="16"/>
        </w:rPr>
        <w:t>lich die mit der Investitionsfazilität verbundenen Derivate.</w:t>
      </w:r>
    </w:p>
    <w:p w:rsidR="001609E3" w:rsidRDefault="001609E3">
      <w:pPr>
        <w:pStyle w:val="Notes13"/>
        <w:numPr>
          <w:ilvl w:val="0"/>
          <w:numId w:val="0"/>
        </w:numPr>
        <w:tabs>
          <w:tab w:val="clear" w:pos="4320"/>
          <w:tab w:val="clear" w:pos="8640"/>
          <w:tab w:val="right" w:pos="-2700"/>
          <w:tab w:val="right" w:pos="720"/>
        </w:tabs>
        <w:spacing w:before="60" w:after="60"/>
        <w:jc w:val="left"/>
        <w:rPr>
          <w:b w:val="0"/>
          <w:noProof/>
          <w:sz w:val="16"/>
          <w:szCs w:val="16"/>
        </w:rPr>
      </w:pPr>
    </w:p>
    <w:p w:rsidR="001609E3" w:rsidRDefault="00E45B63">
      <w:pPr>
        <w:pStyle w:val="Notes14"/>
        <w:pageBreakBefore/>
        <w:numPr>
          <w:ilvl w:val="0"/>
          <w:numId w:val="68"/>
        </w:numPr>
        <w:tabs>
          <w:tab w:val="clear" w:pos="4320"/>
          <w:tab w:val="clear" w:pos="8640"/>
          <w:tab w:val="right" w:pos="-2700"/>
          <w:tab w:val="right" w:pos="720"/>
        </w:tabs>
        <w:spacing w:before="60" w:after="60"/>
        <w:jc w:val="left"/>
        <w:rPr>
          <w:b w:val="0"/>
          <w:noProof/>
          <w:sz w:val="16"/>
          <w:szCs w:val="16"/>
        </w:rPr>
      </w:pPr>
      <w:r>
        <w:rPr>
          <w:b w:val="0"/>
          <w:noProof/>
          <w:sz w:val="16"/>
        </w:rPr>
        <w:t>Der folgenden Tabelle sind die Fälligkeiten von Währungs-Zins-Swaps, aufgeschlüsselt nach Nominalwert und beizulegendem Zeitwert zu  entnehmen:</w:t>
      </w:r>
    </w:p>
    <w:p w:rsidR="001609E3" w:rsidRDefault="001609E3">
      <w:pPr>
        <w:pStyle w:val="Notes14"/>
        <w:numPr>
          <w:ilvl w:val="0"/>
          <w:numId w:val="0"/>
        </w:numPr>
        <w:tabs>
          <w:tab w:val="clear" w:pos="4320"/>
          <w:tab w:val="clear" w:pos="8640"/>
          <w:tab w:val="right" w:pos="-2700"/>
          <w:tab w:val="right" w:pos="720"/>
        </w:tabs>
        <w:spacing w:before="60" w:after="60"/>
        <w:jc w:val="left"/>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200"/>
        <w:gridCol w:w="1200"/>
        <w:gridCol w:w="1200"/>
        <w:gridCol w:w="1200"/>
        <w:gridCol w:w="1200"/>
      </w:tblGrid>
      <w:tr w:rsidR="001609E3">
        <w:trPr>
          <w:trHeight w:hRule="exact" w:val="393"/>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Swap-Verträge zum 31.12.2016</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weniger als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Jahr</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 Jahre</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mehr als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Gesamtbetrag 2016</w:t>
            </w:r>
          </w:p>
        </w:tc>
      </w:tr>
      <w:tr w:rsidR="001609E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5 Jahre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10 Jahre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10 Jahre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Nominalbetrag</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7 430</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7 430</w:t>
            </w:r>
          </w:p>
        </w:tc>
      </w:tr>
      <w:tr w:rsidR="001609E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Beizulegender Zeitwert (aktualisierter Nettowert)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-3 051</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-3 051</w:t>
            </w:r>
          </w:p>
        </w:tc>
      </w:tr>
      <w:tr w:rsidR="001609E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hRule="exact" w:val="335"/>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Swap-Verträge zum 31.12.2015</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weniger als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1 </w:t>
            </w:r>
            <w:r>
              <w:rPr>
                <w:rFonts w:ascii="Arial" w:hAnsi="Arial"/>
                <w:b/>
                <w:noProof/>
                <w:color w:val="000000"/>
                <w:sz w:val="16"/>
              </w:rPr>
              <w:t>Jahr</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 Jahre</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mehr als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Gesamtbetrag 2015</w:t>
            </w:r>
          </w:p>
        </w:tc>
      </w:tr>
      <w:tr w:rsidR="001609E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5 Jahre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10 Jahre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10 Jahre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Nominalbetrag</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9 589</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9 589</w:t>
            </w:r>
          </w:p>
        </w:tc>
      </w:tr>
      <w:tr w:rsidR="001609E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Beizulegender Zeitwert (aktualisierter Nettowert)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-3 835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-3 835</w:t>
            </w:r>
          </w:p>
        </w:tc>
      </w:tr>
    </w:tbl>
    <w:p w:rsidR="001609E3" w:rsidRDefault="001609E3">
      <w:pPr>
        <w:pStyle w:val="Normal17"/>
        <w:spacing w:before="60" w:after="60"/>
        <w:rPr>
          <w:b/>
          <w:bCs/>
          <w:noProof/>
          <w:sz w:val="16"/>
          <w:szCs w:val="16"/>
        </w:rPr>
      </w:pPr>
    </w:p>
    <w:p w:rsidR="001609E3" w:rsidRDefault="00E45B63">
      <w:pPr>
        <w:pStyle w:val="Notes15"/>
        <w:numPr>
          <w:ilvl w:val="0"/>
          <w:numId w:val="70"/>
        </w:numPr>
        <w:tabs>
          <w:tab w:val="right" w:pos="-2700"/>
        </w:tabs>
        <w:spacing w:before="60" w:after="60"/>
        <w:rPr>
          <w:b w:val="0"/>
          <w:noProof/>
          <w:sz w:val="16"/>
          <w:szCs w:val="16"/>
        </w:rPr>
      </w:pPr>
      <w:r>
        <w:rPr>
          <w:b w:val="0"/>
          <w:noProof/>
          <w:sz w:val="16"/>
        </w:rPr>
        <w:t xml:space="preserve">Die Fazilität geht kurzfristige </w:t>
      </w:r>
      <w:r>
        <w:rPr>
          <w:b w:val="0"/>
          <w:noProof/>
          <w:sz w:val="16"/>
        </w:rPr>
        <w:t>Währungsswap-Verträge („Devisenswaps“) ein, um Währungsrisiken abzusichern, die mit Auszahlungen von Krediten in Fremdwährungen verbunden sind. Devisenswaps haben eine Laufzeit von höchstens drei Monaten und werden regelmäßig verlängert Der Nominalwert der</w:t>
      </w:r>
      <w:r>
        <w:rPr>
          <w:b w:val="0"/>
          <w:noProof/>
          <w:sz w:val="16"/>
        </w:rPr>
        <w:t xml:space="preserve"> Devisenswaps belief sich zum 31. Dezember 2016 auf 1611,0 Mio. EUR gegenüber 1400,0 Mio. EUR zum 31. Dezember 2015. Der beizulegende Zeitwert der Devisenswaps belief sich zum 31. Dezember 2016 auf -15,3 Mio. EUR gegenüber -3,7 Mio. EUR zum 31. Dezember 20</w:t>
      </w:r>
      <w:r>
        <w:rPr>
          <w:b w:val="0"/>
          <w:noProof/>
          <w:sz w:val="16"/>
        </w:rPr>
        <w:t>15.</w:t>
      </w:r>
    </w:p>
    <w:p w:rsidR="001609E3" w:rsidRDefault="001609E3">
      <w:pPr>
        <w:pStyle w:val="Notes15"/>
        <w:numPr>
          <w:ilvl w:val="0"/>
          <w:numId w:val="0"/>
        </w:numPr>
        <w:tabs>
          <w:tab w:val="right" w:pos="-2700"/>
        </w:tabs>
        <w:spacing w:before="60" w:after="60"/>
        <w:rPr>
          <w:b w:val="0"/>
          <w:noProof/>
          <w:sz w:val="16"/>
          <w:szCs w:val="16"/>
        </w:rPr>
      </w:pPr>
    </w:p>
    <w:p w:rsidR="001609E3" w:rsidRDefault="00E45B63">
      <w:pPr>
        <w:pStyle w:val="Notes15"/>
        <w:numPr>
          <w:ilvl w:val="0"/>
          <w:numId w:val="70"/>
        </w:numPr>
        <w:tabs>
          <w:tab w:val="right" w:pos="-2700"/>
        </w:tabs>
        <w:spacing w:before="60" w:after="60"/>
        <w:rPr>
          <w:b w:val="0"/>
          <w:noProof/>
          <w:sz w:val="16"/>
          <w:szCs w:val="16"/>
        </w:rPr>
      </w:pPr>
      <w:r>
        <w:rPr>
          <w:b w:val="0"/>
          <w:noProof/>
          <w:sz w:val="16"/>
        </w:rPr>
        <w:t>Die Fazilität geht Zinsswap-Verträge ein, um Zinsrisiken im Zusammenhang mit Auszahlungen von Krediten abzusichern.  Zum 31. Dezember 2016 steht die Abwicklung zweier Zinsswaps mit einem Nominalwert von 41,2 Mio. EUR (2015:  44,9 Mio. EUR) und einem b</w:t>
      </w:r>
      <w:r>
        <w:rPr>
          <w:b w:val="0"/>
          <w:noProof/>
          <w:sz w:val="16"/>
        </w:rPr>
        <w:t>eizulegenden Zeitwert von 0,1 Mio. EUR (2015:  -0,3 Mio. EUR) aus.</w:t>
      </w:r>
    </w:p>
    <w:p w:rsidR="001609E3" w:rsidRDefault="001609E3">
      <w:pPr>
        <w:pStyle w:val="Notes15"/>
        <w:numPr>
          <w:ilvl w:val="0"/>
          <w:numId w:val="0"/>
        </w:numPr>
        <w:tabs>
          <w:tab w:val="right" w:pos="-2700"/>
        </w:tabs>
        <w:spacing w:before="60" w:after="60"/>
        <w:rPr>
          <w:b w:val="0"/>
          <w:noProof/>
          <w:sz w:val="16"/>
          <w:szCs w:val="16"/>
        </w:rPr>
      </w:pPr>
    </w:p>
    <w:p w:rsidR="001609E3" w:rsidRDefault="00E45B63">
      <w:pPr>
        <w:pStyle w:val="Title3213"/>
        <w:tabs>
          <w:tab w:val="clear" w:pos="822"/>
          <w:tab w:val="num" w:pos="709"/>
        </w:tabs>
        <w:ind w:left="709" w:hanging="709"/>
        <w:rPr>
          <w:b w:val="0"/>
          <w:noProof/>
          <w:sz w:val="16"/>
          <w:szCs w:val="16"/>
        </w:rPr>
      </w:pPr>
      <w:r>
        <w:rPr>
          <w:b w:val="0"/>
          <w:noProof/>
          <w:sz w:val="16"/>
        </w:rPr>
        <w:t>Kreditrisiko bei bis zur Endfälligkeit zu haltenden finanziellen Vermögenswerten</w:t>
      </w:r>
    </w:p>
    <w:p w:rsidR="001609E3" w:rsidRDefault="001609E3">
      <w:pPr>
        <w:pStyle w:val="Notes16"/>
        <w:numPr>
          <w:ilvl w:val="0"/>
          <w:numId w:val="0"/>
        </w:numPr>
        <w:tabs>
          <w:tab w:val="clear" w:pos="4320"/>
          <w:tab w:val="clear" w:pos="8640"/>
          <w:tab w:val="right" w:pos="-2700"/>
        </w:tabs>
        <w:spacing w:before="60" w:after="60"/>
        <w:jc w:val="left"/>
        <w:rPr>
          <w:b w:val="0"/>
          <w:noProof/>
          <w:sz w:val="16"/>
          <w:szCs w:val="16"/>
        </w:rPr>
      </w:pPr>
    </w:p>
    <w:p w:rsidR="001609E3" w:rsidRDefault="00E45B63">
      <w:pPr>
        <w:pStyle w:val="Notes16"/>
        <w:numPr>
          <w:ilvl w:val="0"/>
          <w:numId w:val="0"/>
        </w:numPr>
        <w:tabs>
          <w:tab w:val="clear" w:pos="4320"/>
          <w:tab w:val="clear" w:pos="8640"/>
          <w:tab w:val="right" w:pos="-2700"/>
        </w:tabs>
        <w:spacing w:before="60" w:after="60"/>
        <w:rPr>
          <w:b w:val="0"/>
          <w:noProof/>
          <w:sz w:val="16"/>
          <w:szCs w:val="16"/>
        </w:rPr>
      </w:pPr>
      <w:r>
        <w:rPr>
          <w:b w:val="0"/>
          <w:noProof/>
          <w:sz w:val="16"/>
        </w:rPr>
        <w:t xml:space="preserve">Die folgende Tabelle gibt Aufschluss über das bis zur Endfälligkeit zu haltende Portfolio, das </w:t>
      </w:r>
      <w:r>
        <w:rPr>
          <w:b w:val="0"/>
          <w:noProof/>
          <w:sz w:val="16"/>
        </w:rPr>
        <w:t>ausschließlich aus von Italien, Portugal und Spanien emittierten Schatzwechseln mit einer Restlaufzeit von weniger als drei Monaten besteht. Zulässige Emittenten sind die EU</w:t>
      </w:r>
      <w:r>
        <w:rPr>
          <w:noProof/>
        </w:rPr>
        <w:noBreakHyphen/>
      </w:r>
      <w:r>
        <w:rPr>
          <w:b w:val="0"/>
          <w:noProof/>
          <w:sz w:val="16"/>
        </w:rPr>
        <w:t>Mitgliedstaaten. Der genehmigte Höchstbetrag für jeden zulässigen Emittenten liegt</w:t>
      </w:r>
      <w:r>
        <w:rPr>
          <w:b w:val="0"/>
          <w:noProof/>
          <w:sz w:val="16"/>
        </w:rPr>
        <w:t xml:space="preserve"> derzeit bei 50 000 000 EUR (fünfzig Millionen EUR). Investitionen in mittel- bis langfristige Anleihen könnten gemäß den Investitionsleitlinien und in Abhängigkeit von den Liquiditätsanforderungen ebenfalls akzeptabel sein.</w:t>
      </w:r>
    </w:p>
    <w:p w:rsidR="001609E3" w:rsidRDefault="001609E3">
      <w:pPr>
        <w:pStyle w:val="Notes16"/>
        <w:numPr>
          <w:ilvl w:val="0"/>
          <w:numId w:val="0"/>
        </w:numPr>
        <w:tabs>
          <w:tab w:val="clear" w:pos="4320"/>
          <w:tab w:val="clear" w:pos="8640"/>
          <w:tab w:val="right" w:pos="-2700"/>
        </w:tabs>
        <w:spacing w:before="60" w:after="60"/>
        <w:rPr>
          <w:b w:val="0"/>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rsidR="001609E3">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Kurzfristiges Rating (mindeste</w:t>
            </w:r>
            <w:r>
              <w:rPr>
                <w:rFonts w:ascii="Arial" w:hAnsi="Arial"/>
                <w:b/>
                <w:noProof/>
                <w:color w:val="000000"/>
                <w:sz w:val="16"/>
              </w:rPr>
              <w:t>ns)</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Langfristiges Rating (mindestens)</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31.12.2016</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31.12.2015</w:t>
            </w:r>
          </w:p>
        </w:tc>
      </w:tr>
      <w:tr w:rsidR="001609E3">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r>
      <w:tr w:rsidR="001609E3">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18 012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30 002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69 502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50 007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Ohne Rating</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20 025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P-3</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50 012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50 005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49 000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21 %</w:t>
            </w:r>
          </w:p>
        </w:tc>
      </w:tr>
      <w:tr w:rsidR="001609E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Ohne Rating</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51 354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0 %</w:t>
            </w:r>
          </w:p>
        </w:tc>
      </w:tr>
      <w:tr w:rsidR="001609E3">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169 398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228 521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w:t>
            </w:r>
          </w:p>
        </w:tc>
      </w:tr>
    </w:tbl>
    <w:p w:rsidR="001609E3" w:rsidRDefault="001609E3">
      <w:pPr>
        <w:pStyle w:val="Title1117"/>
        <w:numPr>
          <w:ilvl w:val="0"/>
          <w:numId w:val="0"/>
        </w:numPr>
        <w:ind w:left="431"/>
        <w:rPr>
          <w:noProof/>
          <w:sz w:val="16"/>
          <w:szCs w:val="16"/>
        </w:rPr>
      </w:pPr>
    </w:p>
    <w:p w:rsidR="001609E3" w:rsidRDefault="00E45B63">
      <w:pPr>
        <w:rPr>
          <w:rFonts w:ascii="Arial" w:hAnsi="Arial"/>
          <w:noProof/>
          <w:sz w:val="16"/>
          <w:szCs w:val="16"/>
        </w:rPr>
      </w:pPr>
      <w:r>
        <w:rPr>
          <w:noProof/>
        </w:rPr>
        <w:br w:type="page"/>
      </w:r>
    </w:p>
    <w:p w:rsidR="001609E3" w:rsidRDefault="001609E3">
      <w:pPr>
        <w:pStyle w:val="Title1117"/>
        <w:numPr>
          <w:ilvl w:val="0"/>
          <w:numId w:val="0"/>
        </w:numPr>
        <w:ind w:left="431"/>
        <w:rPr>
          <w:noProof/>
          <w:sz w:val="16"/>
          <w:szCs w:val="16"/>
        </w:rPr>
      </w:pPr>
    </w:p>
    <w:p w:rsidR="001609E3" w:rsidRDefault="00E45B63">
      <w:pPr>
        <w:pStyle w:val="Title113"/>
        <w:rPr>
          <w:noProof/>
          <w:sz w:val="16"/>
          <w:szCs w:val="16"/>
        </w:rPr>
      </w:pPr>
      <w:r>
        <w:rPr>
          <w:noProof/>
          <w:sz w:val="16"/>
        </w:rPr>
        <w:t>Liquiditätsrisiko</w:t>
      </w:r>
    </w:p>
    <w:p w:rsidR="001609E3" w:rsidRDefault="001609E3">
      <w:pPr>
        <w:pStyle w:val="Notes17"/>
        <w:numPr>
          <w:ilvl w:val="0"/>
          <w:numId w:val="0"/>
        </w:numPr>
        <w:tabs>
          <w:tab w:val="right" w:pos="-2700"/>
        </w:tabs>
        <w:spacing w:before="60" w:after="60"/>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 xml:space="preserve">Das Liquiditätsrisiko bezieht sich auf die Fähigkeit eines Rechtssubjekts, die Aufstockung von Aktiva zu </w:t>
      </w:r>
      <w:r>
        <w:rPr>
          <w:b w:val="0"/>
          <w:noProof/>
          <w:sz w:val="16"/>
        </w:rPr>
        <w:t>finanzieren und seinen Verpflichtungen bei Fälligkeit nachzukommen, ohne dass inakzeptable Verluste entstehen. Das Liquiditätsrisiko kann in das Zahlungsunfähigkeitsrisiko und das Marktliquiditätsrisiko unterteilt werden. Das Zahlungsunfähigkeitsrisiko ist</w:t>
      </w:r>
      <w:r>
        <w:rPr>
          <w:b w:val="0"/>
          <w:noProof/>
          <w:sz w:val="16"/>
        </w:rPr>
        <w:t xml:space="preserve"> das Risiko, dass ein Rechtssubjekt nicht in der Lage ist, sowohl den erwarteten als auch den unerwarteten derzeitigen und künftigen Liquiditätsbedarf effizient zu decken, ohne sein Tagesgeschäft oder seine Finanzlage zu beeinträchtigen. Das Marktliquiditä</w:t>
      </w:r>
      <w:r>
        <w:rPr>
          <w:b w:val="0"/>
          <w:noProof/>
          <w:sz w:val="16"/>
        </w:rPr>
        <w:t>tsrisiko ist das Risiko, dass ein Rechtssubjekt aufgrund unzureichender Markttiefe oder wegen Marktstörungen nicht in der Lage ist, eine Position zum Marktpreis zu schließen.</w:t>
      </w:r>
    </w:p>
    <w:p w:rsidR="001609E3" w:rsidRDefault="001609E3">
      <w:pPr>
        <w:pStyle w:val="Title1117"/>
        <w:numPr>
          <w:ilvl w:val="0"/>
          <w:numId w:val="0"/>
        </w:numPr>
        <w:spacing w:before="60" w:after="60"/>
        <w:rPr>
          <w:noProof/>
          <w:sz w:val="16"/>
          <w:szCs w:val="16"/>
        </w:rPr>
      </w:pPr>
    </w:p>
    <w:p w:rsidR="001609E3" w:rsidRDefault="00E45B63">
      <w:pPr>
        <w:pStyle w:val="Title113"/>
        <w:numPr>
          <w:ilvl w:val="2"/>
          <w:numId w:val="41"/>
        </w:numPr>
        <w:rPr>
          <w:noProof/>
          <w:sz w:val="16"/>
          <w:szCs w:val="16"/>
        </w:rPr>
      </w:pPr>
      <w:r>
        <w:rPr>
          <w:noProof/>
          <w:sz w:val="16"/>
        </w:rPr>
        <w:t>Liquiditätsrisikomanagement</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 xml:space="preserve">Die Fazilität wird in erster Linie aus den </w:t>
      </w:r>
      <w:r>
        <w:rPr>
          <w:b w:val="0"/>
          <w:noProof/>
          <w:sz w:val="16"/>
        </w:rPr>
        <w:t xml:space="preserve">jährlichen Beiträgen der Mitgliedstaaten und außerdem aus Mittelrückflüssen aus der Tätigkeit der Fazilität finanziert.  Das Zahlungsunfähigkeitsrisiko der Fazilität wird hauptsächlich durch die Planung ihres Nettoliquiditätsbedarfs und der erforderlichen </w:t>
      </w:r>
      <w:r>
        <w:rPr>
          <w:b w:val="0"/>
          <w:noProof/>
          <w:sz w:val="16"/>
        </w:rPr>
        <w:t>Jahresbeiträge der Mitgliedstaaten verwaltet.</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Für die Berechnung der jährlichen Beiträge der Mitgliedstaaten werden die Auszahlungsmuster des bestehenden und künftigen Portfolios analysiert und im Laufe des Jahres beobachtet. Besondere Ereignisse, etwa vo</w:t>
      </w:r>
      <w:r>
        <w:rPr>
          <w:b w:val="0"/>
          <w:noProof/>
          <w:sz w:val="16"/>
        </w:rPr>
        <w:t xml:space="preserve">rzeitige Rückzahlungen, Anteilsveräußerungen oder Ausfälle, werden berücksichtigt, um die jährlichen Liquiditätserfordernisse zu korrigieren. </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 xml:space="preserve">Zur weiteren Verringerung des Liquiditätsrisikos hält die Fazilität eine Liquiditätsreserve vor, die ausreicht, </w:t>
      </w:r>
      <w:r>
        <w:rPr>
          <w:b w:val="0"/>
          <w:noProof/>
          <w:sz w:val="16"/>
        </w:rPr>
        <w:t>um zu jedem Zeitpunkt die von der Abteilung Finanzierungen der EIB regelmäßig übermittelten geschätzten Auszahlungen zu decken. Die Mittel werden am Geldmarkt und Anleihenmarkt in Form von Interbanken-Einlagen und anderen kurzfristigen Finanzinstrumenten u</w:t>
      </w:r>
      <w:r>
        <w:rPr>
          <w:b w:val="0"/>
          <w:noProof/>
          <w:sz w:val="16"/>
        </w:rPr>
        <w:t>nter Berücksichtigung der Auszahlungspflichten der Fazilität angelegt. Die flüssigen Vermögenswerte der Fazilität werden von der Abteilung Treasury der EIB mit Blick auf die Aufrechterhaltung einer angemessenen Liquidität verwaltet, damit die Fazilität ihr</w:t>
      </w:r>
      <w:r>
        <w:rPr>
          <w:b w:val="0"/>
          <w:noProof/>
          <w:sz w:val="16"/>
        </w:rPr>
        <w:t xml:space="preserve">e Pflichten erfüllen kann.   </w:t>
      </w:r>
    </w:p>
    <w:p w:rsidR="001609E3" w:rsidRDefault="001609E3">
      <w:pPr>
        <w:pStyle w:val="Notes17"/>
        <w:numPr>
          <w:ilvl w:val="0"/>
          <w:numId w:val="0"/>
        </w:numPr>
        <w:tabs>
          <w:tab w:val="right" w:pos="-2700"/>
        </w:tabs>
        <w:spacing w:before="60" w:after="60"/>
        <w:ind w:left="432" w:hanging="432"/>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Gemäß dem Grundsatz der Aufgabenteilung zwischen den operativen Abteilungen und den Back-Office-Bereichen ist die Abteilung Planung und Abwicklung der EIB für die Abwicklung in Zusammenhang mit den Anlagen dieser Vermögenswer</w:t>
      </w:r>
      <w:r>
        <w:rPr>
          <w:b w:val="0"/>
          <w:noProof/>
          <w:sz w:val="16"/>
        </w:rPr>
        <w:t xml:space="preserve">te zuständig. Darüber hinaus sind die Autorisierung von Gegenparteien und Limits für Treasury-Investitionen sowie die Überwachung derartiger Limits Aufgabe der Direktion Risikomanagement der Bank. </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Title113"/>
        <w:numPr>
          <w:ilvl w:val="2"/>
          <w:numId w:val="41"/>
        </w:numPr>
        <w:rPr>
          <w:noProof/>
          <w:sz w:val="16"/>
          <w:szCs w:val="16"/>
        </w:rPr>
      </w:pPr>
      <w:r>
        <w:rPr>
          <w:noProof/>
          <w:sz w:val="16"/>
        </w:rPr>
        <w:t>Liquiditätsrisikobewertung</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Die Tabellen in diesem Abschn</w:t>
      </w:r>
      <w:r>
        <w:rPr>
          <w:b w:val="0"/>
          <w:noProof/>
          <w:sz w:val="16"/>
        </w:rPr>
        <w:t>itt stellen die Analyse der finanziellen Verbindlichkeiten der Fazilität dar, aufgeschlüsselt nach ihrer Restlaufzeit, d. h. dem Zeitraum zwischen dem Bilanzstichtag und dem vertraglichen Fälligkeitsdatum (auf der Grundlage nicht abgezinster Cashflows).</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W</w:t>
      </w:r>
      <w:r>
        <w:rPr>
          <w:b w:val="0"/>
          <w:noProof/>
          <w:sz w:val="16"/>
        </w:rPr>
        <w:t>as nicht derivative finanzielle Verbindlichkeiten anbelangt, so hält die Fazilität Verpflichtungen in Form nicht ausgezahlter Teile von Krediten im Rahmen unterzeichneter Kreditvereinbarungen, nicht ausgezahlter Teile unterzeichneter Vereinbarungen über Ka</w:t>
      </w:r>
      <w:r>
        <w:rPr>
          <w:b w:val="0"/>
          <w:noProof/>
          <w:sz w:val="16"/>
        </w:rPr>
        <w:t xml:space="preserve">pitalzeichnungen/-investitionen, gewährter Kreditgarantien oder zugesagter Zinsverbilligungen und technischer Hilfe. </w:t>
      </w:r>
    </w:p>
    <w:p w:rsidR="001609E3" w:rsidRDefault="001609E3">
      <w:pPr>
        <w:pStyle w:val="Notes17"/>
        <w:numPr>
          <w:ilvl w:val="0"/>
          <w:numId w:val="0"/>
        </w:numPr>
        <w:tabs>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Für Kredite im Rahmen der Investitionsfazilität besteht eine Auszahlungsfrist. Die Auszahlungen werden jedoch zu Zeitpunkten und in einer</w:t>
      </w:r>
      <w:r>
        <w:rPr>
          <w:b w:val="0"/>
          <w:noProof/>
          <w:sz w:val="16"/>
        </w:rPr>
        <w:t xml:space="preserve"> Höhe vorgenommen, die dem Fortschritt der zugrundeliegenden Investitionsprojekte entsprechen. Außerdem sind die Kredite der Investitionsfazilität Transaktionen, die in einem relativ volatilen operativen Umfeld stattfinden, so dass bezüglich ihres Auszahlu</w:t>
      </w:r>
      <w:r>
        <w:rPr>
          <w:b w:val="0"/>
          <w:noProof/>
          <w:sz w:val="16"/>
        </w:rPr>
        <w:t xml:space="preserve">ngsplans ein hoher Grad an Unsicherheit besteht. </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Die Kapitalinvestitionen werden erst dann fällig, wenn die Verwalter von Beteiligungsfonds auf gültige Weise Kapital abrufen, was den Fortschritt ihrer Investitionstätigkeiten widerspiegelt. Die Inanspruch</w:t>
      </w:r>
      <w:r>
        <w:rPr>
          <w:b w:val="0"/>
          <w:noProof/>
          <w:sz w:val="16"/>
        </w:rPr>
        <w:t>nahmefrist beträgt in der Regel drei Jahre, die häufig um ein oder zwei Jahre verlängert wird. Einige Auszahlungsverpflichtungen bleiben in der Regel nach Ende der Inanspruchnahmefrist bestehen, bis die zugrundeliegenden Investitionen des Fonds vollständig</w:t>
      </w:r>
      <w:r>
        <w:rPr>
          <w:b w:val="0"/>
          <w:noProof/>
          <w:sz w:val="16"/>
        </w:rPr>
        <w:t xml:space="preserve"> abgewickelt sind, da die Liquidität des Fonds möglicherweise zeitweise unzureichend ist, um den Zahlungsverpflichtungen im Zusammenhang mit Gebühren oder anderen Aufwendungen nachzukommen. </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 xml:space="preserve">Garantien unterliegen keinen spezifischen </w:t>
      </w:r>
      <w:r>
        <w:rPr>
          <w:b w:val="0"/>
          <w:noProof/>
          <w:sz w:val="16"/>
        </w:rPr>
        <w:t>Auszahlungsverpflichtungen, es sei denn, eine Garantie wird abgerufen. Der ausstehende Garantiebetrag wird im Zuge des Rückzahlungsplans für garantierte Kredite verringert.</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Mittelabflüsse für zugesagte Zinsverbilligungen treten bei verbilligten Krediten a</w:t>
      </w:r>
      <w:r>
        <w:rPr>
          <w:b w:val="0"/>
          <w:noProof/>
          <w:sz w:val="16"/>
        </w:rPr>
        <w:t>uf, die aus eigenen Mitteln der Bank finanziert werden. Deshalb stellen die ausgewiesenen Mittelabflüsse nur die Verpflichtungen in Verbindung mit diesen Krediten und nicht den Gesamtbetrag der zugesagten, aber nicht ausbezahlten Zinsverbilligungen dar. Wi</w:t>
      </w:r>
      <w:r>
        <w:rPr>
          <w:b w:val="0"/>
          <w:noProof/>
          <w:sz w:val="16"/>
        </w:rPr>
        <w:t xml:space="preserve">e bei den Krediten besteht Unsicherheit hinsichtlich des Auszahlungszeitplans.  </w:t>
      </w:r>
    </w:p>
    <w:p w:rsidR="001609E3" w:rsidRDefault="001609E3">
      <w:pPr>
        <w:pStyle w:val="Notes17"/>
        <w:numPr>
          <w:ilvl w:val="0"/>
          <w:numId w:val="0"/>
        </w:numPr>
        <w:tabs>
          <w:tab w:val="right" w:pos="-2700"/>
        </w:tabs>
        <w:spacing w:before="60" w:after="60"/>
        <w:ind w:left="432" w:hanging="432"/>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Der nominale Abfluss (brutto) für zugesagte technische Hilfe in der Tabelle „Laufzeitenprofil nicht derivativer finanzieller Verbindlichkeiten“ bezieht sich auf den Gesamtbet</w:t>
      </w:r>
      <w:r>
        <w:rPr>
          <w:b w:val="0"/>
          <w:noProof/>
          <w:sz w:val="16"/>
        </w:rPr>
        <w:t xml:space="preserve">rag des nicht ausgezahlten Teils unterzeichneter Verträge über technische Hilfe. Was den Zeitplan für Auszahlungen anbelangt, so besteht ein hoher Grad an Unsicherheit. Die unter dem Laufzeitband von „drei Monaten oder kürzer“ ausgewiesenen Mittelabflüsse </w:t>
      </w:r>
      <w:r>
        <w:rPr>
          <w:b w:val="0"/>
          <w:noProof/>
          <w:sz w:val="16"/>
        </w:rPr>
        <w:t xml:space="preserve">stellen den Betrag ausstehender Rechnungen dar, die bis zum Berichtstermin eingegangen sind. </w:t>
      </w:r>
    </w:p>
    <w:p w:rsidR="001609E3" w:rsidRDefault="001609E3">
      <w:pPr>
        <w:pStyle w:val="Notes17"/>
        <w:numPr>
          <w:ilvl w:val="0"/>
          <w:numId w:val="0"/>
        </w:numPr>
        <w:tabs>
          <w:tab w:val="right" w:pos="-2700"/>
        </w:tabs>
        <w:spacing w:before="60" w:after="60"/>
        <w:rPr>
          <w:b w:val="0"/>
          <w:noProof/>
          <w:sz w:val="16"/>
          <w:szCs w:val="16"/>
        </w:rPr>
      </w:pPr>
    </w:p>
    <w:p w:rsidR="001609E3" w:rsidRDefault="00E45B63">
      <w:pPr>
        <w:pStyle w:val="Notes17"/>
        <w:numPr>
          <w:ilvl w:val="0"/>
          <w:numId w:val="0"/>
        </w:numPr>
        <w:tabs>
          <w:tab w:val="right" w:pos="-2700"/>
        </w:tabs>
        <w:spacing w:before="60" w:after="60"/>
        <w:rPr>
          <w:b w:val="0"/>
          <w:noProof/>
          <w:sz w:val="16"/>
          <w:szCs w:val="16"/>
        </w:rPr>
      </w:pPr>
      <w:r>
        <w:rPr>
          <w:b w:val="0"/>
          <w:noProof/>
          <w:sz w:val="16"/>
        </w:rPr>
        <w:t xml:space="preserve">Verpflichtungen für nicht derivative finanzielle Verbindlichkeiten, für die kein vertraglicher Fälligkeitstermin festgelegt ist, werden unter „undefinierte </w:t>
      </w:r>
      <w:r>
        <w:rPr>
          <w:b w:val="0"/>
          <w:noProof/>
          <w:sz w:val="16"/>
        </w:rPr>
        <w:t>Fälligkeit“ ausgewiesen. Verpflichtungen, für die ein Auszahlungsantrag zum Berichtstermin erfasst ist, werden unter dem jeweiligen Laufzeitband klassifiziert.</w:t>
      </w:r>
    </w:p>
    <w:p w:rsidR="001609E3" w:rsidRDefault="001609E3">
      <w:pPr>
        <w:pStyle w:val="Notes17"/>
        <w:numPr>
          <w:ilvl w:val="0"/>
          <w:numId w:val="0"/>
        </w:numPr>
        <w:tabs>
          <w:tab w:val="right" w:pos="-2700"/>
        </w:tabs>
        <w:spacing w:before="60" w:after="60"/>
        <w:rPr>
          <w:b w:val="0"/>
          <w:noProof/>
          <w:sz w:val="16"/>
          <w:szCs w:val="16"/>
        </w:rPr>
      </w:pPr>
    </w:p>
    <w:p w:rsidR="001609E3" w:rsidRDefault="00E45B63">
      <w:pPr>
        <w:pStyle w:val="Notes17"/>
        <w:numPr>
          <w:ilvl w:val="0"/>
          <w:numId w:val="0"/>
        </w:numPr>
        <w:tabs>
          <w:tab w:val="clear" w:pos="4320"/>
          <w:tab w:val="clear" w:pos="8640"/>
          <w:tab w:val="right" w:pos="-2700"/>
        </w:tabs>
        <w:spacing w:before="60" w:after="60"/>
        <w:rPr>
          <w:b w:val="0"/>
          <w:noProof/>
          <w:sz w:val="16"/>
          <w:szCs w:val="16"/>
        </w:rPr>
      </w:pPr>
      <w:r>
        <w:rPr>
          <w:b w:val="0"/>
          <w:noProof/>
          <w:sz w:val="16"/>
        </w:rPr>
        <w:t>Bei derivativen finanziellen Verbindlichkeiten entspricht das Laufzeitenprofil den nicht abgezi</w:t>
      </w:r>
      <w:r>
        <w:rPr>
          <w:b w:val="0"/>
          <w:noProof/>
          <w:sz w:val="16"/>
        </w:rPr>
        <w:t>nsten vertraglichen Cashflows (brutto) von Swapverträgen, einschließlich Währungsswaps (CCS), Währungs-Zins-Swaps (CCIRS), kurzfristiger Währungsswaps und Zinsswaps.</w:t>
      </w:r>
    </w:p>
    <w:p w:rsidR="001609E3" w:rsidRDefault="001609E3">
      <w:pPr>
        <w:pStyle w:val="Notes17"/>
        <w:numPr>
          <w:ilvl w:val="0"/>
          <w:numId w:val="0"/>
        </w:numPr>
        <w:tabs>
          <w:tab w:val="clear" w:pos="4320"/>
          <w:tab w:val="clear" w:pos="8640"/>
          <w:tab w:val="right" w:pos="-2700"/>
        </w:tabs>
        <w:spacing w:before="60" w:after="60"/>
        <w:rPr>
          <w:b w:val="0"/>
          <w:noProof/>
          <w:sz w:val="16"/>
          <w:szCs w:val="16"/>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35"/>
        <w:gridCol w:w="960"/>
        <w:gridCol w:w="180"/>
        <w:gridCol w:w="720"/>
        <w:gridCol w:w="375"/>
        <w:gridCol w:w="525"/>
        <w:gridCol w:w="555"/>
        <w:gridCol w:w="345"/>
        <w:gridCol w:w="765"/>
        <w:gridCol w:w="210"/>
        <w:gridCol w:w="960"/>
      </w:tblGrid>
      <w:tr w:rsidR="001609E3">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Laufzeitenprofil nicht derivativer finanzieller Verbindlichkeiten</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w:t>
            </w:r>
            <w:r>
              <w:rPr>
                <w:rFonts w:ascii="Arial" w:hAnsi="Arial"/>
                <w:b/>
                <w:noProof/>
                <w:color w:val="000000"/>
                <w:sz w:val="16"/>
              </w:rPr>
              <w:t>änger als 3 Monate bis 1 Jahr</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5 Jahre</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Undefinier</w:t>
            </w:r>
            <w:r>
              <w:rPr>
                <w:noProof/>
              </w:rPr>
              <w:softHyphen/>
            </w:r>
            <w:r>
              <w:rPr>
                <w:rFonts w:ascii="Arial" w:hAnsi="Arial"/>
                <w:b/>
                <w:noProof/>
                <w:color w:val="000000"/>
                <w:sz w:val="16"/>
              </w:rPr>
              <w:t>te Fälligkeit</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Nominaler Abfluss (brutto)</w:t>
            </w:r>
          </w:p>
        </w:tc>
      </w:tr>
      <w:tr w:rsidR="001609E3">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 zum 31.12.2016</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Mittelabflüsse für zugesagte, aber nicht ausgezahlte Kredite</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82 405</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819 494</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901 899</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Mittelabflüsse für zugesagte Investitionsmittel und Anteilszeichnung</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4 592</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239 458</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244 050</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(unterzeichnete nicht gestellte Garantien, gestellte Garantien)</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43 964</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43 964</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Mittelabflüsse für zugesagte Zinsverbilligungen</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275 917</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275 917</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Mittelabflüsse für zugesagte technische Hilfe </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2 671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24 807</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27 478</w:t>
            </w:r>
          </w:p>
        </w:tc>
      </w:tr>
      <w:tr w:rsidR="001609E3">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89 668</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1 403 640</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1 493 308</w:t>
            </w:r>
          </w:p>
        </w:tc>
      </w:tr>
      <w:tr w:rsidR="001609E3">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bottom"/>
          </w:tcPr>
          <w:p w:rsidR="001609E3" w:rsidRDefault="001609E3">
            <w:pPr>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75"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Laufzeitenprofil nicht derivativer finanzieller Verbindlichkeiten</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Länger als 3 Monate </w:t>
            </w:r>
            <w:r>
              <w:rPr>
                <w:rFonts w:ascii="Arial" w:hAnsi="Arial"/>
                <w:b/>
                <w:noProof/>
                <w:color w:val="000000"/>
                <w:sz w:val="16"/>
              </w:rPr>
              <w:t>bis 1 Jahr</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5 Jahre</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Undefinier</w:t>
            </w:r>
            <w:r>
              <w:rPr>
                <w:noProof/>
              </w:rPr>
              <w:softHyphen/>
            </w:r>
            <w:r>
              <w:rPr>
                <w:rFonts w:ascii="Arial" w:hAnsi="Arial"/>
                <w:b/>
                <w:noProof/>
                <w:color w:val="000000"/>
                <w:sz w:val="16"/>
              </w:rPr>
              <w:t>te Fälligkeit</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Nominaler Abfluss (brutto)</w:t>
            </w:r>
          </w:p>
        </w:tc>
      </w:tr>
      <w:tr w:rsidR="001609E3">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 zum 31.12.2015</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Mittelabflüsse für zugesagte, aber nicht ausgezahlte Kredite</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41 028</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1 148 536</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1 189 564</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Mittelabflüsse</w:t>
            </w:r>
            <w:r>
              <w:rPr>
                <w:rFonts w:ascii="Arial" w:hAnsi="Arial"/>
                <w:noProof/>
                <w:color w:val="000000"/>
                <w:sz w:val="16"/>
              </w:rPr>
              <w:t xml:space="preserve"> für zugesagte Investitionsmittel und Anteilszeichnung</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23 371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274 984</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298 355</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(unterzeichnete nicht gestellte Garantien, gestellte Garantien)</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10 798</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10 798</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Mittelabflüsse für zugesagte Zinsverbilligungen</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281 682</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281 682</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Mittelabflüsse für zugesagte technische Hilfe </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811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28 072</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28 883</w:t>
            </w:r>
          </w:p>
        </w:tc>
      </w:tr>
      <w:tr w:rsidR="001609E3">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65 210</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1 744 072</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1 809 282</w:t>
            </w:r>
          </w:p>
        </w:tc>
      </w:tr>
      <w:tr w:rsidR="001609E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Laufzeitenprofil derivativer finanzieller Verbindlichkeiten</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w:t>
            </w:r>
            <w:r>
              <w:rPr>
                <w:rFonts w:ascii="Arial" w:hAnsi="Arial"/>
                <w:b/>
                <w:noProof/>
                <w:color w:val="000000"/>
                <w:sz w:val="16"/>
              </w:rPr>
              <w:t xml:space="preserve"> als 1 Jahr bis 5 Jahre</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5 Jahre</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Nominaler Zufluss / Abfluss (brutto)</w:t>
            </w:r>
          </w:p>
        </w:tc>
      </w:tr>
      <w:tr w:rsidR="001609E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 zum 31.12.2016</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CCS und CCIRS – Zuflüsse</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2 409</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5 222</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7 634</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CCS und CCIRS – Abflüsse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-3 688</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-7 377</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-11 065</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Kurzfristige Währungsswaps – </w:t>
            </w:r>
            <w:r>
              <w:rPr>
                <w:rFonts w:ascii="Arial" w:hAnsi="Arial"/>
                <w:noProof/>
                <w:color w:val="000000"/>
                <w:sz w:val="16"/>
              </w:rPr>
              <w:t>Zuflüsse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1 611 000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1 611 000</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Kurzfristige Währungsswaps – Abflüsse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-1 636 001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-1 636 001</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Zinsswaps – Zuflüsse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1 234</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5 529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1 550</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8 724</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Zinsswaps – Zuflüsse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-1 962</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-5 316</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-1 329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-8 607</w:t>
            </w:r>
          </w:p>
        </w:tc>
      </w:tr>
      <w:tr w:rsidR="001609E3">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-24 587</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-2 007</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-1 942</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221</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-28 315</w:t>
            </w:r>
          </w:p>
        </w:tc>
      </w:tr>
      <w:tr w:rsidR="001609E3">
        <w:trPr>
          <w:trHeight w:val="285"/>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14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095"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08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11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17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Laufzeitenprofil derivativer finanzieller Verbindlichkeiten</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Länger als 5 Jahre</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Nominaler Zufluss / Abfluss (brutto)</w:t>
            </w:r>
          </w:p>
        </w:tc>
      </w:tr>
      <w:tr w:rsidR="001609E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 zum 31.12.2015</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CCS und </w:t>
            </w:r>
            <w:r>
              <w:rPr>
                <w:rFonts w:ascii="Arial" w:hAnsi="Arial"/>
                <w:noProof/>
                <w:color w:val="000000"/>
                <w:sz w:val="16"/>
              </w:rPr>
              <w:t>CCIRS – Zuflüsse</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2 307</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7 671</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9 983</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CCS und CCIRS – Abflüsse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-3 571</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-10 714</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-14 285</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Kurzfristige Währungsswaps – Zuflüsse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1 400 000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1 400 000</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Kurzfristige Währungsswaps – Abflüsse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-1 407 763</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-1 407 763</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Zinsswaps – Zuflüsse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383</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1 269</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6 059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2 524</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10 235</w:t>
            </w:r>
          </w:p>
        </w:tc>
      </w:tr>
      <w:tr w:rsidR="001609E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Zinsswaps – Zuflüsse</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-2 145</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-6 127</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-2 206</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-10 478</w:t>
            </w:r>
          </w:p>
        </w:tc>
      </w:tr>
      <w:tr w:rsidR="001609E3">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-7 375</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-2 140</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-3 111</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318</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-12 308</w:t>
            </w:r>
          </w:p>
        </w:tc>
      </w:tr>
    </w:tbl>
    <w:p w:rsidR="001609E3" w:rsidRDefault="001609E3">
      <w:pPr>
        <w:pStyle w:val="ListParagraph2"/>
        <w:tabs>
          <w:tab w:val="right" w:pos="-2700"/>
        </w:tabs>
        <w:ind w:left="0"/>
        <w:contextualSpacing w:val="0"/>
        <w:jc w:val="both"/>
        <w:rPr>
          <w:noProof/>
        </w:rPr>
      </w:pPr>
    </w:p>
    <w:p w:rsidR="001609E3" w:rsidRDefault="00E45B63">
      <w:pPr>
        <w:rPr>
          <w:rFonts w:ascii="Calibri" w:hAnsi="Calibri"/>
          <w:noProof/>
        </w:rPr>
      </w:pPr>
      <w:r>
        <w:rPr>
          <w:noProof/>
        </w:rPr>
        <w:br w:type="page"/>
      </w:r>
    </w:p>
    <w:p w:rsidR="001609E3" w:rsidRDefault="00E45B63">
      <w:pPr>
        <w:pStyle w:val="Title113"/>
        <w:numPr>
          <w:ilvl w:val="2"/>
          <w:numId w:val="41"/>
        </w:numPr>
        <w:rPr>
          <w:noProof/>
          <w:sz w:val="16"/>
          <w:szCs w:val="16"/>
        </w:rPr>
      </w:pPr>
      <w:r>
        <w:rPr>
          <w:noProof/>
          <w:sz w:val="16"/>
        </w:rPr>
        <w:t>Langfristige finanzielle Vermögenswerte und Verbindlichkeiten</w:t>
      </w:r>
    </w:p>
    <w:p w:rsidR="001609E3" w:rsidRDefault="001609E3">
      <w:pPr>
        <w:pStyle w:val="Notes18"/>
        <w:numPr>
          <w:ilvl w:val="0"/>
          <w:numId w:val="0"/>
        </w:numPr>
        <w:tabs>
          <w:tab w:val="right" w:pos="-2700"/>
        </w:tabs>
        <w:spacing w:before="60" w:after="60"/>
        <w:rPr>
          <w:b w:val="0"/>
          <w:noProof/>
          <w:sz w:val="16"/>
          <w:szCs w:val="16"/>
        </w:rPr>
      </w:pPr>
    </w:p>
    <w:p w:rsidR="001609E3" w:rsidRDefault="00E45B63">
      <w:pPr>
        <w:pStyle w:val="Notes18"/>
        <w:numPr>
          <w:ilvl w:val="0"/>
          <w:numId w:val="0"/>
        </w:numPr>
        <w:tabs>
          <w:tab w:val="right" w:pos="-2700"/>
        </w:tabs>
        <w:spacing w:before="60" w:after="60"/>
        <w:ind w:hanging="6"/>
        <w:rPr>
          <w:b w:val="0"/>
          <w:noProof/>
          <w:sz w:val="16"/>
          <w:szCs w:val="16"/>
        </w:rPr>
      </w:pPr>
      <w:r>
        <w:rPr>
          <w:b w:val="0"/>
          <w:noProof/>
          <w:sz w:val="16"/>
        </w:rPr>
        <w:t xml:space="preserve">In der folgenden Tabelle werden die Buchwerte nicht derivativer </w:t>
      </w:r>
      <w:r>
        <w:rPr>
          <w:b w:val="0"/>
          <w:noProof/>
          <w:sz w:val="16"/>
        </w:rPr>
        <w:t>finanzieller Vermögenswerte und finanzieller Verbindlichkeiten dargestellt, deren Einziehung oder Erfüllung mehr als 12 Monate nach dem Abschlussstichtag erwartet wird.</w:t>
      </w:r>
    </w:p>
    <w:p w:rsidR="001609E3" w:rsidRDefault="001609E3">
      <w:pPr>
        <w:pStyle w:val="Notes18"/>
        <w:numPr>
          <w:ilvl w:val="0"/>
          <w:numId w:val="0"/>
        </w:numPr>
        <w:tabs>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46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Kredite und </w:t>
            </w:r>
            <w:r>
              <w:rPr>
                <w:rFonts w:ascii="Arial" w:hAnsi="Arial"/>
                <w:noProof/>
                <w:color w:val="000000"/>
                <w:sz w:val="16"/>
              </w:rPr>
              <w:t>Forderungen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1 692 867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1 423 368</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Zur Veräußerung verfügbare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516 884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419 353</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2 209 892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1 842 721</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Finanzielle Verbindlichkeiten: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Rückstellungen für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497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Dritten geschuldeter Betrag</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69 960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57 346</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70 457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57 346</w:t>
            </w:r>
          </w:p>
        </w:tc>
      </w:tr>
    </w:tbl>
    <w:p w:rsidR="001609E3" w:rsidRDefault="001609E3">
      <w:pPr>
        <w:pStyle w:val="Normal21"/>
        <w:pageBreakBefore/>
        <w:rPr>
          <w:noProof/>
        </w:rPr>
      </w:pPr>
    </w:p>
    <w:p w:rsidR="001609E3" w:rsidRDefault="00E45B63">
      <w:pPr>
        <w:pStyle w:val="Title113"/>
        <w:rPr>
          <w:noProof/>
          <w:sz w:val="16"/>
          <w:szCs w:val="16"/>
        </w:rPr>
      </w:pPr>
      <w:r>
        <w:rPr>
          <w:noProof/>
          <w:sz w:val="16"/>
        </w:rPr>
        <w:t>Marktrisiko</w:t>
      </w:r>
    </w:p>
    <w:p w:rsidR="001609E3" w:rsidRDefault="001609E3">
      <w:pPr>
        <w:pStyle w:val="Notes19"/>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Notes19"/>
        <w:numPr>
          <w:ilvl w:val="0"/>
          <w:numId w:val="0"/>
        </w:numPr>
        <w:tabs>
          <w:tab w:val="clear" w:pos="4320"/>
          <w:tab w:val="clear" w:pos="8640"/>
          <w:tab w:val="right" w:pos="-2700"/>
          <w:tab w:val="right" w:pos="720"/>
        </w:tabs>
        <w:spacing w:before="60" w:after="60"/>
        <w:rPr>
          <w:b w:val="0"/>
          <w:noProof/>
          <w:sz w:val="16"/>
          <w:szCs w:val="16"/>
        </w:rPr>
      </w:pPr>
      <w:r>
        <w:rPr>
          <w:b w:val="0"/>
          <w:noProof/>
          <w:sz w:val="16"/>
        </w:rPr>
        <w:t xml:space="preserve">Unter dem Marktrisiko versteht man das Risiko, dass die Einnahmen eines Rechtssubjekts oder der Wert der von ihm gehaltenen Finanzinstrumente aufgrund sich verändernder </w:t>
      </w:r>
      <w:r>
        <w:rPr>
          <w:b w:val="0"/>
          <w:noProof/>
          <w:sz w:val="16"/>
        </w:rPr>
        <w:t>Marktpreise, beispielsweise Aktienkursen, Wechselkursen und Zinssätzen, Schwankungen ausgesetzt sind.</w:t>
      </w:r>
    </w:p>
    <w:p w:rsidR="001609E3" w:rsidRDefault="001609E3">
      <w:pPr>
        <w:pStyle w:val="Notes19"/>
        <w:numPr>
          <w:ilvl w:val="0"/>
          <w:numId w:val="0"/>
        </w:numPr>
        <w:tabs>
          <w:tab w:val="clear" w:pos="4320"/>
          <w:tab w:val="clear" w:pos="8640"/>
          <w:tab w:val="right" w:pos="-2700"/>
          <w:tab w:val="right" w:pos="720"/>
        </w:tabs>
        <w:spacing w:before="60" w:after="60"/>
        <w:rPr>
          <w:b w:val="0"/>
          <w:noProof/>
          <w:sz w:val="16"/>
          <w:szCs w:val="16"/>
        </w:rPr>
      </w:pPr>
    </w:p>
    <w:p w:rsidR="001609E3" w:rsidRDefault="00E45B63">
      <w:pPr>
        <w:pStyle w:val="Title113"/>
        <w:numPr>
          <w:ilvl w:val="2"/>
          <w:numId w:val="41"/>
        </w:numPr>
        <w:rPr>
          <w:noProof/>
          <w:sz w:val="16"/>
          <w:szCs w:val="16"/>
        </w:rPr>
      </w:pPr>
      <w:r>
        <w:rPr>
          <w:noProof/>
          <w:sz w:val="16"/>
        </w:rPr>
        <w:t>Zinsänderungsrisiko</w:t>
      </w:r>
    </w:p>
    <w:p w:rsidR="001609E3" w:rsidRDefault="001609E3">
      <w:pPr>
        <w:pStyle w:val="Normal21"/>
        <w:spacing w:before="60" w:after="60"/>
        <w:jc w:val="both"/>
        <w:rPr>
          <w:rFonts w:ascii="Arial" w:hAnsi="Arial"/>
          <w:noProof/>
          <w:sz w:val="16"/>
          <w:szCs w:val="16"/>
        </w:rPr>
      </w:pPr>
    </w:p>
    <w:p w:rsidR="001609E3" w:rsidRDefault="00E45B63">
      <w:pPr>
        <w:pStyle w:val="Normal21"/>
        <w:spacing w:before="60" w:after="60"/>
        <w:jc w:val="both"/>
        <w:rPr>
          <w:rFonts w:ascii="Arial" w:hAnsi="Arial"/>
          <w:noProof/>
          <w:sz w:val="16"/>
          <w:szCs w:val="16"/>
        </w:rPr>
      </w:pPr>
      <w:r>
        <w:rPr>
          <w:rFonts w:ascii="Arial" w:hAnsi="Arial"/>
          <w:noProof/>
          <w:sz w:val="16"/>
        </w:rPr>
        <w:t>Unter dem Zinsrisiko versteht man die Volatilität des wirtschaftlichen Werts der zinstragenden Positionen bzw. der sich daraus ergeb</w:t>
      </w:r>
      <w:r>
        <w:rPr>
          <w:rFonts w:ascii="Arial" w:hAnsi="Arial"/>
          <w:noProof/>
          <w:sz w:val="16"/>
        </w:rPr>
        <w:t xml:space="preserve">enden Einnahmen, die auf einer ungünstigen Entwicklung der Marktzinsen beruht. </w:t>
      </w:r>
    </w:p>
    <w:p w:rsidR="001609E3" w:rsidRDefault="001609E3">
      <w:pPr>
        <w:pStyle w:val="Normal21"/>
        <w:spacing w:before="60" w:after="60"/>
        <w:jc w:val="both"/>
        <w:rPr>
          <w:rFonts w:ascii="Arial" w:hAnsi="Arial"/>
          <w:noProof/>
          <w:sz w:val="16"/>
          <w:szCs w:val="16"/>
        </w:rPr>
      </w:pPr>
    </w:p>
    <w:p w:rsidR="001609E3" w:rsidRDefault="00E45B63">
      <w:pPr>
        <w:pStyle w:val="Normal170"/>
        <w:spacing w:before="60" w:after="60"/>
        <w:jc w:val="both"/>
        <w:rPr>
          <w:rFonts w:ascii="Arial" w:hAnsi="Arial"/>
          <w:noProof/>
          <w:sz w:val="16"/>
          <w:szCs w:val="16"/>
        </w:rPr>
      </w:pPr>
      <w:r>
        <w:rPr>
          <w:rFonts w:ascii="Arial" w:hAnsi="Arial"/>
          <w:noProof/>
          <w:sz w:val="16"/>
        </w:rPr>
        <w:t>Schwankungen ihres wirtschaftlichen Werts oder Inkongruenzen bei der Preisbildung zwischen verschiedenen Vermögenswerten, Verbindlichkeiten und Absicherungsinstrumenten wirken</w:t>
      </w:r>
      <w:r>
        <w:rPr>
          <w:rFonts w:ascii="Arial" w:hAnsi="Arial"/>
          <w:noProof/>
          <w:sz w:val="16"/>
        </w:rPr>
        <w:t xml:space="preserve"> sich nicht unmittelbar auf die Fazilität aus, da i) sie keine direkten Fremdkapitalkosten oder verzinslichen Verbindlichkeiten aufweist und ii) die Auswirkungen von Zinsschwankungen auf die Erträge ihrer Investitionen akzeptiert.</w:t>
      </w:r>
    </w:p>
    <w:p w:rsidR="001609E3" w:rsidRDefault="001609E3">
      <w:pPr>
        <w:pStyle w:val="Normal21"/>
        <w:spacing w:before="60" w:after="60"/>
        <w:jc w:val="both"/>
        <w:rPr>
          <w:rFonts w:ascii="Arial" w:hAnsi="Arial"/>
          <w:noProof/>
          <w:sz w:val="16"/>
          <w:szCs w:val="16"/>
        </w:rPr>
      </w:pPr>
    </w:p>
    <w:p w:rsidR="001609E3" w:rsidRDefault="00E45B63">
      <w:pPr>
        <w:pStyle w:val="Normal21"/>
        <w:spacing w:before="60" w:after="60"/>
        <w:jc w:val="both"/>
        <w:rPr>
          <w:rFonts w:ascii="Arial" w:hAnsi="Arial"/>
          <w:noProof/>
          <w:sz w:val="16"/>
          <w:szCs w:val="16"/>
        </w:rPr>
      </w:pPr>
      <w:r>
        <w:rPr>
          <w:rFonts w:ascii="Arial" w:hAnsi="Arial"/>
          <w:noProof/>
          <w:sz w:val="16"/>
        </w:rPr>
        <w:t>Die Fazilität bewertet d</w:t>
      </w:r>
      <w:r>
        <w:rPr>
          <w:rFonts w:ascii="Arial" w:hAnsi="Arial"/>
          <w:noProof/>
          <w:sz w:val="16"/>
        </w:rPr>
        <w:t>ie Zinssensitivität ihres Kreditportfolios und ihrer Mikrohedging-Swaps mithilfe einer Berechnung des Basispunktwerts.</w:t>
      </w:r>
    </w:p>
    <w:p w:rsidR="001609E3" w:rsidRDefault="001609E3">
      <w:pPr>
        <w:pStyle w:val="Normal21"/>
        <w:spacing w:before="60" w:after="60"/>
        <w:jc w:val="both"/>
        <w:rPr>
          <w:rFonts w:ascii="Arial" w:hAnsi="Arial"/>
          <w:noProof/>
          <w:sz w:val="16"/>
          <w:szCs w:val="16"/>
        </w:rPr>
      </w:pPr>
    </w:p>
    <w:p w:rsidR="001609E3" w:rsidRDefault="00E45B63">
      <w:pPr>
        <w:pStyle w:val="Normal21"/>
        <w:spacing w:before="60" w:after="60"/>
        <w:jc w:val="both"/>
        <w:rPr>
          <w:rFonts w:ascii="Arial" w:hAnsi="Arial"/>
          <w:noProof/>
          <w:sz w:val="16"/>
          <w:szCs w:val="16"/>
        </w:rPr>
      </w:pPr>
      <w:r>
        <w:rPr>
          <w:rFonts w:ascii="Arial" w:hAnsi="Arial"/>
          <w:noProof/>
          <w:sz w:val="16"/>
        </w:rPr>
        <w:t>Mit dem Basispunktwert werden Gewinne und Verluste des Nettogegenwartswert des einschlägigen Portfolios bewertet, auf der Grundlage eine</w:t>
      </w:r>
      <w:r>
        <w:rPr>
          <w:rFonts w:ascii="Arial" w:hAnsi="Arial"/>
          <w:noProof/>
          <w:sz w:val="16"/>
        </w:rPr>
        <w:t>s Anstiegs des Zinssatzes um einen Basispunkt (0,01 %) innerhalb eines spezifizierten Laufzeitbands („Geldmarkt – bis ein Jahr“, „sehr kurz – 2 bis 3 Jahre“, „kurz – 4 bis 6 Jahre“, „mittel – 7 bis 11 Jahre“, „lang – 12 bis 20 Jahre“ oder „sehr lang – mehr</w:t>
      </w:r>
      <w:r>
        <w:rPr>
          <w:rFonts w:ascii="Arial" w:hAnsi="Arial"/>
          <w:noProof/>
          <w:sz w:val="16"/>
        </w:rPr>
        <w:t xml:space="preserve"> als 21 Jahre“).</w:t>
      </w:r>
    </w:p>
    <w:p w:rsidR="001609E3" w:rsidRDefault="001609E3">
      <w:pPr>
        <w:pStyle w:val="Normal21"/>
        <w:spacing w:before="60" w:after="60"/>
        <w:jc w:val="both"/>
        <w:rPr>
          <w:rFonts w:ascii="Arial" w:hAnsi="Arial"/>
          <w:noProof/>
          <w:sz w:val="16"/>
          <w:szCs w:val="16"/>
        </w:rPr>
      </w:pPr>
    </w:p>
    <w:p w:rsidR="001609E3" w:rsidRDefault="00E45B63">
      <w:pPr>
        <w:pStyle w:val="Normal21"/>
        <w:spacing w:before="60" w:after="60"/>
        <w:jc w:val="both"/>
        <w:rPr>
          <w:rFonts w:ascii="Arial" w:hAnsi="Arial"/>
          <w:noProof/>
          <w:sz w:val="16"/>
          <w:szCs w:val="16"/>
        </w:rPr>
      </w:pPr>
      <w:r>
        <w:rPr>
          <w:rFonts w:ascii="Arial" w:hAnsi="Arial"/>
          <w:noProof/>
          <w:sz w:val="16"/>
        </w:rPr>
        <w:t>Für die Ermittlung des Nettogegenwartswerts des auf EUR lautenden Cashflows eines Kredits verwendet die Fazilität die Kurve für die Kreditzinssätze der EIB in EUR (EUR-Swapkurve bereinigt mit dem EIB-Mittelspread). Die Kurve für die Kredi</w:t>
      </w:r>
      <w:r>
        <w:rPr>
          <w:rFonts w:ascii="Arial" w:hAnsi="Arial"/>
          <w:noProof/>
          <w:sz w:val="16"/>
        </w:rPr>
        <w:t>tzinssätze der EIB in USD wird für die Berechnung des Nettozeitwerts der auf USD lautenden Cashflows von Krediten verwendet.  Der Nettozeitwert von Cashflows von Krediten, die auf Währungen lauten, für die keine zuverlässige und ausreichend vollständige Ab</w:t>
      </w:r>
      <w:r>
        <w:rPr>
          <w:rFonts w:ascii="Arial" w:hAnsi="Arial"/>
          <w:noProof/>
          <w:sz w:val="16"/>
        </w:rPr>
        <w:t xml:space="preserve">zinsungskurve zur Verfügung steht, wird anhand der Kurve für die Kreditzinssätze der EIB in EUR als Näherungswert ermittelt. </w:t>
      </w:r>
    </w:p>
    <w:p w:rsidR="001609E3" w:rsidRDefault="001609E3">
      <w:pPr>
        <w:pStyle w:val="Normal21"/>
        <w:spacing w:before="60" w:after="60"/>
        <w:jc w:val="both"/>
        <w:rPr>
          <w:rFonts w:ascii="Arial" w:hAnsi="Arial"/>
          <w:noProof/>
          <w:sz w:val="16"/>
          <w:szCs w:val="16"/>
        </w:rPr>
      </w:pPr>
    </w:p>
    <w:p w:rsidR="001609E3" w:rsidRDefault="00E45B63">
      <w:pPr>
        <w:pStyle w:val="Normal21"/>
        <w:spacing w:before="60" w:after="60"/>
        <w:jc w:val="both"/>
        <w:rPr>
          <w:rFonts w:ascii="Arial" w:hAnsi="Arial"/>
          <w:noProof/>
          <w:sz w:val="16"/>
          <w:szCs w:val="16"/>
        </w:rPr>
      </w:pPr>
      <w:r>
        <w:rPr>
          <w:rFonts w:ascii="Arial" w:hAnsi="Arial"/>
          <w:noProof/>
          <w:sz w:val="16"/>
        </w:rPr>
        <w:t>Um den Nettogegenwartswert der Mikrohedging-Swaps zu ermitteln, verwendet die Fazilität die EUR-Swapkurve für auf EUR lautende Ca</w:t>
      </w:r>
      <w:r>
        <w:rPr>
          <w:rFonts w:ascii="Arial" w:hAnsi="Arial"/>
          <w:noProof/>
          <w:sz w:val="16"/>
        </w:rPr>
        <w:t>shflows und die USD-Swapkurve für auf USD lautende Cashflows.</w:t>
      </w:r>
    </w:p>
    <w:p w:rsidR="001609E3" w:rsidRDefault="001609E3">
      <w:pPr>
        <w:pStyle w:val="Normal21"/>
        <w:spacing w:before="60" w:after="60"/>
        <w:jc w:val="both"/>
        <w:rPr>
          <w:rFonts w:ascii="Arial" w:hAnsi="Arial"/>
          <w:noProof/>
          <w:sz w:val="16"/>
          <w:szCs w:val="16"/>
        </w:rPr>
      </w:pPr>
    </w:p>
    <w:p w:rsidR="001609E3" w:rsidRDefault="00E45B63">
      <w:pPr>
        <w:pStyle w:val="Normal21"/>
        <w:spacing w:before="60" w:after="60"/>
        <w:jc w:val="both"/>
        <w:rPr>
          <w:rFonts w:ascii="Arial" w:hAnsi="Arial"/>
          <w:noProof/>
          <w:sz w:val="16"/>
          <w:szCs w:val="16"/>
        </w:rPr>
      </w:pPr>
      <w:r>
        <w:rPr>
          <w:rFonts w:ascii="Arial" w:hAnsi="Arial"/>
          <w:noProof/>
          <w:sz w:val="16"/>
        </w:rPr>
        <w:t>Wie aus der folgenden Tabelle hervorgeht, würde sich bei einer parallelen Verschiebung aller relevanten Zinskurven um einen Basispunkt nach oben der Nettogegenwartswert des Kreditportfolios, ei</w:t>
      </w:r>
      <w:r>
        <w:rPr>
          <w:rFonts w:ascii="Arial" w:hAnsi="Arial"/>
          <w:noProof/>
          <w:sz w:val="16"/>
        </w:rPr>
        <w:t>nschließlich verbundener Mikrohedging-Swaps, zum 31. Dezember 2016 um 516 000 EUR (zum 31. Dezember 2015 um 532 000 EUR) verringern.</w:t>
      </w:r>
    </w:p>
    <w:p w:rsidR="001609E3" w:rsidRDefault="001609E3">
      <w:pPr>
        <w:pStyle w:val="Normal21"/>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5"/>
        <w:gridCol w:w="1200"/>
        <w:gridCol w:w="1200"/>
        <w:gridCol w:w="1200"/>
        <w:gridCol w:w="1200"/>
        <w:gridCol w:w="1200"/>
        <w:gridCol w:w="1200"/>
        <w:gridCol w:w="1200"/>
      </w:tblGrid>
      <w:tr w:rsidR="001609E3">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Basispunktwert</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Geld-</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 xml:space="preserve">Sehr kurz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Kurz</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Mittel</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Lang</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 xml:space="preserve">Sehr lang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markt</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r>
      <w:tr w:rsidR="001609E3">
        <w:trPr>
          <w:trHeight w:hRule="exact" w:val="300"/>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31.12.2016</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bis 3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4 bis 6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7 bis 11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12 bis 20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21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Sensitivität von Krediten und Mikrohedging-Swaps insgesamt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-46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-101</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-164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-175</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-516</w:t>
            </w:r>
          </w:p>
        </w:tc>
      </w:tr>
      <w:tr w:rsidR="001609E3">
        <w:trPr>
          <w:trHeight w:val="300"/>
        </w:trPr>
        <w:tc>
          <w:tcPr>
            <w:tcW w:w="15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Basispunktwert</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Geld-</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 xml:space="preserve">Sehr kurz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Kurz</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Mittel</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Lang</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 xml:space="preserve">Sehr lang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markt</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b/>
                <w:noProof/>
                <w:color w:val="000000"/>
                <w:sz w:val="16"/>
              </w:rPr>
            </w:pPr>
          </w:p>
        </w:tc>
      </w:tr>
      <w:tr w:rsidR="001609E3">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31.12.2015</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bis 3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4 bis 6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7 bis 11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12 bis 20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21 Jahre</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Sensitivität von Krediten und Mikrohedging-Swaps insgesamt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-37</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-252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-139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-532</w:t>
            </w:r>
          </w:p>
        </w:tc>
      </w:tr>
    </w:tbl>
    <w:p w:rsidR="001609E3" w:rsidRDefault="00E45B63">
      <w:pPr>
        <w:pStyle w:val="Normal22"/>
        <w:pageBreakBefore/>
        <w:numPr>
          <w:ilvl w:val="2"/>
          <w:numId w:val="76"/>
        </w:numPr>
        <w:suppressAutoHyphens w:val="0"/>
        <w:spacing w:before="60" w:after="60"/>
        <w:jc w:val="both"/>
        <w:rPr>
          <w:rFonts w:ascii="Arial" w:hAnsi="Arial"/>
          <w:noProof/>
          <w:sz w:val="16"/>
          <w:szCs w:val="16"/>
        </w:rPr>
      </w:pPr>
      <w:r>
        <w:rPr>
          <w:rFonts w:ascii="Arial" w:hAnsi="Arial"/>
          <w:noProof/>
          <w:sz w:val="16"/>
        </w:rPr>
        <w:t>Wechselkursrisiko</w:t>
      </w:r>
    </w:p>
    <w:p w:rsidR="001609E3" w:rsidRDefault="001609E3">
      <w:pPr>
        <w:pStyle w:val="Notes20"/>
        <w:numPr>
          <w:ilvl w:val="0"/>
          <w:numId w:val="0"/>
        </w:numPr>
        <w:tabs>
          <w:tab w:val="clear" w:pos="4320"/>
          <w:tab w:val="clear" w:pos="8640"/>
          <w:tab w:val="right" w:pos="-2700"/>
        </w:tabs>
        <w:spacing w:before="60" w:after="60"/>
        <w:rPr>
          <w:b w:val="0"/>
          <w:noProof/>
          <w:sz w:val="16"/>
          <w:szCs w:val="16"/>
        </w:rPr>
      </w:pPr>
    </w:p>
    <w:p w:rsidR="001609E3" w:rsidRDefault="00E45B63">
      <w:pPr>
        <w:pStyle w:val="Notes20"/>
        <w:numPr>
          <w:ilvl w:val="0"/>
          <w:numId w:val="0"/>
        </w:numPr>
        <w:tabs>
          <w:tab w:val="clear" w:pos="4320"/>
          <w:tab w:val="clear" w:pos="8640"/>
          <w:tab w:val="right" w:pos="-2700"/>
        </w:tabs>
        <w:spacing w:before="60" w:after="60"/>
        <w:rPr>
          <w:b w:val="0"/>
          <w:noProof/>
          <w:sz w:val="16"/>
          <w:szCs w:val="16"/>
        </w:rPr>
      </w:pPr>
      <w:r>
        <w:rPr>
          <w:b w:val="0"/>
          <w:noProof/>
          <w:sz w:val="16"/>
        </w:rPr>
        <w:t xml:space="preserve">Unter Wechselkursrisiko versteht man das </w:t>
      </w:r>
      <w:r>
        <w:rPr>
          <w:b w:val="0"/>
          <w:noProof/>
          <w:sz w:val="16"/>
        </w:rPr>
        <w:t>Risiko des Verlusts von Einnahmen oder des wirtschaftlichen Werts aufgrund einer ungünstigen Entwicklung der Wechselkurse.</w:t>
      </w:r>
    </w:p>
    <w:p w:rsidR="001609E3" w:rsidRDefault="001609E3">
      <w:pPr>
        <w:pStyle w:val="Notes20"/>
        <w:numPr>
          <w:ilvl w:val="0"/>
          <w:numId w:val="0"/>
        </w:numPr>
        <w:tabs>
          <w:tab w:val="clear" w:pos="4320"/>
          <w:tab w:val="clear" w:pos="8640"/>
          <w:tab w:val="right" w:pos="-2700"/>
        </w:tabs>
        <w:spacing w:before="60" w:after="60"/>
        <w:rPr>
          <w:b w:val="0"/>
          <w:noProof/>
          <w:sz w:val="16"/>
          <w:szCs w:val="16"/>
        </w:rPr>
      </w:pPr>
    </w:p>
    <w:p w:rsidR="001609E3" w:rsidRDefault="00E45B63">
      <w:pPr>
        <w:pStyle w:val="Normal22"/>
        <w:suppressAutoHyphens w:val="0"/>
        <w:spacing w:before="60" w:after="60"/>
        <w:jc w:val="both"/>
        <w:rPr>
          <w:rFonts w:ascii="Arial" w:hAnsi="Arial"/>
          <w:noProof/>
          <w:sz w:val="16"/>
          <w:szCs w:val="16"/>
        </w:rPr>
      </w:pPr>
      <w:r>
        <w:rPr>
          <w:rFonts w:ascii="Arial" w:hAnsi="Arial"/>
          <w:noProof/>
          <w:sz w:val="16"/>
        </w:rPr>
        <w:t>Wenn eine Bezugsbuchführungswährung (im Falle der Investitionsfazilität der EUR) verwendet wird, ist die Fazilität Wechselkursrisike</w:t>
      </w:r>
      <w:r>
        <w:rPr>
          <w:rFonts w:ascii="Arial" w:hAnsi="Arial"/>
          <w:noProof/>
          <w:sz w:val="16"/>
        </w:rPr>
        <w:t>n ausgesetzt, wenn zwischen den auf eine andere als die Bezugsbuchführungswährung lautenden Aktiva und Passiva Inkongruenzen bestehen. Das Wechselkursrisiko umfasst auch durch Wechselkursschwankungen verursachte Veränderungen des Werts künftiger Cashflows,</w:t>
      </w:r>
      <w:r>
        <w:rPr>
          <w:rFonts w:ascii="Arial" w:hAnsi="Arial"/>
          <w:noProof/>
          <w:sz w:val="16"/>
        </w:rPr>
        <w:t xml:space="preserve"> die auf eine andere als die Bezugsbuchführungswährung lauten, z. B. Zins- und Dividendenzahlungen.</w:t>
      </w:r>
    </w:p>
    <w:p w:rsidR="001609E3" w:rsidRDefault="001609E3">
      <w:pPr>
        <w:pStyle w:val="Normal22"/>
        <w:suppressAutoHyphens w:val="0"/>
        <w:spacing w:before="60" w:after="60"/>
        <w:jc w:val="both"/>
        <w:rPr>
          <w:rFonts w:ascii="Arial" w:hAnsi="Arial"/>
          <w:noProof/>
          <w:sz w:val="16"/>
          <w:szCs w:val="16"/>
          <w:highlight w:val="green"/>
        </w:rPr>
      </w:pPr>
    </w:p>
    <w:p w:rsidR="001609E3" w:rsidRDefault="00E45B63">
      <w:pPr>
        <w:pStyle w:val="Normal22"/>
        <w:numPr>
          <w:ilvl w:val="3"/>
          <w:numId w:val="76"/>
        </w:numPr>
        <w:suppressAutoHyphens w:val="0"/>
        <w:spacing w:before="60" w:after="60"/>
        <w:jc w:val="both"/>
        <w:rPr>
          <w:rFonts w:ascii="Arial" w:hAnsi="Arial"/>
          <w:noProof/>
          <w:sz w:val="16"/>
          <w:szCs w:val="16"/>
        </w:rPr>
      </w:pPr>
      <w:r>
        <w:rPr>
          <w:rFonts w:ascii="Arial" w:hAnsi="Arial"/>
          <w:noProof/>
          <w:sz w:val="16"/>
        </w:rPr>
        <w:t>Wechselkursrisiko und Treasury-Aktiva</w:t>
      </w:r>
    </w:p>
    <w:p w:rsidR="001609E3" w:rsidRDefault="001609E3">
      <w:pPr>
        <w:pStyle w:val="Normal22"/>
        <w:suppressAutoHyphens w:val="0"/>
        <w:spacing w:before="60" w:after="60"/>
        <w:jc w:val="both"/>
        <w:rPr>
          <w:rFonts w:ascii="Arial" w:hAnsi="Arial"/>
          <w:noProof/>
          <w:sz w:val="16"/>
          <w:szCs w:val="16"/>
          <w:u w:val="single"/>
        </w:rPr>
      </w:pPr>
    </w:p>
    <w:p w:rsidR="001609E3" w:rsidRDefault="00E45B63">
      <w:pPr>
        <w:pStyle w:val="Normal22"/>
        <w:suppressAutoHyphens w:val="0"/>
        <w:spacing w:before="60" w:after="60"/>
        <w:jc w:val="both"/>
        <w:rPr>
          <w:rFonts w:ascii="Arial" w:hAnsi="Arial"/>
          <w:noProof/>
          <w:sz w:val="16"/>
          <w:szCs w:val="16"/>
        </w:rPr>
      </w:pPr>
      <w:r>
        <w:rPr>
          <w:rFonts w:ascii="Arial" w:hAnsi="Arial"/>
          <w:noProof/>
          <w:sz w:val="16"/>
        </w:rPr>
        <w:t>Die Treasury-Aktiva der Investitionsfazilität lauten auf EUR oder USD.</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rmal22"/>
        <w:suppressAutoHyphens w:val="0"/>
        <w:spacing w:before="60" w:after="60"/>
        <w:jc w:val="both"/>
        <w:rPr>
          <w:rFonts w:ascii="Arial" w:hAnsi="Arial"/>
          <w:noProof/>
          <w:sz w:val="16"/>
          <w:szCs w:val="16"/>
        </w:rPr>
      </w:pPr>
      <w:r>
        <w:rPr>
          <w:rFonts w:ascii="Arial" w:hAnsi="Arial"/>
          <w:noProof/>
          <w:sz w:val="16"/>
        </w:rPr>
        <w:t xml:space="preserve">Das Wechselkursrisiko wird durch </w:t>
      </w:r>
      <w:r>
        <w:rPr>
          <w:rFonts w:ascii="Arial" w:hAnsi="Arial"/>
          <w:noProof/>
          <w:sz w:val="16"/>
        </w:rPr>
        <w:t>Devisenkassa- oder Devisentermingeschäfte, Devisenswaps oder Währungsswaps abgesichert. Die Abteilung Treasury der EIB kann, sofern dies für notwendig und angemessen erachtet wird, jedes andere im Einklang mit den Grundsätzen der Bank stehende Instrument e</w:t>
      </w:r>
      <w:r>
        <w:rPr>
          <w:rFonts w:ascii="Arial" w:hAnsi="Arial"/>
          <w:noProof/>
          <w:sz w:val="16"/>
        </w:rPr>
        <w:t>insetzen, wenn dieses eine Absicherung gegenüber Marktrisiken bietet, die in Verbindung mit den finanziellen Aktivitäten der Investitionsfazilität auftreten.</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rmal22"/>
        <w:numPr>
          <w:ilvl w:val="3"/>
          <w:numId w:val="76"/>
        </w:numPr>
        <w:suppressAutoHyphens w:val="0"/>
        <w:spacing w:before="60" w:after="60"/>
        <w:jc w:val="both"/>
        <w:rPr>
          <w:rFonts w:ascii="Arial" w:hAnsi="Arial"/>
          <w:noProof/>
          <w:sz w:val="16"/>
          <w:szCs w:val="16"/>
        </w:rPr>
      </w:pPr>
      <w:r>
        <w:rPr>
          <w:rFonts w:ascii="Arial" w:hAnsi="Arial"/>
          <w:noProof/>
          <w:sz w:val="16"/>
        </w:rPr>
        <w:t>Wechselkursrisiko und von der Investitionsfazilität finanzierte oder garantierte Operationen</w:t>
      </w:r>
    </w:p>
    <w:p w:rsidR="001609E3" w:rsidRDefault="001609E3">
      <w:pPr>
        <w:pStyle w:val="Normal22"/>
        <w:suppressAutoHyphens w:val="0"/>
        <w:spacing w:before="60" w:after="60"/>
        <w:jc w:val="both"/>
        <w:rPr>
          <w:rFonts w:ascii="Arial" w:hAnsi="Arial"/>
          <w:noProof/>
          <w:sz w:val="16"/>
          <w:szCs w:val="16"/>
          <w:u w:val="single"/>
        </w:rPr>
      </w:pPr>
    </w:p>
    <w:p w:rsidR="001609E3" w:rsidRDefault="00E45B63">
      <w:pPr>
        <w:pStyle w:val="Normal22"/>
        <w:suppressAutoHyphens w:val="0"/>
        <w:spacing w:before="60" w:after="60"/>
        <w:jc w:val="both"/>
        <w:rPr>
          <w:rFonts w:ascii="Arial" w:hAnsi="Arial"/>
          <w:noProof/>
          <w:sz w:val="16"/>
          <w:szCs w:val="16"/>
        </w:rPr>
      </w:pPr>
      <w:r>
        <w:rPr>
          <w:rFonts w:ascii="Arial" w:hAnsi="Arial"/>
          <w:noProof/>
          <w:sz w:val="16"/>
        </w:rPr>
        <w:t>Die</w:t>
      </w:r>
      <w:r>
        <w:rPr>
          <w:rFonts w:ascii="Arial" w:hAnsi="Arial"/>
          <w:noProof/>
          <w:sz w:val="16"/>
        </w:rPr>
        <w:t xml:space="preserve"> von den Mitgliedstaaten erhaltenen Beiträge für die Investitionsfazilität lauten auf EUR. Die Operationen, die von der Investitionsfazilität finanziert oder garantiert werden, sowie die Zinsverbilligungen können auf EUR, USD oder eine andere zugelassene W</w:t>
      </w:r>
      <w:r>
        <w:rPr>
          <w:rFonts w:ascii="Arial" w:hAnsi="Arial"/>
          <w:noProof/>
          <w:sz w:val="16"/>
        </w:rPr>
        <w:t>ährung lauten.</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rmal22"/>
        <w:suppressAutoHyphens w:val="0"/>
        <w:spacing w:before="60" w:after="60"/>
        <w:jc w:val="both"/>
        <w:rPr>
          <w:rFonts w:ascii="Arial" w:hAnsi="Arial"/>
          <w:noProof/>
          <w:sz w:val="16"/>
          <w:szCs w:val="16"/>
        </w:rPr>
      </w:pPr>
      <w:r>
        <w:rPr>
          <w:rFonts w:ascii="Arial" w:hAnsi="Arial"/>
          <w:noProof/>
          <w:sz w:val="16"/>
        </w:rPr>
        <w:t>Ein Wechselkursrisiko (gegenüber der Bezugswährung EUR) entsteht dann, wenn nicht auf EUR lautende Transaktionen nicht abgesichert werden. Die Leitlinien für die Absicherung von Wechselkursrisiken der Investitionsfazilität werden im Folgend</w:t>
      </w:r>
      <w:r>
        <w:rPr>
          <w:rFonts w:ascii="Arial" w:hAnsi="Arial"/>
          <w:noProof/>
          <w:sz w:val="16"/>
        </w:rPr>
        <w:t>en erläutert. </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tes20"/>
        <w:numPr>
          <w:ilvl w:val="4"/>
          <w:numId w:val="78"/>
        </w:numPr>
        <w:tabs>
          <w:tab w:val="clear" w:pos="4320"/>
          <w:tab w:val="clear" w:pos="8640"/>
          <w:tab w:val="right" w:pos="-2700"/>
        </w:tabs>
        <w:spacing w:before="60" w:after="60"/>
        <w:rPr>
          <w:b w:val="0"/>
          <w:noProof/>
          <w:sz w:val="16"/>
          <w:szCs w:val="16"/>
        </w:rPr>
      </w:pPr>
      <w:r>
        <w:rPr>
          <w:b w:val="0"/>
          <w:noProof/>
          <w:sz w:val="16"/>
        </w:rPr>
        <w:t>Absicherung von auf USD lautenden Operationen</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rmal180"/>
        <w:suppressAutoHyphens w:val="0"/>
        <w:spacing w:before="60" w:after="60"/>
        <w:jc w:val="both"/>
        <w:rPr>
          <w:rFonts w:ascii="Arial" w:hAnsi="Arial"/>
          <w:noProof/>
          <w:sz w:val="16"/>
          <w:szCs w:val="16"/>
        </w:rPr>
      </w:pPr>
      <w:r>
        <w:rPr>
          <w:rFonts w:ascii="Arial" w:hAnsi="Arial"/>
          <w:noProof/>
          <w:sz w:val="16"/>
        </w:rPr>
        <w:t>Die Wechselkursrisiken, die durch auf USD lautende Operationen der Investitionsfazilität entstehen, werden auf aggregierter Basis durch periodisch verlängerte und hinsichtlich des Betrags angep</w:t>
      </w:r>
      <w:r>
        <w:rPr>
          <w:rFonts w:ascii="Arial" w:hAnsi="Arial"/>
          <w:noProof/>
          <w:sz w:val="16"/>
        </w:rPr>
        <w:t>asste USD/EUR-Devisenswaps abgesichert. Die Devisenswaps dienen einem zweifachen Zweck. Einerseits wird die notwendige Liquidität für neue Auszahlungen (Kredite und Eigenkapital) geschaffen und andererseits wird das Wechselkurs-Makro-Hedging gewahrt.</w:t>
      </w:r>
    </w:p>
    <w:p w:rsidR="001609E3" w:rsidRDefault="00E45B63">
      <w:pPr>
        <w:pStyle w:val="Normal180"/>
        <w:suppressAutoHyphens w:val="0"/>
        <w:spacing w:before="60" w:after="60"/>
        <w:jc w:val="both"/>
        <w:rPr>
          <w:rFonts w:ascii="Arial" w:hAnsi="Arial"/>
          <w:noProof/>
          <w:sz w:val="16"/>
          <w:szCs w:val="16"/>
        </w:rPr>
      </w:pPr>
      <w:r>
        <w:rPr>
          <w:rFonts w:ascii="Arial" w:hAnsi="Arial"/>
          <w:noProof/>
          <w:sz w:val="16"/>
        </w:rPr>
        <w:t>Zu Be</w:t>
      </w:r>
      <w:r>
        <w:rPr>
          <w:rFonts w:ascii="Arial" w:hAnsi="Arial"/>
          <w:noProof/>
          <w:sz w:val="16"/>
        </w:rPr>
        <w:t>ginn jeder Periode werden die auf USD lautenden und in der Folgeperiode zu erhaltenden oder zu zahlenden Cashflows auf der Grundlage der geplanten oder erwarteten Rückflüsse/Auszahlungen veranschlagt. Die Devisenswaps werden anschließend bei Fälligkeit ver</w:t>
      </w:r>
      <w:r>
        <w:rPr>
          <w:rFonts w:ascii="Arial" w:hAnsi="Arial"/>
          <w:noProof/>
          <w:sz w:val="16"/>
        </w:rPr>
        <w:t xml:space="preserve">längert und ihr Betrag wird angepasst, um zumindest den für die Folgeperiode veranschlagten Liquiditätsbedarf in USD zu decken. </w:t>
      </w:r>
    </w:p>
    <w:p w:rsidR="001609E3" w:rsidRDefault="001609E3">
      <w:pPr>
        <w:pStyle w:val="Normal180"/>
        <w:suppressAutoHyphens w:val="0"/>
        <w:spacing w:before="60" w:after="60"/>
        <w:jc w:val="both"/>
        <w:rPr>
          <w:rFonts w:ascii="Arial" w:hAnsi="Arial"/>
          <w:noProof/>
          <w:sz w:val="16"/>
          <w:szCs w:val="16"/>
        </w:rPr>
      </w:pPr>
    </w:p>
    <w:p w:rsidR="001609E3" w:rsidRDefault="00E45B63">
      <w:pPr>
        <w:pStyle w:val="Normal22"/>
        <w:numPr>
          <w:ilvl w:val="0"/>
          <w:numId w:val="79"/>
        </w:numPr>
        <w:suppressAutoHyphens w:val="0"/>
        <w:spacing w:before="60" w:after="60"/>
        <w:jc w:val="both"/>
        <w:rPr>
          <w:rFonts w:ascii="Arial" w:hAnsi="Arial"/>
          <w:noProof/>
          <w:sz w:val="16"/>
          <w:szCs w:val="16"/>
        </w:rPr>
      </w:pPr>
      <w:r>
        <w:rPr>
          <w:rFonts w:ascii="Arial" w:hAnsi="Arial"/>
          <w:noProof/>
          <w:sz w:val="16"/>
        </w:rPr>
        <w:t>Die USD-Devisenposition wird auf monatlicher Grundlage bei Überschreiten der jeweiligen Limits durch Devisenkassa- oder Devise</w:t>
      </w:r>
      <w:r>
        <w:rPr>
          <w:rFonts w:ascii="Arial" w:hAnsi="Arial"/>
          <w:noProof/>
          <w:sz w:val="16"/>
        </w:rPr>
        <w:t>ntermingeschäfte abgesichert.</w:t>
      </w:r>
    </w:p>
    <w:p w:rsidR="001609E3" w:rsidRDefault="001609E3">
      <w:pPr>
        <w:pStyle w:val="Normal180"/>
        <w:suppressAutoHyphens w:val="0"/>
        <w:spacing w:before="60" w:after="60"/>
        <w:jc w:val="both"/>
        <w:rPr>
          <w:rFonts w:ascii="Arial" w:hAnsi="Arial"/>
          <w:noProof/>
          <w:sz w:val="16"/>
          <w:szCs w:val="16"/>
        </w:rPr>
      </w:pPr>
    </w:p>
    <w:p w:rsidR="001609E3" w:rsidRDefault="00E45B63">
      <w:pPr>
        <w:pStyle w:val="Normal22"/>
        <w:numPr>
          <w:ilvl w:val="0"/>
          <w:numId w:val="79"/>
        </w:numPr>
        <w:suppressAutoHyphens w:val="0"/>
        <w:spacing w:before="60" w:after="60"/>
        <w:jc w:val="both"/>
        <w:rPr>
          <w:rFonts w:ascii="Arial" w:hAnsi="Arial"/>
          <w:noProof/>
          <w:sz w:val="16"/>
          <w:szCs w:val="16"/>
        </w:rPr>
      </w:pPr>
      <w:r>
        <w:rPr>
          <w:rFonts w:ascii="Arial" w:hAnsi="Arial"/>
          <w:noProof/>
          <w:sz w:val="16"/>
        </w:rPr>
        <w:t>Innerhalb einer Verlängerungsperiode werden unerwartete Liquiditätsengpässe in USD durch Ad-hoc-Devisenswaps gedeckt, während Liquiditätsüberschüsse entweder in Treasury-Aktiva investiert oder in EUR umgerechnet werden, falls</w:t>
      </w:r>
      <w:r>
        <w:rPr>
          <w:rFonts w:ascii="Arial" w:hAnsi="Arial"/>
          <w:noProof/>
          <w:sz w:val="16"/>
        </w:rPr>
        <w:t xml:space="preserve"> sie auf einen Anstieg der Devisenposition zurückzuführen sind</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tes20"/>
        <w:numPr>
          <w:ilvl w:val="4"/>
          <w:numId w:val="78"/>
        </w:numPr>
        <w:tabs>
          <w:tab w:val="clear" w:pos="4320"/>
          <w:tab w:val="clear" w:pos="8640"/>
          <w:tab w:val="right" w:pos="-2700"/>
        </w:tabs>
        <w:spacing w:before="60" w:after="60"/>
        <w:rPr>
          <w:b w:val="0"/>
          <w:noProof/>
          <w:sz w:val="16"/>
          <w:szCs w:val="16"/>
        </w:rPr>
      </w:pPr>
      <w:r>
        <w:rPr>
          <w:b w:val="0"/>
          <w:noProof/>
          <w:sz w:val="16"/>
        </w:rPr>
        <w:t>Absicherung von auf andere Währungen als EUR oder USD lautenden Operationen</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rmal22"/>
        <w:numPr>
          <w:ilvl w:val="0"/>
          <w:numId w:val="79"/>
        </w:numPr>
        <w:suppressAutoHyphens w:val="0"/>
        <w:spacing w:before="60" w:after="60"/>
        <w:jc w:val="both"/>
        <w:rPr>
          <w:rFonts w:ascii="Arial" w:hAnsi="Arial"/>
          <w:noProof/>
          <w:sz w:val="16"/>
          <w:szCs w:val="16"/>
        </w:rPr>
      </w:pPr>
      <w:r>
        <w:rPr>
          <w:rFonts w:ascii="Arial" w:hAnsi="Arial"/>
          <w:noProof/>
          <w:sz w:val="16"/>
        </w:rPr>
        <w:t xml:space="preserve">Von der Investitionsfazilität getätigte Operationen, die auf andere Währungen als EUR und USD lauten, werden durch </w:t>
      </w:r>
      <w:r>
        <w:rPr>
          <w:rFonts w:ascii="Arial" w:hAnsi="Arial"/>
          <w:noProof/>
          <w:sz w:val="16"/>
        </w:rPr>
        <w:t>Währungsswap-Kontrakte mit demselben finanziellen Profil wie der zugrundeliegende Kredit abgesichert, sofern ein funktionsfähiger Swap-Markt besteht.</w:t>
      </w:r>
    </w:p>
    <w:p w:rsidR="001609E3" w:rsidRDefault="001609E3">
      <w:pPr>
        <w:pStyle w:val="Normal22"/>
        <w:suppressAutoHyphens w:val="0"/>
        <w:spacing w:before="60" w:after="60"/>
        <w:jc w:val="both"/>
        <w:rPr>
          <w:rFonts w:ascii="Arial" w:hAnsi="Arial"/>
          <w:noProof/>
          <w:sz w:val="16"/>
          <w:szCs w:val="16"/>
        </w:rPr>
      </w:pPr>
    </w:p>
    <w:p w:rsidR="001609E3" w:rsidRDefault="00E45B63">
      <w:pPr>
        <w:pStyle w:val="Normal1800"/>
        <w:numPr>
          <w:ilvl w:val="0"/>
          <w:numId w:val="80"/>
        </w:numPr>
        <w:suppressAutoHyphens w:val="0"/>
        <w:spacing w:before="60" w:after="60"/>
        <w:jc w:val="both"/>
        <w:rPr>
          <w:rFonts w:ascii="Arial" w:hAnsi="Arial"/>
          <w:noProof/>
          <w:sz w:val="16"/>
          <w:szCs w:val="16"/>
        </w:rPr>
      </w:pPr>
      <w:r>
        <w:rPr>
          <w:rFonts w:ascii="Arial" w:hAnsi="Arial"/>
          <w:noProof/>
          <w:sz w:val="16"/>
        </w:rPr>
        <w:t>Die Investitionsfazilität tätigt Operationen in Währungen, für die Absicherungsmöglichkeiten entweder nic</w:t>
      </w:r>
      <w:r>
        <w:rPr>
          <w:rFonts w:ascii="Arial" w:hAnsi="Arial"/>
          <w:noProof/>
          <w:sz w:val="16"/>
        </w:rPr>
        <w:t>ht effizient verfügbar oder mit hohen Kosten verbunden sind. Diese Operationen lauten auf lokale Währungen, werden aber in EUR oder USD abgewickelt. Der Rahmen der Investitionsfazilität für das Finanzrisiko, der am 22. Januar 2015 vom IF-Ausschuss angenomm</w:t>
      </w:r>
      <w:r>
        <w:rPr>
          <w:rFonts w:ascii="Arial" w:hAnsi="Arial"/>
          <w:noProof/>
          <w:sz w:val="16"/>
        </w:rPr>
        <w:t>en wurde, bietet die Möglichkeit der synthetischen Absicherung des Wechselkursrisikos in lokalen Währungen, die eine signifikant positive Korrelation zum USD aufweisen, durch auf USD lautende Derivate. Die lokalen Währungen, die mit auf USD lautenden Deriv</w:t>
      </w:r>
      <w:r>
        <w:rPr>
          <w:rFonts w:ascii="Arial" w:hAnsi="Arial"/>
          <w:noProof/>
          <w:sz w:val="16"/>
        </w:rPr>
        <w:t>aten synthetisch abgesichert werden, werden in der Tabelle in Abschnitt 3.4.2.2.3 unter der Position „Lokale Währungen (unter synthetischer Absicherung)“ erfasst, während die nicht mit auf USD lautenden Derivaten synthetisch abgesicherten lokalen Währungen</w:t>
      </w:r>
      <w:r>
        <w:rPr>
          <w:rFonts w:ascii="Arial" w:hAnsi="Arial"/>
          <w:noProof/>
          <w:sz w:val="16"/>
        </w:rPr>
        <w:t xml:space="preserve"> in derselben Tabelle unter der Position „Lokale Währungen (nicht unter synthetischer Absicherung)“ erfasst werden.</w:t>
      </w:r>
    </w:p>
    <w:p w:rsidR="001609E3" w:rsidRDefault="001609E3">
      <w:pPr>
        <w:pStyle w:val="Normal180"/>
        <w:suppressAutoHyphens w:val="0"/>
        <w:spacing w:before="60" w:after="60"/>
        <w:ind w:left="720"/>
        <w:jc w:val="both"/>
        <w:rPr>
          <w:rFonts w:ascii="Arial" w:hAnsi="Arial"/>
          <w:noProof/>
          <w:sz w:val="16"/>
          <w:szCs w:val="16"/>
        </w:rPr>
      </w:pPr>
    </w:p>
    <w:p w:rsidR="001609E3" w:rsidRDefault="001609E3">
      <w:pPr>
        <w:pStyle w:val="Notes20"/>
        <w:numPr>
          <w:ilvl w:val="0"/>
          <w:numId w:val="0"/>
        </w:numPr>
        <w:tabs>
          <w:tab w:val="clear" w:pos="4320"/>
          <w:tab w:val="clear" w:pos="8640"/>
          <w:tab w:val="right" w:pos="-2700"/>
        </w:tabs>
        <w:spacing w:before="60" w:after="60"/>
        <w:rPr>
          <w:b w:val="0"/>
          <w:noProof/>
          <w:sz w:val="16"/>
          <w:szCs w:val="16"/>
        </w:rPr>
      </w:pPr>
    </w:p>
    <w:p w:rsidR="001609E3" w:rsidRDefault="001609E3">
      <w:pPr>
        <w:pStyle w:val="Normal23"/>
        <w:pageBreakBefore/>
        <w:suppressAutoHyphens w:val="0"/>
        <w:spacing w:before="60" w:after="60"/>
        <w:jc w:val="both"/>
        <w:rPr>
          <w:b/>
          <w:noProof/>
          <w:sz w:val="16"/>
          <w:szCs w:val="16"/>
        </w:rPr>
      </w:pPr>
    </w:p>
    <w:p w:rsidR="001609E3" w:rsidRDefault="00E45B63">
      <w:pPr>
        <w:pStyle w:val="Notes21"/>
        <w:numPr>
          <w:ilvl w:val="4"/>
          <w:numId w:val="82"/>
        </w:numPr>
        <w:tabs>
          <w:tab w:val="clear" w:pos="4320"/>
          <w:tab w:val="clear" w:pos="8640"/>
          <w:tab w:val="right" w:pos="-2700"/>
        </w:tabs>
        <w:spacing w:before="60" w:after="60"/>
        <w:rPr>
          <w:noProof/>
          <w:sz w:val="16"/>
          <w:szCs w:val="16"/>
        </w:rPr>
      </w:pPr>
      <w:r>
        <w:rPr>
          <w:b w:val="0"/>
          <w:noProof/>
          <w:sz w:val="16"/>
        </w:rPr>
        <w:t>Devisenposition (in Tsd. EUR)</w:t>
      </w:r>
    </w:p>
    <w:p w:rsidR="001609E3" w:rsidRDefault="001609E3">
      <w:pPr>
        <w:pStyle w:val="Notes21"/>
        <w:numPr>
          <w:ilvl w:val="0"/>
          <w:numId w:val="0"/>
        </w:numPr>
        <w:tabs>
          <w:tab w:val="clear" w:pos="4320"/>
          <w:tab w:val="clear" w:pos="8640"/>
          <w:tab w:val="right" w:pos="-2700"/>
        </w:tabs>
        <w:spacing w:before="60" w:after="60"/>
        <w:rPr>
          <w:b w:val="0"/>
          <w:noProof/>
          <w:sz w:val="16"/>
          <w:szCs w:val="16"/>
        </w:rPr>
      </w:pPr>
    </w:p>
    <w:p w:rsidR="001609E3" w:rsidRDefault="00E45B63">
      <w:pPr>
        <w:pStyle w:val="Notes21"/>
        <w:numPr>
          <w:ilvl w:val="0"/>
          <w:numId w:val="0"/>
        </w:numPr>
        <w:tabs>
          <w:tab w:val="clear" w:pos="4320"/>
          <w:tab w:val="clear" w:pos="8640"/>
          <w:tab w:val="right" w:pos="-2700"/>
        </w:tabs>
        <w:spacing w:before="60" w:after="60"/>
        <w:rPr>
          <w:b w:val="0"/>
          <w:noProof/>
          <w:sz w:val="16"/>
          <w:szCs w:val="16"/>
        </w:rPr>
      </w:pPr>
      <w:r>
        <w:rPr>
          <w:b w:val="0"/>
          <w:noProof/>
          <w:sz w:val="16"/>
        </w:rPr>
        <w:t>Die folgenden Tabellen geben Aufschluss über die Devisenposition der Fazilität.</w:t>
      </w:r>
    </w:p>
    <w:p w:rsidR="001609E3" w:rsidRDefault="001609E3">
      <w:pPr>
        <w:pStyle w:val="Notes21"/>
        <w:numPr>
          <w:ilvl w:val="0"/>
          <w:numId w:val="0"/>
        </w:numPr>
        <w:tabs>
          <w:tab w:val="clear" w:pos="4320"/>
          <w:tab w:val="clear" w:pos="8640"/>
          <w:tab w:val="right" w:pos="-2700"/>
        </w:tabs>
        <w:spacing w:before="60" w:after="60"/>
        <w:rPr>
          <w:b w:val="0"/>
          <w:noProof/>
          <w:sz w:val="16"/>
          <w:szCs w:val="16"/>
        </w:rPr>
      </w:pPr>
    </w:p>
    <w:p w:rsidR="001609E3" w:rsidRDefault="00E45B63">
      <w:pPr>
        <w:pStyle w:val="Normal181"/>
        <w:suppressAutoHyphens w:val="0"/>
        <w:spacing w:before="60" w:after="60"/>
        <w:jc w:val="both"/>
        <w:rPr>
          <w:rFonts w:ascii="Arial" w:hAnsi="Arial"/>
          <w:noProof/>
          <w:sz w:val="16"/>
          <w:szCs w:val="16"/>
        </w:rPr>
      </w:pPr>
      <w:r>
        <w:rPr>
          <w:rFonts w:ascii="Arial" w:hAnsi="Arial"/>
          <w:noProof/>
          <w:sz w:val="16"/>
        </w:rPr>
        <w:t xml:space="preserve">Die Devisenposition wird </w:t>
      </w:r>
      <w:r>
        <w:rPr>
          <w:rFonts w:ascii="Arial" w:hAnsi="Arial"/>
          <w:noProof/>
          <w:sz w:val="16"/>
        </w:rPr>
        <w:t>in den nachstehenden Tabellen gemäß den Risikostrategien der Fazilität dargestellt, die im Rahmen der Fazilität für das Finanzrisiko beschrieben werden. Die Devisenposition gemäß den Risikostrategien beruht auf Buchführungsdaten und wird definiert als Sald</w:t>
      </w:r>
      <w:r>
        <w:rPr>
          <w:rFonts w:ascii="Arial" w:hAnsi="Arial"/>
          <w:noProof/>
          <w:sz w:val="16"/>
        </w:rPr>
        <w:t>o zwischen ausgewählten Vermögenswerten und Verbindlichkeiten. Die in der Devisenposition gemäß den Risikostrategien festgelegten Vermögenswerte und Verbindlichkeiten werden so ausgewählt, dass die Gewinne erst bei Eingang in die Berichtswährung (EUR) umge</w:t>
      </w:r>
      <w:r>
        <w:rPr>
          <w:rFonts w:ascii="Arial" w:hAnsi="Arial"/>
          <w:noProof/>
          <w:sz w:val="16"/>
        </w:rPr>
        <w:t>wandelt werden.</w:t>
      </w:r>
    </w:p>
    <w:p w:rsidR="001609E3" w:rsidRDefault="001609E3">
      <w:pPr>
        <w:pStyle w:val="Normal181"/>
        <w:suppressAutoHyphens w:val="0"/>
        <w:spacing w:before="60" w:after="60"/>
        <w:jc w:val="both"/>
        <w:rPr>
          <w:rFonts w:ascii="Arial" w:hAnsi="Arial"/>
          <w:noProof/>
          <w:sz w:val="16"/>
          <w:szCs w:val="16"/>
        </w:rPr>
      </w:pPr>
    </w:p>
    <w:p w:rsidR="001609E3" w:rsidRDefault="00E45B63">
      <w:pPr>
        <w:pStyle w:val="Normal181"/>
        <w:suppressAutoHyphens w:val="0"/>
        <w:spacing w:before="60" w:after="60"/>
        <w:jc w:val="both"/>
        <w:rPr>
          <w:rFonts w:ascii="Arial" w:hAnsi="Arial"/>
          <w:noProof/>
          <w:sz w:val="16"/>
          <w:szCs w:val="16"/>
        </w:rPr>
      </w:pPr>
      <w:r>
        <w:rPr>
          <w:rFonts w:ascii="Arial" w:hAnsi="Arial"/>
          <w:noProof/>
          <w:sz w:val="16"/>
        </w:rPr>
        <w:t>Die nicht realisierten Gewinne/Verluste und die Wertminderungen bei zur Veräußerung verfügbaren finanziellen Vermögenswerten sowie Wertminderungen bei Krediten und Forderungen werden in der Devisenposition gemäß den Risikostrategien ausgew</w:t>
      </w:r>
      <w:r>
        <w:rPr>
          <w:rFonts w:ascii="Arial" w:hAnsi="Arial"/>
          <w:noProof/>
          <w:sz w:val="16"/>
        </w:rPr>
        <w:t>iesen. Derivate werden in der Devisenposition gemäß den Risikostrategien zu ihrem Nennwert statt zu ihrem beizulegenden Zeitwert ausgewiesen, um einen Abgleich mit dem Nettowert der Vermögenswerte zu ermöglichen, die ebenfalls zu ihrem Nennwert bereinigt u</w:t>
      </w:r>
      <w:r>
        <w:rPr>
          <w:rFonts w:ascii="Arial" w:hAnsi="Arial"/>
          <w:noProof/>
          <w:sz w:val="16"/>
        </w:rPr>
        <w:t>m die Wertminderung bei Krediten ausgewiesen werden.</w:t>
      </w:r>
    </w:p>
    <w:p w:rsidR="001609E3" w:rsidRDefault="001609E3">
      <w:pPr>
        <w:pStyle w:val="Normal181"/>
        <w:suppressAutoHyphens w:val="0"/>
        <w:spacing w:before="60" w:after="60"/>
        <w:jc w:val="both"/>
        <w:rPr>
          <w:rFonts w:ascii="Arial" w:hAnsi="Arial"/>
          <w:noProof/>
          <w:sz w:val="16"/>
          <w:szCs w:val="16"/>
        </w:rPr>
      </w:pPr>
    </w:p>
    <w:p w:rsidR="001609E3" w:rsidRDefault="00E45B63">
      <w:pPr>
        <w:pStyle w:val="Normal181"/>
        <w:suppressAutoHyphens w:val="0"/>
        <w:spacing w:before="60" w:after="60"/>
        <w:jc w:val="both"/>
        <w:rPr>
          <w:rFonts w:ascii="Arial" w:hAnsi="Arial"/>
          <w:noProof/>
          <w:sz w:val="16"/>
          <w:szCs w:val="16"/>
        </w:rPr>
      </w:pPr>
      <w:r>
        <w:rPr>
          <w:rFonts w:ascii="Arial" w:hAnsi="Arial"/>
          <w:noProof/>
          <w:sz w:val="16"/>
        </w:rPr>
        <w:t>In den nachstehenden Tabellen wird der verbleibende Teil der Vermögenswerte und Verbindlichkeiten, der hauptsächlich aufgelaufene Zinsen für Kredite, Derivate und Subventionen umfasst, als „Von den Risi</w:t>
      </w:r>
      <w:r>
        <w:rPr>
          <w:rFonts w:ascii="Arial" w:hAnsi="Arial"/>
          <w:noProof/>
          <w:sz w:val="16"/>
        </w:rPr>
        <w:t>kostrategien ausgenommene Devisenposition“ erfasst.</w:t>
      </w:r>
    </w:p>
    <w:p w:rsidR="001609E3" w:rsidRDefault="001609E3">
      <w:pPr>
        <w:pStyle w:val="Notes21"/>
        <w:numPr>
          <w:ilvl w:val="0"/>
          <w:numId w:val="0"/>
        </w:numPr>
        <w:tabs>
          <w:tab w:val="clear" w:pos="4320"/>
          <w:tab w:val="clear" w:pos="8640"/>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1800"/>
        <w:gridCol w:w="1800"/>
        <w:gridCol w:w="1800"/>
        <w:gridCol w:w="150"/>
        <w:gridCol w:w="1800"/>
      </w:tblGrid>
      <w:tr w:rsidR="001609E3">
        <w:trPr>
          <w:trHeight w:val="450"/>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2016</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Vermögenswerte und Verbindlichkeiten</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Verpflichtungen und Eventualverbindlich</w:t>
            </w:r>
            <w:r>
              <w:rPr>
                <w:noProof/>
              </w:rPr>
              <w:softHyphen/>
            </w:r>
            <w:r>
              <w:rPr>
                <w:rFonts w:ascii="Arial" w:hAnsi="Arial"/>
                <w:b/>
                <w:noProof/>
                <w:color w:val="000000"/>
                <w:sz w:val="16"/>
              </w:rPr>
              <w:t>keiten</w:t>
            </w:r>
          </w:p>
        </w:tc>
      </w:tr>
      <w:tr w:rsidR="001609E3">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Währungen</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Devisenposition gemäß den Risikostrategien</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 xml:space="preserve">Von den Risikostrategien ausgenommene </w:t>
            </w:r>
            <w:r>
              <w:rPr>
                <w:rFonts w:ascii="Arial" w:hAnsi="Arial"/>
                <w:b/>
                <w:noProof/>
                <w:color w:val="000000"/>
                <w:sz w:val="16"/>
              </w:rPr>
              <w:t>Devisenposition</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Devisenposition der Bilanz</w:t>
            </w:r>
          </w:p>
        </w:tc>
        <w:tc>
          <w:tcPr>
            <w:tcW w:w="15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rsidR="001609E3" w:rsidRDefault="001609E3">
            <w:pPr>
              <w:rPr>
                <w:rFonts w:ascii="Arial" w:eastAsia="Arial" w:hAnsi="Arial" w:cs="Arial"/>
                <w:b/>
                <w:i/>
                <w:noProof/>
                <w:color w:val="000000"/>
                <w:sz w:val="16"/>
              </w:rPr>
            </w:pPr>
          </w:p>
        </w:tc>
      </w:tr>
      <w:tr w:rsidR="001609E3">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-258 496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7 578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-250 918</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282 991</w:t>
            </w:r>
          </w:p>
        </w:tc>
      </w:tr>
      <w:tr w:rsidR="001609E3">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i/>
                <w:noProof/>
                <w:color w:val="000000"/>
                <w:sz w:val="16"/>
              </w:rPr>
            </w:pPr>
            <w:r>
              <w:rPr>
                <w:rFonts w:ascii="Arial" w:hAnsi="Arial"/>
                <w:i/>
                <w:noProof/>
                <w:color w:val="000000"/>
                <w:sz w:val="16"/>
              </w:rPr>
              <w:t xml:space="preserve">Landeswährungen </w:t>
            </w:r>
            <w:r>
              <w:rPr>
                <w:rFonts w:ascii="Arial" w:eastAsia="Arial" w:hAnsi="Arial" w:cs="Arial"/>
                <w:i/>
                <w:noProof/>
                <w:color w:val="000000"/>
                <w:sz w:val="16"/>
              </w:rPr>
              <w:br/>
            </w:r>
            <w:r>
              <w:rPr>
                <w:rFonts w:ascii="Arial" w:hAnsi="Arial"/>
                <w:i/>
                <w:noProof/>
                <w:color w:val="000000"/>
                <w:sz w:val="16"/>
              </w:rPr>
              <w:t>(unter synthetischer Absicherung)*</w:t>
            </w:r>
          </w:p>
        </w:tc>
        <w:tc>
          <w:tcPr>
            <w:tcW w:w="18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117 881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3 869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121 751</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97 116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1 931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99 046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52 553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2 013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54 566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36 776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1 077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37 854</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22 258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194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22 452</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i/>
                <w:noProof/>
                <w:color w:val="000000"/>
                <w:sz w:val="16"/>
              </w:rPr>
            </w:pPr>
            <w:r>
              <w:rPr>
                <w:rFonts w:ascii="Arial" w:hAnsi="Arial"/>
                <w:i/>
                <w:noProof/>
                <w:color w:val="000000"/>
                <w:sz w:val="16"/>
              </w:rPr>
              <w:t xml:space="preserve">Landeswährungen  </w:t>
            </w:r>
            <w:r>
              <w:rPr>
                <w:rFonts w:ascii="Arial" w:eastAsia="Arial" w:hAnsi="Arial" w:cs="Arial"/>
                <w:i/>
                <w:noProof/>
                <w:color w:val="000000"/>
                <w:sz w:val="16"/>
              </w:rPr>
              <w:br/>
            </w:r>
            <w:r>
              <w:rPr>
                <w:rFonts w:ascii="Arial" w:hAnsi="Arial"/>
                <w:i/>
                <w:noProof/>
                <w:color w:val="000000"/>
                <w:sz w:val="16"/>
              </w:rPr>
              <w:t>(nicht unter synthetischer Absicherung)*</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HTG, MUR, MZN, XOF, ZMW, BWP</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22 534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252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22 786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246</w:t>
            </w:r>
          </w:p>
        </w:tc>
      </w:tr>
      <w:tr w:rsidR="001609E3">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Nicht-EUR-Währungen insgesamt</w:t>
            </w: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90 622</w:t>
            </w: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16 914</w:t>
            </w: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107 537</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283 237</w:t>
            </w:r>
          </w:p>
        </w:tc>
      </w:tr>
      <w:tr w:rsidR="001609E3">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2 591 845</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2 591 845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1 241 229</w:t>
            </w:r>
          </w:p>
        </w:tc>
      </w:tr>
      <w:tr w:rsidR="001609E3">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EUR und </w:t>
            </w:r>
            <w:r>
              <w:rPr>
                <w:rFonts w:ascii="Arial" w:hAnsi="Arial"/>
                <w:b/>
                <w:noProof/>
                <w:color w:val="000000"/>
                <w:sz w:val="16"/>
              </w:rPr>
              <w:t>Nicht-EUR-Währungen insgesamt</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90 622</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2 608 759</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2 699 382</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1 524 466</w:t>
            </w:r>
          </w:p>
        </w:tc>
      </w:tr>
      <w:tr w:rsidR="001609E3">
        <w:trPr>
          <w:trHeight w:val="135"/>
        </w:trPr>
        <w:tc>
          <w:tcPr>
            <w:tcW w:w="9975" w:type="dxa"/>
            <w:gridSpan w:val="6"/>
            <w:tcBorders>
              <w:top w:val="nil"/>
              <w:left w:val="nil"/>
              <w:bottom w:val="nil"/>
              <w:right w:val="nil"/>
              <w:tl2br w:val="nil"/>
              <w:tr2bl w:val="nil"/>
            </w:tcBorders>
            <w:shd w:val="clear" w:color="FFFFFF" w:fill="FFFFFF"/>
            <w:tcMar>
              <w:left w:w="40" w:type="dxa"/>
              <w:right w:w="40" w:type="dxa"/>
            </w:tcMar>
          </w:tcPr>
          <w:p w:rsidR="001609E3" w:rsidRDefault="001609E3">
            <w:pPr>
              <w:jc w:val="both"/>
              <w:rPr>
                <w:rFonts w:ascii="Arial" w:eastAsia="Arial" w:hAnsi="Arial" w:cs="Arial"/>
                <w:noProof/>
                <w:color w:val="000000"/>
                <w:sz w:val="16"/>
              </w:rPr>
            </w:pPr>
          </w:p>
        </w:tc>
      </w:tr>
      <w:tr w:rsidR="001609E3">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rsidR="001609E3" w:rsidRDefault="00E45B63">
            <w:pPr>
              <w:jc w:val="both"/>
              <w:rPr>
                <w:rFonts w:ascii="Arial" w:eastAsia="Arial" w:hAnsi="Arial" w:cs="Arial"/>
                <w:noProof/>
                <w:color w:val="000000"/>
                <w:sz w:val="16"/>
              </w:rPr>
            </w:pPr>
            <w:r>
              <w:rPr>
                <w:rFonts w:ascii="Arial" w:hAnsi="Arial"/>
                <w:noProof/>
                <w:color w:val="000000"/>
                <w:sz w:val="16"/>
              </w:rPr>
              <w:t>* Siehe Abschnitt 3.4.2.2.2 zur Erläuterung der synthetischen Absicherung.</w:t>
            </w:r>
          </w:p>
        </w:tc>
      </w:tr>
      <w:tr w:rsidR="001609E3">
        <w:trPr>
          <w:trHeight w:val="450"/>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pageBreakBefore/>
              <w:rPr>
                <w:rFonts w:ascii="Arial" w:eastAsia="Arial" w:hAnsi="Arial" w:cs="Arial"/>
                <w:b/>
                <w:noProof/>
                <w:color w:val="000000"/>
                <w:sz w:val="16"/>
              </w:rPr>
            </w:pPr>
            <w:r>
              <w:rPr>
                <w:rFonts w:ascii="Arial" w:hAnsi="Arial"/>
                <w:b/>
                <w:noProof/>
                <w:color w:val="000000"/>
                <w:sz w:val="16"/>
              </w:rPr>
              <w:t>Zum 31. Dezember 2015</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Vermögenswerte und Verbindlichkeiten</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Verpflichtungen und Eventualverbindlich</w:t>
            </w:r>
            <w:r>
              <w:rPr>
                <w:noProof/>
              </w:rPr>
              <w:softHyphen/>
            </w:r>
            <w:r>
              <w:rPr>
                <w:rFonts w:ascii="Arial" w:hAnsi="Arial"/>
                <w:b/>
                <w:noProof/>
                <w:color w:val="000000"/>
                <w:sz w:val="16"/>
              </w:rPr>
              <w:t>keiten</w:t>
            </w:r>
          </w:p>
        </w:tc>
      </w:tr>
      <w:tr w:rsidR="001609E3">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Währungen</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Devisenposition gemäß den Risikostrategien</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Von den Risikostrategien ausgenommene Devisenposition</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Devisenposition der Bilanz</w:t>
            </w:r>
          </w:p>
        </w:tc>
        <w:tc>
          <w:tcPr>
            <w:tcW w:w="15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rsidR="001609E3" w:rsidRDefault="001609E3">
            <w:pPr>
              <w:rPr>
                <w:rFonts w:ascii="Arial" w:eastAsia="Arial" w:hAnsi="Arial" w:cs="Arial"/>
                <w:b/>
                <w:i/>
                <w:noProof/>
                <w:color w:val="000000"/>
                <w:sz w:val="16"/>
              </w:rPr>
            </w:pPr>
          </w:p>
        </w:tc>
      </w:tr>
      <w:tr w:rsidR="001609E3">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-207 050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5 023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-202 027</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270 236</w:t>
            </w:r>
          </w:p>
        </w:tc>
      </w:tr>
      <w:tr w:rsidR="001609E3">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i/>
                <w:noProof/>
                <w:color w:val="000000"/>
                <w:sz w:val="16"/>
              </w:rPr>
            </w:pPr>
            <w:r>
              <w:rPr>
                <w:rFonts w:ascii="Arial" w:hAnsi="Arial"/>
                <w:i/>
                <w:noProof/>
                <w:color w:val="000000"/>
                <w:sz w:val="16"/>
              </w:rPr>
              <w:t xml:space="preserve">Landeswährungen </w:t>
            </w:r>
            <w:r>
              <w:rPr>
                <w:rFonts w:ascii="Arial" w:eastAsia="Arial" w:hAnsi="Arial" w:cs="Arial"/>
                <w:i/>
                <w:noProof/>
                <w:color w:val="000000"/>
                <w:sz w:val="16"/>
              </w:rPr>
              <w:br/>
            </w:r>
            <w:r>
              <w:rPr>
                <w:rFonts w:ascii="Arial" w:hAnsi="Arial"/>
                <w:i/>
                <w:noProof/>
                <w:color w:val="000000"/>
                <w:sz w:val="16"/>
              </w:rPr>
              <w:t>(unter synthetischer Absicherung)*</w:t>
            </w:r>
          </w:p>
        </w:tc>
        <w:tc>
          <w:tcPr>
            <w:tcW w:w="18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129 862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3 101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132 963</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46 246</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780</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47 025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40 799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1 274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42 073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30 182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565</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30 747</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11 979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164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12 143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w:t>
            </w:r>
          </w:p>
        </w:tc>
      </w:tr>
      <w:tr w:rsidR="001609E3">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rPr>
                <w:rFonts w:ascii="Arial" w:eastAsia="Arial" w:hAnsi="Arial" w:cs="Arial"/>
                <w:i/>
                <w:noProof/>
                <w:color w:val="000000"/>
                <w:sz w:val="16"/>
              </w:rPr>
            </w:pPr>
            <w:r>
              <w:rPr>
                <w:rFonts w:ascii="Arial" w:hAnsi="Arial"/>
                <w:i/>
                <w:noProof/>
                <w:color w:val="000000"/>
                <w:sz w:val="16"/>
              </w:rPr>
              <w:t xml:space="preserve">Landeswährungen  </w:t>
            </w:r>
            <w:r>
              <w:rPr>
                <w:rFonts w:ascii="Arial" w:eastAsia="Arial" w:hAnsi="Arial" w:cs="Arial"/>
                <w:i/>
                <w:noProof/>
                <w:color w:val="000000"/>
                <w:sz w:val="16"/>
              </w:rPr>
              <w:br/>
            </w:r>
            <w:r>
              <w:rPr>
                <w:rFonts w:ascii="Arial" w:hAnsi="Arial"/>
                <w:i/>
                <w:noProof/>
                <w:color w:val="000000"/>
                <w:sz w:val="16"/>
              </w:rPr>
              <w:t>(nicht unter synthetischer Absicherung)*</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r>
      <w:tr w:rsidR="001609E3">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HTG, MUR, MZN, XOF, ZMW</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15 474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201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15 675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noProof/>
                <w:color w:val="000000"/>
                <w:sz w:val="16"/>
              </w:rPr>
            </w:pPr>
            <w:r>
              <w:rPr>
                <w:rFonts w:ascii="Arial" w:hAnsi="Arial"/>
                <w:noProof/>
                <w:color w:val="000000"/>
                <w:sz w:val="16"/>
              </w:rPr>
              <w:t>798</w:t>
            </w:r>
          </w:p>
        </w:tc>
      </w:tr>
      <w:tr w:rsidR="001609E3">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Nicht-EUR-Währungen </w:t>
            </w:r>
            <w:r>
              <w:rPr>
                <w:rFonts w:ascii="Arial" w:hAnsi="Arial"/>
                <w:b/>
                <w:noProof/>
                <w:color w:val="000000"/>
                <w:sz w:val="16"/>
              </w:rPr>
              <w:t>insgesamt</w:t>
            </w: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67 492</w:t>
            </w: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11 108</w:t>
            </w: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78 599</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271 034</w:t>
            </w:r>
          </w:p>
        </w:tc>
      </w:tr>
      <w:tr w:rsidR="001609E3">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2 337 555</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2 337 555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1 579 719</w:t>
            </w:r>
          </w:p>
        </w:tc>
      </w:tr>
      <w:tr w:rsidR="001609E3">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EUR und Nicht-EUR-Währungen insgesamt</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67 492</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2 348 663</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2 416 154</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1609E3">
            <w:pPr>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1 850 753</w:t>
            </w:r>
          </w:p>
        </w:tc>
      </w:tr>
    </w:tbl>
    <w:p w:rsidR="001609E3" w:rsidRDefault="001609E3">
      <w:pPr>
        <w:pStyle w:val="Normal24"/>
        <w:jc w:val="both"/>
        <w:rPr>
          <w:rFonts w:ascii="Arial" w:hAnsi="Arial"/>
          <w:noProof/>
          <w:sz w:val="16"/>
          <w:szCs w:val="16"/>
        </w:rPr>
      </w:pPr>
    </w:p>
    <w:p w:rsidR="001609E3" w:rsidRDefault="00E45B63">
      <w:pPr>
        <w:pStyle w:val="ListParagraph4"/>
        <w:numPr>
          <w:ilvl w:val="3"/>
          <w:numId w:val="83"/>
        </w:numPr>
        <w:jc w:val="both"/>
        <w:rPr>
          <w:rFonts w:ascii="Arial" w:hAnsi="Arial"/>
          <w:noProof/>
          <w:sz w:val="16"/>
          <w:szCs w:val="16"/>
        </w:rPr>
      </w:pPr>
      <w:r>
        <w:rPr>
          <w:rFonts w:ascii="Arial" w:hAnsi="Arial"/>
          <w:noProof/>
          <w:sz w:val="16"/>
        </w:rPr>
        <w:t>Analyse der Wechselkurssensitivität</w:t>
      </w:r>
    </w:p>
    <w:p w:rsidR="001609E3" w:rsidRDefault="001609E3">
      <w:pPr>
        <w:pStyle w:val="Normal24"/>
        <w:jc w:val="both"/>
        <w:rPr>
          <w:rFonts w:ascii="Arial" w:hAnsi="Arial"/>
          <w:noProof/>
          <w:sz w:val="16"/>
          <w:szCs w:val="16"/>
        </w:rPr>
      </w:pPr>
    </w:p>
    <w:p w:rsidR="001609E3" w:rsidRDefault="00E45B63">
      <w:pPr>
        <w:pStyle w:val="Normal24"/>
        <w:spacing w:before="60" w:after="60"/>
        <w:jc w:val="both"/>
        <w:rPr>
          <w:rFonts w:ascii="Arial" w:hAnsi="Arial"/>
          <w:noProof/>
          <w:sz w:val="16"/>
          <w:szCs w:val="16"/>
        </w:rPr>
      </w:pPr>
      <w:r>
        <w:rPr>
          <w:rFonts w:ascii="Arial" w:hAnsi="Arial"/>
          <w:noProof/>
          <w:sz w:val="16"/>
        </w:rPr>
        <w:t xml:space="preserve">Zum 31. Dezember 2016 würde eine 10%ige Abwertung des EUR </w:t>
      </w:r>
      <w:r>
        <w:rPr>
          <w:rFonts w:ascii="Arial" w:hAnsi="Arial"/>
          <w:noProof/>
          <w:sz w:val="16"/>
        </w:rPr>
        <w:t>gegenüber allen anderen Währungen zu einem Anstieg des Werts der Geberbeiträge um 12,0 Mio. EUR (31. Dezember 2015: 8,7 Mio. EUR) führen. Eine 10%ige Aufwertung des EUR gegenüber allen anderen Währungen würde zu einem Rückgang des Werts der Geberbeiträge u</w:t>
      </w:r>
      <w:r>
        <w:rPr>
          <w:rFonts w:ascii="Arial" w:hAnsi="Arial"/>
          <w:noProof/>
          <w:sz w:val="16"/>
        </w:rPr>
        <w:t>m 9,9 Mio. EUR (31. Dezember 2015: 7,1 Mio. EUR) führen.</w:t>
      </w:r>
    </w:p>
    <w:p w:rsidR="001609E3" w:rsidRDefault="001609E3">
      <w:pPr>
        <w:pStyle w:val="Normal24"/>
        <w:spacing w:before="60" w:after="60"/>
        <w:jc w:val="both"/>
        <w:rPr>
          <w:rFonts w:ascii="Arial" w:hAnsi="Arial"/>
          <w:noProof/>
          <w:sz w:val="16"/>
          <w:szCs w:val="16"/>
        </w:rPr>
      </w:pPr>
    </w:p>
    <w:p w:rsidR="001609E3" w:rsidRDefault="00E45B63">
      <w:pPr>
        <w:pStyle w:val="ListParagraph5"/>
        <w:numPr>
          <w:ilvl w:val="3"/>
          <w:numId w:val="84"/>
        </w:numPr>
        <w:jc w:val="both"/>
        <w:rPr>
          <w:rFonts w:ascii="Arial" w:hAnsi="Arial"/>
          <w:noProof/>
          <w:sz w:val="16"/>
          <w:szCs w:val="16"/>
        </w:rPr>
      </w:pPr>
      <w:r>
        <w:rPr>
          <w:rFonts w:ascii="Arial" w:hAnsi="Arial"/>
          <w:noProof/>
          <w:sz w:val="16"/>
        </w:rPr>
        <w:t>Umrechnungskurse</w:t>
      </w:r>
    </w:p>
    <w:p w:rsidR="001609E3" w:rsidRDefault="001609E3">
      <w:pPr>
        <w:pStyle w:val="ListParagraph5"/>
        <w:ind w:left="794"/>
        <w:jc w:val="both"/>
        <w:rPr>
          <w:rFonts w:ascii="Arial" w:hAnsi="Arial"/>
          <w:noProof/>
          <w:sz w:val="16"/>
          <w:szCs w:val="16"/>
        </w:rPr>
      </w:pPr>
    </w:p>
    <w:p w:rsidR="001609E3" w:rsidRDefault="00E45B63">
      <w:pPr>
        <w:pStyle w:val="Normal25"/>
        <w:jc w:val="both"/>
        <w:rPr>
          <w:rFonts w:ascii="Arial" w:hAnsi="Arial"/>
          <w:noProof/>
          <w:sz w:val="16"/>
          <w:szCs w:val="16"/>
        </w:rPr>
      </w:pPr>
      <w:r>
        <w:rPr>
          <w:rFonts w:ascii="Arial" w:hAnsi="Arial"/>
          <w:noProof/>
          <w:sz w:val="16"/>
        </w:rPr>
        <w:t>Folgende Umrechnungskurse wurden bei der Aufstellung der Bilanz zum 31. Dezember 2016 und 31. Dezember 2015 verwendet:</w:t>
      </w:r>
    </w:p>
    <w:p w:rsidR="001609E3" w:rsidRDefault="001609E3">
      <w:pPr>
        <w:pStyle w:val="Normal25"/>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2250"/>
        <w:gridCol w:w="2250"/>
      </w:tblGrid>
      <w:tr w:rsidR="001609E3">
        <w:trPr>
          <w:trHeight w:val="300"/>
        </w:trPr>
        <w:tc>
          <w:tcPr>
            <w:tcW w:w="5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 Dezember 2016</w:t>
            </w: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 Dezember 2015</w:t>
            </w:r>
          </w:p>
        </w:tc>
      </w:tr>
      <w:tr w:rsidR="001609E3">
        <w:trPr>
          <w:trHeight w:val="30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Nicht-EU-Währungen</w:t>
            </w: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hRule="exac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Botswanischer Pula (BWP)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11,2657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11,9451</w:t>
            </w:r>
          </w:p>
        </w:tc>
      </w:tr>
      <w:tr w:rsidR="001609E3">
        <w:trPr>
          <w:trHeight w:hRule="exac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Dominikanischer Peso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48,7476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49,0144</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Haitianische Gourde (HTG)</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68,78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61,19</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Kenia-Schilling (KES)</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108,06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111,3</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Mauretanischer Ouguiya (MRO)</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375,79</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326,46</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Mauritius-Rupie (MUR)</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37,85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38,85</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Mosambik Metical</w:t>
            </w:r>
            <w:r>
              <w:rPr>
                <w:rFonts w:ascii="Arial" w:hAnsi="Arial"/>
                <w:noProof/>
                <w:color w:val="000000"/>
                <w:sz w:val="16"/>
              </w:rPr>
              <w:t xml:space="preserve"> (MZN)</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75,25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50,59</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Ruanda-Franc (RWF)</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856,8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806,36</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Tansania-Schilling (TZS)</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2 296,99</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2 344,42</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Uganda-Schilling (UGX)</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3 805,00</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3 665,00</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US-Dollar (USD)</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1,0541</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1,0887</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CFA-Franc BEAC/BCEAO (XAF/XOF)</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655,957</w:t>
            </w:r>
          </w:p>
        </w:tc>
      </w:tr>
      <w:tr w:rsidR="001609E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Südafrikanischer Rand (ZAR)</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14,457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16,953</w:t>
            </w:r>
          </w:p>
        </w:tc>
      </w:tr>
      <w:tr w:rsidR="001609E3">
        <w:trPr>
          <w:trHeight w:val="30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Sambischer Kwacha (ZMW)</w:t>
            </w:r>
          </w:p>
        </w:tc>
        <w:tc>
          <w:tcPr>
            <w:tcW w:w="22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10,4653</w:t>
            </w:r>
          </w:p>
        </w:tc>
        <w:tc>
          <w:tcPr>
            <w:tcW w:w="22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11,9571</w:t>
            </w:r>
          </w:p>
        </w:tc>
      </w:tr>
    </w:tbl>
    <w:p w:rsidR="001609E3" w:rsidRDefault="00E45B63">
      <w:pPr>
        <w:pStyle w:val="Notes22"/>
        <w:pageBreakBefore/>
        <w:numPr>
          <w:ilvl w:val="2"/>
          <w:numId w:val="86"/>
        </w:numPr>
        <w:tabs>
          <w:tab w:val="clear" w:pos="4320"/>
          <w:tab w:val="clear" w:pos="8640"/>
          <w:tab w:val="right" w:pos="-2700"/>
        </w:tabs>
        <w:spacing w:before="60" w:after="60"/>
        <w:rPr>
          <w:b w:val="0"/>
          <w:noProof/>
          <w:sz w:val="16"/>
          <w:szCs w:val="16"/>
        </w:rPr>
      </w:pPr>
      <w:r>
        <w:rPr>
          <w:b w:val="0"/>
          <w:noProof/>
          <w:sz w:val="16"/>
        </w:rPr>
        <w:t>Risiko in Verbindung mit Eigenkapitalinstrumenten</w:t>
      </w:r>
    </w:p>
    <w:p w:rsidR="001609E3" w:rsidRDefault="001609E3">
      <w:pPr>
        <w:pStyle w:val="Notes22"/>
        <w:numPr>
          <w:ilvl w:val="0"/>
          <w:numId w:val="0"/>
        </w:numPr>
        <w:tabs>
          <w:tab w:val="clear" w:pos="4320"/>
          <w:tab w:val="clear" w:pos="8640"/>
          <w:tab w:val="right" w:pos="-2700"/>
        </w:tabs>
        <w:spacing w:before="60" w:after="60"/>
        <w:ind w:left="432" w:hanging="432"/>
        <w:rPr>
          <w:b w:val="0"/>
          <w:noProof/>
          <w:sz w:val="16"/>
          <w:szCs w:val="16"/>
        </w:rPr>
      </w:pPr>
    </w:p>
    <w:p w:rsidR="001609E3" w:rsidRDefault="00E45B63">
      <w:pPr>
        <w:pStyle w:val="Normal26"/>
        <w:spacing w:before="60" w:after="60"/>
        <w:jc w:val="both"/>
        <w:rPr>
          <w:rFonts w:ascii="Arial" w:hAnsi="Arial"/>
          <w:noProof/>
          <w:sz w:val="16"/>
          <w:szCs w:val="16"/>
        </w:rPr>
      </w:pPr>
      <w:r>
        <w:rPr>
          <w:rFonts w:ascii="Arial" w:hAnsi="Arial"/>
          <w:noProof/>
          <w:sz w:val="16"/>
        </w:rPr>
        <w:t xml:space="preserve">Bei dem Risiko in Verbindung mit Eigenkapitalinstrumenten handelt es sich um das Risiko, dass der beizulegende Zeitwert dieser Anlagen aufgrund von </w:t>
      </w:r>
      <w:r>
        <w:rPr>
          <w:rFonts w:ascii="Arial" w:hAnsi="Arial"/>
          <w:noProof/>
          <w:sz w:val="16"/>
        </w:rPr>
        <w:t>Veränderungen der Kurse und des Werts einzelner Instrumente sinkt.</w:t>
      </w:r>
    </w:p>
    <w:p w:rsidR="001609E3" w:rsidRDefault="001609E3">
      <w:pPr>
        <w:pStyle w:val="Normal26"/>
        <w:spacing w:before="60" w:after="60"/>
        <w:jc w:val="both"/>
        <w:rPr>
          <w:rFonts w:ascii="Arial" w:hAnsi="Arial"/>
          <w:noProof/>
          <w:sz w:val="16"/>
          <w:szCs w:val="16"/>
        </w:rPr>
      </w:pPr>
    </w:p>
    <w:p w:rsidR="001609E3" w:rsidRDefault="00E45B63">
      <w:pPr>
        <w:pStyle w:val="Normal26"/>
        <w:spacing w:before="60" w:after="60"/>
        <w:jc w:val="both"/>
        <w:rPr>
          <w:rFonts w:ascii="Arial" w:hAnsi="Arial"/>
          <w:noProof/>
          <w:sz w:val="16"/>
          <w:szCs w:val="16"/>
        </w:rPr>
      </w:pPr>
      <w:r>
        <w:rPr>
          <w:rFonts w:ascii="Arial" w:hAnsi="Arial"/>
          <w:noProof/>
          <w:sz w:val="16"/>
        </w:rPr>
        <w:t>Die Investitionsfazilität geht Risiken in Verbindung mit Eigenkapitalinstrumenten über ihre Investitionen in direkte Kapitalbeteiligungen und Wagniskapitalfonds ein.</w:t>
      </w:r>
    </w:p>
    <w:p w:rsidR="001609E3" w:rsidRDefault="001609E3">
      <w:pPr>
        <w:pStyle w:val="Normal26"/>
        <w:spacing w:before="60" w:after="60"/>
        <w:jc w:val="both"/>
        <w:rPr>
          <w:rFonts w:ascii="Arial" w:hAnsi="Arial"/>
          <w:noProof/>
          <w:sz w:val="16"/>
          <w:szCs w:val="16"/>
        </w:rPr>
      </w:pPr>
    </w:p>
    <w:p w:rsidR="001609E3" w:rsidRDefault="00E45B63">
      <w:pPr>
        <w:pStyle w:val="Normal26"/>
        <w:spacing w:before="60" w:after="60"/>
        <w:jc w:val="both"/>
        <w:rPr>
          <w:rFonts w:ascii="Arial" w:hAnsi="Arial"/>
          <w:noProof/>
          <w:sz w:val="16"/>
          <w:szCs w:val="16"/>
        </w:rPr>
      </w:pPr>
      <w:r>
        <w:rPr>
          <w:rFonts w:ascii="Arial" w:hAnsi="Arial"/>
          <w:noProof/>
          <w:sz w:val="16"/>
        </w:rPr>
        <w:t>Der Wert nicht notier</w:t>
      </w:r>
      <w:r>
        <w:rPr>
          <w:rFonts w:ascii="Arial" w:hAnsi="Arial"/>
          <w:noProof/>
          <w:sz w:val="16"/>
        </w:rPr>
        <w:t>ter Beteiligungspositionen steht für den Zweck der kontinuierlichen Überwachung und Kontrolle nicht zur Verfügung. Auf der Grundlage relevanter Bewertungsmethoden ermittelte Preise geben für derartige Positionen die besten verfügbaren Indikationen.</w:t>
      </w:r>
    </w:p>
    <w:p w:rsidR="001609E3" w:rsidRDefault="001609E3">
      <w:pPr>
        <w:pStyle w:val="Normal26"/>
        <w:spacing w:before="60" w:after="60"/>
        <w:jc w:val="both"/>
        <w:rPr>
          <w:rFonts w:ascii="Arial" w:hAnsi="Arial"/>
          <w:noProof/>
          <w:sz w:val="16"/>
          <w:szCs w:val="16"/>
        </w:rPr>
      </w:pPr>
    </w:p>
    <w:p w:rsidR="001609E3" w:rsidRDefault="00E45B63">
      <w:pPr>
        <w:pStyle w:val="Normal26"/>
        <w:spacing w:before="60" w:after="60"/>
        <w:jc w:val="both"/>
        <w:rPr>
          <w:rFonts w:ascii="Arial" w:hAnsi="Arial"/>
          <w:noProof/>
          <w:sz w:val="16"/>
          <w:szCs w:val="16"/>
        </w:rPr>
      </w:pPr>
      <w:r>
        <w:rPr>
          <w:rFonts w:ascii="Arial" w:hAnsi="Arial"/>
          <w:noProof/>
          <w:sz w:val="16"/>
        </w:rPr>
        <w:t xml:space="preserve">Die </w:t>
      </w:r>
      <w:r>
        <w:rPr>
          <w:rFonts w:ascii="Arial" w:hAnsi="Arial"/>
          <w:noProof/>
          <w:sz w:val="16"/>
        </w:rPr>
        <w:t>Auswirkungen einer 10%igen Änderung des Werts einzelner direkter Kapitalbeteiligungen und Investitionen in Wagniskapitalfonds (aufgrund einer Änderung des beizulegenden Zeitwerts des zur Veräußerung verfügbaren Beteiligungsportfolios) auf die Geberbeiträge</w:t>
      </w:r>
      <w:r>
        <w:rPr>
          <w:rFonts w:ascii="Arial" w:hAnsi="Arial"/>
          <w:noProof/>
          <w:sz w:val="16"/>
        </w:rPr>
        <w:t xml:space="preserve"> der Fazilität belaufen sich bei ansonsten gleichbleibenden Variablen zum 31. </w:t>
      </w:r>
      <w:r>
        <w:rPr>
          <w:rFonts w:ascii="Arial" w:hAnsi="Arial"/>
          <w:noProof/>
          <w:sz w:val="16"/>
          <w:lang w:val="it-IT"/>
        </w:rPr>
        <w:t>Dezember 2016 auf 51,7 Mio. EUR bzw. -51,7 Mio. EUR (41,9 Mio. EUR bzw. -41,9 Mio. </w:t>
      </w:r>
      <w:r>
        <w:rPr>
          <w:rFonts w:ascii="Arial" w:hAnsi="Arial"/>
          <w:noProof/>
          <w:sz w:val="16"/>
        </w:rPr>
        <w:t>EUR zum 31. Dezember 2015).</w:t>
      </w:r>
    </w:p>
    <w:p w:rsidR="001609E3" w:rsidRDefault="001609E3">
      <w:pPr>
        <w:pStyle w:val="Normal26"/>
        <w:spacing w:before="60" w:after="60"/>
        <w:jc w:val="both"/>
        <w:rPr>
          <w:rFonts w:ascii="Arial" w:hAnsi="Arial"/>
          <w:noProof/>
          <w:sz w:val="16"/>
          <w:szCs w:val="16"/>
        </w:rPr>
        <w:sectPr w:rsidR="001609E3">
          <w:headerReference w:type="even" r:id="rId428"/>
          <w:headerReference w:type="default" r:id="rId429"/>
          <w:footerReference w:type="even" r:id="rId430"/>
          <w:footerReference w:type="default" r:id="rId431"/>
          <w:headerReference w:type="first" r:id="rId432"/>
          <w:footerReference w:type="first" r:id="rId433"/>
          <w:type w:val="continuous"/>
          <w:pgSz w:w="12240" w:h="15840" w:code="9"/>
          <w:pgMar w:top="765" w:right="1134" w:bottom="765" w:left="1134" w:header="709" w:footer="709" w:gutter="0"/>
          <w:pgBorders>
            <w:top w:val="nil"/>
            <w:left w:val="nil"/>
            <w:bottom w:val="nil"/>
            <w:right w:val="nil"/>
          </w:pgBorders>
          <w:cols w:space="720"/>
          <w:docGrid w:linePitch="360"/>
        </w:sectPr>
      </w:pPr>
    </w:p>
    <w:p w:rsidR="001609E3" w:rsidRDefault="00E45B63">
      <w:pPr>
        <w:pStyle w:val="Notes23"/>
        <w:numPr>
          <w:ilvl w:val="0"/>
          <w:numId w:val="0"/>
        </w:numPr>
        <w:ind w:left="432" w:hanging="432"/>
        <w:rPr>
          <w:noProof/>
        </w:rPr>
      </w:pPr>
      <w:r>
        <w:rPr>
          <w:noProof/>
        </w:rPr>
        <w:t>4</w:t>
      </w:r>
      <w:r>
        <w:rPr>
          <w:noProof/>
        </w:rPr>
        <w:tab/>
        <w:t>Beizulegende Zeitwerte von Finanzinstrumenten</w:t>
      </w:r>
    </w:p>
    <w:p w:rsidR="001609E3" w:rsidRDefault="001609E3">
      <w:pPr>
        <w:pStyle w:val="Title1123"/>
        <w:numPr>
          <w:ilvl w:val="0"/>
          <w:numId w:val="0"/>
        </w:numPr>
        <w:ind w:left="431"/>
        <w:rPr>
          <w:noProof/>
          <w:sz w:val="16"/>
          <w:szCs w:val="16"/>
        </w:rPr>
      </w:pPr>
    </w:p>
    <w:p w:rsidR="001609E3" w:rsidRDefault="00E45B63">
      <w:pPr>
        <w:pStyle w:val="Title1123"/>
        <w:rPr>
          <w:noProof/>
          <w:sz w:val="16"/>
          <w:szCs w:val="16"/>
        </w:rPr>
      </w:pPr>
      <w:r>
        <w:rPr>
          <w:noProof/>
          <w:sz w:val="16"/>
        </w:rPr>
        <w:t>Rechnungsführung und beizulegender Zeitwert</w:t>
      </w:r>
    </w:p>
    <w:p w:rsidR="001609E3" w:rsidRDefault="001609E3">
      <w:pPr>
        <w:pStyle w:val="Title1123"/>
        <w:numPr>
          <w:ilvl w:val="0"/>
          <w:numId w:val="0"/>
        </w:numPr>
        <w:ind w:left="431"/>
        <w:rPr>
          <w:b/>
          <w:noProof/>
          <w:sz w:val="16"/>
          <w:szCs w:val="16"/>
        </w:rPr>
      </w:pPr>
    </w:p>
    <w:p w:rsidR="001609E3" w:rsidRDefault="00E45B63">
      <w:pPr>
        <w:pStyle w:val="Notes23"/>
        <w:numPr>
          <w:ilvl w:val="0"/>
          <w:numId w:val="0"/>
        </w:numPr>
        <w:tabs>
          <w:tab w:val="clear" w:pos="4320"/>
          <w:tab w:val="clear" w:pos="8640"/>
          <w:tab w:val="right" w:pos="-2700"/>
        </w:tabs>
        <w:spacing w:before="60" w:after="60"/>
        <w:rPr>
          <w:b w:val="0"/>
          <w:noProof/>
          <w:sz w:val="16"/>
          <w:szCs w:val="16"/>
        </w:rPr>
      </w:pPr>
      <w:r>
        <w:rPr>
          <w:b w:val="0"/>
          <w:noProof/>
          <w:sz w:val="16"/>
        </w:rPr>
        <w:t xml:space="preserve">Der </w:t>
      </w:r>
      <w:r>
        <w:rPr>
          <w:b w:val="0"/>
          <w:noProof/>
          <w:sz w:val="16"/>
        </w:rPr>
        <w:t>folgenden Tabelle sind der Buchwert und der beizulegende Zeitwert von finanziellen Vermögenswerten und finanziellen Verbindlichkeiten zu entnehmen, einschließlich ihrer Stufe in der Bemessungshierarchie. Diese umfassen keine Informationen zum beizulegenden</w:t>
      </w:r>
      <w:r>
        <w:rPr>
          <w:b w:val="0"/>
          <w:noProof/>
          <w:sz w:val="16"/>
        </w:rPr>
        <w:t xml:space="preserve"> Zeitwert für finanzielle Vermögenswerte und finanzielle Verbindlichkeiten, die nicht zum beizulegenden Zeitwert ausgewiesen werden, wenn der Buchwert eine angemessene Annäherung an den beizulegenden Zeitwert darstellt.</w:t>
      </w:r>
    </w:p>
    <w:p w:rsidR="001609E3" w:rsidRDefault="001609E3">
      <w:pPr>
        <w:pStyle w:val="Notes23"/>
        <w:numPr>
          <w:ilvl w:val="0"/>
          <w:numId w:val="0"/>
        </w:numPr>
        <w:tabs>
          <w:tab w:val="clear" w:pos="4320"/>
          <w:tab w:val="clear" w:pos="8640"/>
          <w:tab w:val="right" w:pos="-2700"/>
        </w:tabs>
        <w:spacing w:before="60" w:after="60"/>
        <w:rPr>
          <w:b w:val="0"/>
          <w:noProof/>
          <w:sz w:val="16"/>
          <w:szCs w:val="16"/>
        </w:rPr>
      </w:pPr>
    </w:p>
    <w:tbl>
      <w:tblPr>
        <w:tblW w:w="1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2016</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Buchwert</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Beizulegender Zeitwert</w:t>
            </w:r>
          </w:p>
        </w:tc>
      </w:tr>
      <w:tr w:rsidR="001609E3">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Zu Handels</w:t>
            </w:r>
            <w:r>
              <w:rPr>
                <w:noProof/>
              </w:rPr>
              <w:softHyphen/>
            </w:r>
            <w:r>
              <w:rPr>
                <w:rFonts w:ascii="Arial" w:hAnsi="Arial"/>
                <w:b/>
                <w:noProof/>
                <w:color w:val="000000"/>
                <w:sz w:val="16"/>
              </w:rPr>
              <w:t>zwecken gehalten</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Zur Veräuße</w:t>
            </w:r>
            <w:r>
              <w:rPr>
                <w:noProof/>
              </w:rPr>
              <w:softHyphen/>
            </w:r>
            <w:r>
              <w:rPr>
                <w:rFonts w:ascii="Arial" w:hAnsi="Arial"/>
                <w:b/>
                <w:noProof/>
                <w:color w:val="000000"/>
                <w:sz w:val="16"/>
              </w:rPr>
              <w:t>rung verfügbar</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Zahlungsmit</w:t>
            </w:r>
            <w:r>
              <w:rPr>
                <w:noProof/>
              </w:rPr>
              <w:softHyphen/>
            </w:r>
            <w:r>
              <w:rPr>
                <w:rFonts w:ascii="Arial" w:hAnsi="Arial"/>
                <w:b/>
                <w:noProof/>
                <w:color w:val="000000"/>
                <w:sz w:val="16"/>
              </w:rPr>
              <w:t>tel, Kredite und Forderungen</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zur Endfällig</w:t>
            </w:r>
            <w:r>
              <w:rPr>
                <w:noProof/>
              </w:rPr>
              <w:softHyphen/>
            </w:r>
            <w:r>
              <w:rPr>
                <w:rFonts w:ascii="Arial" w:hAnsi="Arial"/>
                <w:b/>
                <w:noProof/>
                <w:color w:val="000000"/>
                <w:sz w:val="16"/>
              </w:rPr>
              <w:t>keit zu hal</w:t>
            </w:r>
            <w:r>
              <w:rPr>
                <w:noProof/>
              </w:rPr>
              <w:softHyphen/>
            </w:r>
            <w:r>
              <w:rPr>
                <w:rFonts w:ascii="Arial" w:hAnsi="Arial"/>
                <w:b/>
                <w:noProof/>
                <w:color w:val="000000"/>
                <w:sz w:val="16"/>
              </w:rPr>
              <w:t>ten</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Sonstige finanzielle Verbindlich</w:t>
            </w:r>
            <w:r>
              <w:rPr>
                <w:noProof/>
              </w:rPr>
              <w:softHyphen/>
            </w:r>
            <w:r>
              <w:rPr>
                <w:rFonts w:ascii="Arial" w:hAnsi="Arial"/>
                <w:b/>
                <w:noProof/>
                <w:color w:val="000000"/>
                <w:sz w:val="16"/>
              </w:rPr>
              <w:t>keiten</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Ebene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Grad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Stufe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beizulegenden Zeitwert ausgewiesene finanzielle Vermögenswerte: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Derivative Finanzinstrumente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6 920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6 920</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6 920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6 920</w:t>
            </w: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Wagniskapital</w:t>
            </w:r>
            <w:r>
              <w:rPr>
                <w:noProof/>
              </w:rPr>
              <w:softHyphen/>
            </w:r>
            <w:r>
              <w:rPr>
                <w:rFonts w:ascii="Arial" w:hAnsi="Arial"/>
                <w:noProof/>
                <w:color w:val="000000"/>
                <w:sz w:val="16"/>
              </w:rPr>
              <w:t>fonds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437 788</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437 788</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437 788</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437 788</w:t>
            </w:r>
          </w:p>
        </w:tc>
      </w:tr>
      <w:tr w:rsidR="001609E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Direkte Kapital</w:t>
            </w:r>
            <w:r>
              <w:rPr>
                <w:noProof/>
              </w:rPr>
              <w:softHyphen/>
            </w:r>
            <w:r>
              <w:rPr>
                <w:rFonts w:ascii="Arial" w:hAnsi="Arial"/>
                <w:noProof/>
                <w:color w:val="000000"/>
                <w:sz w:val="16"/>
              </w:rPr>
              <w:t>beteiligungen</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79 096</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79 096</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22 880</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56 216</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79 096</w:t>
            </w: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6 920</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516 884</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523 804</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22 880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6 920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494 004</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523 804</w:t>
            </w: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zum beizulegenden Zeitwert ausgewiesene finanzielle Vermögenswerte: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Zahlungs</w:t>
            </w:r>
            <w:r>
              <w:rPr>
                <w:rFonts w:ascii="Arial" w:hAnsi="Arial"/>
                <w:noProof/>
                <w:color w:val="000000"/>
                <w:sz w:val="16"/>
              </w:rPr>
              <w:t>mitteln und Zahlungsmitteläquivalenten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360 817</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360 817</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und Forderungen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1 729 380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1 729 380</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1 951 786</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1 951 786</w:t>
            </w: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Forderungen gegenüber Beitragszahlern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86 395</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86 395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Anleihen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169 398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169 398</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120 123</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48 031</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168 154</w:t>
            </w:r>
          </w:p>
        </w:tc>
      </w:tr>
      <w:tr w:rsidR="001609E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Vermögenswerte</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345</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2 176 937</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169 398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2 346 335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120 123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1 999 817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2 119 940</w:t>
            </w:r>
          </w:p>
        </w:tc>
      </w:tr>
      <w:tr w:rsidR="001609E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Finanzielle Vermögenswerte insgesamt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6 920</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516 884</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2 176 937</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169 398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2 870 139</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Zum </w:t>
            </w:r>
            <w:r>
              <w:rPr>
                <w:rFonts w:ascii="Arial" w:hAnsi="Arial"/>
                <w:b/>
                <w:noProof/>
                <w:color w:val="000000"/>
                <w:sz w:val="16"/>
              </w:rPr>
              <w:t>beizulegenden Zeitwert ausgewiesene finanzielle Verbindlichkeiten:</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Derivative Finanzinstrumente</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-25 189</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-25 189</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-25 189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-25 189</w:t>
            </w: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-25 189</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-25 189</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-25 189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-25 189</w:t>
            </w: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zum beizulegenden Zeitwert ausgewiesene finanzielle Verbindlichkeiten:</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w:t>
            </w:r>
            <w:r>
              <w:rPr>
                <w:rFonts w:ascii="Arial" w:hAnsi="Arial"/>
                <w:noProof/>
                <w:color w:val="000000"/>
                <w:sz w:val="16"/>
              </w:rPr>
              <w:t>ckstellungen für gestellte Garantien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-625</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-625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Verbindlichkeiten gegenüber Dritten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-116 114</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-116 114</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Verbindlichkeiten</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-2 546</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-2 546</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-119 285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-119 285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Finanzielle </w:t>
            </w:r>
            <w:r>
              <w:rPr>
                <w:rFonts w:ascii="Arial" w:hAnsi="Arial"/>
                <w:b/>
                <w:noProof/>
                <w:color w:val="000000"/>
                <w:sz w:val="16"/>
              </w:rPr>
              <w:t>Verbindlichkeiten insgesamt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-25 189</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-119 285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-144 474</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bl>
    <w:p w:rsidR="001609E3" w:rsidRDefault="00E45B63">
      <w:pPr>
        <w:pStyle w:val="Notes24"/>
        <w:pageBreakBefore/>
        <w:numPr>
          <w:ilvl w:val="0"/>
          <w:numId w:val="0"/>
        </w:numPr>
        <w:ind w:left="432" w:hanging="432"/>
        <w:rPr>
          <w:noProof/>
        </w:rPr>
      </w:pPr>
      <w:r>
        <w:rPr>
          <w:noProof/>
        </w:rPr>
        <w:t>4</w:t>
      </w:r>
      <w:r>
        <w:rPr>
          <w:noProof/>
        </w:rPr>
        <w:tab/>
        <w:t>Beizulegende Zeitwerte von Finanzinstrumenten (Fortsetzung)</w:t>
      </w:r>
    </w:p>
    <w:p w:rsidR="001609E3" w:rsidRDefault="001609E3">
      <w:pPr>
        <w:pStyle w:val="Title1124"/>
        <w:numPr>
          <w:ilvl w:val="0"/>
          <w:numId w:val="0"/>
        </w:numPr>
        <w:ind w:left="431"/>
        <w:rPr>
          <w:noProof/>
          <w:sz w:val="16"/>
          <w:szCs w:val="16"/>
        </w:rPr>
      </w:pPr>
    </w:p>
    <w:p w:rsidR="001609E3" w:rsidRDefault="00E45B63">
      <w:pPr>
        <w:pStyle w:val="Title1124"/>
        <w:rPr>
          <w:noProof/>
          <w:sz w:val="16"/>
          <w:szCs w:val="16"/>
        </w:rPr>
      </w:pPr>
      <w:r>
        <w:rPr>
          <w:noProof/>
          <w:sz w:val="16"/>
        </w:rPr>
        <w:t>Rechnungsführung und beizulegender Zeitwert (Fortsetzung)</w:t>
      </w:r>
    </w:p>
    <w:p w:rsidR="001609E3" w:rsidRDefault="001609E3">
      <w:pPr>
        <w:pStyle w:val="Title1124"/>
        <w:numPr>
          <w:ilvl w:val="0"/>
          <w:numId w:val="0"/>
        </w:numPr>
        <w:ind w:left="431"/>
        <w:rPr>
          <w:noProof/>
          <w:sz w:val="16"/>
          <w:szCs w:val="16"/>
        </w:rPr>
      </w:pPr>
    </w:p>
    <w:tbl>
      <w:tblPr>
        <w:tblW w:w="1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2015</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Buchwert</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Beizulegender Zeitwert</w:t>
            </w:r>
          </w:p>
        </w:tc>
      </w:tr>
      <w:tr w:rsidR="001609E3">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Zu Handels</w:t>
            </w:r>
            <w:r>
              <w:rPr>
                <w:noProof/>
              </w:rPr>
              <w:softHyphen/>
            </w:r>
            <w:r>
              <w:rPr>
                <w:rFonts w:ascii="Arial" w:hAnsi="Arial"/>
                <w:b/>
                <w:noProof/>
                <w:color w:val="000000"/>
                <w:sz w:val="16"/>
              </w:rPr>
              <w:t>zwecken gehalten</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Zur Veräuße</w:t>
            </w:r>
            <w:r>
              <w:rPr>
                <w:noProof/>
              </w:rPr>
              <w:softHyphen/>
            </w:r>
            <w:r>
              <w:rPr>
                <w:rFonts w:ascii="Arial" w:hAnsi="Arial"/>
                <w:b/>
                <w:noProof/>
                <w:color w:val="000000"/>
                <w:sz w:val="16"/>
              </w:rPr>
              <w:t>rung verfügbar</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Zahlungsmit</w:t>
            </w:r>
            <w:r>
              <w:rPr>
                <w:noProof/>
              </w:rPr>
              <w:softHyphen/>
            </w:r>
            <w:r>
              <w:rPr>
                <w:rFonts w:ascii="Arial" w:hAnsi="Arial"/>
                <w:b/>
                <w:noProof/>
                <w:color w:val="000000"/>
                <w:sz w:val="16"/>
              </w:rPr>
              <w:t>tel, Kredite und Forderungen</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zur Endfällig</w:t>
            </w:r>
            <w:r>
              <w:rPr>
                <w:noProof/>
              </w:rPr>
              <w:softHyphen/>
            </w:r>
            <w:r>
              <w:rPr>
                <w:rFonts w:ascii="Arial" w:hAnsi="Arial"/>
                <w:b/>
                <w:noProof/>
                <w:color w:val="000000"/>
                <w:sz w:val="16"/>
              </w:rPr>
              <w:t>keit zu hal</w:t>
            </w:r>
            <w:r>
              <w:rPr>
                <w:noProof/>
              </w:rPr>
              <w:softHyphen/>
            </w:r>
            <w:r>
              <w:rPr>
                <w:rFonts w:ascii="Arial" w:hAnsi="Arial"/>
                <w:b/>
                <w:noProof/>
                <w:color w:val="000000"/>
                <w:sz w:val="16"/>
              </w:rPr>
              <w:t>ten</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Sonstige finanzielle Verbindlich</w:t>
            </w:r>
            <w:r>
              <w:rPr>
                <w:noProof/>
              </w:rPr>
              <w:softHyphen/>
            </w:r>
            <w:r>
              <w:rPr>
                <w:rFonts w:ascii="Arial" w:hAnsi="Arial"/>
                <w:b/>
                <w:noProof/>
                <w:color w:val="000000"/>
                <w:sz w:val="16"/>
              </w:rPr>
              <w:t>keiten</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Ebene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Grad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Stufe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w:t>
            </w:r>
            <w:r>
              <w:rPr>
                <w:rFonts w:ascii="Arial" w:hAnsi="Arial"/>
                <w:b/>
                <w:noProof/>
                <w:color w:val="000000"/>
                <w:sz w:val="16"/>
              </w:rPr>
              <w:t>um beizulegenden Zeitwert ausgewiesene finanzielle Vermögenswerte: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Derivative Finanzinstrumente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Wagniskapital</w:t>
            </w:r>
            <w:r>
              <w:rPr>
                <w:noProof/>
              </w:rPr>
              <w:softHyphen/>
            </w:r>
            <w:r>
              <w:rPr>
                <w:rFonts w:ascii="Arial" w:hAnsi="Arial"/>
                <w:noProof/>
                <w:color w:val="000000"/>
                <w:sz w:val="16"/>
              </w:rPr>
              <w:t>fonds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396 203</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396 203</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396 203</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396 203</w:t>
            </w:r>
          </w:p>
        </w:tc>
      </w:tr>
      <w:tr w:rsidR="001609E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Direkte Kapital</w:t>
            </w:r>
            <w:r>
              <w:rPr>
                <w:noProof/>
              </w:rPr>
              <w:softHyphen/>
            </w:r>
            <w:r>
              <w:rPr>
                <w:rFonts w:ascii="Arial" w:hAnsi="Arial"/>
                <w:noProof/>
                <w:color w:val="000000"/>
                <w:sz w:val="16"/>
              </w:rPr>
              <w:t>beteiligungen</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23 150</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23 150</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178</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22 972</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23 150</w:t>
            </w: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419 353</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419 664</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178</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419 175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419 664</w:t>
            </w: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zum beizulegenden Zeitwert ausgewiesene finanzielle Vermögenswerte: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Zahlungs</w:t>
            </w:r>
            <w:r>
              <w:rPr>
                <w:rFonts w:ascii="Arial" w:hAnsi="Arial"/>
                <w:noProof/>
                <w:color w:val="000000"/>
                <w:sz w:val="16"/>
              </w:rPr>
              <w:t>mitteln und Zahlungsmitteläquivalenten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448 995</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448 995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und Forderungen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1 460 057</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1 460 057</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1 649 401</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1 649 401</w:t>
            </w: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Anleihen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228 521</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228 521</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124 009</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104 520</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228 529</w:t>
            </w:r>
          </w:p>
        </w:tc>
      </w:tr>
      <w:tr w:rsidR="001609E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Vermögenswerte</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1 909 079</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228 521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2 137 600</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124 009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1 753 921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1 877 930</w:t>
            </w:r>
          </w:p>
        </w:tc>
      </w:tr>
      <w:tr w:rsidR="001609E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Finanzielle Vermögenswerte insgesamt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419 353</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1 909 079</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228 521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2 557 264</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Zum </w:t>
            </w:r>
            <w:r>
              <w:rPr>
                <w:rFonts w:ascii="Arial" w:hAnsi="Arial"/>
                <w:b/>
                <w:noProof/>
                <w:color w:val="000000"/>
                <w:sz w:val="16"/>
              </w:rPr>
              <w:t>beizulegenden Zeitwert ausgewiesene finanzielle Verbindlichkeiten:</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Derivative Finanzinstrumente</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-8 219</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-8 219</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-8 219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-8 219</w:t>
            </w: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w:t>
            </w:r>
            <w:r>
              <w:rPr>
                <w:rFonts w:ascii="Arial" w:hAnsi="Arial"/>
                <w:b/>
                <w:noProof/>
                <w:color w:val="000000"/>
                <w:sz w:val="16"/>
              </w:rPr>
              <w:t xml:space="preserve">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-8 219</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-8 219</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-8 219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-8 219</w:t>
            </w:r>
          </w:p>
        </w:tc>
      </w:tr>
      <w:tr w:rsidR="001609E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zum beizulegenden Zeitwert ausgewiesene finanzielle Verbindlichkeiten:</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w:t>
            </w:r>
            <w:r>
              <w:rPr>
                <w:rFonts w:ascii="Arial" w:hAnsi="Arial"/>
                <w:noProof/>
                <w:color w:val="000000"/>
                <w:sz w:val="16"/>
              </w:rPr>
              <w:t>ckstellungen für gestellte Garantien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Verbindlichkeiten gegenüber Dritten</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-101 202</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-101 202</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Verbindlichkeiten</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-2 364</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-2 364</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 xml:space="preserve">betrag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-103 566</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-103 566</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Finanzielle Verbindlichkeiten </w:t>
            </w:r>
            <w:r>
              <w:rPr>
                <w:rFonts w:ascii="Arial" w:hAnsi="Arial"/>
                <w:b/>
                <w:noProof/>
                <w:color w:val="000000"/>
                <w:sz w:val="16"/>
              </w:rPr>
              <w:t>insgesamt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-8 219</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-103 566</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-111 785</w:t>
            </w:r>
          </w:p>
        </w:tc>
        <w:tc>
          <w:tcPr>
            <w:tcW w:w="15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bl>
    <w:p w:rsidR="001609E3" w:rsidRDefault="001609E3">
      <w:pPr>
        <w:rPr>
          <w:noProof/>
        </w:rPr>
        <w:sectPr w:rsidR="001609E3">
          <w:headerReference w:type="even" r:id="rId434"/>
          <w:headerReference w:type="default" r:id="rId435"/>
          <w:footerReference w:type="even" r:id="rId436"/>
          <w:footerReference w:type="default" r:id="rId437"/>
          <w:headerReference w:type="first" r:id="rId438"/>
          <w:footerReference w:type="first" r:id="rId439"/>
          <w:type w:val="continuous"/>
          <w:pgSz w:w="15840" w:h="12240" w:orient="landscape"/>
          <w:pgMar w:top="765" w:right="1134" w:bottom="765" w:left="1134" w:header="720" w:footer="720" w:gutter="0"/>
          <w:pgBorders>
            <w:top w:val="nil"/>
            <w:left w:val="nil"/>
            <w:bottom w:val="nil"/>
            <w:right w:val="nil"/>
          </w:pgBorders>
          <w:cols w:space="720"/>
          <w:docGrid w:linePitch="360"/>
        </w:sectPr>
      </w:pPr>
    </w:p>
    <w:p w:rsidR="001609E3" w:rsidRDefault="00E45B63">
      <w:pPr>
        <w:pStyle w:val="Title1125"/>
        <w:rPr>
          <w:noProof/>
          <w:sz w:val="16"/>
          <w:szCs w:val="16"/>
        </w:rPr>
      </w:pPr>
      <w:r>
        <w:rPr>
          <w:noProof/>
          <w:sz w:val="16"/>
        </w:rPr>
        <w:t>Bemessung des beizulegenden Zeitwerts</w:t>
      </w:r>
    </w:p>
    <w:p w:rsidR="001609E3" w:rsidRDefault="001609E3">
      <w:pPr>
        <w:pStyle w:val="Title1125"/>
        <w:numPr>
          <w:ilvl w:val="0"/>
          <w:numId w:val="0"/>
        </w:numPr>
        <w:ind w:left="431"/>
        <w:rPr>
          <w:noProof/>
          <w:sz w:val="16"/>
          <w:szCs w:val="16"/>
        </w:rPr>
      </w:pPr>
    </w:p>
    <w:p w:rsidR="001609E3" w:rsidRDefault="00E45B63">
      <w:pPr>
        <w:pStyle w:val="Title1125"/>
        <w:numPr>
          <w:ilvl w:val="2"/>
          <w:numId w:val="89"/>
        </w:numPr>
        <w:rPr>
          <w:noProof/>
          <w:sz w:val="16"/>
          <w:szCs w:val="16"/>
        </w:rPr>
      </w:pPr>
      <w:r>
        <w:rPr>
          <w:noProof/>
          <w:sz w:val="16"/>
        </w:rPr>
        <w:t>Bewertungstechniken und maßgebliche nicht beobachtbare Inputfaktoren</w:t>
      </w:r>
    </w:p>
    <w:p w:rsidR="001609E3" w:rsidRDefault="001609E3">
      <w:pPr>
        <w:pStyle w:val="Normal29"/>
        <w:suppressAutoHyphens w:val="0"/>
        <w:spacing w:before="60" w:after="60"/>
        <w:jc w:val="both"/>
        <w:rPr>
          <w:rFonts w:ascii="Arial" w:hAnsi="Arial"/>
          <w:noProof/>
          <w:sz w:val="16"/>
          <w:szCs w:val="16"/>
        </w:rPr>
      </w:pPr>
    </w:p>
    <w:p w:rsidR="001609E3" w:rsidRDefault="00E45B63">
      <w:pPr>
        <w:pStyle w:val="Normal29"/>
        <w:rPr>
          <w:rFonts w:ascii="Arial" w:hAnsi="Arial"/>
          <w:noProof/>
          <w:sz w:val="16"/>
          <w:szCs w:val="16"/>
        </w:rPr>
      </w:pPr>
      <w:r>
        <w:rPr>
          <w:rFonts w:ascii="Arial" w:hAnsi="Arial"/>
          <w:noProof/>
          <w:sz w:val="16"/>
        </w:rPr>
        <w:t xml:space="preserve">Der folgenden Tabelle sind Informationen über die Bewertungstechniken und maßgebliche nicht </w:t>
      </w:r>
      <w:r>
        <w:rPr>
          <w:rFonts w:ascii="Arial" w:hAnsi="Arial"/>
          <w:noProof/>
          <w:sz w:val="16"/>
        </w:rPr>
        <w:t>beobachtbare Inputfaktoren zu entnehmen, die für die Bewertung von Finanzinstrumenten herangezogen werden, die in der Bemessungshierarchie in den Stufen 2 und 3 klassifiziert sind:</w:t>
      </w:r>
    </w:p>
    <w:p w:rsidR="001609E3" w:rsidRDefault="001609E3">
      <w:pPr>
        <w:pStyle w:val="Normal29"/>
        <w:rPr>
          <w:rFonts w:ascii="Arial" w:hAnsi="Arial"/>
          <w:noProof/>
          <w:sz w:val="16"/>
          <w:szCs w:val="16"/>
        </w:rPr>
      </w:pPr>
    </w:p>
    <w:tbl>
      <w:tblPr>
        <w:tblW w:w="10787" w:type="dxa"/>
        <w:tblInd w:w="95" w:type="dxa"/>
        <w:tblLook w:val="0000" w:firstRow="0" w:lastRow="0" w:firstColumn="0" w:lastColumn="0" w:noHBand="0" w:noVBand="0"/>
      </w:tblPr>
      <w:tblGrid>
        <w:gridCol w:w="1604"/>
        <w:gridCol w:w="4394"/>
        <w:gridCol w:w="3119"/>
        <w:gridCol w:w="2111"/>
      </w:tblGrid>
      <w:tr w:rsidR="001609E3">
        <w:trPr>
          <w:trHeight w:val="454"/>
        </w:trPr>
        <w:tc>
          <w:tcPr>
            <w:tcW w:w="1431" w:type="dxa"/>
            <w:tcBorders>
              <w:top w:val="single" w:sz="4" w:space="0" w:color="auto"/>
              <w:left w:val="nil"/>
              <w:bottom w:val="single" w:sz="4" w:space="0" w:color="auto"/>
              <w:right w:val="nil"/>
            </w:tcBorders>
            <w:shd w:val="clear" w:color="auto" w:fill="auto"/>
            <w:noWrap/>
            <w:vAlign w:val="bottom"/>
          </w:tcPr>
          <w:p w:rsidR="001609E3" w:rsidRDefault="001609E3">
            <w:pPr>
              <w:pStyle w:val="Normal29"/>
              <w:suppressAutoHyphens w:val="0"/>
              <w:rPr>
                <w:rFonts w:ascii="Arial" w:hAnsi="Arial"/>
                <w:b/>
                <w:bCs/>
                <w:noProof/>
                <w:sz w:val="16"/>
                <w:szCs w:val="16"/>
              </w:rPr>
            </w:pPr>
          </w:p>
        </w:tc>
        <w:tc>
          <w:tcPr>
            <w:tcW w:w="4394" w:type="dxa"/>
            <w:tcBorders>
              <w:top w:val="single" w:sz="4" w:space="0" w:color="auto"/>
              <w:left w:val="nil"/>
              <w:bottom w:val="single" w:sz="4" w:space="0" w:color="auto"/>
              <w:right w:val="nil"/>
            </w:tcBorders>
            <w:shd w:val="clear" w:color="auto" w:fill="auto"/>
            <w:noWrap/>
            <w:vAlign w:val="bottom"/>
          </w:tcPr>
          <w:p w:rsidR="001609E3" w:rsidRDefault="00E45B63">
            <w:pPr>
              <w:pStyle w:val="Normal29"/>
              <w:suppressAutoHyphens w:val="0"/>
              <w:rPr>
                <w:rFonts w:ascii="Arial" w:hAnsi="Arial"/>
                <w:b/>
                <w:bCs/>
                <w:noProof/>
                <w:sz w:val="16"/>
                <w:szCs w:val="16"/>
              </w:rPr>
            </w:pPr>
            <w:r>
              <w:rPr>
                <w:rFonts w:ascii="Arial" w:hAnsi="Arial"/>
                <w:b/>
                <w:noProof/>
                <w:sz w:val="16"/>
              </w:rPr>
              <w:t>Bewertungstechnik</w:t>
            </w:r>
          </w:p>
        </w:tc>
        <w:tc>
          <w:tcPr>
            <w:tcW w:w="3119" w:type="dxa"/>
            <w:tcBorders>
              <w:top w:val="single" w:sz="4" w:space="0" w:color="auto"/>
              <w:left w:val="nil"/>
              <w:bottom w:val="single" w:sz="4" w:space="0" w:color="auto"/>
              <w:right w:val="nil"/>
            </w:tcBorders>
            <w:shd w:val="clear" w:color="auto" w:fill="auto"/>
            <w:noWrap/>
            <w:vAlign w:val="bottom"/>
          </w:tcPr>
          <w:p w:rsidR="001609E3" w:rsidRDefault="00E45B63">
            <w:pPr>
              <w:pStyle w:val="Normal29"/>
              <w:suppressAutoHyphens w:val="0"/>
              <w:rPr>
                <w:rFonts w:ascii="Arial" w:hAnsi="Arial"/>
                <w:b/>
                <w:bCs/>
                <w:noProof/>
                <w:sz w:val="16"/>
                <w:szCs w:val="16"/>
              </w:rPr>
            </w:pPr>
            <w:r>
              <w:rPr>
                <w:rFonts w:ascii="Arial" w:hAnsi="Arial"/>
                <w:b/>
                <w:noProof/>
                <w:sz w:val="16"/>
              </w:rPr>
              <w:t>Maßgebliche nicht beobachtbare Inputfaktoren</w:t>
            </w:r>
          </w:p>
        </w:tc>
        <w:tc>
          <w:tcPr>
            <w:tcW w:w="1843" w:type="dxa"/>
            <w:tcBorders>
              <w:top w:val="single" w:sz="4" w:space="0" w:color="auto"/>
              <w:left w:val="nil"/>
              <w:bottom w:val="single" w:sz="4" w:space="0" w:color="auto"/>
              <w:right w:val="nil"/>
            </w:tcBorders>
            <w:shd w:val="clear" w:color="auto" w:fill="auto"/>
            <w:noWrap/>
            <w:vAlign w:val="bottom"/>
          </w:tcPr>
          <w:p w:rsidR="001609E3" w:rsidRDefault="00E45B63">
            <w:pPr>
              <w:pStyle w:val="Normal29"/>
              <w:suppressAutoHyphens w:val="0"/>
              <w:rPr>
                <w:rFonts w:ascii="Arial" w:hAnsi="Arial"/>
                <w:b/>
                <w:bCs/>
                <w:noProof/>
                <w:sz w:val="16"/>
                <w:szCs w:val="16"/>
              </w:rPr>
            </w:pPr>
            <w:r>
              <w:rPr>
                <w:rFonts w:ascii="Arial" w:hAnsi="Arial"/>
                <w:b/>
                <w:noProof/>
                <w:sz w:val="16"/>
              </w:rPr>
              <w:t>Verhältnis</w:t>
            </w:r>
            <w:r>
              <w:rPr>
                <w:rFonts w:ascii="Arial" w:hAnsi="Arial"/>
                <w:b/>
                <w:noProof/>
                <w:sz w:val="16"/>
              </w:rPr>
              <w:t xml:space="preserve"> zwischen nicht beobachtbaren Inputfaktoren und Bemessung des beizulegenden Zeitwerts</w:t>
            </w:r>
          </w:p>
        </w:tc>
      </w:tr>
      <w:tr w:rsidR="001609E3">
        <w:trPr>
          <w:trHeight w:val="379"/>
        </w:trPr>
        <w:tc>
          <w:tcPr>
            <w:tcW w:w="5825" w:type="dxa"/>
            <w:gridSpan w:val="2"/>
            <w:tcBorders>
              <w:top w:val="nil"/>
              <w:left w:val="nil"/>
              <w:right w:val="nil"/>
            </w:tcBorders>
            <w:shd w:val="clear" w:color="auto" w:fill="auto"/>
            <w:noWrap/>
          </w:tcPr>
          <w:p w:rsidR="001609E3" w:rsidRDefault="001609E3">
            <w:pPr>
              <w:pStyle w:val="Normal29"/>
              <w:suppressAutoHyphens w:val="0"/>
              <w:rPr>
                <w:rFonts w:ascii="Arial" w:hAnsi="Arial"/>
                <w:b/>
                <w:bCs/>
                <w:noProof/>
                <w:sz w:val="16"/>
                <w:szCs w:val="16"/>
              </w:rPr>
            </w:pPr>
          </w:p>
          <w:p w:rsidR="001609E3" w:rsidRDefault="00E45B63">
            <w:pPr>
              <w:pStyle w:val="Normal29"/>
              <w:suppressAutoHyphens w:val="0"/>
              <w:rPr>
                <w:rFonts w:ascii="Arial" w:hAnsi="Arial"/>
                <w:noProof/>
                <w:sz w:val="16"/>
                <w:szCs w:val="16"/>
              </w:rPr>
            </w:pPr>
            <w:r>
              <w:rPr>
                <w:rFonts w:ascii="Arial" w:hAnsi="Arial"/>
                <w:b/>
                <w:noProof/>
                <w:sz w:val="16"/>
              </w:rPr>
              <w:t>Zum beizulegenden Zeitwert ausgewiesene Finanzinstrumente</w:t>
            </w:r>
          </w:p>
        </w:tc>
        <w:tc>
          <w:tcPr>
            <w:tcW w:w="3119" w:type="dxa"/>
            <w:tcBorders>
              <w:top w:val="nil"/>
              <w:left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1843" w:type="dxa"/>
            <w:tcBorders>
              <w:top w:val="nil"/>
              <w:left w:val="nil"/>
              <w:right w:val="nil"/>
            </w:tcBorders>
            <w:shd w:val="clear" w:color="auto" w:fill="auto"/>
            <w:noWrap/>
          </w:tcPr>
          <w:p w:rsidR="001609E3" w:rsidRDefault="001609E3">
            <w:pPr>
              <w:pStyle w:val="Normal29"/>
              <w:suppressAutoHyphens w:val="0"/>
              <w:rPr>
                <w:rFonts w:ascii="Arial" w:hAnsi="Arial"/>
                <w:noProof/>
                <w:sz w:val="16"/>
                <w:szCs w:val="16"/>
              </w:rPr>
            </w:pPr>
          </w:p>
        </w:tc>
      </w:tr>
      <w:tr w:rsidR="001609E3">
        <w:trPr>
          <w:trHeight w:val="131"/>
        </w:trPr>
        <w:tc>
          <w:tcPr>
            <w:tcW w:w="1431" w:type="dxa"/>
            <w:tcBorders>
              <w:top w:val="nil"/>
              <w:left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top w:val="nil"/>
              <w:left w:val="nil"/>
              <w:right w:val="nil"/>
            </w:tcBorders>
            <w:shd w:val="clear" w:color="auto" w:fill="auto"/>
            <w:noWrap/>
          </w:tcPr>
          <w:p w:rsidR="001609E3" w:rsidRDefault="001609E3">
            <w:pPr>
              <w:pStyle w:val="Normal29"/>
              <w:suppressAutoHyphens w:val="0"/>
              <w:jc w:val="both"/>
              <w:rPr>
                <w:rFonts w:ascii="Arial" w:hAnsi="Arial"/>
                <w:noProof/>
                <w:sz w:val="16"/>
                <w:szCs w:val="16"/>
              </w:rPr>
            </w:pPr>
          </w:p>
        </w:tc>
        <w:tc>
          <w:tcPr>
            <w:tcW w:w="3119" w:type="dxa"/>
            <w:tcBorders>
              <w:top w:val="nil"/>
              <w:left w:val="nil"/>
              <w:right w:val="nil"/>
            </w:tcBorders>
            <w:shd w:val="clear" w:color="auto" w:fill="auto"/>
            <w:noWrap/>
          </w:tcPr>
          <w:p w:rsidR="001609E3" w:rsidRDefault="001609E3">
            <w:pPr>
              <w:pStyle w:val="Normal29"/>
              <w:suppressAutoHyphens w:val="0"/>
              <w:jc w:val="both"/>
              <w:rPr>
                <w:rFonts w:ascii="Arial" w:hAnsi="Arial"/>
                <w:noProof/>
                <w:sz w:val="16"/>
                <w:szCs w:val="16"/>
              </w:rPr>
            </w:pPr>
          </w:p>
        </w:tc>
        <w:tc>
          <w:tcPr>
            <w:tcW w:w="1843" w:type="dxa"/>
            <w:tcBorders>
              <w:top w:val="nil"/>
              <w:left w:val="nil"/>
              <w:right w:val="nil"/>
            </w:tcBorders>
            <w:shd w:val="clear" w:color="auto" w:fill="auto"/>
            <w:noWrap/>
          </w:tcPr>
          <w:p w:rsidR="001609E3" w:rsidRDefault="001609E3">
            <w:pPr>
              <w:pStyle w:val="Normal29"/>
              <w:suppressAutoHyphens w:val="0"/>
              <w:jc w:val="both"/>
              <w:rPr>
                <w:rFonts w:ascii="Arial" w:hAnsi="Arial"/>
                <w:noProof/>
                <w:sz w:val="16"/>
                <w:szCs w:val="16"/>
              </w:rPr>
            </w:pPr>
          </w:p>
        </w:tc>
      </w:tr>
      <w:tr w:rsidR="001609E3">
        <w:trPr>
          <w:trHeight w:val="284"/>
        </w:trPr>
        <w:tc>
          <w:tcPr>
            <w:tcW w:w="1431" w:type="dxa"/>
            <w:tcBorders>
              <w:top w:val="nil"/>
              <w:left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Derivative Finanzinstrumente</w:t>
            </w:r>
          </w:p>
        </w:tc>
        <w:tc>
          <w:tcPr>
            <w:tcW w:w="4394" w:type="dxa"/>
            <w:tcBorders>
              <w:top w:val="nil"/>
              <w:left w:val="nil"/>
              <w:right w:val="nil"/>
            </w:tcBorders>
            <w:shd w:val="clear" w:color="auto" w:fill="auto"/>
            <w:noWrap/>
          </w:tcPr>
          <w:p w:rsidR="001609E3" w:rsidRDefault="00E45B63">
            <w:pPr>
              <w:pStyle w:val="Normal29"/>
              <w:suppressAutoHyphens w:val="0"/>
              <w:jc w:val="both"/>
              <w:rPr>
                <w:rFonts w:ascii="Arial" w:hAnsi="Arial"/>
                <w:noProof/>
                <w:sz w:val="16"/>
                <w:szCs w:val="16"/>
              </w:rPr>
            </w:pPr>
            <w:r>
              <w:rPr>
                <w:rFonts w:ascii="Arial" w:hAnsi="Arial"/>
                <w:noProof/>
                <w:sz w:val="16"/>
              </w:rPr>
              <w:t>Discounted-Cash-Flow-Methode: Künftige Cashflows werden auf Grundlage von</w:t>
            </w:r>
            <w:r>
              <w:rPr>
                <w:rFonts w:ascii="Arial" w:hAnsi="Arial"/>
                <w:noProof/>
                <w:sz w:val="16"/>
              </w:rPr>
              <w:t xml:space="preserve"> Devisenterminkursen/Zinssätzen (anhand beobachtbarer Devisenterminkurse und Renditekurven zum Ende der Berichtsperiode) sowie Termingeschäften/Zinssätzen, die zu einem Satz, der das Kreditrisiko der verschiedenen Gegenparteien widerspiegelt, abgezinst wer</w:t>
            </w:r>
            <w:r>
              <w:rPr>
                <w:rFonts w:ascii="Arial" w:hAnsi="Arial"/>
                <w:noProof/>
                <w:sz w:val="16"/>
              </w:rPr>
              <w:t>den, geschätzt.</w:t>
            </w:r>
          </w:p>
        </w:tc>
        <w:tc>
          <w:tcPr>
            <w:tcW w:w="3119" w:type="dxa"/>
            <w:tcBorders>
              <w:top w:val="nil"/>
              <w:left w:val="nil"/>
              <w:right w:val="nil"/>
            </w:tcBorders>
            <w:shd w:val="clear" w:color="auto" w:fill="auto"/>
            <w:noWrap/>
          </w:tcPr>
          <w:p w:rsidR="001609E3" w:rsidRDefault="00E45B63">
            <w:pPr>
              <w:pStyle w:val="Normal29"/>
              <w:suppressAutoHyphens w:val="0"/>
              <w:jc w:val="both"/>
              <w:rPr>
                <w:rFonts w:ascii="Arial" w:hAnsi="Arial"/>
                <w:noProof/>
                <w:sz w:val="16"/>
                <w:szCs w:val="16"/>
              </w:rPr>
            </w:pPr>
            <w:r>
              <w:rPr>
                <w:rFonts w:ascii="Arial" w:hAnsi="Arial"/>
                <w:noProof/>
                <w:sz w:val="16"/>
              </w:rPr>
              <w:t>Nicht zutreffend.</w:t>
            </w:r>
          </w:p>
        </w:tc>
        <w:tc>
          <w:tcPr>
            <w:tcW w:w="1843" w:type="dxa"/>
            <w:tcBorders>
              <w:top w:val="nil"/>
              <w:left w:val="nil"/>
              <w:right w:val="nil"/>
            </w:tcBorders>
            <w:shd w:val="clear" w:color="auto" w:fill="auto"/>
            <w:noWrap/>
          </w:tcPr>
          <w:p w:rsidR="001609E3" w:rsidRDefault="00E45B63">
            <w:pPr>
              <w:pStyle w:val="Normal29"/>
              <w:suppressAutoHyphens w:val="0"/>
              <w:jc w:val="both"/>
              <w:rPr>
                <w:rFonts w:ascii="Arial" w:hAnsi="Arial"/>
                <w:noProof/>
                <w:sz w:val="16"/>
                <w:szCs w:val="16"/>
              </w:rPr>
            </w:pPr>
            <w:r>
              <w:rPr>
                <w:rFonts w:ascii="Arial" w:hAnsi="Arial"/>
                <w:noProof/>
                <w:sz w:val="16"/>
              </w:rPr>
              <w:t>Nicht zutreffend.</w:t>
            </w:r>
          </w:p>
        </w:tc>
      </w:tr>
      <w:tr w:rsidR="001609E3">
        <w:trPr>
          <w:trHeight w:val="180"/>
        </w:trPr>
        <w:tc>
          <w:tcPr>
            <w:tcW w:w="1431" w:type="dxa"/>
            <w:tcBorders>
              <w:left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left w:val="nil"/>
              <w:right w:val="nil"/>
            </w:tcBorders>
            <w:shd w:val="clear" w:color="auto" w:fill="auto"/>
            <w:noWrap/>
          </w:tcPr>
          <w:p w:rsidR="001609E3" w:rsidRDefault="001609E3">
            <w:pPr>
              <w:pStyle w:val="Normal29"/>
              <w:suppressAutoHyphens w:val="0"/>
              <w:jc w:val="both"/>
              <w:rPr>
                <w:rFonts w:ascii="Arial" w:hAnsi="Arial"/>
                <w:noProof/>
                <w:sz w:val="16"/>
                <w:szCs w:val="16"/>
              </w:rPr>
            </w:pPr>
          </w:p>
        </w:tc>
        <w:tc>
          <w:tcPr>
            <w:tcW w:w="3119" w:type="dxa"/>
            <w:tcBorders>
              <w:left w:val="nil"/>
              <w:right w:val="nil"/>
            </w:tcBorders>
            <w:shd w:val="clear" w:color="auto" w:fill="auto"/>
            <w:noWrap/>
          </w:tcPr>
          <w:p w:rsidR="001609E3" w:rsidRDefault="001609E3">
            <w:pPr>
              <w:pStyle w:val="Normal29"/>
              <w:jc w:val="both"/>
              <w:rPr>
                <w:rFonts w:ascii="Arial" w:hAnsi="Arial"/>
                <w:noProof/>
                <w:sz w:val="16"/>
                <w:szCs w:val="16"/>
              </w:rPr>
            </w:pPr>
          </w:p>
        </w:tc>
        <w:tc>
          <w:tcPr>
            <w:tcW w:w="1843" w:type="dxa"/>
            <w:tcBorders>
              <w:left w:val="nil"/>
              <w:right w:val="nil"/>
            </w:tcBorders>
            <w:shd w:val="clear" w:color="auto" w:fill="auto"/>
            <w:noWrap/>
          </w:tcPr>
          <w:p w:rsidR="001609E3" w:rsidRDefault="001609E3">
            <w:pPr>
              <w:pStyle w:val="ListParagraph6"/>
              <w:suppressAutoHyphens w:val="0"/>
              <w:ind w:left="360"/>
              <w:jc w:val="both"/>
              <w:rPr>
                <w:rFonts w:ascii="Arial" w:hAnsi="Arial"/>
                <w:noProof/>
                <w:sz w:val="16"/>
                <w:szCs w:val="16"/>
              </w:rPr>
            </w:pPr>
          </w:p>
        </w:tc>
      </w:tr>
      <w:tr w:rsidR="001609E3">
        <w:trPr>
          <w:trHeight w:val="284"/>
        </w:trPr>
        <w:tc>
          <w:tcPr>
            <w:tcW w:w="1431" w:type="dxa"/>
            <w:tcBorders>
              <w:left w:val="nil"/>
              <w:right w:val="nil"/>
            </w:tcBorders>
            <w:shd w:val="clear" w:color="auto" w:fill="auto"/>
            <w:noWrap/>
          </w:tcPr>
          <w:p w:rsidR="001609E3" w:rsidRDefault="00E45B63">
            <w:pPr>
              <w:pStyle w:val="Normal29"/>
              <w:suppressAutoHyphens w:val="0"/>
              <w:rPr>
                <w:rFonts w:ascii="Arial" w:hAnsi="Arial"/>
                <w:bCs/>
                <w:noProof/>
                <w:sz w:val="16"/>
                <w:szCs w:val="16"/>
              </w:rPr>
            </w:pPr>
            <w:r>
              <w:rPr>
                <w:rFonts w:ascii="Arial" w:hAnsi="Arial"/>
                <w:noProof/>
                <w:sz w:val="16"/>
              </w:rPr>
              <w:t>Wagniskapitalfonds</w:t>
            </w:r>
          </w:p>
        </w:tc>
        <w:tc>
          <w:tcPr>
            <w:tcW w:w="4394" w:type="dxa"/>
            <w:tcBorders>
              <w:left w:val="nil"/>
              <w:right w:val="nil"/>
            </w:tcBorders>
            <w:shd w:val="clear" w:color="auto" w:fill="auto"/>
            <w:noWrap/>
          </w:tcPr>
          <w:p w:rsidR="001609E3" w:rsidRDefault="00E45B63">
            <w:pPr>
              <w:pStyle w:val="Normal29"/>
              <w:suppressAutoHyphens w:val="0"/>
              <w:jc w:val="both"/>
              <w:rPr>
                <w:rFonts w:ascii="Arial" w:hAnsi="Arial"/>
                <w:noProof/>
                <w:sz w:val="16"/>
                <w:szCs w:val="16"/>
              </w:rPr>
            </w:pPr>
            <w:r>
              <w:rPr>
                <w:rFonts w:ascii="Arial" w:hAnsi="Arial"/>
                <w:noProof/>
                <w:sz w:val="16"/>
              </w:rPr>
              <w:t>Methode des bereinigten Nettovermögens: Der beizulegende Zeitwert wird ermittelt, indem entweder der prozentuale Anteil der Fazilität am Eigentum des zugrundeliegenden Instruments</w:t>
            </w:r>
            <w:r>
              <w:rPr>
                <w:rFonts w:ascii="Arial" w:hAnsi="Arial"/>
                <w:noProof/>
                <w:sz w:val="16"/>
              </w:rPr>
              <w:t xml:space="preserve"> auf das Nettovermögen angewendet wird, das im letzten Bericht um Cashflows bereinigt ausgewiesen ist, oder indem, sofern verfügbar, der genaue, vom jeweiligen Fondsmanager vorgelegte Anteilswert zu diesem Termin herangezogen wird. Zur Überbrückung des Zei</w:t>
            </w:r>
            <w:r>
              <w:rPr>
                <w:rFonts w:ascii="Arial" w:hAnsi="Arial"/>
                <w:noProof/>
                <w:sz w:val="16"/>
              </w:rPr>
              <w:t>traums zwischen dem letzten verfügbaren Nettoinventarwert (NIW) und der Berichterstattung zum Jahresende wird ein Überprüfungsverfahren für wesentliche Ereignisse nach dem Bilanzstichtag durchgeführt und gegebenenfalls der gemeldete Nettoinventarwert angep</w:t>
            </w:r>
            <w:r>
              <w:rPr>
                <w:rFonts w:ascii="Arial" w:hAnsi="Arial"/>
                <w:noProof/>
                <w:sz w:val="16"/>
              </w:rPr>
              <w:t>asst.</w:t>
            </w:r>
          </w:p>
        </w:tc>
        <w:tc>
          <w:tcPr>
            <w:tcW w:w="3119" w:type="dxa"/>
            <w:tcBorders>
              <w:left w:val="nil"/>
              <w:right w:val="nil"/>
            </w:tcBorders>
            <w:shd w:val="clear" w:color="auto" w:fill="auto"/>
            <w:noWrap/>
          </w:tcPr>
          <w:p w:rsidR="001609E3" w:rsidRDefault="00E45B63">
            <w:pPr>
              <w:pStyle w:val="Normal29"/>
              <w:jc w:val="both"/>
              <w:rPr>
                <w:rFonts w:ascii="Arial" w:hAnsi="Arial"/>
                <w:noProof/>
                <w:sz w:val="16"/>
                <w:szCs w:val="16"/>
              </w:rPr>
            </w:pPr>
            <w:r>
              <w:rPr>
                <w:rFonts w:ascii="Arial" w:hAnsi="Arial"/>
                <w:noProof/>
                <w:sz w:val="16"/>
              </w:rPr>
              <w:t>Anpassung für den Zeitraum zwischen dem letzten Berichtstermin des Wagniskapitalfonds und dem Bemessungsstichtag unter Berücksichtigung von operativen Aufwendungen und Verwaltungsgebühren, anschließenden Änderungen des beizulegenden Zeitwerts des zug</w:t>
            </w:r>
            <w:r>
              <w:rPr>
                <w:rFonts w:ascii="Arial" w:hAnsi="Arial"/>
                <w:noProof/>
                <w:sz w:val="16"/>
              </w:rPr>
              <w:t>rundeliegenden Vermögens des Wagniskapitalfonds, entstandenen zusätzlichen Verbindlichkeiten, Marktveränderungen oder sonstigen Veränderungen der Wirtschaftslage.</w:t>
            </w:r>
          </w:p>
          <w:p w:rsidR="001609E3" w:rsidRDefault="001609E3">
            <w:pPr>
              <w:pStyle w:val="ListParagraph6"/>
              <w:suppressAutoHyphens w:val="0"/>
              <w:ind w:left="360"/>
              <w:jc w:val="both"/>
              <w:rPr>
                <w:rFonts w:ascii="Arial" w:hAnsi="Arial"/>
                <w:noProof/>
                <w:sz w:val="16"/>
                <w:szCs w:val="16"/>
              </w:rPr>
            </w:pPr>
          </w:p>
        </w:tc>
        <w:tc>
          <w:tcPr>
            <w:tcW w:w="1843" w:type="dxa"/>
            <w:tcBorders>
              <w:left w:val="nil"/>
              <w:right w:val="nil"/>
            </w:tcBorders>
            <w:shd w:val="clear" w:color="auto" w:fill="auto"/>
            <w:noWrap/>
          </w:tcPr>
          <w:p w:rsidR="001609E3" w:rsidRDefault="00E45B63">
            <w:pPr>
              <w:pStyle w:val="Normal29"/>
              <w:jc w:val="both"/>
              <w:rPr>
                <w:rFonts w:ascii="Arial" w:hAnsi="Arial"/>
                <w:b/>
                <w:noProof/>
                <w:sz w:val="16"/>
                <w:szCs w:val="16"/>
              </w:rPr>
            </w:pPr>
            <w:r>
              <w:rPr>
                <w:rFonts w:ascii="Arial" w:hAnsi="Arial"/>
                <w:noProof/>
                <w:sz w:val="16"/>
              </w:rPr>
              <w:t>Je länger der Zeitraum zwischen dem Bemessungsstichtag des beizulegenden Zeitwerts und dem l</w:t>
            </w:r>
            <w:r>
              <w:rPr>
                <w:rFonts w:ascii="Arial" w:hAnsi="Arial"/>
                <w:noProof/>
                <w:sz w:val="16"/>
              </w:rPr>
              <w:t>etzten Berichtstermin des Wagniskapitalfonds ist, desto höher ist die Anpassung für den Zeitraum.</w:t>
            </w:r>
          </w:p>
        </w:tc>
      </w:tr>
      <w:tr w:rsidR="001609E3">
        <w:trPr>
          <w:trHeight w:val="182"/>
        </w:trPr>
        <w:tc>
          <w:tcPr>
            <w:tcW w:w="1431" w:type="dxa"/>
            <w:tcBorders>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left w:val="nil"/>
              <w:bottom w:val="nil"/>
              <w:right w:val="nil"/>
            </w:tcBorders>
            <w:shd w:val="clear" w:color="auto" w:fill="auto"/>
            <w:noWrap/>
          </w:tcPr>
          <w:p w:rsidR="001609E3" w:rsidRDefault="001609E3">
            <w:pPr>
              <w:pStyle w:val="Normal29"/>
              <w:suppressAutoHyphens w:val="0"/>
              <w:rPr>
                <w:rFonts w:ascii="Arial" w:hAnsi="Arial"/>
                <w:bCs/>
                <w:noProof/>
                <w:sz w:val="16"/>
                <w:szCs w:val="16"/>
              </w:rPr>
            </w:pPr>
          </w:p>
        </w:tc>
        <w:tc>
          <w:tcPr>
            <w:tcW w:w="3119" w:type="dxa"/>
            <w:tcBorders>
              <w:left w:val="nil"/>
              <w:bottom w:val="nil"/>
              <w:right w:val="nil"/>
            </w:tcBorders>
            <w:shd w:val="clear" w:color="auto" w:fill="auto"/>
            <w:noWrap/>
          </w:tcPr>
          <w:p w:rsidR="001609E3" w:rsidRDefault="001609E3">
            <w:pPr>
              <w:pStyle w:val="Normal29"/>
              <w:suppressAutoHyphens w:val="0"/>
              <w:rPr>
                <w:rFonts w:ascii="Arial" w:hAnsi="Arial"/>
                <w:bCs/>
                <w:noProof/>
                <w:sz w:val="16"/>
                <w:szCs w:val="16"/>
              </w:rPr>
            </w:pPr>
          </w:p>
        </w:tc>
        <w:tc>
          <w:tcPr>
            <w:tcW w:w="1843" w:type="dxa"/>
            <w:tcBorders>
              <w:left w:val="nil"/>
              <w:bottom w:val="nil"/>
              <w:right w:val="nil"/>
            </w:tcBorders>
            <w:shd w:val="clear" w:color="auto" w:fill="auto"/>
            <w:noWrap/>
          </w:tcPr>
          <w:p w:rsidR="001609E3" w:rsidRDefault="001609E3">
            <w:pPr>
              <w:pStyle w:val="Normal29"/>
              <w:suppressAutoHyphens w:val="0"/>
              <w:rPr>
                <w:rFonts w:ascii="Arial" w:hAnsi="Arial"/>
                <w:bCs/>
                <w:noProof/>
                <w:sz w:val="16"/>
                <w:szCs w:val="16"/>
              </w:rPr>
            </w:pPr>
          </w:p>
        </w:tc>
      </w:tr>
      <w:tr w:rsidR="001609E3">
        <w:trPr>
          <w:trHeight w:val="284"/>
        </w:trPr>
        <w:tc>
          <w:tcPr>
            <w:tcW w:w="1431" w:type="dxa"/>
            <w:tcBorders>
              <w:left w:val="nil"/>
              <w:bottom w:val="nil"/>
              <w:right w:val="nil"/>
            </w:tcBorders>
            <w:shd w:val="clear" w:color="auto" w:fill="auto"/>
            <w:noWrap/>
          </w:tcPr>
          <w:p w:rsidR="001609E3" w:rsidRDefault="00E45B63">
            <w:pPr>
              <w:pStyle w:val="Normal29"/>
              <w:suppressAutoHyphens w:val="0"/>
              <w:rPr>
                <w:rFonts w:ascii="Arial" w:hAnsi="Arial"/>
                <w:bCs/>
                <w:noProof/>
                <w:sz w:val="16"/>
                <w:szCs w:val="16"/>
              </w:rPr>
            </w:pPr>
            <w:r>
              <w:rPr>
                <w:rFonts w:ascii="Arial" w:hAnsi="Arial"/>
                <w:noProof/>
                <w:sz w:val="16"/>
              </w:rPr>
              <w:t>Direkte Kapital</w:t>
            </w:r>
            <w:r>
              <w:rPr>
                <w:noProof/>
              </w:rPr>
              <w:softHyphen/>
            </w:r>
            <w:r>
              <w:rPr>
                <w:rFonts w:ascii="Arial" w:hAnsi="Arial"/>
                <w:noProof/>
                <w:sz w:val="16"/>
              </w:rPr>
              <w:t>beteiligungen</w:t>
            </w:r>
          </w:p>
        </w:tc>
        <w:tc>
          <w:tcPr>
            <w:tcW w:w="4394" w:type="dxa"/>
            <w:tcBorders>
              <w:left w:val="nil"/>
              <w:bottom w:val="nil"/>
              <w:right w:val="nil"/>
            </w:tcBorders>
            <w:shd w:val="clear" w:color="auto" w:fill="auto"/>
            <w:noWrap/>
          </w:tcPr>
          <w:p w:rsidR="001609E3" w:rsidRDefault="00E45B63">
            <w:pPr>
              <w:pStyle w:val="Normal29"/>
              <w:suppressAutoHyphens w:val="0"/>
              <w:rPr>
                <w:rFonts w:ascii="Arial" w:hAnsi="Arial"/>
                <w:bCs/>
                <w:noProof/>
                <w:sz w:val="16"/>
                <w:szCs w:val="16"/>
              </w:rPr>
            </w:pPr>
            <w:r>
              <w:rPr>
                <w:rFonts w:ascii="Arial" w:hAnsi="Arial"/>
                <w:noProof/>
                <w:sz w:val="16"/>
              </w:rPr>
              <w:t>Bereinigtes Nettovermögen.</w:t>
            </w:r>
          </w:p>
        </w:tc>
        <w:tc>
          <w:tcPr>
            <w:tcW w:w="3119" w:type="dxa"/>
            <w:tcBorders>
              <w:left w:val="nil"/>
              <w:bottom w:val="nil"/>
              <w:right w:val="nil"/>
            </w:tcBorders>
            <w:shd w:val="clear" w:color="auto" w:fill="auto"/>
            <w:noWrap/>
          </w:tcPr>
          <w:p w:rsidR="001609E3" w:rsidRDefault="00E45B63">
            <w:pPr>
              <w:pStyle w:val="Normal29"/>
              <w:jc w:val="both"/>
              <w:rPr>
                <w:rFonts w:ascii="Arial" w:hAnsi="Arial"/>
                <w:b/>
                <w:noProof/>
                <w:sz w:val="16"/>
                <w:szCs w:val="16"/>
              </w:rPr>
            </w:pPr>
            <w:r>
              <w:rPr>
                <w:rFonts w:ascii="Arial" w:hAnsi="Arial"/>
                <w:noProof/>
                <w:sz w:val="16"/>
              </w:rPr>
              <w:t>Anpassung für den Zeitraum zwischen dem letzten Berichtstermin des Beteiligungsunternehmens und</w:t>
            </w:r>
            <w:r>
              <w:rPr>
                <w:rFonts w:ascii="Arial" w:hAnsi="Arial"/>
                <w:noProof/>
                <w:sz w:val="16"/>
              </w:rPr>
              <w:t xml:space="preserve"> dem Bemessungsstichtag unter Berücksichtigung von operativen Aufwendungen, anschließenden Änderungen des beizulegenden Zeitwerts des zugrundeliegenden Vermögens des Beteiligungsunternehmens, entstandenen zusätzlichen Verbindlichkeiten, Marktveränderungen </w:t>
            </w:r>
            <w:r>
              <w:rPr>
                <w:rFonts w:ascii="Arial" w:hAnsi="Arial"/>
                <w:noProof/>
                <w:sz w:val="16"/>
              </w:rPr>
              <w:t>oder sonstigen Veränderungen der Wirtschaftslage, Kapitalzuwachs, Veräußerung/Kontrollwechsel.</w:t>
            </w:r>
          </w:p>
        </w:tc>
        <w:tc>
          <w:tcPr>
            <w:tcW w:w="1843" w:type="dxa"/>
            <w:tcBorders>
              <w:left w:val="nil"/>
              <w:bottom w:val="nil"/>
              <w:right w:val="nil"/>
            </w:tcBorders>
            <w:shd w:val="clear" w:color="auto" w:fill="auto"/>
            <w:noWrap/>
          </w:tcPr>
          <w:p w:rsidR="001609E3" w:rsidRDefault="00E45B63">
            <w:pPr>
              <w:pStyle w:val="Normal29"/>
              <w:jc w:val="both"/>
              <w:rPr>
                <w:rFonts w:ascii="Arial" w:hAnsi="Arial"/>
                <w:noProof/>
                <w:sz w:val="16"/>
                <w:szCs w:val="16"/>
              </w:rPr>
            </w:pPr>
            <w:r>
              <w:rPr>
                <w:rFonts w:ascii="Arial" w:hAnsi="Arial"/>
                <w:noProof/>
                <w:sz w:val="16"/>
              </w:rPr>
              <w:t>Je länger der Zeitraum zwischen dem Bemessungsstichtag des beizulegenden Zeitwerts und dem letzten Berichtstermin des Beteiligungsunternehmens ist, desto höher i</w:t>
            </w:r>
            <w:r>
              <w:rPr>
                <w:rFonts w:ascii="Arial" w:hAnsi="Arial"/>
                <w:noProof/>
                <w:sz w:val="16"/>
              </w:rPr>
              <w:t>st die Anpassung für den betreffenden Zeitraum.</w:t>
            </w:r>
          </w:p>
        </w:tc>
      </w:tr>
      <w:tr w:rsidR="001609E3">
        <w:trPr>
          <w:trHeight w:val="139"/>
        </w:trPr>
        <w:tc>
          <w:tcPr>
            <w:tcW w:w="1431" w:type="dxa"/>
            <w:tcBorders>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left w:val="nil"/>
              <w:bottom w:val="nil"/>
              <w:right w:val="nil"/>
            </w:tcBorders>
            <w:shd w:val="clear" w:color="auto" w:fill="auto"/>
            <w:noWrap/>
          </w:tcPr>
          <w:p w:rsidR="001609E3" w:rsidRDefault="001609E3">
            <w:pPr>
              <w:pStyle w:val="Normal29"/>
              <w:suppressAutoHyphens w:val="0"/>
              <w:rPr>
                <w:rFonts w:ascii="Arial" w:hAnsi="Arial"/>
                <w:bCs/>
                <w:noProof/>
                <w:sz w:val="16"/>
                <w:szCs w:val="16"/>
              </w:rPr>
            </w:pPr>
          </w:p>
        </w:tc>
        <w:tc>
          <w:tcPr>
            <w:tcW w:w="3119" w:type="dxa"/>
            <w:tcBorders>
              <w:left w:val="nil"/>
              <w:bottom w:val="nil"/>
              <w:right w:val="nil"/>
            </w:tcBorders>
            <w:shd w:val="clear" w:color="auto" w:fill="auto"/>
            <w:noWrap/>
          </w:tcPr>
          <w:p w:rsidR="001609E3" w:rsidRDefault="001609E3">
            <w:pPr>
              <w:pStyle w:val="Normal29"/>
              <w:jc w:val="both"/>
              <w:rPr>
                <w:rFonts w:ascii="Arial" w:hAnsi="Arial"/>
                <w:noProof/>
                <w:sz w:val="16"/>
                <w:szCs w:val="16"/>
              </w:rPr>
            </w:pPr>
          </w:p>
        </w:tc>
        <w:tc>
          <w:tcPr>
            <w:tcW w:w="1843" w:type="dxa"/>
            <w:tcBorders>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r>
      <w:tr w:rsidR="001609E3">
        <w:trPr>
          <w:trHeight w:val="284"/>
        </w:trPr>
        <w:tc>
          <w:tcPr>
            <w:tcW w:w="1431" w:type="dxa"/>
            <w:tcBorders>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left w:val="nil"/>
              <w:bottom w:val="nil"/>
              <w:right w:val="nil"/>
            </w:tcBorders>
            <w:shd w:val="clear" w:color="auto" w:fill="auto"/>
            <w:noWrap/>
          </w:tcPr>
          <w:p w:rsidR="001609E3" w:rsidRDefault="001609E3">
            <w:pPr>
              <w:pStyle w:val="Normal29"/>
              <w:suppressAutoHyphens w:val="0"/>
              <w:rPr>
                <w:rFonts w:ascii="Arial" w:hAnsi="Arial"/>
                <w:bCs/>
                <w:noProof/>
                <w:sz w:val="16"/>
                <w:szCs w:val="16"/>
              </w:rPr>
            </w:pPr>
          </w:p>
        </w:tc>
        <w:tc>
          <w:tcPr>
            <w:tcW w:w="3119" w:type="dxa"/>
            <w:tcBorders>
              <w:left w:val="nil"/>
              <w:bottom w:val="nil"/>
              <w:right w:val="nil"/>
            </w:tcBorders>
            <w:shd w:val="clear" w:color="auto" w:fill="auto"/>
            <w:noWrap/>
          </w:tcPr>
          <w:p w:rsidR="001609E3" w:rsidRDefault="00E45B63">
            <w:pPr>
              <w:pStyle w:val="Normal29"/>
              <w:jc w:val="both"/>
              <w:rPr>
                <w:rFonts w:ascii="Arial" w:hAnsi="Arial"/>
                <w:noProof/>
                <w:sz w:val="16"/>
                <w:szCs w:val="16"/>
              </w:rPr>
            </w:pPr>
            <w:r>
              <w:rPr>
                <w:rFonts w:ascii="Arial" w:hAnsi="Arial"/>
                <w:noProof/>
                <w:sz w:val="16"/>
              </w:rPr>
              <w:t>Abschlag aufgrund fehlender Marktgängigkeit (Liquidität), der auf Grundlage früherer Transaktionspreise für vergleichbare Instrumente in dem Land/der Region ermittelt wird und von 5 % bis 30 % reicht.</w:t>
            </w:r>
          </w:p>
        </w:tc>
        <w:tc>
          <w:tcPr>
            <w:tcW w:w="1843" w:type="dxa"/>
            <w:tcBorders>
              <w:left w:val="nil"/>
              <w:bottom w:val="nil"/>
              <w:right w:val="nil"/>
            </w:tcBorders>
            <w:shd w:val="clear" w:color="auto" w:fill="auto"/>
            <w:noWrap/>
          </w:tcPr>
          <w:p w:rsidR="001609E3" w:rsidRDefault="00E45B63">
            <w:pPr>
              <w:pStyle w:val="Normal29"/>
              <w:jc w:val="both"/>
              <w:rPr>
                <w:rFonts w:ascii="Arial" w:hAnsi="Arial"/>
                <w:b/>
                <w:noProof/>
                <w:sz w:val="16"/>
                <w:szCs w:val="16"/>
              </w:rPr>
            </w:pPr>
            <w:r>
              <w:rPr>
                <w:rFonts w:ascii="Arial" w:hAnsi="Arial"/>
                <w:noProof/>
                <w:sz w:val="16"/>
              </w:rPr>
              <w:t>die Marktgängigkeit ist, desto niedriger ist der beizulegende Zeitwert.</w:t>
            </w:r>
          </w:p>
        </w:tc>
      </w:tr>
      <w:tr w:rsidR="001609E3">
        <w:trPr>
          <w:trHeight w:val="169"/>
        </w:trPr>
        <w:tc>
          <w:tcPr>
            <w:tcW w:w="1431" w:type="dxa"/>
            <w:tcBorders>
              <w:top w:val="nil"/>
              <w:left w:val="nil"/>
              <w:bottom w:val="single" w:sz="4" w:space="0" w:color="auto"/>
              <w:right w:val="nil"/>
            </w:tcBorders>
            <w:shd w:val="clear" w:color="auto" w:fill="auto"/>
            <w:noWrap/>
          </w:tcPr>
          <w:p w:rsidR="001609E3" w:rsidRDefault="001609E3">
            <w:pPr>
              <w:pStyle w:val="Normal29"/>
              <w:suppressAutoHyphens w:val="0"/>
              <w:rPr>
                <w:rFonts w:ascii="Arial" w:hAnsi="Arial"/>
                <w:b/>
                <w:noProof/>
                <w:sz w:val="16"/>
                <w:szCs w:val="16"/>
              </w:rPr>
            </w:pPr>
          </w:p>
        </w:tc>
        <w:tc>
          <w:tcPr>
            <w:tcW w:w="4394" w:type="dxa"/>
            <w:tcBorders>
              <w:top w:val="nil"/>
              <w:left w:val="nil"/>
              <w:bottom w:val="single" w:sz="4" w:space="0" w:color="auto"/>
              <w:right w:val="nil"/>
            </w:tcBorders>
            <w:shd w:val="clear" w:color="auto" w:fill="auto"/>
            <w:noWrap/>
          </w:tcPr>
          <w:p w:rsidR="001609E3" w:rsidRDefault="001609E3">
            <w:pPr>
              <w:pStyle w:val="Normal29"/>
              <w:suppressAutoHyphens w:val="0"/>
              <w:rPr>
                <w:rFonts w:ascii="Arial" w:hAnsi="Arial"/>
                <w:noProof/>
                <w:sz w:val="16"/>
                <w:szCs w:val="16"/>
              </w:rPr>
            </w:pPr>
          </w:p>
        </w:tc>
        <w:tc>
          <w:tcPr>
            <w:tcW w:w="3119" w:type="dxa"/>
            <w:tcBorders>
              <w:top w:val="nil"/>
              <w:left w:val="nil"/>
              <w:bottom w:val="single" w:sz="4" w:space="0" w:color="auto"/>
              <w:right w:val="nil"/>
            </w:tcBorders>
            <w:shd w:val="clear" w:color="auto" w:fill="auto"/>
            <w:noWrap/>
          </w:tcPr>
          <w:p w:rsidR="001609E3" w:rsidRDefault="001609E3">
            <w:pPr>
              <w:pStyle w:val="Normal29"/>
              <w:suppressAutoHyphens w:val="0"/>
              <w:rPr>
                <w:rFonts w:ascii="Arial" w:hAnsi="Arial"/>
                <w:noProof/>
                <w:sz w:val="16"/>
                <w:szCs w:val="16"/>
              </w:rPr>
            </w:pPr>
          </w:p>
        </w:tc>
        <w:tc>
          <w:tcPr>
            <w:tcW w:w="1843" w:type="dxa"/>
            <w:tcBorders>
              <w:top w:val="nil"/>
              <w:left w:val="nil"/>
              <w:bottom w:val="single" w:sz="4" w:space="0" w:color="auto"/>
              <w:right w:val="nil"/>
            </w:tcBorders>
            <w:shd w:val="clear" w:color="auto" w:fill="auto"/>
            <w:noWrap/>
          </w:tcPr>
          <w:p w:rsidR="001609E3" w:rsidRDefault="001609E3">
            <w:pPr>
              <w:pStyle w:val="Normal29"/>
              <w:suppressAutoHyphens w:val="0"/>
              <w:rPr>
                <w:rFonts w:ascii="Arial" w:hAnsi="Arial"/>
                <w:noProof/>
                <w:sz w:val="16"/>
                <w:szCs w:val="16"/>
              </w:rPr>
            </w:pPr>
          </w:p>
        </w:tc>
      </w:tr>
      <w:tr w:rsidR="001609E3">
        <w:trPr>
          <w:trHeight w:val="284"/>
        </w:trPr>
        <w:tc>
          <w:tcPr>
            <w:tcW w:w="5825" w:type="dxa"/>
            <w:gridSpan w:val="2"/>
            <w:tcBorders>
              <w:top w:val="single" w:sz="4" w:space="0" w:color="auto"/>
              <w:left w:val="nil"/>
              <w:bottom w:val="nil"/>
              <w:right w:val="nil"/>
            </w:tcBorders>
            <w:shd w:val="clear" w:color="auto" w:fill="auto"/>
            <w:noWrap/>
          </w:tcPr>
          <w:p w:rsidR="001609E3" w:rsidRDefault="001609E3">
            <w:pPr>
              <w:pStyle w:val="Normal29"/>
              <w:suppressAutoHyphens w:val="0"/>
              <w:rPr>
                <w:rFonts w:ascii="Arial" w:hAnsi="Arial"/>
                <w:b/>
                <w:bCs/>
                <w:noProof/>
                <w:sz w:val="16"/>
                <w:szCs w:val="16"/>
              </w:rPr>
            </w:pPr>
          </w:p>
          <w:p w:rsidR="001609E3" w:rsidRDefault="00E45B63">
            <w:pPr>
              <w:pStyle w:val="Normal29"/>
              <w:suppressAutoHyphens w:val="0"/>
              <w:rPr>
                <w:rFonts w:ascii="Arial" w:hAnsi="Arial"/>
                <w:noProof/>
                <w:sz w:val="16"/>
                <w:szCs w:val="16"/>
              </w:rPr>
            </w:pPr>
            <w:r>
              <w:rPr>
                <w:rFonts w:ascii="Arial" w:hAnsi="Arial"/>
                <w:b/>
                <w:noProof/>
                <w:sz w:val="16"/>
              </w:rPr>
              <w:t>Nicht zum beizulegenden Zeitwert ausgewiesene Finanzinstrumente</w:t>
            </w:r>
          </w:p>
        </w:tc>
        <w:tc>
          <w:tcPr>
            <w:tcW w:w="3119" w:type="dxa"/>
            <w:tcBorders>
              <w:top w:val="single" w:sz="4" w:space="0" w:color="auto"/>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1843" w:type="dxa"/>
            <w:tcBorders>
              <w:top w:val="single" w:sz="4" w:space="0" w:color="auto"/>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r>
      <w:tr w:rsidR="001609E3">
        <w:trPr>
          <w:trHeight w:val="163"/>
        </w:trPr>
        <w:tc>
          <w:tcPr>
            <w:tcW w:w="1431"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top w:val="nil"/>
              <w:left w:val="nil"/>
              <w:bottom w:val="nil"/>
              <w:right w:val="nil"/>
            </w:tcBorders>
            <w:shd w:val="clear" w:color="auto" w:fill="auto"/>
            <w:noWrap/>
          </w:tcPr>
          <w:p w:rsidR="001609E3" w:rsidRDefault="001609E3">
            <w:pPr>
              <w:pStyle w:val="Normal29"/>
              <w:suppressAutoHyphens w:val="0"/>
              <w:jc w:val="both"/>
              <w:rPr>
                <w:rFonts w:ascii="Arial" w:hAnsi="Arial"/>
                <w:noProof/>
                <w:sz w:val="16"/>
                <w:szCs w:val="16"/>
              </w:rPr>
            </w:pPr>
          </w:p>
        </w:tc>
        <w:tc>
          <w:tcPr>
            <w:tcW w:w="3119"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1843"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r>
      <w:tr w:rsidR="001609E3">
        <w:trPr>
          <w:trHeight w:val="284"/>
        </w:trPr>
        <w:tc>
          <w:tcPr>
            <w:tcW w:w="1431"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Kredite und Forderungen</w:t>
            </w:r>
          </w:p>
        </w:tc>
        <w:tc>
          <w:tcPr>
            <w:tcW w:w="4394" w:type="dxa"/>
            <w:tcBorders>
              <w:top w:val="nil"/>
              <w:left w:val="nil"/>
              <w:bottom w:val="nil"/>
              <w:right w:val="nil"/>
            </w:tcBorders>
            <w:shd w:val="clear" w:color="auto" w:fill="auto"/>
            <w:noWrap/>
          </w:tcPr>
          <w:p w:rsidR="001609E3" w:rsidRDefault="00E45B63">
            <w:pPr>
              <w:pStyle w:val="Normal29"/>
              <w:suppressAutoHyphens w:val="0"/>
              <w:jc w:val="both"/>
              <w:rPr>
                <w:rFonts w:ascii="Arial" w:hAnsi="Arial"/>
                <w:bCs/>
                <w:noProof/>
                <w:sz w:val="16"/>
                <w:szCs w:val="16"/>
              </w:rPr>
            </w:pPr>
            <w:r>
              <w:rPr>
                <w:rFonts w:ascii="Arial" w:hAnsi="Arial"/>
                <w:noProof/>
                <w:sz w:val="16"/>
              </w:rPr>
              <w:t xml:space="preserve">Discounted-Cash-Flow-Methode: Bei dem Bewertungsmodell werden vertragliche </w:t>
            </w:r>
            <w:r>
              <w:rPr>
                <w:rFonts w:ascii="Arial" w:hAnsi="Arial"/>
                <w:noProof/>
                <w:sz w:val="16"/>
              </w:rPr>
              <w:t>Cashflows zugrunde gelegt, die an die Bedingung geknüpft sind, dass kein Ausfall des Schuldners eintritt, und bei denen keine Sicherheiten oder möglichen vorzeitigen Rückzahlungen berücksichtigt werden. Für die Ermittlung des Nettogegenwartswerts der Kredi</w:t>
            </w:r>
            <w:r>
              <w:rPr>
                <w:rFonts w:ascii="Arial" w:hAnsi="Arial"/>
                <w:noProof/>
                <w:sz w:val="16"/>
              </w:rPr>
              <w:t>te werden bei dem verwendeten Modell die vertraglichen Cashflows jedes Kredits mit Hilfe einer angepassten Marktabzinsungskurve abgezogen. Der Nettozeitwert der einzelnen Kredite wird anschließend um den jeweiligen dazugehörigen erwarteten Verlust bereinig</w:t>
            </w:r>
            <w:r>
              <w:rPr>
                <w:rFonts w:ascii="Arial" w:hAnsi="Arial"/>
                <w:noProof/>
                <w:sz w:val="16"/>
              </w:rPr>
              <w:t>t. Anschließend werden die Ergebnisse addiert, um den beizulegenden Zeitwert der Kredite und Forderungen zu erhalten.</w:t>
            </w:r>
          </w:p>
        </w:tc>
        <w:tc>
          <w:tcPr>
            <w:tcW w:w="3119"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Nicht zutreffend.</w:t>
            </w:r>
          </w:p>
        </w:tc>
        <w:tc>
          <w:tcPr>
            <w:tcW w:w="1843"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Nicht zutreffend.</w:t>
            </w:r>
          </w:p>
        </w:tc>
      </w:tr>
      <w:tr w:rsidR="001609E3">
        <w:trPr>
          <w:trHeight w:val="205"/>
        </w:trPr>
        <w:tc>
          <w:tcPr>
            <w:tcW w:w="1431"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4394"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3119"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c>
          <w:tcPr>
            <w:tcW w:w="1843" w:type="dxa"/>
            <w:tcBorders>
              <w:top w:val="nil"/>
              <w:left w:val="nil"/>
              <w:bottom w:val="nil"/>
              <w:right w:val="nil"/>
            </w:tcBorders>
            <w:shd w:val="clear" w:color="auto" w:fill="auto"/>
            <w:noWrap/>
          </w:tcPr>
          <w:p w:rsidR="001609E3" w:rsidRDefault="001609E3">
            <w:pPr>
              <w:pStyle w:val="Normal29"/>
              <w:suppressAutoHyphens w:val="0"/>
              <w:rPr>
                <w:rFonts w:ascii="Arial" w:hAnsi="Arial"/>
                <w:noProof/>
                <w:sz w:val="16"/>
                <w:szCs w:val="16"/>
              </w:rPr>
            </w:pPr>
          </w:p>
        </w:tc>
      </w:tr>
      <w:tr w:rsidR="001609E3">
        <w:trPr>
          <w:trHeight w:val="284"/>
        </w:trPr>
        <w:tc>
          <w:tcPr>
            <w:tcW w:w="1431"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Bis zur Endfälligkeit zu haltende finanzielle Vermögenswerte</w:t>
            </w:r>
          </w:p>
        </w:tc>
        <w:tc>
          <w:tcPr>
            <w:tcW w:w="4394"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Discounted-Cash-Flow-Methode.</w:t>
            </w:r>
          </w:p>
        </w:tc>
        <w:tc>
          <w:tcPr>
            <w:tcW w:w="3119"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Nicht</w:t>
            </w:r>
            <w:r>
              <w:rPr>
                <w:rFonts w:ascii="Arial" w:hAnsi="Arial"/>
                <w:noProof/>
                <w:sz w:val="16"/>
              </w:rPr>
              <w:t xml:space="preserve"> zutreffend.</w:t>
            </w:r>
          </w:p>
        </w:tc>
        <w:tc>
          <w:tcPr>
            <w:tcW w:w="1843" w:type="dxa"/>
            <w:tcBorders>
              <w:top w:val="nil"/>
              <w:left w:val="nil"/>
              <w:bottom w:val="nil"/>
              <w:right w:val="nil"/>
            </w:tcBorders>
            <w:shd w:val="clear" w:color="auto" w:fill="auto"/>
            <w:noWrap/>
          </w:tcPr>
          <w:p w:rsidR="001609E3" w:rsidRDefault="00E45B63">
            <w:pPr>
              <w:pStyle w:val="Normal29"/>
              <w:suppressAutoHyphens w:val="0"/>
              <w:rPr>
                <w:rFonts w:ascii="Arial" w:hAnsi="Arial"/>
                <w:noProof/>
                <w:sz w:val="16"/>
                <w:szCs w:val="16"/>
              </w:rPr>
            </w:pPr>
            <w:r>
              <w:rPr>
                <w:rFonts w:ascii="Arial" w:hAnsi="Arial"/>
                <w:noProof/>
                <w:sz w:val="16"/>
              </w:rPr>
              <w:t>Nicht zutreffend.</w:t>
            </w:r>
          </w:p>
        </w:tc>
      </w:tr>
    </w:tbl>
    <w:p w:rsidR="001609E3" w:rsidRDefault="001609E3">
      <w:pPr>
        <w:pStyle w:val="Normal29"/>
        <w:jc w:val="both"/>
        <w:rPr>
          <w:rFonts w:ascii="Arial" w:hAnsi="Arial"/>
          <w:iCs/>
          <w:noProof/>
          <w:sz w:val="16"/>
          <w:szCs w:val="16"/>
        </w:rPr>
      </w:pPr>
    </w:p>
    <w:p w:rsidR="001609E3" w:rsidRDefault="00E45B63">
      <w:pPr>
        <w:pStyle w:val="Normal29"/>
        <w:suppressAutoHyphens w:val="0"/>
        <w:rPr>
          <w:rFonts w:ascii="Arial" w:hAnsi="Arial"/>
          <w:iCs/>
          <w:noProof/>
          <w:sz w:val="16"/>
          <w:szCs w:val="16"/>
        </w:rPr>
      </w:pPr>
      <w:r>
        <w:rPr>
          <w:noProof/>
        </w:rPr>
        <w:br w:type="page"/>
      </w:r>
    </w:p>
    <w:p w:rsidR="001609E3" w:rsidRDefault="001609E3">
      <w:pPr>
        <w:pStyle w:val="Normal29"/>
        <w:jc w:val="both"/>
        <w:rPr>
          <w:rFonts w:ascii="Arial" w:hAnsi="Arial"/>
          <w:iCs/>
          <w:noProof/>
          <w:sz w:val="16"/>
          <w:szCs w:val="16"/>
        </w:rPr>
      </w:pPr>
    </w:p>
    <w:p w:rsidR="001609E3" w:rsidRDefault="00E45B63">
      <w:pPr>
        <w:pStyle w:val="Normal29"/>
        <w:jc w:val="both"/>
        <w:rPr>
          <w:rFonts w:ascii="Arial" w:hAnsi="Arial"/>
          <w:iCs/>
          <w:noProof/>
          <w:sz w:val="16"/>
          <w:szCs w:val="16"/>
        </w:rPr>
      </w:pPr>
      <w:r>
        <w:rPr>
          <w:rFonts w:ascii="Arial" w:hAnsi="Arial"/>
          <w:noProof/>
          <w:sz w:val="16"/>
        </w:rPr>
        <w:t>Durch die Anwendung des IFRS 13 werden zum 31. Dezember 2016 und 31. Dezember 2015 Bewertungsanpassungen in den beizulegenden Zeitwerten von derivativen Finanzinstrumenten mit einbezogen, d. h.:</w:t>
      </w:r>
    </w:p>
    <w:p w:rsidR="001609E3" w:rsidRDefault="001609E3">
      <w:pPr>
        <w:pStyle w:val="Normal29"/>
        <w:jc w:val="both"/>
        <w:rPr>
          <w:rFonts w:ascii="Arial" w:hAnsi="Arial"/>
          <w:iCs/>
          <w:noProof/>
          <w:sz w:val="16"/>
          <w:szCs w:val="16"/>
        </w:rPr>
      </w:pPr>
    </w:p>
    <w:p w:rsidR="001609E3" w:rsidRDefault="00E45B63">
      <w:pPr>
        <w:pStyle w:val="ListParagraph6"/>
        <w:numPr>
          <w:ilvl w:val="0"/>
          <w:numId w:val="90"/>
        </w:numPr>
        <w:jc w:val="both"/>
        <w:rPr>
          <w:rFonts w:ascii="Arial" w:hAnsi="Arial"/>
          <w:iCs/>
          <w:noProof/>
          <w:sz w:val="16"/>
          <w:szCs w:val="16"/>
        </w:rPr>
      </w:pPr>
      <w:r>
        <w:rPr>
          <w:rFonts w:ascii="Arial" w:hAnsi="Arial"/>
          <w:noProof/>
          <w:sz w:val="16"/>
        </w:rPr>
        <w:t xml:space="preserve">Die Anpassungen der Kreditbewertungen (Credit Valuation Adjustments – CVA), die die Gegenparteiausfallrisiken bei Transaktionen mit derivativen Finanzinstrumenten widerspiegeln, beliefen sich auf -76, 400 EUR zum 31. Dezember 2016 und auf -121 700 EUR zum </w:t>
      </w:r>
      <w:r>
        <w:rPr>
          <w:rFonts w:ascii="Arial" w:hAnsi="Arial"/>
          <w:noProof/>
          <w:sz w:val="16"/>
        </w:rPr>
        <w:t xml:space="preserve">31. Dezember 2015. </w:t>
      </w:r>
    </w:p>
    <w:p w:rsidR="001609E3" w:rsidRDefault="00E45B63">
      <w:pPr>
        <w:pStyle w:val="ListParagraph6"/>
        <w:numPr>
          <w:ilvl w:val="0"/>
          <w:numId w:val="90"/>
        </w:numPr>
        <w:jc w:val="both"/>
        <w:rPr>
          <w:rFonts w:ascii="Arial" w:hAnsi="Arial"/>
          <w:iCs/>
          <w:noProof/>
          <w:sz w:val="16"/>
          <w:szCs w:val="16"/>
        </w:rPr>
      </w:pPr>
      <w:r>
        <w:rPr>
          <w:rFonts w:ascii="Arial" w:hAnsi="Arial"/>
          <w:noProof/>
          <w:sz w:val="16"/>
        </w:rPr>
        <w:t>Die Anpassungen von Debitbewertungen (Debit Valuation Adjustments – DVA), die das eigene Kreditrisiko bei Transaktionen mit derivativen Finanzinstrumenten widerspiegeln, beliefen sich auf +42 900 EUR zum 31. Dezember 2016 und auf +64 40</w:t>
      </w:r>
      <w:r>
        <w:rPr>
          <w:rFonts w:ascii="Arial" w:hAnsi="Arial"/>
          <w:noProof/>
          <w:sz w:val="16"/>
        </w:rPr>
        <w:t xml:space="preserve">0 EUR zum 31. Dezember 2015. </w:t>
      </w:r>
    </w:p>
    <w:p w:rsidR="001609E3" w:rsidRDefault="00E45B63">
      <w:pPr>
        <w:pStyle w:val="Title1126"/>
        <w:numPr>
          <w:ilvl w:val="2"/>
          <w:numId w:val="91"/>
        </w:numPr>
        <w:rPr>
          <w:noProof/>
          <w:sz w:val="16"/>
          <w:szCs w:val="16"/>
        </w:rPr>
      </w:pPr>
      <w:r>
        <w:rPr>
          <w:noProof/>
          <w:sz w:val="16"/>
        </w:rPr>
        <w:t>Übertragungen zwischen den Stufen 1 und 2</w:t>
      </w:r>
    </w:p>
    <w:p w:rsidR="001609E3" w:rsidRDefault="001609E3">
      <w:pPr>
        <w:pStyle w:val="Normal30"/>
        <w:jc w:val="both"/>
        <w:rPr>
          <w:rFonts w:ascii="Arial" w:hAnsi="Arial"/>
          <w:iCs/>
          <w:noProof/>
          <w:sz w:val="16"/>
          <w:szCs w:val="16"/>
        </w:rPr>
      </w:pPr>
    </w:p>
    <w:p w:rsidR="001609E3" w:rsidRDefault="00E45B63">
      <w:pPr>
        <w:pStyle w:val="Normal30"/>
        <w:jc w:val="both"/>
        <w:rPr>
          <w:rFonts w:ascii="Arial" w:hAnsi="Arial"/>
          <w:iCs/>
          <w:noProof/>
          <w:sz w:val="16"/>
          <w:szCs w:val="16"/>
        </w:rPr>
      </w:pPr>
      <w:r>
        <w:rPr>
          <w:rFonts w:ascii="Arial" w:hAnsi="Arial"/>
          <w:noProof/>
          <w:sz w:val="16"/>
        </w:rPr>
        <w:t>Nach den Leitlinien für die Fazilität werden Umbuchungen zwischen verschiedenen Stufen am Tag des Ereignisses oder der Änderung der Umstände, das/die die Übertragung verursacht hat, e</w:t>
      </w:r>
      <w:r>
        <w:rPr>
          <w:rFonts w:ascii="Arial" w:hAnsi="Arial"/>
          <w:noProof/>
          <w:sz w:val="16"/>
        </w:rPr>
        <w:t>rfasst.</w:t>
      </w:r>
    </w:p>
    <w:p w:rsidR="001609E3" w:rsidRDefault="001609E3">
      <w:pPr>
        <w:pStyle w:val="Normal30"/>
        <w:spacing w:before="60" w:after="60"/>
        <w:rPr>
          <w:rFonts w:ascii="Arial" w:hAnsi="Arial"/>
          <w:noProof/>
          <w:sz w:val="16"/>
          <w:szCs w:val="16"/>
        </w:rPr>
      </w:pPr>
    </w:p>
    <w:p w:rsidR="001609E3" w:rsidRDefault="00E45B63">
      <w:pPr>
        <w:pStyle w:val="Normal30"/>
        <w:spacing w:before="60" w:after="60"/>
        <w:rPr>
          <w:rFonts w:ascii="Arial" w:hAnsi="Arial"/>
          <w:noProof/>
          <w:sz w:val="16"/>
          <w:szCs w:val="16"/>
        </w:rPr>
      </w:pPr>
      <w:r>
        <w:rPr>
          <w:rFonts w:ascii="Arial" w:hAnsi="Arial"/>
          <w:noProof/>
          <w:sz w:val="16"/>
        </w:rPr>
        <w:t>2016 und 2015 nahm die Fazilität keine Umbuchungen von Vermögenswerten zwischen den Stufen 1 und 2 der Bemessungshierarchie vor.</w:t>
      </w:r>
    </w:p>
    <w:p w:rsidR="001609E3" w:rsidRDefault="001609E3">
      <w:pPr>
        <w:pStyle w:val="Normal30"/>
        <w:spacing w:before="60" w:after="60"/>
        <w:rPr>
          <w:rFonts w:ascii="Arial" w:hAnsi="Arial"/>
          <w:noProof/>
          <w:sz w:val="16"/>
          <w:szCs w:val="16"/>
        </w:rPr>
      </w:pPr>
    </w:p>
    <w:p w:rsidR="001609E3" w:rsidRDefault="00E45B63">
      <w:pPr>
        <w:pStyle w:val="Title1126"/>
        <w:numPr>
          <w:ilvl w:val="2"/>
          <w:numId w:val="91"/>
        </w:numPr>
        <w:rPr>
          <w:noProof/>
          <w:sz w:val="16"/>
          <w:szCs w:val="16"/>
        </w:rPr>
      </w:pPr>
      <w:r>
        <w:rPr>
          <w:noProof/>
          <w:sz w:val="16"/>
        </w:rPr>
        <w:t>Beizulegende Zeitwerte der Stufe 3</w:t>
      </w:r>
    </w:p>
    <w:p w:rsidR="001609E3" w:rsidRDefault="001609E3">
      <w:pPr>
        <w:pStyle w:val="Normal30"/>
        <w:spacing w:before="60" w:after="60"/>
        <w:rPr>
          <w:rFonts w:ascii="Arial" w:hAnsi="Arial"/>
          <w:noProof/>
          <w:sz w:val="16"/>
          <w:szCs w:val="16"/>
        </w:rPr>
      </w:pPr>
    </w:p>
    <w:p w:rsidR="001609E3" w:rsidRDefault="00E45B63">
      <w:pPr>
        <w:pStyle w:val="Normal30"/>
        <w:rPr>
          <w:rFonts w:ascii="Arial" w:hAnsi="Arial"/>
          <w:b/>
          <w:bCs/>
          <w:noProof/>
          <w:sz w:val="16"/>
          <w:szCs w:val="16"/>
        </w:rPr>
      </w:pPr>
      <w:r>
        <w:rPr>
          <w:rFonts w:ascii="Arial" w:hAnsi="Arial"/>
          <w:b/>
          <w:noProof/>
          <w:sz w:val="16"/>
        </w:rPr>
        <w:t>Abgleich der beizulegenden Zeitwerte der Stufe 3</w:t>
      </w:r>
    </w:p>
    <w:p w:rsidR="001609E3" w:rsidRDefault="001609E3">
      <w:pPr>
        <w:pStyle w:val="Normal30"/>
        <w:rPr>
          <w:rFonts w:ascii="Arial" w:hAnsi="Arial"/>
          <w:b/>
          <w:bCs/>
          <w:noProof/>
          <w:sz w:val="16"/>
          <w:szCs w:val="16"/>
        </w:rPr>
      </w:pPr>
    </w:p>
    <w:p w:rsidR="001609E3" w:rsidRDefault="00E45B63">
      <w:pPr>
        <w:pStyle w:val="Normal30"/>
        <w:spacing w:before="60" w:after="60"/>
        <w:rPr>
          <w:rFonts w:ascii="Arial" w:hAnsi="Arial"/>
          <w:noProof/>
          <w:sz w:val="16"/>
          <w:szCs w:val="16"/>
        </w:rPr>
      </w:pPr>
      <w:r>
        <w:rPr>
          <w:rFonts w:ascii="Arial" w:hAnsi="Arial"/>
          <w:noProof/>
          <w:sz w:val="16"/>
        </w:rPr>
        <w:t>Den folgenden Tabellen sind die</w:t>
      </w:r>
      <w:r>
        <w:rPr>
          <w:rFonts w:ascii="Arial" w:hAnsi="Arial"/>
          <w:noProof/>
          <w:sz w:val="16"/>
        </w:rPr>
        <w:t xml:space="preserve"> Änderungen für Instrumente der Stufe 3 für das am 31. Dezember 2016 und das am 31. Dezember 2015 endende Jahr zu entnehmen:</w:t>
      </w:r>
    </w:p>
    <w:p w:rsidR="001609E3" w:rsidRDefault="001609E3">
      <w:pPr>
        <w:pStyle w:val="Normal30"/>
        <w:spacing w:before="60" w:after="60"/>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rsidR="001609E3">
        <w:trPr>
          <w:trHeight w:val="57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Zur Veräußerung verfügbare finanzielle Vermögenswerte</w:t>
            </w:r>
          </w:p>
        </w:tc>
      </w:tr>
      <w:tr w:rsidR="001609E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1. Januar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419 175</w:t>
            </w:r>
          </w:p>
        </w:tc>
      </w:tr>
      <w:tr w:rsidR="001609E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In der Ergebnisrechnung </w:t>
            </w:r>
            <w:r>
              <w:rPr>
                <w:rFonts w:ascii="Arial" w:hAnsi="Arial"/>
                <w:b/>
                <w:noProof/>
                <w:color w:val="000000"/>
                <w:sz w:val="16"/>
              </w:rPr>
              <w:t>berücksichtigte Gewinne und Verluste: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realisierte Gewinne aus zur Veräußerung verfügbaren finanziellen Vermögenswerten (netto)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-6 504</w:t>
            </w:r>
          </w:p>
        </w:tc>
      </w:tr>
      <w:tr w:rsidR="001609E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 Wertminderungen auf zur Veräußerung verfügbare finanzielle Vermögenswerte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-2 493</w:t>
            </w:r>
          </w:p>
        </w:tc>
      </w:tr>
      <w:tr w:rsidR="001609E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-8 997</w:t>
            </w:r>
          </w:p>
        </w:tc>
      </w:tr>
      <w:tr w:rsidR="001609E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Im </w:t>
            </w:r>
            <w:r>
              <w:rPr>
                <w:rFonts w:ascii="Arial" w:hAnsi="Arial"/>
                <w:b/>
                <w:noProof/>
                <w:color w:val="000000"/>
                <w:sz w:val="16"/>
              </w:rPr>
              <w:t>sonstigen Ergebnis berücksichtige Gewinne und Verluste: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Nettoänderung des beizulegenden Zeitwerts der zur Veräußerung verfügbaren finanziellen Vermögenswerte</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-24 628</w:t>
            </w:r>
          </w:p>
        </w:tc>
      </w:tr>
      <w:tr w:rsidR="001609E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-24 628</w:t>
            </w:r>
          </w:p>
        </w:tc>
      </w:tr>
      <w:tr w:rsidR="001609E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153 986</w:t>
            </w:r>
          </w:p>
        </w:tc>
      </w:tr>
      <w:tr w:rsidR="001609E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-37 978</w:t>
            </w:r>
          </w:p>
        </w:tc>
      </w:tr>
      <w:tr w:rsidR="001609E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-7 554</w:t>
            </w:r>
          </w:p>
        </w:tc>
      </w:tr>
      <w:tr w:rsidR="001609E3">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31. Dezember 2016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494 004</w:t>
            </w:r>
          </w:p>
        </w:tc>
      </w:tr>
      <w:tr w:rsidR="001609E3">
        <w:trPr>
          <w:trHeight w:hRule="exact" w:val="300"/>
        </w:trPr>
        <w:tc>
          <w:tcPr>
            <w:tcW w:w="847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57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Zur Veräußerung verfügbare finanzielle Vermögenswerte</w:t>
            </w:r>
          </w:p>
        </w:tc>
      </w:tr>
      <w:tr w:rsidR="001609E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1. Januar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401 926</w:t>
            </w:r>
          </w:p>
        </w:tc>
      </w:tr>
      <w:tr w:rsidR="001609E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der Ergebnisrechnung berücksichtigte Gewinne und Verluste: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 realisierte Gewinne aus zur Veräußerung </w:t>
            </w:r>
            <w:r>
              <w:rPr>
                <w:rFonts w:ascii="Arial" w:hAnsi="Arial"/>
                <w:noProof/>
                <w:color w:val="000000"/>
                <w:sz w:val="16"/>
              </w:rPr>
              <w:t>verfügbaren finanziellen Vermögenswerten (netto)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-33 878</w:t>
            </w:r>
          </w:p>
        </w:tc>
      </w:tr>
      <w:tr w:rsidR="001609E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 Wertminderungen auf zur Veräußerung verfügbare finanzielle Vermögenswerte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-2 665</w:t>
            </w:r>
          </w:p>
        </w:tc>
      </w:tr>
      <w:tr w:rsidR="001609E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-36 543</w:t>
            </w:r>
          </w:p>
        </w:tc>
      </w:tr>
      <w:tr w:rsidR="001609E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Im sonstigen Ergebnis berücksichtige Gewinne und Verluste: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 Nettoänderung des </w:t>
            </w:r>
            <w:r>
              <w:rPr>
                <w:rFonts w:ascii="Arial" w:hAnsi="Arial"/>
                <w:noProof/>
                <w:color w:val="000000"/>
                <w:sz w:val="16"/>
              </w:rPr>
              <w:t>beizulegenden Zeitwerts der zur Veräußerung verfügbaren finanziellen Vermögenswerte</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52 365</w:t>
            </w:r>
          </w:p>
        </w:tc>
      </w:tr>
      <w:tr w:rsidR="001609E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52 365</w:t>
            </w:r>
          </w:p>
        </w:tc>
      </w:tr>
      <w:tr w:rsidR="001609E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67 449</w:t>
            </w:r>
          </w:p>
        </w:tc>
      </w:tr>
      <w:tr w:rsidR="001609E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-64 791</w:t>
            </w:r>
          </w:p>
        </w:tc>
      </w:tr>
      <w:tr w:rsidR="001609E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-1 231</w:t>
            </w:r>
          </w:p>
        </w:tc>
      </w:tr>
      <w:tr w:rsidR="001609E3">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31. Dezember 2015</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419 175</w:t>
            </w:r>
          </w:p>
        </w:tc>
      </w:tr>
    </w:tbl>
    <w:p w:rsidR="001609E3" w:rsidRDefault="001609E3">
      <w:pPr>
        <w:pageBreakBefore/>
        <w:pBdr>
          <w:top w:val="nil"/>
          <w:left w:val="nil"/>
          <w:bottom w:val="nil"/>
          <w:right w:val="nil"/>
          <w:between w:val="nil"/>
          <w:bar w:val="nil"/>
        </w:pBdr>
        <w:jc w:val="both"/>
        <w:rPr>
          <w:rFonts w:ascii="Arial" w:hAnsi="Arial"/>
          <w:bCs/>
          <w:noProof/>
          <w:sz w:val="16"/>
          <w:szCs w:val="16"/>
          <w:bdr w:val="nil"/>
        </w:rPr>
      </w:pPr>
    </w:p>
    <w:p w:rsidR="001609E3" w:rsidRDefault="00E45B63">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 xml:space="preserve">2016 und 2015 wurden bei der </w:t>
      </w:r>
      <w:r>
        <w:rPr>
          <w:rFonts w:ascii="Arial" w:hAnsi="Arial"/>
          <w:noProof/>
          <w:sz w:val="16"/>
          <w:bdr w:val="nil"/>
        </w:rPr>
        <w:t>Fazilität keine Umbuchungen von oder zu Stufe 3 der Bemessungshierarchie vorgenommen.</w:t>
      </w:r>
    </w:p>
    <w:p w:rsidR="001609E3" w:rsidRDefault="001609E3">
      <w:pPr>
        <w:pBdr>
          <w:top w:val="nil"/>
          <w:left w:val="nil"/>
          <w:bottom w:val="nil"/>
          <w:right w:val="nil"/>
          <w:between w:val="nil"/>
          <w:bar w:val="nil"/>
        </w:pBdr>
        <w:rPr>
          <w:rFonts w:ascii="Arial" w:hAnsi="Arial"/>
          <w:b/>
          <w:bCs/>
          <w:noProof/>
          <w:sz w:val="16"/>
          <w:szCs w:val="16"/>
          <w:bdr w:val="nil"/>
        </w:rPr>
      </w:pPr>
    </w:p>
    <w:p w:rsidR="001609E3" w:rsidRDefault="00E45B63">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Sensitivitätsanalyse</w:t>
      </w:r>
    </w:p>
    <w:p w:rsidR="001609E3" w:rsidRDefault="001609E3">
      <w:pPr>
        <w:pBdr>
          <w:top w:val="nil"/>
          <w:left w:val="nil"/>
          <w:bottom w:val="nil"/>
          <w:right w:val="nil"/>
          <w:between w:val="nil"/>
          <w:bar w:val="nil"/>
        </w:pBdr>
        <w:rPr>
          <w:rFonts w:ascii="Arial" w:hAnsi="Arial"/>
          <w:bCs/>
          <w:noProof/>
          <w:sz w:val="16"/>
          <w:szCs w:val="16"/>
          <w:bdr w:val="nil"/>
        </w:rPr>
      </w:pPr>
    </w:p>
    <w:p w:rsidR="001609E3" w:rsidRDefault="00E45B63">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 xml:space="preserve">Eine 10 %ige Änderung zum Berichtstermin einzelner für die Bewertung des beizulegenden Zeitwerts der Wagniskapitalfonds und direkten </w:t>
      </w:r>
      <w:r>
        <w:rPr>
          <w:rFonts w:ascii="Arial" w:hAnsi="Arial"/>
          <w:noProof/>
          <w:sz w:val="16"/>
          <w:bdr w:val="nil"/>
        </w:rPr>
        <w:t>Kapitalbeteiligungen zugrunde gelegter maßgeblicher nicht beobachtbarer Inputfaktoren bei ansonsten gleichbleibenden Variablen hätte die folgenden Auswirkungen auf das sonstige Ergebnis:</w:t>
      </w:r>
    </w:p>
    <w:p w:rsidR="001609E3" w:rsidRDefault="001609E3">
      <w:pPr>
        <w:pBdr>
          <w:top w:val="nil"/>
          <w:left w:val="nil"/>
          <w:bottom w:val="nil"/>
          <w:right w:val="nil"/>
          <w:between w:val="nil"/>
          <w:bar w:val="nil"/>
        </w:pBdr>
        <w:jc w:val="both"/>
        <w:rPr>
          <w:rFonts w:ascii="Arial" w:hAnsi="Arial"/>
          <w:bCs/>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2016</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Anstieg</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Rückgang</w:t>
            </w:r>
          </w:p>
        </w:tc>
      </w:tr>
      <w:tr w:rsidR="001609E3">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Direkte </w:t>
            </w:r>
            <w:r>
              <w:rPr>
                <w:rFonts w:ascii="Arial" w:hAnsi="Arial"/>
                <w:noProof/>
                <w:color w:val="000000"/>
                <w:sz w:val="16"/>
              </w:rPr>
              <w:t>Kapital</w:t>
            </w:r>
            <w:r>
              <w:rPr>
                <w:noProof/>
              </w:rPr>
              <w:softHyphen/>
            </w:r>
            <w:r>
              <w:rPr>
                <w:rFonts w:ascii="Arial" w:hAnsi="Arial"/>
                <w:noProof/>
                <w:color w:val="000000"/>
                <w:sz w:val="16"/>
              </w:rPr>
              <w:t>beteiligungen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w:t>
            </w:r>
          </w:p>
        </w:tc>
      </w:tr>
      <w:tr w:rsidR="001609E3">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w:t>
            </w:r>
          </w:p>
        </w:tc>
      </w:tr>
      <w:tr w:rsidR="001609E3">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2015</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Anstieg</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Rückgang</w:t>
            </w:r>
          </w:p>
        </w:tc>
      </w:tr>
      <w:tr w:rsidR="001609E3">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Direkte Kapital</w:t>
            </w:r>
            <w:r>
              <w:rPr>
                <w:noProof/>
              </w:rPr>
              <w:softHyphen/>
            </w:r>
            <w:r>
              <w:rPr>
                <w:rFonts w:ascii="Arial" w:hAnsi="Arial"/>
                <w:noProof/>
                <w:color w:val="000000"/>
                <w:sz w:val="16"/>
              </w:rPr>
              <w:t>beteiligungen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w:t>
            </w:r>
          </w:p>
        </w:tc>
      </w:tr>
      <w:tr w:rsidR="001609E3">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w:t>
            </w:r>
          </w:p>
        </w:tc>
      </w:tr>
    </w:tbl>
    <w:p w:rsidR="001609E3" w:rsidRDefault="001609E3">
      <w:pPr>
        <w:pBdr>
          <w:top w:val="nil"/>
          <w:left w:val="nil"/>
          <w:bottom w:val="nil"/>
          <w:right w:val="nil"/>
          <w:between w:val="nil"/>
          <w:bar w:val="nil"/>
        </w:pBdr>
        <w:rPr>
          <w:rFonts w:ascii="Arial" w:hAnsi="Arial"/>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5</w:t>
      </w:r>
      <w:r>
        <w:rPr>
          <w:noProof/>
        </w:rPr>
        <w:tab/>
        <w:t>Zahlungsmittel und Zahlungsmitteläquivalente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Zahlungsmittel </w:t>
      </w:r>
      <w:r>
        <w:rPr>
          <w:rFonts w:ascii="Arial" w:hAnsi="Arial"/>
          <w:noProof/>
          <w:sz w:val="16"/>
          <w:bdr w:val="nil"/>
        </w:rPr>
        <w:t>und Zahlungsmitteläquivalente bestehen aus:</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Barbeständen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51 462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71 405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Terminkonten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259 337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290 573</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Geldmarktpapieren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50 018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87 017</w:t>
            </w:r>
          </w:p>
        </w:tc>
      </w:tr>
      <w:tr w:rsidR="001609E3">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Zahlungsmittel und Zahlungsmitteläquivalente in der Bilanz</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360 817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448 995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Aufgelaufenen Zinsen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Zahlungsmittel und Zahlungsmitteläquivalente in der Kapitalflussrechnung</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360 822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448 998</w:t>
            </w:r>
          </w:p>
        </w:tc>
      </w:tr>
    </w:tbl>
    <w:p w:rsidR="001609E3" w:rsidRDefault="001609E3">
      <w:pPr>
        <w:pBdr>
          <w:top w:val="nil"/>
          <w:left w:val="nil"/>
          <w:bottom w:val="nil"/>
          <w:right w:val="nil"/>
          <w:between w:val="nil"/>
          <w:bar w:val="nil"/>
        </w:pBdr>
        <w:rPr>
          <w:rFonts w:ascii="Arial" w:hAnsi="Arial"/>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6</w:t>
      </w:r>
      <w:r>
        <w:rPr>
          <w:noProof/>
        </w:rPr>
        <w:tab/>
        <w:t>Derivative Finanzinstrumente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als „zu Handelszwecken gehalten“ klassifizierten derivativen Finanzinstrumente setzen </w:t>
      </w:r>
      <w:r>
        <w:rPr>
          <w:rFonts w:ascii="Arial" w:hAnsi="Arial"/>
          <w:noProof/>
          <w:sz w:val="16"/>
          <w:bdr w:val="nil"/>
        </w:rPr>
        <w:t>sich im 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rsidR="001609E3">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2016</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Beizulegender Zeitwert</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Nominalbetrag</w:t>
            </w:r>
          </w:p>
        </w:tc>
      </w:tr>
      <w:tr w:rsidR="001609E3">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Verbindlichkeiten</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Währungs-Zins-Swaps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-3 051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7 430</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41 233</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Devisenswaps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6 532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-21 803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1 611 000</w:t>
            </w:r>
          </w:p>
        </w:tc>
      </w:tr>
      <w:tr w:rsidR="001609E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Derivative </w:t>
            </w:r>
            <w:r>
              <w:rPr>
                <w:rFonts w:ascii="Arial" w:hAnsi="Arial"/>
                <w:b/>
                <w:noProof/>
                <w:color w:val="000000"/>
                <w:sz w:val="16"/>
              </w:rPr>
              <w:t>Finanzinstrumente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6 920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-25 189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1 659 663</w:t>
            </w:r>
          </w:p>
        </w:tc>
      </w:tr>
      <w:tr w:rsidR="001609E3">
        <w:trPr>
          <w:trHeight w:hRule="exact" w:val="255"/>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1609E3" w:rsidRDefault="001609E3">
            <w:pPr>
              <w:rPr>
                <w:rFonts w:ascii="Arial" w:eastAsia="Arial" w:hAnsi="Arial" w:cs="Arial"/>
                <w:noProof/>
                <w:color w:val="000000"/>
                <w:sz w:val="20"/>
              </w:rPr>
            </w:pPr>
          </w:p>
        </w:tc>
      </w:tr>
      <w:tr w:rsidR="001609E3">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Zum 31. Dezember 2015</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Beizulegender Zeitwert</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center"/>
              <w:rPr>
                <w:rFonts w:ascii="Arial" w:eastAsia="Arial" w:hAnsi="Arial" w:cs="Arial"/>
                <w:b/>
                <w:noProof/>
                <w:color w:val="000000"/>
                <w:sz w:val="16"/>
              </w:rPr>
            </w:pPr>
            <w:r>
              <w:rPr>
                <w:rFonts w:ascii="Arial" w:hAnsi="Arial"/>
                <w:b/>
                <w:noProof/>
                <w:color w:val="000000"/>
                <w:sz w:val="16"/>
              </w:rPr>
              <w:t>Nominalbetrag</w:t>
            </w:r>
          </w:p>
        </w:tc>
      </w:tr>
      <w:tr w:rsidR="001609E3">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Verbindlichkeiten</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center"/>
              <w:rPr>
                <w:rFonts w:ascii="Arial" w:eastAsia="Arial" w:hAnsi="Arial" w:cs="Arial"/>
                <w:b/>
                <w:noProof/>
                <w:color w:val="000000"/>
                <w:sz w:val="16"/>
              </w:rPr>
            </w:pP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Währungs-Zins-Swaps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-3 835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9 589</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44 913</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Devisenswaps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-3 745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1 400 000</w:t>
            </w:r>
          </w:p>
        </w:tc>
      </w:tr>
      <w:tr w:rsidR="001609E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Derivative Finanzinstrumente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-8 219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1 454 502</w:t>
            </w:r>
          </w:p>
        </w:tc>
      </w:tr>
    </w:tbl>
    <w:p w:rsidR="001609E3" w:rsidRDefault="00E45B63">
      <w:pPr>
        <w:pStyle w:val="Notes"/>
        <w:pageBreakBefore/>
        <w:numPr>
          <w:ilvl w:val="0"/>
          <w:numId w:val="0"/>
        </w:numPr>
        <w:pBdr>
          <w:top w:val="nil"/>
          <w:left w:val="nil"/>
          <w:bottom w:val="nil"/>
          <w:right w:val="nil"/>
          <w:between w:val="nil"/>
          <w:bar w:val="nil"/>
        </w:pBdr>
        <w:ind w:left="432" w:hanging="432"/>
        <w:rPr>
          <w:noProof/>
          <w:bdr w:val="nil"/>
        </w:rPr>
      </w:pPr>
      <w:r>
        <w:rPr>
          <w:noProof/>
        </w:rPr>
        <w:t>7</w:t>
      </w:r>
      <w:r>
        <w:rPr>
          <w:noProof/>
        </w:rPr>
        <w:tab/>
        <w:t>Kredite und Forderungen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Kredite und Forderungen umfassen hauptsächlich Folgendes:</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1609E3">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Globalkredite (*)</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Vorrangige Kredite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Nachrangige Kredite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Nominalbetrag zum </w:t>
            </w:r>
            <w:r>
              <w:rPr>
                <w:rFonts w:ascii="Arial" w:hAnsi="Arial"/>
                <w:b/>
                <w:noProof/>
                <w:color w:val="000000"/>
                <w:sz w:val="16"/>
              </w:rPr>
              <w:t>1. Januar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661 792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818 007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160 555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1 640 354</w:t>
            </w:r>
          </w:p>
        </w:tc>
      </w:tr>
      <w:tr w:rsidR="001609E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476 685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51 691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528 376</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-31 189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-31 298</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-178 282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-107 259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-65 927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-351 468</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Kapitalisierte Zinsen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7 183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7 183</w:t>
            </w:r>
          </w:p>
        </w:tc>
      </w:tr>
      <w:tr w:rsidR="001609E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34 332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2 009</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941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37 282</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Nominalbetrag zum 31. Dezember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994 527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764 339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71 563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1 830 429</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1. Januar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-9 403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-22 445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-159 198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-191 046</w:t>
            </w:r>
          </w:p>
        </w:tc>
      </w:tr>
      <w:tr w:rsidR="001609E3">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In der Gesamtergebnisrechnung erfasste Wertminderungen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-8 794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-11 999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-20 793</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31 189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31 298</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Rückbuchung von Wertminderungen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6 100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58 698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65 158</w:t>
            </w:r>
          </w:p>
        </w:tc>
      </w:tr>
      <w:tr w:rsidR="001609E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-59</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-1 850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-2 257</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31. Dezember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-18 185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-28 294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-71 161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-117 640</w:t>
            </w:r>
          </w:p>
        </w:tc>
      </w:tr>
      <w:tr w:rsidR="001609E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Fortgeführte Anschaffungskosten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-3 906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-7 588</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14 807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9 371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24 179</w:t>
            </w:r>
          </w:p>
        </w:tc>
      </w:tr>
      <w:tr w:rsidR="001609E3">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Kredite und Forderungen zum 31. Dezember 2016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987 243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741 734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403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1 729 380</w:t>
            </w:r>
          </w:p>
        </w:tc>
      </w:tr>
      <w:tr w:rsidR="001609E3">
        <w:trPr>
          <w:trHeight w:val="120"/>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einschließlich Vertreterverträgen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bl>
    <w:p w:rsidR="001609E3" w:rsidRDefault="001609E3">
      <w:pPr>
        <w:rPr>
          <w:noProof/>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1609E3">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Globalkredite (*)</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Vorrangige Kredite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Nachrangige Kredite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Nominalbetrag zum 1. </w:t>
            </w:r>
            <w:r>
              <w:rPr>
                <w:rFonts w:ascii="Arial" w:hAnsi="Arial"/>
                <w:b/>
                <w:noProof/>
                <w:color w:val="000000"/>
                <w:sz w:val="16"/>
              </w:rPr>
              <w:t>Januar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542 506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782 563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146 643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1 471 712</w:t>
            </w:r>
          </w:p>
        </w:tc>
      </w:tr>
      <w:tr w:rsidR="001609E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196 607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86 177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282 784</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-106 921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-96 147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-2 704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-205 772</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Kapitalisierte Zinsen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13 262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13 262</w:t>
            </w:r>
          </w:p>
        </w:tc>
      </w:tr>
      <w:tr w:rsidR="001609E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29 600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45 414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3 354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78 368</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Nominalbetrag zum 31. Dezember</w:t>
            </w:r>
            <w:r>
              <w:rPr>
                <w:rFonts w:ascii="Arial" w:hAnsi="Arial"/>
                <w:b/>
                <w:noProof/>
                <w:color w:val="000000"/>
                <w:sz w:val="16"/>
              </w:rPr>
              <w:t xml:space="preserve">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661 792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818 007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160 555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1 640 354</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1. Januar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-5 751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-13 491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-132 895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-152 137</w:t>
            </w:r>
          </w:p>
        </w:tc>
      </w:tr>
      <w:tr w:rsidR="001609E3">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In der Gesamtergebnisrechnung erfasste Wertminderungen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-3 692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-7 576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-24 995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-36 263</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Rückbuchung von Wertminderungen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1 837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2 275</w:t>
            </w:r>
          </w:p>
        </w:tc>
      </w:tr>
      <w:tr w:rsidR="001609E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-1 435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-3 145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-4 921</w:t>
            </w:r>
          </w:p>
        </w:tc>
      </w:tr>
      <w:tr w:rsidR="001609E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31. Dezember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-9 403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-22 445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-159 198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-191 046</w:t>
            </w:r>
          </w:p>
        </w:tc>
      </w:tr>
      <w:tr w:rsidR="001609E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Fortgeführte Anschaffungskosten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-3 129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-5 781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-8 626</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8 838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10 533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19 375</w:t>
            </w:r>
          </w:p>
        </w:tc>
      </w:tr>
      <w:tr w:rsidR="001609E3">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Kredite und Forderungen zum 31. Dezember</w:t>
            </w:r>
            <w:r>
              <w:rPr>
                <w:rFonts w:ascii="Arial" w:hAnsi="Arial"/>
                <w:b/>
                <w:noProof/>
                <w:color w:val="000000"/>
                <w:sz w:val="16"/>
              </w:rPr>
              <w:t xml:space="preserve"> 2015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658 098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800 314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1 645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1 460 057</w:t>
            </w:r>
          </w:p>
        </w:tc>
      </w:tr>
      <w:tr w:rsidR="001609E3">
        <w:trPr>
          <w:trHeight w:val="150"/>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einschließlich Vertreterverträge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bl>
    <w:p w:rsidR="001609E3" w:rsidRDefault="00E45B63">
      <w:pPr>
        <w:pStyle w:val="Notes"/>
        <w:pageBreakBefore/>
        <w:numPr>
          <w:ilvl w:val="0"/>
          <w:numId w:val="0"/>
        </w:numPr>
        <w:pBdr>
          <w:top w:val="nil"/>
          <w:left w:val="nil"/>
          <w:bottom w:val="nil"/>
          <w:right w:val="nil"/>
          <w:between w:val="nil"/>
          <w:bar w:val="nil"/>
        </w:pBdr>
        <w:ind w:left="432" w:hanging="432"/>
        <w:rPr>
          <w:noProof/>
          <w:bdr w:val="nil"/>
        </w:rPr>
      </w:pPr>
      <w:r>
        <w:rPr>
          <w:noProof/>
        </w:rPr>
        <w:t>8</w:t>
      </w:r>
      <w:r>
        <w:rPr>
          <w:noProof/>
        </w:rPr>
        <w:tab/>
        <w:t>Zur Veräußerung verfügbare finanzielle Vermögenswerte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zur Veräußerung verfügbaren finanziellen Vermögenswerte setzen sich im Wesentlichen wie folgt </w:t>
      </w:r>
      <w:r>
        <w:rPr>
          <w:rFonts w:ascii="Arial" w:hAnsi="Arial"/>
          <w:noProof/>
          <w:sz w:val="16"/>
          <w:bdr w:val="nil"/>
        </w:rPr>
        <w:t>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rsidR="001609E3">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Wagniskapital</w:t>
            </w:r>
            <w:r>
              <w:rPr>
                <w:noProof/>
              </w:rPr>
              <w:softHyphen/>
            </w:r>
            <w:r>
              <w:rPr>
                <w:rFonts w:ascii="Arial" w:hAnsi="Arial"/>
                <w:b/>
                <w:noProof/>
                <w:color w:val="000000"/>
                <w:sz w:val="16"/>
              </w:rPr>
              <w:t>fonds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Direkte Kapital</w:t>
            </w:r>
            <w:r>
              <w:rPr>
                <w:noProof/>
              </w:rPr>
              <w:softHyphen/>
            </w:r>
            <w:r>
              <w:rPr>
                <w:rFonts w:ascii="Arial" w:hAnsi="Arial"/>
                <w:b/>
                <w:noProof/>
                <w:color w:val="000000"/>
                <w:sz w:val="16"/>
              </w:rPr>
              <w:t>beteiligungen</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Kosten zum 1. Januar 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267 331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22 979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290 310</w:t>
            </w:r>
          </w:p>
        </w:tc>
      </w:tr>
      <w:tr w:rsidR="001609E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101 323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52 663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153 986</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Rückzahlungen/Veräußerungen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-37 948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-37 978</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-4 594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-2 960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-7 554</w:t>
            </w:r>
          </w:p>
        </w:tc>
      </w:tr>
      <w:tr w:rsidR="001609E3">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Wechselkursdifferenzen bei Rückzahlungen/Veräußerungen</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5 141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5 125</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Kosten zum 31. Dezember 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331 253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72 636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403 889</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realisierte Gewinne und Verluste zum 1. Januar 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153 901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10 092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163 993</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Veränderung der nicht realisierten Gewinne </w:t>
            </w:r>
            <w:r>
              <w:rPr>
                <w:rFonts w:ascii="Arial" w:hAnsi="Arial"/>
                <w:noProof/>
                <w:color w:val="000000"/>
                <w:sz w:val="16"/>
              </w:rPr>
              <w:t>und Verluste (netto)</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-24 474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3 365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-21 109</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realisierte Gewinne und Verluste zum 31. Dezember 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129 427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13 457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142 884</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1. Januar 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-25 029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-9 921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-34 950</w:t>
            </w:r>
          </w:p>
        </w:tc>
      </w:tr>
      <w:tr w:rsidR="001609E3">
        <w:trPr>
          <w:trHeight w:val="43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In der Gesamtergebnisrechnung während des Jahres erfasste </w:t>
            </w:r>
            <w:r>
              <w:rPr>
                <w:rFonts w:ascii="Arial" w:hAnsi="Arial"/>
                <w:noProof/>
                <w:color w:val="000000"/>
                <w:sz w:val="16"/>
              </w:rPr>
              <w:t>Wertminderungen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-2 493</w:t>
            </w:r>
          </w:p>
        </w:tc>
      </w:tr>
      <w:tr w:rsidR="001609E3">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4 594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2 960</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7 554</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31. Dezember 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-22 892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-6 997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-29 889</w:t>
            </w:r>
          </w:p>
        </w:tc>
      </w:tr>
      <w:tr w:rsidR="001609E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Zur Veräußerung verfügbare finanzielle Vermögenswerte zum 31. Dezember 2016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437 788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79 096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516 884</w:t>
            </w:r>
          </w:p>
        </w:tc>
      </w:tr>
      <w:tr w:rsidR="001609E3">
        <w:trPr>
          <w:trHeight w:hRule="exact" w:val="255"/>
        </w:trPr>
        <w:tc>
          <w:tcPr>
            <w:tcW w:w="5475"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hRule="exact" w:val="255"/>
        </w:trPr>
        <w:tc>
          <w:tcPr>
            <w:tcW w:w="54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Wagniskapital</w:t>
            </w:r>
            <w:r>
              <w:rPr>
                <w:noProof/>
              </w:rPr>
              <w:softHyphen/>
            </w:r>
            <w:r>
              <w:rPr>
                <w:rFonts w:ascii="Arial" w:hAnsi="Arial"/>
                <w:b/>
                <w:noProof/>
                <w:color w:val="000000"/>
                <w:sz w:val="16"/>
              </w:rPr>
              <w:t>fonds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Direkte Kapital</w:t>
            </w:r>
            <w:r>
              <w:rPr>
                <w:noProof/>
              </w:rPr>
              <w:softHyphen/>
            </w:r>
            <w:r>
              <w:rPr>
                <w:rFonts w:ascii="Arial" w:hAnsi="Arial"/>
                <w:b/>
                <w:noProof/>
                <w:color w:val="000000"/>
                <w:sz w:val="16"/>
              </w:rPr>
              <w:t>beteiligungen</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Kosten zum 1. Januar 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259 784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19 714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279 498</w:t>
            </w:r>
          </w:p>
        </w:tc>
      </w:tr>
      <w:tr w:rsidR="001609E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63 574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3 875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67 449</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Rückzahlungen/Veräußerungen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-64 181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-64 791</w:t>
            </w:r>
          </w:p>
        </w:tc>
      </w:tr>
      <w:tr w:rsidR="001609E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-1 231</w:t>
            </w:r>
          </w:p>
        </w:tc>
      </w:tr>
      <w:tr w:rsidR="001609E3">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Wechselkursdifferenzen </w:t>
            </w:r>
            <w:r>
              <w:rPr>
                <w:rFonts w:ascii="Arial" w:hAnsi="Arial"/>
                <w:noProof/>
                <w:color w:val="000000"/>
                <w:sz w:val="16"/>
              </w:rPr>
              <w:t>bei Rückzahlungen/Veräußerungen</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9 385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9 385</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Kosten zum 31. Dezember 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267 331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22 979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290 310</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realisierte Gewinne und Verluste zum 1. Januar 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149 995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6 127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156 122</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Veränderung der nicht realisierten Gewinne und Verluste (netto)</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3 906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3 965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7 871</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Nicht realisierte Gewinne und Verluste zum 31. Dezember 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153 901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10 092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163 993</w:t>
            </w: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1. Januar 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-24 534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-8 001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-32 535</w:t>
            </w:r>
          </w:p>
        </w:tc>
      </w:tr>
      <w:tr w:rsidR="001609E3">
        <w:trPr>
          <w:trHeight w:val="450"/>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In der Gesamtergebnisrechnung während des Jahres erfasste Wertminderungen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-1 726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-1 920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-3 646</w:t>
            </w:r>
          </w:p>
        </w:tc>
      </w:tr>
      <w:tr w:rsidR="001609E3">
        <w:trPr>
          <w:trHeight w:val="255"/>
        </w:trPr>
        <w:tc>
          <w:tcPr>
            <w:tcW w:w="54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Abschreibungen</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1 231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1 231</w:t>
            </w:r>
          </w:p>
        </w:tc>
      </w:tr>
      <w:tr w:rsidR="001609E3">
        <w:trPr>
          <w:trHeight w:val="255"/>
        </w:trPr>
        <w:tc>
          <w:tcPr>
            <w:tcW w:w="5475"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Wertminderungen zum 31. Dezember 2015</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-25 029</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-9 921</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-34 950</w:t>
            </w:r>
          </w:p>
        </w:tc>
      </w:tr>
      <w:tr w:rsidR="001609E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b/>
                <w:noProof/>
                <w:color w:val="000000"/>
                <w:sz w:val="16"/>
              </w:rPr>
            </w:pPr>
          </w:p>
        </w:tc>
      </w:tr>
      <w:tr w:rsidR="001609E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Zur Veräußerung verfügbare finanzielle Vermögenswerte zum 31. Dezember 2015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396 203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23 150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419 353</w:t>
            </w:r>
          </w:p>
        </w:tc>
      </w:tr>
    </w:tbl>
    <w:p w:rsidR="001609E3" w:rsidRDefault="00E45B63">
      <w:pPr>
        <w:pStyle w:val="Title1"/>
        <w:pageBreakBefore/>
        <w:numPr>
          <w:ilvl w:val="0"/>
          <w:numId w:val="0"/>
        </w:numPr>
        <w:pBdr>
          <w:top w:val="nil"/>
          <w:left w:val="nil"/>
          <w:bottom w:val="nil"/>
          <w:right w:val="nil"/>
          <w:between w:val="nil"/>
          <w:bar w:val="nil"/>
        </w:pBdr>
        <w:ind w:left="432" w:hanging="432"/>
        <w:rPr>
          <w:noProof/>
          <w:bdr w:val="nil"/>
        </w:rPr>
      </w:pPr>
      <w:r>
        <w:rPr>
          <w:noProof/>
        </w:rPr>
        <w:t>9</w:t>
      </w:r>
      <w:r>
        <w:rPr>
          <w:noProof/>
        </w:rPr>
        <w:tab/>
        <w:t>Forderungen gegenüber Beitragszahlern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Forderungen gegenüber Beitragszahlern bestehen ausschließlich aus bei den Mitgliedstaaten abgerufenen, aber nicht eingegangenen Beiträgen.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10</w:t>
      </w:r>
      <w:r>
        <w:rPr>
          <w:noProof/>
        </w:rPr>
        <w:tab/>
        <w:t>Bis zur Endfälligkeit zu haltende finanzielle Vermögenswerte (in Tsd. EUR)</w:t>
      </w:r>
    </w:p>
    <w:p w:rsidR="001609E3" w:rsidRDefault="001609E3">
      <w:pPr>
        <w:pBdr>
          <w:top w:val="nil"/>
          <w:left w:val="nil"/>
          <w:bottom w:val="nil"/>
          <w:right w:val="nil"/>
          <w:between w:val="nil"/>
          <w:bar w:val="nil"/>
        </w:pBdr>
        <w:spacing w:before="60" w:after="60"/>
        <w:jc w:val="both"/>
        <w:rPr>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bis zur Endfälligkeit zu halt</w:t>
      </w:r>
      <w:r>
        <w:rPr>
          <w:rFonts w:ascii="Arial" w:hAnsi="Arial"/>
          <w:noProof/>
          <w:sz w:val="16"/>
          <w:bdr w:val="nil"/>
        </w:rPr>
        <w:t xml:space="preserve">ende Portfolio besteht aus börsennotierten Anleihen mit einer Restlaufzeit von weniger als drei Monaten zum Berichtstermin.  Aus der folgenden Tabelle gehen die Bewegungen des bis zur Endfälligkeit zu haltenden Portfolios hervor: </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rsidR="001609E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1. Januar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228 521</w:t>
            </w:r>
          </w:p>
        </w:tc>
      </w:tr>
      <w:tr w:rsidR="001609E3">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Käufe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1 159 704</w:t>
            </w:r>
          </w:p>
        </w:tc>
      </w:tr>
      <w:tr w:rsidR="001609E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Fälligkeiten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-1 219 953</w:t>
            </w:r>
          </w:p>
        </w:tc>
      </w:tr>
      <w:tr w:rsidR="001609E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Änderung bei der Tilgung der Prämie/Abzinsung</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-87</w:t>
            </w:r>
          </w:p>
        </w:tc>
      </w:tr>
      <w:tr w:rsidR="001609E3">
        <w:trPr>
          <w:trHeight w:val="25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Änderung der aufgelaufenen Zinsen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1 213</w:t>
            </w:r>
          </w:p>
        </w:tc>
      </w:tr>
      <w:tr w:rsidR="001609E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31. Dezember 2016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169 398</w:t>
            </w:r>
          </w:p>
        </w:tc>
      </w:tr>
      <w:tr w:rsidR="001609E3">
        <w:trPr>
          <w:trHeight w:hRule="exact" w:val="255"/>
        </w:trPr>
        <w:tc>
          <w:tcPr>
            <w:tcW w:w="84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1. Januar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99 988</w:t>
            </w:r>
          </w:p>
        </w:tc>
      </w:tr>
      <w:tr w:rsidR="001609E3">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Käufe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1 545 550</w:t>
            </w:r>
          </w:p>
        </w:tc>
      </w:tr>
      <w:tr w:rsidR="001609E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Fälligkeiten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-1 417 005</w:t>
            </w:r>
          </w:p>
        </w:tc>
      </w:tr>
      <w:tr w:rsidR="001609E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Änderung bei der Tilgung der Prämie/Abzinsung</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w:t>
            </w:r>
          </w:p>
        </w:tc>
      </w:tr>
      <w:tr w:rsidR="001609E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zum 31. Dezember 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228 521</w:t>
            </w:r>
          </w:p>
        </w:tc>
      </w:tr>
    </w:tbl>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11</w:t>
      </w:r>
      <w:r>
        <w:rPr>
          <w:noProof/>
        </w:rPr>
        <w:tab/>
        <w:t>Sonstige Aktiva (in Tsd. EUR)</w:t>
      </w:r>
    </w:p>
    <w:p w:rsidR="001609E3" w:rsidRDefault="001609E3">
      <w:pPr>
        <w:pBdr>
          <w:top w:val="nil"/>
          <w:left w:val="nil"/>
          <w:bottom w:val="nil"/>
          <w:right w:val="nil"/>
          <w:between w:val="nil"/>
          <w:bar w:val="nil"/>
        </w:pBdr>
        <w:spacing w:before="60" w:after="60"/>
        <w:jc w:val="both"/>
        <w:rPr>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sonstigen Aktiva setzen sich im 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Forderungen gegenüber der </w:t>
            </w:r>
            <w:r>
              <w:rPr>
                <w:rFonts w:ascii="Arial" w:hAnsi="Arial"/>
                <w:noProof/>
                <w:color w:val="000000"/>
                <w:sz w:val="16"/>
              </w:rPr>
              <w:t>EIB</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Sonstige Aktiva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w:t>
            </w:r>
          </w:p>
        </w:tc>
      </w:tr>
    </w:tbl>
    <w:p w:rsidR="001609E3" w:rsidRDefault="001609E3">
      <w:pPr>
        <w:pStyle w:val="Notes"/>
        <w:numPr>
          <w:ilvl w:val="0"/>
          <w:numId w:val="0"/>
        </w:numPr>
        <w:pBdr>
          <w:top w:val="nil"/>
          <w:left w:val="nil"/>
          <w:bottom w:val="nil"/>
          <w:right w:val="nil"/>
          <w:between w:val="nil"/>
          <w:bar w:val="nil"/>
        </w:pBdr>
        <w:rPr>
          <w:noProof/>
          <w:sz w:val="16"/>
          <w:szCs w:val="16"/>
          <w:bdr w:val="nil"/>
        </w:rPr>
      </w:pPr>
    </w:p>
    <w:p w:rsidR="001609E3" w:rsidRDefault="00E45B63">
      <w:pPr>
        <w:pStyle w:val="Notes"/>
        <w:numPr>
          <w:ilvl w:val="0"/>
          <w:numId w:val="0"/>
        </w:numPr>
        <w:pBdr>
          <w:top w:val="nil"/>
          <w:left w:val="nil"/>
          <w:bottom w:val="nil"/>
          <w:right w:val="nil"/>
          <w:between w:val="nil"/>
          <w:bar w:val="nil"/>
        </w:pBdr>
        <w:rPr>
          <w:noProof/>
          <w:bdr w:val="nil"/>
          <w:lang w:val="it-IT"/>
        </w:rPr>
      </w:pPr>
      <w:r>
        <w:rPr>
          <w:noProof/>
          <w:lang w:val="it-IT"/>
        </w:rPr>
        <w:t>12 Transitorische Passiva (in Tsd. EUR)</w:t>
      </w:r>
    </w:p>
    <w:p w:rsidR="001609E3" w:rsidRDefault="001609E3">
      <w:pPr>
        <w:pBdr>
          <w:top w:val="nil"/>
          <w:left w:val="nil"/>
          <w:bottom w:val="nil"/>
          <w:right w:val="nil"/>
          <w:between w:val="nil"/>
          <w:bar w:val="nil"/>
        </w:pBdr>
        <w:spacing w:before="60" w:after="60"/>
        <w:jc w:val="both"/>
        <w:rPr>
          <w:rFonts w:ascii="Arial" w:hAnsi="Arial"/>
          <w:b/>
          <w:noProof/>
          <w:sz w:val="16"/>
          <w:szCs w:val="16"/>
          <w:bdr w:val="nil"/>
          <w:lang w:val="it-IT"/>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transitorischen Passiva setzen sich im Wesentlichen wie folgt zusammen:</w:t>
      </w:r>
    </w:p>
    <w:p w:rsidR="001609E3" w:rsidRDefault="001609E3">
      <w:pPr>
        <w:pBdr>
          <w:top w:val="nil"/>
          <w:left w:val="nil"/>
          <w:bottom w:val="nil"/>
          <w:right w:val="nil"/>
          <w:between w:val="nil"/>
          <w:bar w:val="nil"/>
        </w:pBdr>
        <w:rPr>
          <w:rFonts w:ascii="Arial" w:hAnsi="Arial"/>
          <w:b/>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Abgegrenzte Zinsverbilligungen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25 884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28 683</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Abgegrenzte Provisionen – Kredite und Forderungen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642</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Transitorische Passiva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26 283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29 325</w:t>
            </w:r>
          </w:p>
        </w:tc>
      </w:tr>
    </w:tbl>
    <w:p w:rsidR="001609E3" w:rsidRDefault="00E45B63">
      <w:pPr>
        <w:pStyle w:val="Notes27"/>
        <w:pageBreakBefore/>
        <w:numPr>
          <w:ilvl w:val="0"/>
          <w:numId w:val="0"/>
        </w:numPr>
        <w:ind w:left="432" w:hanging="432"/>
        <w:rPr>
          <w:noProof/>
        </w:rPr>
      </w:pPr>
      <w:r>
        <w:rPr>
          <w:noProof/>
        </w:rPr>
        <w:t>13</w:t>
      </w:r>
      <w:r>
        <w:rPr>
          <w:noProof/>
        </w:rPr>
        <w:tab/>
        <w:t>Rückstellungen für gestellte Garantien (in Tsd. EUR)</w:t>
      </w:r>
    </w:p>
    <w:p w:rsidR="001609E3" w:rsidRDefault="001609E3">
      <w:pPr>
        <w:pStyle w:val="Normal31"/>
        <w:suppressAutoHyphens w:val="0"/>
        <w:spacing w:before="60" w:after="60"/>
        <w:jc w:val="both"/>
        <w:rPr>
          <w:rFonts w:ascii="Arial" w:hAnsi="Arial"/>
          <w:noProof/>
          <w:sz w:val="16"/>
          <w:szCs w:val="16"/>
        </w:rPr>
      </w:pPr>
    </w:p>
    <w:p w:rsidR="001609E3" w:rsidRDefault="00E45B63">
      <w:pPr>
        <w:pStyle w:val="Normal31"/>
        <w:suppressAutoHyphens w:val="0"/>
        <w:spacing w:before="60" w:after="60"/>
        <w:jc w:val="both"/>
        <w:rPr>
          <w:rFonts w:ascii="Arial" w:hAnsi="Arial"/>
          <w:noProof/>
          <w:sz w:val="16"/>
          <w:szCs w:val="16"/>
        </w:rPr>
      </w:pPr>
      <w:r>
        <w:rPr>
          <w:rFonts w:ascii="Arial" w:hAnsi="Arial"/>
          <w:noProof/>
          <w:sz w:val="16"/>
        </w:rPr>
        <w:t>Die Höhe der Rückstellungen für gestellte Garantien wird mittels der bestmöglichen Schätzung</w:t>
      </w:r>
      <w:r>
        <w:rPr>
          <w:rFonts w:ascii="Arial" w:hAnsi="Arial"/>
          <w:noProof/>
          <w:sz w:val="16"/>
        </w:rPr>
        <w:t xml:space="preserve"> der zur Erfüllung derzeitiger, infolge der Garantien entstehender finanzieller Verpflichtungen erforderlichen Ausgaben angesetzt und stellt die Summe aus Folgendem dar:</w:t>
      </w:r>
    </w:p>
    <w:p w:rsidR="001609E3" w:rsidRDefault="00E45B63">
      <w:pPr>
        <w:pStyle w:val="ListParagraph7"/>
        <w:numPr>
          <w:ilvl w:val="0"/>
          <w:numId w:val="94"/>
        </w:numPr>
        <w:suppressAutoHyphens w:val="0"/>
        <w:spacing w:before="60" w:after="60"/>
        <w:jc w:val="both"/>
        <w:rPr>
          <w:rFonts w:ascii="Arial" w:hAnsi="Arial"/>
          <w:noProof/>
          <w:sz w:val="16"/>
          <w:szCs w:val="16"/>
        </w:rPr>
      </w:pPr>
      <w:r>
        <w:rPr>
          <w:rFonts w:ascii="Arial" w:hAnsi="Arial"/>
          <w:noProof/>
          <w:sz w:val="16"/>
        </w:rPr>
        <w:t>den anfänglich angesetzten Beträgen, gegebenenfalls abzüglich der gemäß IAS 18 „Umsatz</w:t>
      </w:r>
      <w:r>
        <w:rPr>
          <w:rFonts w:ascii="Arial" w:hAnsi="Arial"/>
          <w:noProof/>
          <w:sz w:val="16"/>
        </w:rPr>
        <w:t>erlöse“ angesetzten, kumulierten Abschreibungen, und</w:t>
      </w:r>
    </w:p>
    <w:p w:rsidR="001609E3" w:rsidRDefault="00E45B63">
      <w:pPr>
        <w:pStyle w:val="ListParagraph7"/>
        <w:numPr>
          <w:ilvl w:val="0"/>
          <w:numId w:val="94"/>
        </w:numPr>
        <w:suppressAutoHyphens w:val="0"/>
        <w:spacing w:before="60" w:after="60"/>
        <w:jc w:val="both"/>
        <w:rPr>
          <w:rFonts w:ascii="Arial" w:hAnsi="Arial"/>
          <w:noProof/>
          <w:sz w:val="16"/>
          <w:szCs w:val="16"/>
        </w:rPr>
      </w:pPr>
      <w:r>
        <w:rPr>
          <w:rFonts w:ascii="Arial" w:hAnsi="Arial"/>
          <w:noProof/>
          <w:sz w:val="16"/>
        </w:rPr>
        <w:t>dem über die oben genannten Beträge hinausgehenden Betrag, bemessen nach IAS 37 „Rückstellungen, Eventualschulden, Eventualforderungen“.</w:t>
      </w:r>
    </w:p>
    <w:p w:rsidR="001609E3" w:rsidRDefault="001609E3">
      <w:pPr>
        <w:pStyle w:val="Normal31"/>
        <w:suppressAutoHyphens w:val="0"/>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Saldo am 1. Januar</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In der Gesamtergebnisrechnung</w:t>
            </w:r>
            <w:r>
              <w:rPr>
                <w:rFonts w:ascii="Arial" w:hAnsi="Arial"/>
                <w:noProof/>
                <w:color w:val="000000"/>
                <w:sz w:val="16"/>
              </w:rPr>
              <w:t xml:space="preserve"> erfasste Zugänge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in Anspruch genommen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Übertragung von  „Sonstige Verbindlichkeiten“. Finanzgarantien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Auflösung von Rückstellungen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Saldo am 31. Dezember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625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r>
    </w:tbl>
    <w:p w:rsidR="001609E3" w:rsidRDefault="001609E3">
      <w:pPr>
        <w:pBdr>
          <w:top w:val="nil"/>
          <w:left w:val="nil"/>
          <w:bottom w:val="nil"/>
          <w:right w:val="nil"/>
          <w:between w:val="nil"/>
          <w:bar w:val="nil"/>
        </w:pBdr>
        <w:spacing w:before="60" w:after="60"/>
        <w:jc w:val="both"/>
        <w:rPr>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14</w:t>
      </w:r>
      <w:r>
        <w:rPr>
          <w:noProof/>
        </w:rPr>
        <w:tab/>
        <w:t>Verbindlichkeiten gegenüber Dritten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w:t>
      </w:r>
      <w:r>
        <w:rPr>
          <w:rFonts w:ascii="Arial" w:hAnsi="Arial"/>
          <w:noProof/>
          <w:sz w:val="16"/>
          <w:bdr w:val="nil"/>
        </w:rPr>
        <w:t>Verbindlichkeiten gegenüber Dritten setzen sich im 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An die EIB zu zahlende allgemeine Verwaltungsaufwendungen (netto)</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43 483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43 045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 an die EIB zu zahlende Beträge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Mitgliedstaaten </w:t>
            </w:r>
            <w:r>
              <w:rPr>
                <w:rFonts w:ascii="Arial" w:hAnsi="Arial"/>
                <w:noProof/>
                <w:color w:val="000000"/>
                <w:sz w:val="16"/>
              </w:rPr>
              <w:t>geschuldete, noch nicht ausgezahlte Zinsverbilligungen und technische Hilfe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72 631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58 142</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Verbindlichkeiten gegenüber Dritten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116 114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101 202</w:t>
            </w:r>
          </w:p>
        </w:tc>
      </w:tr>
    </w:tbl>
    <w:p w:rsidR="001609E3" w:rsidRDefault="001609E3">
      <w:pPr>
        <w:pStyle w:val="Notes"/>
        <w:numPr>
          <w:ilvl w:val="0"/>
          <w:numId w:val="0"/>
        </w:numPr>
        <w:pBdr>
          <w:top w:val="nil"/>
          <w:left w:val="nil"/>
          <w:bottom w:val="nil"/>
          <w:right w:val="nil"/>
          <w:between w:val="nil"/>
          <w:bar w:val="nil"/>
        </w:pBdr>
        <w:ind w:left="432" w:hanging="432"/>
        <w:rPr>
          <w:noProof/>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15</w:t>
      </w:r>
      <w:r>
        <w:rPr>
          <w:noProof/>
        </w:rPr>
        <w:tab/>
        <w:t>Sonstige Verbindlichkeiten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sonstigen Verbindlichkeiten setzen sich im </w:t>
      </w:r>
      <w:r>
        <w:rPr>
          <w:rFonts w:ascii="Arial" w:hAnsi="Arial"/>
          <w:noProof/>
          <w:sz w:val="16"/>
          <w:bdr w:val="nil"/>
        </w:rPr>
        <w:t>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Vorzeitig erhaltene Rückzahlungen von Krediten </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2 081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1 826</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Transitorische Passiva aus Zinsverbilligungen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458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512</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Sonstige Verbindlichkeiten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2 546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2 364</w:t>
            </w:r>
          </w:p>
        </w:tc>
      </w:tr>
    </w:tbl>
    <w:p w:rsidR="001609E3" w:rsidRDefault="00E45B63">
      <w:pPr>
        <w:pStyle w:val="Notes"/>
        <w:pageBreakBefore/>
        <w:numPr>
          <w:ilvl w:val="0"/>
          <w:numId w:val="0"/>
        </w:numPr>
        <w:pBdr>
          <w:top w:val="nil"/>
          <w:left w:val="nil"/>
          <w:bottom w:val="nil"/>
          <w:right w:val="nil"/>
          <w:between w:val="nil"/>
          <w:bar w:val="nil"/>
        </w:pBdr>
        <w:ind w:left="432" w:hanging="432"/>
        <w:rPr>
          <w:noProof/>
          <w:bdr w:val="nil"/>
        </w:rPr>
      </w:pPr>
      <w:r>
        <w:rPr>
          <w:noProof/>
        </w:rPr>
        <w:t>16</w:t>
      </w:r>
      <w:r>
        <w:rPr>
          <w:noProof/>
        </w:rPr>
        <w:tab/>
      </w:r>
      <w:r>
        <w:rPr>
          <w:noProof/>
        </w:rPr>
        <w:t>Abgerufene Beiträge der Mitgliedstaaten (in Tsd. EUR)</w:t>
      </w:r>
    </w:p>
    <w:p w:rsidR="001609E3" w:rsidRDefault="001609E3">
      <w:pPr>
        <w:pStyle w:val="Notes"/>
        <w:numPr>
          <w:ilvl w:val="0"/>
          <w:numId w:val="0"/>
        </w:numPr>
        <w:pBdr>
          <w:top w:val="nil"/>
          <w:left w:val="nil"/>
          <w:bottom w:val="nil"/>
          <w:right w:val="nil"/>
          <w:between w:val="nil"/>
          <w:bar w:val="nil"/>
        </w:pBdr>
        <w:rPr>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1609E3">
        <w:trPr>
          <w:trHeight w:val="1125"/>
        </w:trPr>
        <w:tc>
          <w:tcPr>
            <w:tcW w:w="3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Mitgliedstaaten</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Beiträge zur Fazilität</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Beiträge zu Zinsverbilli</w:t>
            </w:r>
            <w:r>
              <w:rPr>
                <w:noProof/>
              </w:rPr>
              <w:softHyphen/>
            </w:r>
            <w:r>
              <w:rPr>
                <w:rFonts w:ascii="Arial" w:hAnsi="Arial"/>
                <w:b/>
                <w:noProof/>
                <w:color w:val="000000"/>
                <w:sz w:val="16"/>
              </w:rPr>
              <w:t>gungen und tech</w:t>
            </w:r>
            <w:r>
              <w:rPr>
                <w:noProof/>
              </w:rPr>
              <w:softHyphen/>
            </w:r>
            <w:r>
              <w:rPr>
                <w:rFonts w:ascii="Arial" w:hAnsi="Arial"/>
                <w:b/>
                <w:noProof/>
                <w:color w:val="000000"/>
                <w:sz w:val="16"/>
              </w:rPr>
              <w:t>nischer Hilfe</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Gesamtbetrag</w:t>
            </w:r>
            <w:r>
              <w:rPr>
                <w:rFonts w:ascii="Arial" w:eastAsia="Arial" w:hAnsi="Arial" w:cs="Arial"/>
                <w:b/>
                <w:noProof/>
                <w:color w:val="000000"/>
                <w:sz w:val="16"/>
              </w:rPr>
              <w:br/>
            </w:r>
            <w:r>
              <w:rPr>
                <w:rFonts w:ascii="Arial" w:hAnsi="Arial"/>
                <w:b/>
                <w:noProof/>
                <w:color w:val="000000"/>
                <w:sz w:val="16"/>
              </w:rPr>
              <w:t>beitragen</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Abgerufen, aber nicht eingegangen</w:t>
            </w:r>
          </w:p>
        </w:tc>
      </w:tr>
      <w:tr w:rsidR="001609E3">
        <w:trPr>
          <w:trHeight w:val="255"/>
        </w:trPr>
        <w:tc>
          <w:tcPr>
            <w:tcW w:w="3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Österreich</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62 223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6 941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69 164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2 410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Belgien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91 930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10 222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102 152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5 295</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Bulgarien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Zypern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405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Tschechische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2 295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Dänemark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50 420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5 675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56 095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2 000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Estland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Finnland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35 148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4 038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39 186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1 470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Frankreich</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562 411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60 332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622 743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19 550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Deutschland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546 115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60 216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606 331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20 500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Griechenland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30 417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3 707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34 124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1 470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Ungarn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1 760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Ir</w:t>
            </w:r>
            <w:r>
              <w:rPr>
                <w:noProof/>
              </w:rPr>
              <w:softHyphen/>
            </w:r>
            <w:r>
              <w:rPr>
                <w:rFonts w:ascii="Arial" w:hAnsi="Arial"/>
                <w:noProof/>
                <w:color w:val="000000"/>
                <w:sz w:val="16"/>
              </w:rPr>
              <w:t>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15 665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2 074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17 739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910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Italien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299 100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34 737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333 837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12 860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Lett</w:t>
            </w:r>
            <w:r>
              <w:rPr>
                <w:noProof/>
              </w:rPr>
              <w:softHyphen/>
            </w:r>
            <w:r>
              <w:rPr>
                <w:rFonts w:ascii="Arial" w:hAnsi="Arial"/>
                <w:noProof/>
                <w:color w:val="000000"/>
                <w:sz w:val="16"/>
              </w:rPr>
              <w:t>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Litauen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540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Luxemburg</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6 829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7 597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Niederlande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122 895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13 805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136 700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4 850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Polen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4 160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5 850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1 300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Portu</w:t>
            </w:r>
            <w:r>
              <w:rPr>
                <w:noProof/>
              </w:rPr>
              <w:softHyphen/>
            </w:r>
            <w:r>
              <w:rPr>
                <w:rFonts w:ascii="Arial" w:hAnsi="Arial"/>
                <w:noProof/>
                <w:color w:val="000000"/>
                <w:sz w:val="16"/>
              </w:rPr>
              <w:t>gal</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23 633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2 889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26 522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1 150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Rumänien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1 665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Slowakei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273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210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Slowenien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Spanien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145 249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18 596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163 845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7 850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Schweden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64 924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7 485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72 409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2 740</w:t>
            </w:r>
          </w:p>
        </w:tc>
      </w:tr>
      <w:tr w:rsidR="001609E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Vereinigtes Königreich</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308 457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37 500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345 957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Gesamtbetrag zum 31. Dezember 2016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2 377 000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273 691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2 650 691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86 395</w:t>
            </w:r>
          </w:p>
        </w:tc>
      </w:tr>
      <w:tr w:rsidR="001609E3">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Gesamtbetrag zum 31. Dezember 2015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2 157 000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243 691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2 400 691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w:t>
            </w:r>
          </w:p>
        </w:tc>
      </w:tr>
    </w:tbl>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 (*) Am 19. November 2016 legte der Rat die Höhe der von den einzelnen Mitgliedstaaten bis zum 21. Januar 2017 zu zahlenden Beiträge fest. Zum 31. Dezember 2016 waren 86 395 EUR nicht gezahlt.</w:t>
      </w:r>
    </w:p>
    <w:p w:rsidR="001609E3" w:rsidRDefault="00E45B63">
      <w:pPr>
        <w:pStyle w:val="Notes"/>
        <w:pageBreakBefore/>
        <w:numPr>
          <w:ilvl w:val="0"/>
          <w:numId w:val="0"/>
        </w:numPr>
        <w:pBdr>
          <w:top w:val="nil"/>
          <w:left w:val="nil"/>
          <w:bottom w:val="nil"/>
          <w:right w:val="nil"/>
          <w:between w:val="nil"/>
          <w:bar w:val="nil"/>
        </w:pBdr>
        <w:ind w:left="432" w:hanging="432"/>
        <w:rPr>
          <w:noProof/>
          <w:bdr w:val="nil"/>
        </w:rPr>
      </w:pPr>
      <w:r>
        <w:rPr>
          <w:noProof/>
        </w:rPr>
        <w:t>17</w:t>
      </w:r>
      <w:r>
        <w:rPr>
          <w:noProof/>
        </w:rPr>
        <w:tab/>
        <w:t>Eventualverbindlichkeiten und Verpflichtungen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31.12.2015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i/>
                <w:noProof/>
                <w:color w:val="000000"/>
                <w:sz w:val="16"/>
              </w:rPr>
            </w:pPr>
            <w:r>
              <w:rPr>
                <w:rFonts w:ascii="Arial" w:hAnsi="Arial"/>
                <w:b/>
                <w:i/>
                <w:noProof/>
                <w:color w:val="000000"/>
                <w:sz w:val="16"/>
              </w:rPr>
              <w:t>Mittel</w:t>
            </w:r>
            <w:r>
              <w:rPr>
                <w:noProof/>
              </w:rPr>
              <w:softHyphen/>
            </w:r>
            <w:r>
              <w:rPr>
                <w:rFonts w:ascii="Arial" w:hAnsi="Arial"/>
                <w:b/>
                <w:i/>
                <w:noProof/>
                <w:color w:val="000000"/>
                <w:sz w:val="16"/>
              </w:rPr>
              <w:t>bindungen,</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r>
      <w:tr w:rsidR="001609E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Nicht ausgezahlte Kredite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901 899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1 189 564</w:t>
            </w:r>
          </w:p>
        </w:tc>
      </w:tr>
      <w:tr w:rsidR="001609E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Nicht eingelöste Verpflichtungen in Bezug auf zur Veräußerung verfügbare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244 050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298 355</w:t>
            </w:r>
          </w:p>
        </w:tc>
      </w:tr>
      <w:tr w:rsidR="001609E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8 627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798</w:t>
            </w:r>
          </w:p>
        </w:tc>
      </w:tr>
      <w:tr w:rsidR="001609E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Zinsverbilligungen und technische Hilfe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334 553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352 036</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i/>
                <w:noProof/>
                <w:color w:val="000000"/>
                <w:sz w:val="16"/>
              </w:rPr>
            </w:pPr>
            <w:r>
              <w:rPr>
                <w:rFonts w:ascii="Arial" w:hAnsi="Arial"/>
                <w:b/>
                <w:i/>
                <w:noProof/>
                <w:color w:val="000000"/>
                <w:sz w:val="16"/>
              </w:rPr>
              <w:t>Eventualverbindlichkeiten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Unterzeichnete nicht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35 337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10 000</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noProof/>
                <w:color w:val="000000"/>
                <w:sz w:val="20"/>
              </w:rPr>
            </w:pP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Eventualverbindlichkeiten und Verpflichtungen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1 524 466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1 850 753</w:t>
            </w:r>
          </w:p>
        </w:tc>
      </w:tr>
    </w:tbl>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18</w:t>
      </w:r>
      <w:r>
        <w:rPr>
          <w:noProof/>
        </w:rPr>
        <w:tab/>
        <w:t xml:space="preserve">Zins- und ähnliche </w:t>
      </w:r>
      <w:r>
        <w:rPr>
          <w:noProof/>
        </w:rPr>
        <w:t>Erträge und Aufwendungen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Zinserträge und ähnlichen Erträge setzen sich im 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1.1.2015</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zum 31.12.2015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Bis zur Endfälligkeit zu haltende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und Forderungen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102 580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86 305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Zinsverbilligungen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4 118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4 076</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Zinserträge und ähnliche Erträge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106 698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90 385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39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Im Einzelposten „Kredite und Forderungen“ unter den Zinserträgen des am 31. Dezember 2016 endenden Jahres ist eine Summe </w:t>
            </w:r>
            <w:r>
              <w:rPr>
                <w:rFonts w:ascii="Arial" w:hAnsi="Arial"/>
                <w:noProof/>
                <w:color w:val="000000"/>
                <w:sz w:val="16"/>
              </w:rPr>
              <w:t>von +15 700 EUR enthalten, die sich auf wertgeminderte finanzielle Vermögenswerte bezieht (zum 31. Dezember 2015: +15 869 EUR).</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Die Zinsaufwendungen und ähnlichen Aufwendungen setzen sich im Wesentlichen wie folgt zusammen:</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Ab </w:t>
            </w:r>
            <w:r>
              <w:rPr>
                <w:rFonts w:ascii="Arial" w:hAnsi="Arial"/>
                <w:b/>
                <w:noProof/>
                <w:color w:val="000000"/>
                <w:sz w:val="16"/>
              </w:rPr>
              <w:t>1.1.2015</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zum 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Derivative Finanzinstrumente</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-1 142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-1 525</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Zahlungsmitteln und Zahlungsmitteläquivalenten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-752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-31</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Bis zur Endfälligkeit zu haltende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Zinsaufwendungen und ähnliche </w:t>
            </w:r>
            <w:r>
              <w:rPr>
                <w:rFonts w:ascii="Arial" w:hAnsi="Arial"/>
                <w:b/>
                <w:noProof/>
                <w:color w:val="000000"/>
                <w:sz w:val="16"/>
              </w:rPr>
              <w:t>Aufwendungen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-2 307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-1 556</w:t>
            </w:r>
          </w:p>
        </w:tc>
      </w:tr>
    </w:tbl>
    <w:p w:rsidR="001609E3" w:rsidRDefault="00E45B63">
      <w:pPr>
        <w:pStyle w:val="Notes"/>
        <w:pageBreakBefore/>
        <w:numPr>
          <w:ilvl w:val="0"/>
          <w:numId w:val="0"/>
        </w:numPr>
        <w:pBdr>
          <w:top w:val="nil"/>
          <w:left w:val="nil"/>
          <w:bottom w:val="nil"/>
          <w:right w:val="nil"/>
          <w:between w:val="nil"/>
          <w:bar w:val="nil"/>
        </w:pBdr>
        <w:ind w:left="432" w:hanging="432"/>
        <w:rPr>
          <w:noProof/>
          <w:bdr w:val="nil"/>
        </w:rPr>
      </w:pPr>
      <w:r>
        <w:rPr>
          <w:noProof/>
        </w:rPr>
        <w:t>19</w:t>
      </w:r>
      <w:r>
        <w:rPr>
          <w:noProof/>
        </w:rPr>
        <w:tab/>
        <w:t>Erträge und Aufwendungen für Gebühren und Provisionen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Erträge aus Gebühren und Provisionen setzen sich im 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1.1.2015</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 xml:space="preserve">bis zum </w:t>
            </w:r>
            <w:r>
              <w:rPr>
                <w:rFonts w:ascii="Arial" w:hAnsi="Arial"/>
                <w:b/>
                <w:noProof/>
                <w:color w:val="000000"/>
                <w:sz w:val="16"/>
              </w:rPr>
              <w:t>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Gebühren und Provisionen aus Krediten und Forderungen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890</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Gebühren und Provisionen aus 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42</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Sonstiges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Einnahmen aus Gebühren und Provisionen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932</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Die Aufwendungen für Gebühren und Provisionen </w:t>
            </w:r>
            <w:r>
              <w:rPr>
                <w:rFonts w:ascii="Arial" w:hAnsi="Arial"/>
                <w:noProof/>
                <w:color w:val="000000"/>
                <w:sz w:val="16"/>
              </w:rPr>
              <w:t>setzen sich im Wesentlichen wie folgt zusammen:</w:t>
            </w:r>
          </w:p>
        </w:tc>
      </w:tr>
      <w:tr w:rsidR="001609E3">
        <w:trPr>
          <w:trHeight w:hRule="exact" w:val="255"/>
        </w:trPr>
        <w:tc>
          <w:tcPr>
            <w:tcW w:w="69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1609E3" w:rsidRDefault="001609E3">
            <w:pPr>
              <w:rPr>
                <w:rFonts w:ascii="Arial" w:eastAsia="Arial" w:hAnsi="Arial" w:cs="Arial"/>
                <w:noProof/>
                <w:color w:val="000000"/>
                <w:sz w:val="20"/>
              </w:rPr>
            </w:pP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1.1.2015</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zum 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Provisionszahlungen an Dritte im Zusammenhang mit den zur Veräußerung verfügbaren finanziellen Vermögenswerten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-63</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Aufwendungen für </w:t>
            </w:r>
            <w:r>
              <w:rPr>
                <w:rFonts w:ascii="Arial" w:hAnsi="Arial"/>
                <w:b/>
                <w:noProof/>
                <w:color w:val="000000"/>
                <w:sz w:val="16"/>
              </w:rPr>
              <w:t>Gebühren und Provisionen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-63</w:t>
            </w:r>
          </w:p>
        </w:tc>
      </w:tr>
    </w:tbl>
    <w:p w:rsidR="001609E3" w:rsidRDefault="001609E3">
      <w:pPr>
        <w:pStyle w:val="Notes"/>
        <w:numPr>
          <w:ilvl w:val="0"/>
          <w:numId w:val="0"/>
        </w:numPr>
        <w:pBdr>
          <w:top w:val="nil"/>
          <w:left w:val="nil"/>
          <w:bottom w:val="nil"/>
          <w:right w:val="nil"/>
          <w:between w:val="nil"/>
          <w:bar w:val="nil"/>
        </w:pBdr>
        <w:ind w:left="432" w:hanging="432"/>
        <w:rPr>
          <w:noProof/>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20</w:t>
      </w:r>
      <w:r>
        <w:rPr>
          <w:noProof/>
        </w:rPr>
        <w:tab/>
        <w:t>Realisierte Gewinne aus zur Veräußerung verfügbaren finanziellen Vermögenswerten (netto)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realisierten Gewinne (netto) aus zur Veräußerung verfügbaren finanziellen Vermögenswerten setzen </w:t>
      </w:r>
      <w:r>
        <w:rPr>
          <w:rFonts w:ascii="Arial" w:hAnsi="Arial"/>
          <w:noProof/>
          <w:sz w:val="16"/>
          <w:bdr w:val="nil"/>
        </w:rPr>
        <w:t>sich im Wesentlichen wie folgt zusammen:</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1.1.2015</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bottom"/>
          </w:tcPr>
          <w:p w:rsidR="001609E3" w:rsidRDefault="001609E3">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zum 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Nettoerträge aus zur Veräußerung verfügbaren finanziellen Vermögenswerten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2 159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834</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Dividendenerträge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4 345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33 044</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Realisierte Gewinne aus zur Veräußerung verfügbaren finanziellen Vermögenswerten (netto)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6 504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33 878</w:t>
            </w:r>
          </w:p>
        </w:tc>
      </w:tr>
    </w:tbl>
    <w:p w:rsidR="001609E3" w:rsidRDefault="001609E3">
      <w:pPr>
        <w:pStyle w:val="Notes"/>
        <w:numPr>
          <w:ilvl w:val="0"/>
          <w:numId w:val="0"/>
        </w:numPr>
        <w:pBdr>
          <w:top w:val="nil"/>
          <w:left w:val="nil"/>
          <w:bottom w:val="nil"/>
          <w:right w:val="nil"/>
          <w:between w:val="nil"/>
          <w:bar w:val="nil"/>
        </w:pBdr>
        <w:ind w:left="432"/>
        <w:rPr>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21</w:t>
      </w:r>
      <w:r>
        <w:rPr>
          <w:noProof/>
        </w:rPr>
        <w:tab/>
        <w:t>Allgemeine Verwaltungsaufwendungen (in Tsd. EUR)</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Die allgemeinen Verwaltungsaufwendungen umfassen die tatsächlichen Kosten, die der EIB durch die </w:t>
      </w:r>
      <w:r>
        <w:rPr>
          <w:rFonts w:ascii="Arial" w:hAnsi="Arial"/>
          <w:noProof/>
          <w:sz w:val="16"/>
          <w:bdr w:val="nil"/>
        </w:rPr>
        <w:t>Verwaltung der Fazilität entstehen, abzüglich der Einnahmen aus Standardbewertungsgebühren, die die EIB den Kunden der Fazilität direkt in Rechnung stellt.</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Ab 1.1.2015</w:t>
            </w:r>
          </w:p>
        </w:tc>
      </w:tr>
      <w:tr w:rsidR="001609E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1609E3">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31.12.2016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bis zum 31.12.2015</w:t>
            </w:r>
          </w:p>
        </w:tc>
      </w:tr>
      <w:tr w:rsidR="001609E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 xml:space="preserve">Der EIB entstandene, tatsächliche </w:t>
            </w:r>
            <w:r>
              <w:rPr>
                <w:rFonts w:ascii="Arial" w:hAnsi="Arial"/>
                <w:noProof/>
                <w:color w:val="000000"/>
                <w:sz w:val="16"/>
              </w:rPr>
              <w:t>Kosten</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-45 858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-45 506</w:t>
            </w:r>
          </w:p>
        </w:tc>
      </w:tr>
      <w:tr w:rsidR="001609E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Den Kunden der Fazilität direkt in Rechnung gestellte Bewertungsgebühren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2 375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2 461</w:t>
            </w:r>
          </w:p>
        </w:tc>
      </w:tr>
      <w:tr w:rsidR="001609E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Allgemeine Verwaltungsaufwendungen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-43 483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-43 045</w:t>
            </w:r>
          </w:p>
        </w:tc>
      </w:tr>
    </w:tbl>
    <w:p w:rsidR="001609E3" w:rsidRDefault="00E45B63">
      <w:pPr>
        <w:pStyle w:val="Notes28"/>
        <w:pageBreakBefore/>
        <w:numPr>
          <w:ilvl w:val="0"/>
          <w:numId w:val="0"/>
        </w:numPr>
        <w:ind w:left="432" w:hanging="432"/>
        <w:rPr>
          <w:noProof/>
          <w:szCs w:val="20"/>
        </w:rPr>
      </w:pPr>
      <w:r>
        <w:rPr>
          <w:noProof/>
        </w:rPr>
        <w:t>22</w:t>
      </w:r>
      <w:r>
        <w:rPr>
          <w:noProof/>
        </w:rPr>
        <w:tab/>
        <w:t xml:space="preserve">Beteiligungen an nicht konsolidierten strukturierten Rechtssubjekten (in </w:t>
      </w:r>
      <w:r>
        <w:rPr>
          <w:noProof/>
        </w:rPr>
        <w:t>Tsd. EUR)</w:t>
      </w:r>
    </w:p>
    <w:p w:rsidR="001609E3" w:rsidRDefault="001609E3">
      <w:pPr>
        <w:pStyle w:val="Normal32"/>
        <w:spacing w:before="60" w:after="60" w:line="276" w:lineRule="auto"/>
        <w:jc w:val="both"/>
        <w:rPr>
          <w:noProof/>
          <w:sz w:val="16"/>
          <w:szCs w:val="16"/>
        </w:rPr>
      </w:pPr>
    </w:p>
    <w:p w:rsidR="001609E3" w:rsidRDefault="00E45B63">
      <w:pPr>
        <w:pStyle w:val="Normal32"/>
        <w:spacing w:before="60" w:after="60" w:line="276" w:lineRule="auto"/>
        <w:jc w:val="both"/>
        <w:rPr>
          <w:rFonts w:ascii="Arial" w:hAnsi="Arial"/>
          <w:i/>
          <w:noProof/>
          <w:sz w:val="16"/>
          <w:szCs w:val="16"/>
        </w:rPr>
      </w:pPr>
      <w:r>
        <w:rPr>
          <w:rFonts w:ascii="Arial" w:hAnsi="Arial"/>
          <w:i/>
          <w:noProof/>
          <w:sz w:val="16"/>
        </w:rPr>
        <w:t>Definition von „strukturiertes Rechtssubjekt“</w:t>
      </w:r>
    </w:p>
    <w:p w:rsidR="001609E3" w:rsidRDefault="001609E3">
      <w:pPr>
        <w:pStyle w:val="Normal32"/>
        <w:spacing w:before="60" w:after="60" w:line="276" w:lineRule="auto"/>
        <w:jc w:val="both"/>
        <w:rPr>
          <w:rFonts w:ascii="Arial" w:hAnsi="Arial"/>
          <w:i/>
          <w:noProof/>
          <w:sz w:val="16"/>
          <w:szCs w:val="16"/>
        </w:rPr>
      </w:pP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 xml:space="preserve">Ein strukturiertes Rechtssubjekt oder Unternehmen wurde so konzipiert, dass die Stimmrechte oder vergleichbaren Rechte nicht der dominierende Faktor sind, wenn es darum geht, festzulegen, wer das </w:t>
      </w:r>
      <w:r>
        <w:rPr>
          <w:rFonts w:ascii="Arial" w:hAnsi="Arial"/>
          <w:noProof/>
          <w:sz w:val="16"/>
        </w:rPr>
        <w:t>Rechtssubjekt beherrscht. Gemäß IFRS 12 zeichnet sich ein strukturiertes Unternehmen oftmals durch einige oder sämtliche der nachfolgend genannten Merkmale aus:</w:t>
      </w:r>
    </w:p>
    <w:p w:rsidR="001609E3" w:rsidRDefault="00E45B63">
      <w:pPr>
        <w:pStyle w:val="Normal32"/>
        <w:numPr>
          <w:ilvl w:val="0"/>
          <w:numId w:val="96"/>
        </w:numPr>
        <w:spacing w:before="60" w:after="60" w:line="276" w:lineRule="auto"/>
        <w:jc w:val="both"/>
        <w:rPr>
          <w:rFonts w:ascii="Arial" w:hAnsi="Arial"/>
          <w:noProof/>
          <w:sz w:val="16"/>
          <w:szCs w:val="16"/>
        </w:rPr>
      </w:pPr>
      <w:r>
        <w:rPr>
          <w:rFonts w:ascii="Arial" w:hAnsi="Arial"/>
          <w:noProof/>
          <w:sz w:val="16"/>
        </w:rPr>
        <w:t>beschränkte Tätigkeiten;</w:t>
      </w:r>
    </w:p>
    <w:p w:rsidR="001609E3" w:rsidRDefault="00E45B63">
      <w:pPr>
        <w:pStyle w:val="Normal32"/>
        <w:numPr>
          <w:ilvl w:val="0"/>
          <w:numId w:val="96"/>
        </w:numPr>
        <w:spacing w:before="60" w:after="60" w:line="276" w:lineRule="auto"/>
        <w:jc w:val="both"/>
        <w:rPr>
          <w:rFonts w:ascii="Arial" w:hAnsi="Arial"/>
          <w:noProof/>
          <w:sz w:val="16"/>
          <w:szCs w:val="16"/>
        </w:rPr>
      </w:pPr>
      <w:r>
        <w:rPr>
          <w:rFonts w:ascii="Arial" w:hAnsi="Arial"/>
          <w:noProof/>
          <w:sz w:val="16"/>
        </w:rPr>
        <w:t>enger und genau definierter Zweck, z. B. zwecks Abschlusses eines steu</w:t>
      </w:r>
      <w:r>
        <w:rPr>
          <w:rFonts w:ascii="Arial" w:hAnsi="Arial"/>
          <w:noProof/>
          <w:sz w:val="16"/>
        </w:rPr>
        <w:t>erwirksamen Leasings, Durchführung von Forschungs- und Entwicklungsarbeiten, Bereitstellung einer Kapital- oder Finanzquelle für ein Rechtssubjekt oder Schaffung von Anlagemöglichkeiten für Anleger durch Weitergabe von Risiken und Nutzenzugang, die mit den</w:t>
      </w:r>
      <w:r>
        <w:rPr>
          <w:rFonts w:ascii="Arial" w:hAnsi="Arial"/>
          <w:noProof/>
          <w:sz w:val="16"/>
        </w:rPr>
        <w:t xml:space="preserve"> Vermögenswerten des strukturierten Rechtssubjekts in Verbindung stehen, an die Anleger;</w:t>
      </w:r>
    </w:p>
    <w:p w:rsidR="001609E3" w:rsidRDefault="00E45B63">
      <w:pPr>
        <w:pStyle w:val="Normal32"/>
        <w:numPr>
          <w:ilvl w:val="0"/>
          <w:numId w:val="96"/>
        </w:numPr>
        <w:spacing w:before="60" w:after="60" w:line="276" w:lineRule="auto"/>
        <w:jc w:val="both"/>
        <w:rPr>
          <w:rFonts w:ascii="Arial" w:hAnsi="Arial"/>
          <w:noProof/>
          <w:sz w:val="16"/>
          <w:szCs w:val="16"/>
        </w:rPr>
      </w:pPr>
      <w:r>
        <w:rPr>
          <w:rFonts w:ascii="Arial" w:hAnsi="Arial"/>
          <w:noProof/>
          <w:sz w:val="16"/>
        </w:rPr>
        <w:t>unzureichendes Eigenkapital, um dem strukturierten Rechtssubjekt bzw. Unternehmen die Finanzierung seiner Tätigkeiten ohne nachgeordnete finanzielle Unterstützung zu g</w:t>
      </w:r>
      <w:r>
        <w:rPr>
          <w:rFonts w:ascii="Arial" w:hAnsi="Arial"/>
          <w:noProof/>
          <w:sz w:val="16"/>
        </w:rPr>
        <w:t>estatten;</w:t>
      </w:r>
    </w:p>
    <w:p w:rsidR="001609E3" w:rsidRDefault="00E45B63">
      <w:pPr>
        <w:pStyle w:val="Normal32"/>
        <w:numPr>
          <w:ilvl w:val="0"/>
          <w:numId w:val="96"/>
        </w:numPr>
        <w:spacing w:before="60" w:after="60" w:line="276" w:lineRule="auto"/>
        <w:jc w:val="both"/>
        <w:rPr>
          <w:rFonts w:ascii="Arial" w:hAnsi="Arial"/>
          <w:noProof/>
          <w:sz w:val="16"/>
          <w:szCs w:val="16"/>
        </w:rPr>
      </w:pPr>
      <w:r>
        <w:rPr>
          <w:rFonts w:ascii="Arial" w:hAnsi="Arial"/>
          <w:noProof/>
          <w:sz w:val="16"/>
        </w:rPr>
        <w:t>Finanzierung in Form vielfacher vertraglich an die Anleger gebundener Instrumente, die Kreditkonzentrationen oder Konzentrationen anderer Risiken (Tranchen) bewirken.</w:t>
      </w:r>
    </w:p>
    <w:p w:rsidR="001609E3" w:rsidRDefault="001609E3">
      <w:pPr>
        <w:pStyle w:val="Normal32"/>
        <w:spacing w:before="60" w:after="60" w:line="276" w:lineRule="auto"/>
        <w:jc w:val="both"/>
        <w:rPr>
          <w:rFonts w:ascii="Arial" w:hAnsi="Arial"/>
          <w:noProof/>
          <w:sz w:val="16"/>
          <w:szCs w:val="16"/>
        </w:rPr>
      </w:pPr>
    </w:p>
    <w:p w:rsidR="001609E3" w:rsidRDefault="00E45B63">
      <w:pPr>
        <w:pStyle w:val="Normal32"/>
        <w:spacing w:before="60" w:after="60" w:line="276" w:lineRule="auto"/>
        <w:jc w:val="both"/>
        <w:rPr>
          <w:rFonts w:ascii="Arial" w:hAnsi="Arial"/>
          <w:i/>
          <w:noProof/>
          <w:sz w:val="16"/>
          <w:szCs w:val="16"/>
        </w:rPr>
      </w:pPr>
      <w:r>
        <w:rPr>
          <w:rFonts w:ascii="Arial" w:hAnsi="Arial"/>
          <w:i/>
          <w:noProof/>
          <w:sz w:val="16"/>
        </w:rPr>
        <w:t>Nicht konsolidierte strukturierte Rechtssubjekte</w:t>
      </w:r>
    </w:p>
    <w:p w:rsidR="001609E3" w:rsidRDefault="001609E3">
      <w:pPr>
        <w:pStyle w:val="Normal32"/>
        <w:spacing w:before="60" w:after="60" w:line="276" w:lineRule="auto"/>
        <w:jc w:val="both"/>
        <w:rPr>
          <w:rFonts w:ascii="Arial" w:hAnsi="Arial"/>
          <w:i/>
          <w:noProof/>
          <w:sz w:val="16"/>
          <w:szCs w:val="16"/>
        </w:rPr>
      </w:pP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 xml:space="preserve">Der Begriff „nicht </w:t>
      </w:r>
      <w:r>
        <w:rPr>
          <w:rFonts w:ascii="Arial" w:hAnsi="Arial"/>
          <w:noProof/>
          <w:sz w:val="16"/>
        </w:rPr>
        <w:t>konsolidiertes strukturiertes Rechtssubjekt“ bezieht sich auf alle strukturierten Unternehmen, die nicht von der Fazilität kontrolliert werden, und umfasst Anteile an strukturierten Unternehmen, die nicht konsolidiert sind.</w:t>
      </w:r>
    </w:p>
    <w:p w:rsidR="001609E3" w:rsidRDefault="001609E3">
      <w:pPr>
        <w:pStyle w:val="Normal32"/>
        <w:spacing w:before="60" w:after="60" w:line="276" w:lineRule="auto"/>
        <w:jc w:val="both"/>
        <w:rPr>
          <w:rFonts w:ascii="Arial" w:hAnsi="Arial"/>
          <w:i/>
          <w:noProof/>
          <w:sz w:val="16"/>
          <w:szCs w:val="16"/>
        </w:rPr>
      </w:pPr>
    </w:p>
    <w:p w:rsidR="001609E3" w:rsidRDefault="00E45B63">
      <w:pPr>
        <w:pStyle w:val="Normal32"/>
        <w:spacing w:before="60" w:after="60" w:line="276" w:lineRule="auto"/>
        <w:jc w:val="both"/>
        <w:rPr>
          <w:rFonts w:ascii="Arial" w:hAnsi="Arial"/>
          <w:i/>
          <w:noProof/>
          <w:sz w:val="16"/>
          <w:szCs w:val="16"/>
        </w:rPr>
      </w:pPr>
      <w:r>
        <w:rPr>
          <w:rFonts w:ascii="Arial" w:hAnsi="Arial"/>
          <w:i/>
          <w:noProof/>
          <w:sz w:val="16"/>
        </w:rPr>
        <w:t xml:space="preserve">Definition von Anteil an einem </w:t>
      </w:r>
      <w:r>
        <w:rPr>
          <w:rFonts w:ascii="Arial" w:hAnsi="Arial"/>
          <w:i/>
          <w:noProof/>
          <w:sz w:val="16"/>
        </w:rPr>
        <w:t>strukturierten Rechtssubjekt bzw. Unternehmen</w:t>
      </w:r>
    </w:p>
    <w:p w:rsidR="001609E3" w:rsidRDefault="001609E3">
      <w:pPr>
        <w:pStyle w:val="Normal32"/>
        <w:spacing w:before="60" w:after="60" w:line="276" w:lineRule="auto"/>
        <w:jc w:val="both"/>
        <w:rPr>
          <w:rFonts w:ascii="Arial" w:hAnsi="Arial"/>
          <w:noProof/>
          <w:sz w:val="16"/>
          <w:szCs w:val="16"/>
        </w:rPr>
      </w:pP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Für die Zwecke des IFRS 12 wird ein „Anteil“ an einem anderen Unternehmen weit gefasst definiert als die vertragliche und nichtvertragliche Einbeziehung, die das berichterstattende Unternehmen schwankenden Ren</w:t>
      </w:r>
      <w:r>
        <w:rPr>
          <w:rFonts w:ascii="Arial" w:hAnsi="Arial"/>
          <w:noProof/>
          <w:sz w:val="16"/>
        </w:rPr>
        <w:t>diten aus der Tätigkeit des anderen Unternehmens aussetzt.   Ein Anteil an einem anderen Rechtssubjekt kann die Form eines Kapitalbesitzes sowie andere Formen der Einbeziehung annehmen, wie die Bereitstellung einer Finanzierung, eine Liquiditätsunterstützu</w:t>
      </w:r>
      <w:r>
        <w:rPr>
          <w:rFonts w:ascii="Arial" w:hAnsi="Arial"/>
          <w:noProof/>
          <w:sz w:val="16"/>
        </w:rPr>
        <w:t xml:space="preserve">ng, Kreditsicherheiten, Verpflichtungen und Garantien für das andere Rechtssubjekt. Ein berichterstattendes Rechtssubjekt bzw. Unternehmen hält nach IFRS 12 nicht notwendigerweise einen Anteil an einem anderen Unternehmen, nur weil eine typische Beziehung </w:t>
      </w:r>
      <w:r>
        <w:rPr>
          <w:rFonts w:ascii="Arial" w:hAnsi="Arial"/>
          <w:noProof/>
          <w:sz w:val="16"/>
        </w:rPr>
        <w:t>zwischen Lieferant und Kunden besteht.</w:t>
      </w:r>
    </w:p>
    <w:p w:rsidR="001609E3" w:rsidRDefault="001609E3">
      <w:pPr>
        <w:pStyle w:val="Normal32"/>
        <w:spacing w:before="60" w:after="60" w:line="276" w:lineRule="auto"/>
        <w:jc w:val="both"/>
        <w:rPr>
          <w:rFonts w:ascii="Arial" w:hAnsi="Arial"/>
          <w:noProof/>
          <w:sz w:val="16"/>
          <w:szCs w:val="16"/>
        </w:rPr>
      </w:pP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In der nachstehenden Tabelle werden die Arten von strukturierten Rechtssubjekten veranschaulicht, die von der Fazilität nicht konsolidiert werden, an denen sie jedoch beteiligt ist.</w:t>
      </w:r>
    </w:p>
    <w:p w:rsidR="001609E3" w:rsidRDefault="001609E3">
      <w:pPr>
        <w:pStyle w:val="Normal32"/>
        <w:spacing w:before="60" w:after="60" w:line="276" w:lineRule="auto"/>
        <w:jc w:val="both"/>
        <w:rPr>
          <w:rFonts w:ascii="Arial" w:hAnsi="Arial"/>
          <w:noProof/>
          <w:sz w:val="16"/>
          <w:szCs w:val="16"/>
        </w:rPr>
      </w:pPr>
    </w:p>
    <w:tbl>
      <w:tblPr>
        <w:tblStyle w:val="TableGrid"/>
        <w:tblW w:w="9923" w:type="dxa"/>
        <w:tblInd w:w="108" w:type="dxa"/>
        <w:tblBorders>
          <w:left w:val="nil"/>
          <w:right w:val="nil"/>
          <w:insideV w:val="nil"/>
        </w:tblBorders>
        <w:tblLook w:val="04A0" w:firstRow="1" w:lastRow="0" w:firstColumn="1" w:lastColumn="0" w:noHBand="0" w:noVBand="1"/>
      </w:tblPr>
      <w:tblGrid>
        <w:gridCol w:w="2058"/>
        <w:gridCol w:w="5106"/>
        <w:gridCol w:w="2759"/>
      </w:tblGrid>
      <w:tr w:rsidR="001609E3">
        <w:tc>
          <w:tcPr>
            <w:tcW w:w="1560" w:type="dxa"/>
          </w:tcPr>
          <w:p w:rsidR="001609E3" w:rsidRDefault="00E45B63">
            <w:pPr>
              <w:pStyle w:val="Normal32"/>
              <w:spacing w:before="60" w:after="60" w:line="276" w:lineRule="auto"/>
              <w:rPr>
                <w:rFonts w:ascii="Arial" w:hAnsi="Arial"/>
                <w:b/>
                <w:noProof/>
                <w:sz w:val="16"/>
                <w:szCs w:val="16"/>
              </w:rPr>
            </w:pPr>
            <w:r>
              <w:rPr>
                <w:rFonts w:ascii="Arial" w:hAnsi="Arial"/>
                <w:b/>
                <w:noProof/>
                <w:sz w:val="16"/>
              </w:rPr>
              <w:t>Art von strukturiertem Rechtssubj</w:t>
            </w:r>
            <w:r>
              <w:rPr>
                <w:rFonts w:ascii="Arial" w:hAnsi="Arial"/>
                <w:b/>
                <w:noProof/>
                <w:sz w:val="16"/>
              </w:rPr>
              <w:t>ekt</w:t>
            </w:r>
          </w:p>
        </w:tc>
        <w:tc>
          <w:tcPr>
            <w:tcW w:w="5528" w:type="dxa"/>
          </w:tcPr>
          <w:p w:rsidR="001609E3" w:rsidRDefault="00E45B63">
            <w:pPr>
              <w:pStyle w:val="Normal32"/>
              <w:spacing w:before="60" w:after="60" w:line="276" w:lineRule="auto"/>
              <w:jc w:val="both"/>
              <w:rPr>
                <w:rFonts w:ascii="Arial" w:hAnsi="Arial"/>
                <w:b/>
                <w:noProof/>
                <w:sz w:val="16"/>
                <w:szCs w:val="16"/>
              </w:rPr>
            </w:pPr>
            <w:r>
              <w:rPr>
                <w:rFonts w:ascii="Arial" w:hAnsi="Arial"/>
                <w:b/>
                <w:noProof/>
                <w:sz w:val="16"/>
              </w:rPr>
              <w:t>Art und Zweck</w:t>
            </w:r>
          </w:p>
        </w:tc>
        <w:tc>
          <w:tcPr>
            <w:tcW w:w="2835" w:type="dxa"/>
          </w:tcPr>
          <w:p w:rsidR="001609E3" w:rsidRDefault="00E45B63">
            <w:pPr>
              <w:pStyle w:val="Normal32"/>
              <w:spacing w:before="60" w:after="60" w:line="276" w:lineRule="auto"/>
              <w:jc w:val="both"/>
              <w:rPr>
                <w:rFonts w:ascii="Arial" w:hAnsi="Arial"/>
                <w:b/>
                <w:noProof/>
                <w:sz w:val="16"/>
                <w:szCs w:val="16"/>
              </w:rPr>
            </w:pPr>
            <w:r>
              <w:rPr>
                <w:rFonts w:ascii="Arial" w:hAnsi="Arial"/>
                <w:b/>
                <w:noProof/>
                <w:sz w:val="16"/>
              </w:rPr>
              <w:t>Beteiligung der Fazilität</w:t>
            </w:r>
          </w:p>
        </w:tc>
      </w:tr>
      <w:tr w:rsidR="001609E3">
        <w:tc>
          <w:tcPr>
            <w:tcW w:w="1560" w:type="dxa"/>
          </w:tcPr>
          <w:p w:rsidR="001609E3" w:rsidRDefault="00E45B63">
            <w:pPr>
              <w:pStyle w:val="Normal32"/>
              <w:spacing w:before="60" w:after="60" w:line="276" w:lineRule="auto"/>
              <w:rPr>
                <w:rFonts w:ascii="Arial" w:hAnsi="Arial"/>
                <w:noProof/>
                <w:sz w:val="16"/>
                <w:szCs w:val="16"/>
              </w:rPr>
            </w:pPr>
            <w:r>
              <w:rPr>
                <w:rFonts w:ascii="Arial" w:hAnsi="Arial"/>
                <w:noProof/>
                <w:sz w:val="16"/>
              </w:rPr>
              <w:t>Projektfinanzierung - Kredite an Zweckgesellschaften (Special Purposes Vehicles – SPV)</w:t>
            </w:r>
          </w:p>
        </w:tc>
        <w:tc>
          <w:tcPr>
            <w:tcW w:w="5528" w:type="dxa"/>
          </w:tcPr>
          <w:p w:rsidR="001609E3" w:rsidRDefault="00E45B63">
            <w:pPr>
              <w:pStyle w:val="Normal32"/>
              <w:spacing w:before="60" w:after="60" w:line="276" w:lineRule="auto"/>
              <w:jc w:val="both"/>
              <w:rPr>
                <w:rFonts w:ascii="Arial" w:hAnsi="Arial"/>
                <w:noProof/>
                <w:sz w:val="16"/>
                <w:szCs w:val="16"/>
              </w:rPr>
            </w:pPr>
            <w:r>
              <w:rPr>
                <w:rFonts w:ascii="Arial" w:hAnsi="Arial"/>
                <w:noProof/>
                <w:sz w:val="16"/>
              </w:rPr>
              <w:t>Operationen zur Projektfinanzierung sind Transaktionen, bei denen die Fazilität für den Schuldendienst auf einen Kreditnehme</w:t>
            </w:r>
            <w:r>
              <w:rPr>
                <w:rFonts w:ascii="Arial" w:hAnsi="Arial"/>
                <w:noProof/>
                <w:sz w:val="16"/>
              </w:rPr>
              <w:t>r angewiesen ist, dessen einzige oder wichtigste Einnahmequelle ein einziger Vermögenswert oder eine begrenzte Anzahl von Vermögenswerten ist, die durch diese Schulden oder sonstige bereits bestehende Vermögenswerte finanziert werden, die vertraglich mit d</w:t>
            </w:r>
            <w:r>
              <w:rPr>
                <w:rFonts w:ascii="Arial" w:hAnsi="Arial"/>
                <w:noProof/>
                <w:sz w:val="16"/>
              </w:rPr>
              <w:t>em Projekt verbunden sind.  Operationen zur Projektfinanzierung werden häufig über Zweckgesellschaften finanziert.</w:t>
            </w:r>
          </w:p>
        </w:tc>
        <w:tc>
          <w:tcPr>
            <w:tcW w:w="2835" w:type="dxa"/>
          </w:tcPr>
          <w:p w:rsidR="001609E3" w:rsidRDefault="00E45B63">
            <w:pPr>
              <w:pStyle w:val="Normal32"/>
              <w:spacing w:before="60" w:after="60"/>
              <w:jc w:val="both"/>
              <w:rPr>
                <w:rFonts w:ascii="Arial" w:hAnsi="Arial"/>
                <w:noProof/>
                <w:sz w:val="16"/>
                <w:szCs w:val="16"/>
              </w:rPr>
            </w:pPr>
            <w:r>
              <w:rPr>
                <w:rFonts w:ascii="Arial" w:hAnsi="Arial"/>
                <w:noProof/>
                <w:sz w:val="16"/>
              </w:rPr>
              <w:t>Nettoauszahlungsbeträge</w:t>
            </w: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Zinserträge</w:t>
            </w:r>
          </w:p>
        </w:tc>
      </w:tr>
      <w:tr w:rsidR="001609E3">
        <w:tc>
          <w:tcPr>
            <w:tcW w:w="1560" w:type="dxa"/>
          </w:tcPr>
          <w:p w:rsidR="001609E3" w:rsidRDefault="00E45B63">
            <w:pPr>
              <w:pStyle w:val="Normal32"/>
              <w:spacing w:before="60" w:after="60" w:line="276" w:lineRule="auto"/>
              <w:rPr>
                <w:rFonts w:ascii="Arial" w:hAnsi="Arial"/>
                <w:noProof/>
                <w:sz w:val="16"/>
                <w:szCs w:val="16"/>
              </w:rPr>
            </w:pPr>
            <w:r>
              <w:rPr>
                <w:rFonts w:ascii="Arial" w:hAnsi="Arial"/>
                <w:noProof/>
                <w:sz w:val="16"/>
              </w:rPr>
              <w:t>Wagniskapitaloperationen</w:t>
            </w:r>
          </w:p>
        </w:tc>
        <w:tc>
          <w:tcPr>
            <w:tcW w:w="5528" w:type="dxa"/>
          </w:tcPr>
          <w:p w:rsidR="001609E3" w:rsidRDefault="00E45B63">
            <w:pPr>
              <w:pStyle w:val="Normal32"/>
              <w:spacing w:before="60" w:after="60" w:line="276" w:lineRule="auto"/>
              <w:jc w:val="both"/>
              <w:rPr>
                <w:rFonts w:ascii="Arial" w:hAnsi="Arial"/>
                <w:noProof/>
                <w:sz w:val="16"/>
                <w:szCs w:val="16"/>
              </w:rPr>
            </w:pPr>
            <w:r>
              <w:rPr>
                <w:rFonts w:ascii="Arial" w:hAnsi="Arial"/>
                <w:noProof/>
                <w:sz w:val="16"/>
              </w:rPr>
              <w:t xml:space="preserve">Die Fazilität finanziert Wagniskapital- und Investitionsfonds.  In </w:t>
            </w:r>
            <w:r>
              <w:rPr>
                <w:rFonts w:ascii="Arial" w:hAnsi="Arial"/>
                <w:noProof/>
                <w:sz w:val="16"/>
              </w:rPr>
              <w:t>Wagniskapital- und Investitionsfonds werden Mittel von Investoren gebündelt und verwaltet, die zur Finanzierung von Infrastrukturprojekten Private-Equity-Anlagen in kleinen und mittleren Unternehmen mit einem hohen Wachstumspotenzial tätigen möchten.</w:t>
            </w:r>
          </w:p>
        </w:tc>
        <w:tc>
          <w:tcPr>
            <w:tcW w:w="2835" w:type="dxa"/>
          </w:tcPr>
          <w:p w:rsidR="001609E3" w:rsidRDefault="00E45B63">
            <w:pPr>
              <w:pStyle w:val="Normal32"/>
              <w:spacing w:before="60" w:after="60" w:line="276" w:lineRule="auto"/>
              <w:jc w:val="both"/>
              <w:rPr>
                <w:rFonts w:ascii="Arial" w:hAnsi="Arial"/>
                <w:noProof/>
                <w:sz w:val="16"/>
                <w:szCs w:val="16"/>
              </w:rPr>
            </w:pPr>
            <w:r>
              <w:rPr>
                <w:rFonts w:ascii="Arial" w:hAnsi="Arial"/>
                <w:noProof/>
                <w:sz w:val="16"/>
              </w:rPr>
              <w:t>Anlag</w:t>
            </w:r>
            <w:r>
              <w:rPr>
                <w:rFonts w:ascii="Arial" w:hAnsi="Arial"/>
                <w:noProof/>
                <w:sz w:val="16"/>
              </w:rPr>
              <w:t>en in von dem Wagniskapitalunternehmen begebenen Anteilen/Aktien;</w:t>
            </w: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als Dividendenerträge vereinnahmte Dividenden.</w:t>
            </w:r>
          </w:p>
        </w:tc>
      </w:tr>
    </w:tbl>
    <w:p w:rsidR="001609E3" w:rsidRDefault="001609E3">
      <w:pPr>
        <w:pStyle w:val="Normal32"/>
        <w:spacing w:before="60" w:after="60" w:line="276" w:lineRule="auto"/>
        <w:jc w:val="both"/>
        <w:rPr>
          <w:rFonts w:ascii="Arial" w:hAnsi="Arial"/>
          <w:noProof/>
          <w:sz w:val="16"/>
          <w:szCs w:val="16"/>
        </w:rPr>
      </w:pPr>
    </w:p>
    <w:p w:rsidR="001609E3" w:rsidRDefault="00E45B63">
      <w:pPr>
        <w:pStyle w:val="Normal32"/>
        <w:spacing w:before="60" w:after="60" w:line="276" w:lineRule="auto"/>
        <w:jc w:val="both"/>
        <w:rPr>
          <w:rFonts w:ascii="Arial" w:hAnsi="Arial"/>
          <w:noProof/>
          <w:sz w:val="16"/>
          <w:szCs w:val="16"/>
        </w:rPr>
      </w:pPr>
      <w:r>
        <w:rPr>
          <w:rFonts w:ascii="Arial" w:hAnsi="Arial"/>
          <w:noProof/>
          <w:sz w:val="16"/>
        </w:rPr>
        <w:t xml:space="preserve">In der nachstehenden Tabelle werden die Buchwerte der nicht konsolidierten strukturierten Rechtssubjekte dargestellt, an denen die Fazilität </w:t>
      </w:r>
      <w:r>
        <w:rPr>
          <w:rFonts w:ascii="Arial" w:hAnsi="Arial"/>
          <w:noProof/>
          <w:sz w:val="16"/>
        </w:rPr>
        <w:t xml:space="preserve">zum Berichtstermin beteiligt ist, sowie das maximale Verlustrisiko der Fazilität bezüglich dieser Rechtssubjekte. Das maximale Verlustrisiko umfasst die Buchwerte und die damit verbundenen nicht ausbezahlten Verpflichtungen. </w:t>
      </w:r>
    </w:p>
    <w:p w:rsidR="001609E3" w:rsidRDefault="001609E3">
      <w:pPr>
        <w:pStyle w:val="Normal32"/>
        <w:spacing w:before="60" w:after="60" w:line="276" w:lineRule="auto"/>
        <w:jc w:val="both"/>
        <w:rPr>
          <w:rFonts w:ascii="Arial" w:hAnsi="Arial"/>
          <w:noProof/>
          <w:sz w:val="16"/>
          <w:szCs w:val="16"/>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5"/>
        <w:gridCol w:w="2295"/>
        <w:gridCol w:w="1350"/>
        <w:gridCol w:w="1350"/>
        <w:gridCol w:w="1350"/>
        <w:gridCol w:w="1350"/>
      </w:tblGrid>
      <w:tr w:rsidR="001609E3">
        <w:trPr>
          <w:trHeight w:val="600"/>
        </w:trPr>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 xml:space="preserve">Art von strukturiertem </w:t>
            </w:r>
            <w:r>
              <w:rPr>
                <w:rFonts w:ascii="Arial" w:hAnsi="Arial"/>
                <w:b/>
                <w:noProof/>
                <w:color w:val="000000"/>
                <w:sz w:val="16"/>
              </w:rPr>
              <w:t>Rechtssubjekt</w:t>
            </w:r>
          </w:p>
        </w:tc>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Bezeichnung</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Buchwert zum 31.12.2016</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Buchwert zum 31.12.2015</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Maximales Verlustrisiko zum 31. Dezember 2016</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Maximales Verlustrisiko zum 31. Dezember 2015</w:t>
            </w:r>
          </w:p>
        </w:tc>
      </w:tr>
      <w:tr w:rsidR="001609E3">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Wagniskapital</w:t>
            </w:r>
            <w:r>
              <w:rPr>
                <w:noProof/>
              </w:rPr>
              <w:softHyphen/>
            </w:r>
            <w:r>
              <w:rPr>
                <w:rFonts w:ascii="Arial" w:hAnsi="Arial"/>
                <w:noProof/>
                <w:color w:val="000000"/>
                <w:sz w:val="16"/>
              </w:rPr>
              <w:t>fonds</w:t>
            </w:r>
          </w:p>
        </w:tc>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Zur Veräußerung verfügbare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437 788</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396 203</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672 222</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645 833</w:t>
            </w:r>
          </w:p>
        </w:tc>
      </w:tr>
      <w:tr w:rsidR="001609E3">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2295"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437 788</w:t>
            </w: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396 203</w:t>
            </w: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672 222</w:t>
            </w: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645 833</w:t>
            </w:r>
          </w:p>
        </w:tc>
      </w:tr>
    </w:tbl>
    <w:p w:rsidR="001609E3" w:rsidRDefault="00E45B63">
      <w:pPr>
        <w:pStyle w:val="Notes"/>
        <w:pageBreakBefore/>
        <w:numPr>
          <w:ilvl w:val="0"/>
          <w:numId w:val="0"/>
        </w:numPr>
        <w:pBdr>
          <w:top w:val="nil"/>
          <w:left w:val="nil"/>
          <w:bottom w:val="nil"/>
          <w:right w:val="nil"/>
          <w:between w:val="nil"/>
          <w:bar w:val="nil"/>
        </w:pBdr>
        <w:ind w:left="432" w:hanging="432"/>
        <w:rPr>
          <w:rFonts w:eastAsia="Calibri" w:cs="Arial"/>
          <w:noProof/>
          <w:szCs w:val="20"/>
          <w:bdr w:val="nil"/>
        </w:rPr>
      </w:pPr>
      <w:r>
        <w:rPr>
          <w:noProof/>
        </w:rPr>
        <w:t>23</w:t>
      </w:r>
      <w:r>
        <w:rPr>
          <w:noProof/>
        </w:rPr>
        <w:tab/>
        <w:t>Finanzrahmen für Impact Financing (in Tsd. EUR)</w:t>
      </w:r>
    </w:p>
    <w:p w:rsidR="001609E3" w:rsidRDefault="001609E3">
      <w:pPr>
        <w:pBdr>
          <w:top w:val="nil"/>
          <w:left w:val="nil"/>
          <w:bottom w:val="nil"/>
          <w:right w:val="nil"/>
          <w:between w:val="nil"/>
          <w:bar w:val="nil"/>
        </w:pBdr>
        <w:spacing w:before="60" w:after="60" w:line="276" w:lineRule="auto"/>
        <w:jc w:val="both"/>
        <w:rPr>
          <w:rFonts w:ascii="Calibri" w:eastAsia="Calibri" w:hAnsi="Calibri" w:cs="Arial"/>
          <w:noProof/>
          <w:sz w:val="16"/>
          <w:szCs w:val="16"/>
          <w:bdr w:val="nil"/>
        </w:rPr>
      </w:pPr>
    </w:p>
    <w:p w:rsidR="001609E3" w:rsidRDefault="00E45B6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 xml:space="preserve">Im Juni 2013 verabschiedete der Gemeinsame AKP-EU-Ministerrat das neue Finanzprotokoll für den 11. Europäischen Entwicklungsfonds (EEF) für den Zeitraum 2014-2020. </w:t>
      </w:r>
    </w:p>
    <w:p w:rsidR="001609E3" w:rsidRDefault="001609E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rsidR="001609E3" w:rsidRDefault="00E45B6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bdr w:val="nil"/>
        </w:rPr>
        <w:t>Für die Investitionsfazilität wurde ein neuer Finanzrahmen in Höhe von 500 Mio. EUR verein</w:t>
      </w:r>
      <w:r>
        <w:rPr>
          <w:rFonts w:ascii="Arial" w:hAnsi="Arial"/>
          <w:noProof/>
          <w:sz w:val="16"/>
          <w:bdr w:val="nil"/>
        </w:rPr>
        <w:t>bart, der „Finanzrahmen für Impact Financing“ (IFE), der es der Fazilität ermöglicht, Projekte zu fördern, die eine besonders starke entwicklungspolitische Wirkung erkennen lassen und mit derartigen Investitionen verbundenen größeren Risiken einhergehen. D</w:t>
      </w:r>
      <w:r>
        <w:rPr>
          <w:rFonts w:ascii="Arial" w:hAnsi="Arial"/>
          <w:noProof/>
          <w:sz w:val="16"/>
          <w:bdr w:val="nil"/>
        </w:rPr>
        <w:t>ieser Finanzrahmen wird neue Möglichkeiten zur Steigerung der Kreditvergabe an den privaten Sektor durch die Fazilität anhand von Investitionen in folgende Instrumente mit sich bringen:</w:t>
      </w:r>
    </w:p>
    <w:p w:rsidR="001609E3" w:rsidRDefault="001609E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rsidR="001609E3" w:rsidRDefault="00E45B6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bdr w:val="nil"/>
        </w:rPr>
        <w:t>Sozialwirkungsorientierte Equity Fonds</w:t>
      </w:r>
      <w:r>
        <w:rPr>
          <w:rFonts w:ascii="Arial" w:hAnsi="Arial"/>
          <w:noProof/>
          <w:sz w:val="16"/>
          <w:bdr w:val="nil"/>
        </w:rPr>
        <w:t xml:space="preserve"> – gefördert durch das Entstehe</w:t>
      </w:r>
      <w:r>
        <w:rPr>
          <w:rFonts w:ascii="Arial" w:hAnsi="Arial"/>
          <w:noProof/>
          <w:sz w:val="16"/>
          <w:bdr w:val="nil"/>
        </w:rPr>
        <w:t>n einer Schicht von Verwaltern von Private Equity Fonds, für die die Bewältigung sozialer oder umweltbezogener Probleme im Mittelpunkt der Investitionsstrategie ihres Fonds steht, die aber weiterhin Nachhaltigkeit auf der Ebene des Fonds und den Unternehme</w:t>
      </w:r>
      <w:r>
        <w:rPr>
          <w:rFonts w:ascii="Arial" w:hAnsi="Arial"/>
          <w:noProof/>
          <w:sz w:val="16"/>
          <w:bdr w:val="nil"/>
        </w:rPr>
        <w:t>n, in die investiert werden soll, anstreben.</w:t>
      </w:r>
    </w:p>
    <w:p w:rsidR="001609E3" w:rsidRDefault="001609E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rsidR="001609E3" w:rsidRDefault="00E45B6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bdr w:val="nil"/>
        </w:rPr>
        <w:t>Kredite für Finanzintermediäre</w:t>
      </w:r>
      <w:r>
        <w:rPr>
          <w:noProof/>
        </w:rPr>
        <w:t xml:space="preserve"> </w:t>
      </w:r>
      <w:r>
        <w:rPr>
          <w:rFonts w:ascii="Arial" w:hAnsi="Arial"/>
          <w:noProof/>
          <w:sz w:val="16"/>
          <w:bdr w:val="nil"/>
        </w:rPr>
        <w:t>– (z. B. Mikrofinanzinstitute, lokale Banken und Kreditgenossenschaften), die in AKP-Ländern tätig sind, in denen die EIB – insbesondere in lokaler Währung – im Rahmen der Kreditr</w:t>
      </w:r>
      <w:r>
        <w:rPr>
          <w:rFonts w:ascii="Arial" w:hAnsi="Arial"/>
          <w:noProof/>
          <w:sz w:val="16"/>
          <w:bdr w:val="nil"/>
        </w:rPr>
        <w:t>isikoleitlinien keine Finanzierung in Betracht ziehen kann, z. B. aufgrund hoher Länderrisiken, der Wechselkursvolatilität oder fehlender Preisbenchmarks. Das Hauptziel derartiger Kredite wird darin bestehen, Projekte mit großer entwicklungspolitischer Wir</w:t>
      </w:r>
      <w:r>
        <w:rPr>
          <w:rFonts w:ascii="Arial" w:hAnsi="Arial"/>
          <w:noProof/>
          <w:sz w:val="16"/>
          <w:bdr w:val="nil"/>
        </w:rPr>
        <w:t>kung zu finanzieren, insbesondere auf dem Gebiet der Förderung von Klein- und Kleinstunternehmen und der Landwirtschaft, die im Allgemeinen nicht für eine Finanzierung durch die Investitionsfazilität in Betracht kommen.</w:t>
      </w:r>
    </w:p>
    <w:p w:rsidR="001609E3" w:rsidRDefault="001609E3">
      <w:pPr>
        <w:pBdr>
          <w:top w:val="nil"/>
          <w:left w:val="nil"/>
          <w:bottom w:val="nil"/>
          <w:right w:val="nil"/>
          <w:between w:val="nil"/>
          <w:bar w:val="nil"/>
        </w:pBdr>
        <w:spacing w:before="60" w:after="60" w:line="276" w:lineRule="auto"/>
        <w:jc w:val="both"/>
        <w:rPr>
          <w:rFonts w:ascii="Arial" w:eastAsia="Calibri" w:hAnsi="Arial" w:cs="Arial"/>
          <w:b/>
          <w:noProof/>
          <w:sz w:val="16"/>
          <w:szCs w:val="16"/>
          <w:bdr w:val="nil"/>
        </w:rPr>
      </w:pPr>
    </w:p>
    <w:p w:rsidR="001609E3" w:rsidRDefault="00E45B6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bdr w:val="nil"/>
        </w:rPr>
        <w:t>Instrumente zur Erleichterung der R</w:t>
      </w:r>
      <w:r>
        <w:rPr>
          <w:rFonts w:ascii="Arial" w:hAnsi="Arial"/>
          <w:b/>
          <w:noProof/>
          <w:sz w:val="16"/>
          <w:bdr w:val="nil"/>
        </w:rPr>
        <w:t>isikoteilung</w:t>
      </w:r>
      <w:r>
        <w:rPr>
          <w:noProof/>
        </w:rPr>
        <w:t xml:space="preserve"> – </w:t>
      </w:r>
      <w:r>
        <w:rPr>
          <w:rFonts w:ascii="Arial" w:hAnsi="Arial"/>
          <w:noProof/>
          <w:sz w:val="16"/>
          <w:bdr w:val="nil"/>
        </w:rPr>
        <w:t>in Form von Erstausfallgarantien („Erstverlusttranchen“), die die Risikoteilung der EIB mit lokalen Finanzintermediären (hauptsächlich Geschäftsbanken) zugunsten von unterversorgten KMU und kleinen Projekten erleichtern, die die Kriterien de</w:t>
      </w:r>
      <w:r>
        <w:rPr>
          <w:rFonts w:ascii="Arial" w:hAnsi="Arial"/>
          <w:noProof/>
          <w:sz w:val="16"/>
          <w:bdr w:val="nil"/>
        </w:rPr>
        <w:t>s Impact Financing in den Fällen erfüllen, in denen eine Marktlücke im Hinblick auf den Zugang von KMU bzw. kleinen Projekten zu Finanzierungsmöglichkeiten ermittelt wurde. Die Erstverlusttranchen würden als eine Rückgarantie zugunsten höchstrangiger Garan</w:t>
      </w:r>
      <w:r>
        <w:rPr>
          <w:rFonts w:ascii="Arial" w:hAnsi="Arial"/>
          <w:noProof/>
          <w:sz w:val="16"/>
          <w:bdr w:val="nil"/>
        </w:rPr>
        <w:t>tietranchen ausgestaltet, die von der EIB – im Rahmen der Investitionsfazilität – und von anderen internationalen Finanzinstitutionen/Entwicklungsfinanzierungsinstitutionen finanziert werden, so dass eine erhebliche Hebelwirkung entsteht.</w:t>
      </w:r>
    </w:p>
    <w:p w:rsidR="001609E3" w:rsidRDefault="001609E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rsidR="001609E3" w:rsidRDefault="00E45B63">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bdr w:val="nil"/>
        </w:rPr>
        <w:t>Direktfinanzieru</w:t>
      </w:r>
      <w:r>
        <w:rPr>
          <w:rFonts w:ascii="Arial" w:hAnsi="Arial"/>
          <w:b/>
          <w:noProof/>
          <w:sz w:val="16"/>
          <w:bdr w:val="nil"/>
        </w:rPr>
        <w:t>ng</w:t>
      </w:r>
      <w:r>
        <w:rPr>
          <w:noProof/>
        </w:rPr>
        <w:t xml:space="preserve"> </w:t>
      </w:r>
      <w:r>
        <w:rPr>
          <w:rFonts w:ascii="Arial" w:hAnsi="Arial"/>
          <w:noProof/>
          <w:sz w:val="16"/>
          <w:bdr w:val="nil"/>
        </w:rPr>
        <w:t xml:space="preserve">– durch Schuld- oder Eigenkapitalinstrumente bei Projekten mit soliden und erfahrenen Projektträgern und großer entwicklungspolitischer Wirkungen, die aber auch mit größeren Verlusterwartungen und Schwierigkeiten bei der Amortisierung der Investitionen </w:t>
      </w:r>
      <w:r>
        <w:rPr>
          <w:rFonts w:ascii="Arial" w:hAnsi="Arial"/>
          <w:noProof/>
          <w:sz w:val="16"/>
          <w:bdr w:val="nil"/>
        </w:rPr>
        <w:t>verbunden sind (Eigenkapitalrisiko mit überdurchschnittlich hohen Verlusterwartungen). Die EIB wird bei diesem Instrument strenge Kriterien für die Auswahl und die Förderfähigkeit anwenden, da diese Projekte trotz ihrer großen entwicklungspolitischen Wirku</w:t>
      </w:r>
      <w:r>
        <w:rPr>
          <w:rFonts w:ascii="Arial" w:hAnsi="Arial"/>
          <w:noProof/>
          <w:sz w:val="16"/>
          <w:bdr w:val="nil"/>
        </w:rPr>
        <w:t>ng keinen akzeptablen Finanzierungskriterien entsprechen könnten (d. h. geringe Erwartung der Amortisierung der Investitionen oder der Kompensation der Verluste durch Zinssätze/Eigenkapitalrenditen).</w:t>
      </w:r>
    </w:p>
    <w:p w:rsidR="001609E3" w:rsidRDefault="001609E3">
      <w:pPr>
        <w:pBdr>
          <w:top w:val="nil"/>
          <w:left w:val="nil"/>
          <w:bottom w:val="nil"/>
          <w:right w:val="nil"/>
          <w:between w:val="nil"/>
          <w:bar w:val="nil"/>
        </w:pBdr>
        <w:tabs>
          <w:tab w:val="left" w:pos="426"/>
        </w:tabs>
        <w:spacing w:before="60" w:after="60" w:line="276" w:lineRule="auto"/>
        <w:jc w:val="both"/>
        <w:rPr>
          <w:rFonts w:eastAsia="Calibri" w:cs="Arial"/>
          <w:noProof/>
          <w:sz w:val="16"/>
          <w:szCs w:val="16"/>
          <w:bdr w:val="nil"/>
        </w:rPr>
      </w:pPr>
    </w:p>
    <w:p w:rsidR="001609E3" w:rsidRDefault="00E45B63">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rPr>
      </w:pPr>
      <w:r>
        <w:rPr>
          <w:rFonts w:ascii="Arial" w:hAnsi="Arial"/>
          <w:noProof/>
          <w:sz w:val="16"/>
          <w:bdr w:val="nil"/>
        </w:rPr>
        <w:t xml:space="preserve">Der IFE wird zudem die Diversifizierung hin zu neuen </w:t>
      </w:r>
      <w:r>
        <w:rPr>
          <w:rFonts w:ascii="Arial" w:hAnsi="Arial"/>
          <w:noProof/>
          <w:sz w:val="16"/>
          <w:bdr w:val="nil"/>
        </w:rPr>
        <w:t>Sektoren ermöglichen, wie Gesundheit und Bildung, Landwirtschaft und Ernährungssicherheit, sowie die Entwicklung neuer und innovativer Instrumente der Risikoteilung.</w:t>
      </w:r>
    </w:p>
    <w:p w:rsidR="001609E3" w:rsidRDefault="001609E3">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rPr>
      </w:pPr>
    </w:p>
    <w:p w:rsidR="001609E3" w:rsidRDefault="00E45B63">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rPr>
      </w:pPr>
      <w:r>
        <w:rPr>
          <w:rFonts w:ascii="Arial" w:hAnsi="Arial"/>
          <w:noProof/>
          <w:sz w:val="16"/>
          <w:bdr w:val="nil"/>
        </w:rPr>
        <w:t>Unter dem Gesichtspunkt der Finanzierung und Rechnungslegung ist der IFE Teil des IF-Port</w:t>
      </w:r>
      <w:r>
        <w:rPr>
          <w:rFonts w:ascii="Arial" w:hAnsi="Arial"/>
          <w:noProof/>
          <w:sz w:val="16"/>
          <w:bdr w:val="nil"/>
        </w:rPr>
        <w:t>folios und wird im Jahresabschluss der IF ausgewiesen.</w:t>
      </w:r>
    </w:p>
    <w:p w:rsidR="001609E3" w:rsidRDefault="00E45B63">
      <w:pPr>
        <w:pStyle w:val="Notes"/>
        <w:numPr>
          <w:ilvl w:val="0"/>
          <w:numId w:val="0"/>
        </w:numPr>
        <w:pBdr>
          <w:top w:val="nil"/>
          <w:left w:val="nil"/>
          <w:bottom w:val="nil"/>
          <w:right w:val="nil"/>
          <w:between w:val="nil"/>
          <w:bar w:val="nil"/>
        </w:pBdr>
        <w:ind w:left="432" w:hanging="432"/>
        <w:rPr>
          <w:rFonts w:eastAsia="Calibri" w:cs="Arial"/>
          <w:b w:val="0"/>
          <w:noProof/>
          <w:sz w:val="16"/>
          <w:szCs w:val="16"/>
          <w:bdr w:val="nil"/>
        </w:rPr>
      </w:pPr>
      <w:r>
        <w:rPr>
          <w:b w:val="0"/>
          <w:noProof/>
          <w:sz w:val="16"/>
          <w:bdr w:val="nil"/>
        </w:rPr>
        <w:t>In der folgenden Tabelle werden die Buchwerte und die gebundenen, aber noch nicht ausgezahlten Beträge nach Art der Aktiva dargestellt.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5"/>
        <w:gridCol w:w="2295"/>
        <w:gridCol w:w="1350"/>
        <w:gridCol w:w="1350"/>
        <w:gridCol w:w="1350"/>
        <w:gridCol w:w="1350"/>
      </w:tblGrid>
      <w:tr w:rsidR="001609E3">
        <w:trPr>
          <w:trHeight w:val="600"/>
        </w:trPr>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Art der IFE-Investition</w:t>
            </w:r>
          </w:p>
        </w:tc>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Bezeichnung</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Buchwert zum 31.12.2016</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Buchwert zum 31.12.2015</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Nicht ausgezahlter Betrag zum 31.12.2016</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Nicht ausgezahlter Betrag zum 31.12.2015</w:t>
            </w:r>
          </w:p>
        </w:tc>
      </w:tr>
      <w:tr w:rsidR="001609E3">
        <w:trPr>
          <w:trHeight w:val="450"/>
        </w:trPr>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Sozialwirkungsorientierte Equity Fonds</w:t>
            </w:r>
          </w:p>
        </w:tc>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Zur Veräußerung verfügbare finanzielle Vermögenswerte</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5 021</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2 257</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19 567</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16 927</w:t>
            </w:r>
          </w:p>
        </w:tc>
      </w:tr>
      <w:tr w:rsidR="001609E3">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an Finanzintermediäre</w:t>
            </w:r>
          </w:p>
        </w:tc>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Kredite und Forderungen</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23 702</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46 958</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10 000</w:t>
            </w:r>
          </w:p>
        </w:tc>
      </w:tr>
      <w:tr w:rsidR="001609E3">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Instrumente zur Erleichterung der Risikoteilung</w:t>
            </w:r>
          </w:p>
        </w:tc>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Gestellte Garantien</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-288</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33 719</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r>
      <w:tr w:rsidR="001609E3">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Direktfinanzierung – Kapitalbeteiligungen</w:t>
            </w:r>
          </w:p>
        </w:tc>
        <w:tc>
          <w:tcPr>
            <w:tcW w:w="2295"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rPr>
                <w:rFonts w:ascii="Arial" w:eastAsia="Arial" w:hAnsi="Arial" w:cs="Arial"/>
                <w:noProof/>
                <w:color w:val="000000"/>
                <w:sz w:val="16"/>
              </w:rPr>
            </w:pPr>
            <w:r>
              <w:rPr>
                <w:rFonts w:ascii="Arial" w:hAnsi="Arial"/>
                <w:noProof/>
                <w:color w:val="000000"/>
                <w:sz w:val="16"/>
              </w:rPr>
              <w:t>Zur Veräußerung verfügbare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39 986</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14</w:t>
            </w:r>
          </w:p>
        </w:tc>
        <w:tc>
          <w:tcPr>
            <w:tcW w:w="1350" w:type="dxa"/>
            <w:tcBorders>
              <w:top w:val="nil"/>
              <w:left w:val="nil"/>
              <w:bottom w:val="nil"/>
              <w:right w:val="nil"/>
              <w:tl2br w:val="nil"/>
              <w:tr2bl w:val="nil"/>
            </w:tcBorders>
            <w:shd w:val="clear" w:color="auto" w:fill="auto"/>
            <w:tcMar>
              <w:left w:w="40" w:type="dxa"/>
              <w:right w:w="40" w:type="dxa"/>
            </w:tcMar>
            <w:vAlign w:val="center"/>
          </w:tcPr>
          <w:p w:rsidR="001609E3" w:rsidRDefault="00E45B63">
            <w:pPr>
              <w:jc w:val="right"/>
              <w:rPr>
                <w:rFonts w:ascii="Arial" w:eastAsia="Arial" w:hAnsi="Arial" w:cs="Arial"/>
                <w:noProof/>
                <w:color w:val="000000"/>
                <w:sz w:val="16"/>
              </w:rPr>
            </w:pPr>
            <w:r>
              <w:rPr>
                <w:rFonts w:ascii="Arial" w:hAnsi="Arial"/>
                <w:noProof/>
                <w:color w:val="000000"/>
                <w:sz w:val="16"/>
              </w:rPr>
              <w:t>40 000</w:t>
            </w:r>
          </w:p>
        </w:tc>
      </w:tr>
      <w:tr w:rsidR="001609E3">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rPr>
                <w:rFonts w:ascii="Arial" w:eastAsia="Arial" w:hAnsi="Arial" w:cs="Arial"/>
                <w:b/>
                <w:noProof/>
                <w:color w:val="000000"/>
                <w:sz w:val="16"/>
              </w:rPr>
            </w:pPr>
            <w:r>
              <w:rPr>
                <w:rFonts w:ascii="Arial" w:hAnsi="Arial"/>
                <w:b/>
                <w:noProof/>
                <w:color w:val="000000"/>
                <w:sz w:val="16"/>
              </w:rPr>
              <w:t>Gesamt</w:t>
            </w:r>
            <w:r>
              <w:rPr>
                <w:noProof/>
              </w:rPr>
              <w:softHyphen/>
            </w:r>
            <w:r>
              <w:rPr>
                <w:rFonts w:ascii="Arial" w:hAnsi="Arial"/>
                <w:b/>
                <w:noProof/>
                <w:color w:val="000000"/>
                <w:sz w:val="16"/>
              </w:rPr>
              <w:t>betrag</w:t>
            </w:r>
          </w:p>
        </w:tc>
        <w:tc>
          <w:tcPr>
            <w:tcW w:w="2295" w:type="dxa"/>
            <w:tcBorders>
              <w:top w:val="nil"/>
              <w:left w:val="nil"/>
              <w:bottom w:val="nil"/>
              <w:right w:val="nil"/>
              <w:tl2br w:val="nil"/>
              <w:tr2bl w:val="nil"/>
            </w:tcBorders>
            <w:shd w:val="clear" w:color="FFFFFF" w:fill="C0C0C0"/>
            <w:tcMar>
              <w:left w:w="40" w:type="dxa"/>
              <w:right w:w="40" w:type="dxa"/>
            </w:tcMar>
            <w:vAlign w:val="center"/>
          </w:tcPr>
          <w:p w:rsidR="001609E3" w:rsidRDefault="001609E3">
            <w:pPr>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68 421</w:t>
            </w: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2 257</w:t>
            </w: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100 258</w:t>
            </w:r>
          </w:p>
        </w:tc>
        <w:tc>
          <w:tcPr>
            <w:tcW w:w="1350" w:type="dxa"/>
            <w:tcBorders>
              <w:top w:val="nil"/>
              <w:left w:val="nil"/>
              <w:bottom w:val="nil"/>
              <w:right w:val="nil"/>
              <w:tl2br w:val="nil"/>
              <w:tr2bl w:val="nil"/>
            </w:tcBorders>
            <w:shd w:val="clear" w:color="FFFFFF" w:fill="C0C0C0"/>
            <w:tcMar>
              <w:left w:w="40" w:type="dxa"/>
              <w:right w:w="40" w:type="dxa"/>
            </w:tcMar>
            <w:vAlign w:val="center"/>
          </w:tcPr>
          <w:p w:rsidR="001609E3" w:rsidRDefault="00E45B63">
            <w:pPr>
              <w:jc w:val="right"/>
              <w:rPr>
                <w:rFonts w:ascii="Arial" w:eastAsia="Arial" w:hAnsi="Arial" w:cs="Arial"/>
                <w:b/>
                <w:noProof/>
                <w:color w:val="000000"/>
                <w:sz w:val="16"/>
              </w:rPr>
            </w:pPr>
            <w:r>
              <w:rPr>
                <w:rFonts w:ascii="Arial" w:hAnsi="Arial"/>
                <w:b/>
                <w:noProof/>
                <w:color w:val="000000"/>
                <w:sz w:val="16"/>
              </w:rPr>
              <w:t>66 927</w:t>
            </w:r>
          </w:p>
        </w:tc>
      </w:tr>
    </w:tbl>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Style w:val="Notes"/>
        <w:numPr>
          <w:ilvl w:val="0"/>
          <w:numId w:val="0"/>
        </w:numPr>
        <w:pBdr>
          <w:top w:val="nil"/>
          <w:left w:val="nil"/>
          <w:bottom w:val="nil"/>
          <w:right w:val="nil"/>
          <w:between w:val="nil"/>
          <w:bar w:val="nil"/>
        </w:pBdr>
        <w:ind w:left="432" w:hanging="432"/>
        <w:rPr>
          <w:noProof/>
          <w:bdr w:val="nil"/>
        </w:rPr>
      </w:pPr>
      <w:r>
        <w:rPr>
          <w:noProof/>
        </w:rPr>
        <w:t>24</w:t>
      </w:r>
      <w:r>
        <w:rPr>
          <w:noProof/>
        </w:rPr>
        <w:tab/>
        <w:t>Wesentliche Ereignisse nach dem Bilanzstichtag</w:t>
      </w:r>
    </w:p>
    <w:p w:rsidR="001609E3" w:rsidRDefault="001609E3">
      <w:pPr>
        <w:pBdr>
          <w:top w:val="nil"/>
          <w:left w:val="nil"/>
          <w:bottom w:val="nil"/>
          <w:right w:val="nil"/>
          <w:between w:val="nil"/>
          <w:bar w:val="nil"/>
        </w:pBdr>
        <w:spacing w:before="60" w:after="60"/>
        <w:jc w:val="both"/>
        <w:rPr>
          <w:rFonts w:ascii="Arial" w:hAnsi="Arial"/>
          <w:noProof/>
          <w:sz w:val="16"/>
          <w:szCs w:val="16"/>
          <w:bdr w:val="nil"/>
        </w:rPr>
      </w:pPr>
    </w:p>
    <w:p w:rsidR="001609E3" w:rsidRDefault="00E45B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Es gibt keine wesentlichen, zu einem späteren Zeitpunkt aufgetretenen bilanzwirksamen Vorgänge, die offengelegt werden müssten oder eine Anpassung des </w:t>
      </w:r>
      <w:r>
        <w:rPr>
          <w:rFonts w:ascii="Arial" w:hAnsi="Arial"/>
          <w:noProof/>
          <w:sz w:val="16"/>
          <w:bdr w:val="nil"/>
        </w:rPr>
        <w:t>Jahresabschlusses zum 31. Dezember 2016 erfordern würden.</w:t>
      </w:r>
      <w:bookmarkEnd w:id="1"/>
      <w:bookmarkEnd w:id="409"/>
    </w:p>
    <w:sectPr w:rsidR="001609E3">
      <w:headerReference w:type="even" r:id="rId440"/>
      <w:headerReference w:type="default" r:id="rId441"/>
      <w:footerReference w:type="even" r:id="rId442"/>
      <w:footerReference w:type="default" r:id="rId443"/>
      <w:headerReference w:type="first" r:id="rId444"/>
      <w:footerReference w:type="first" r:id="rId445"/>
      <w:type w:val="continuous"/>
      <w:pgSz w:w="12240" w:h="15840"/>
      <w:pgMar w:top="765" w:right="1134" w:bottom="765" w:left="1134" w:header="709" w:footer="709" w:gutter="0"/>
      <w:pgBorders>
        <w:top w:val="nil"/>
        <w:left w:val="nil"/>
        <w:bottom w:val="nil"/>
        <w:right w:val="nil"/>
      </w:pgBorders>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9E3" w:rsidRDefault="00E45B63">
      <w:r>
        <w:separator/>
      </w:r>
    </w:p>
  </w:endnote>
  <w:endnote w:type="continuationSeparator" w:id="0">
    <w:p w:rsidR="001609E3" w:rsidRDefault="00E45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63" w:rsidRPr="00E45B63" w:rsidRDefault="00E45B63" w:rsidP="00E45B6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4080" behindDoc="1" locked="0" layoutInCell="1" allowOverlap="1" wp14:anchorId="7FCEC4E2" wp14:editId="3A6408B7">
              <wp:simplePos x="0" y="0"/>
              <wp:positionH relativeFrom="column">
                <wp:posOffset>4420235</wp:posOffset>
              </wp:positionH>
              <wp:positionV relativeFrom="paragraph">
                <wp:posOffset>13970</wp:posOffset>
              </wp:positionV>
              <wp:extent cx="403200" cy="795600"/>
              <wp:effectExtent l="0" t="0" r="16510" b="24130"/>
              <wp:wrapNone/>
              <wp:docPr id="12124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4"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68128"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5104" behindDoc="1" locked="0" layoutInCell="1" allowOverlap="1" wp14:anchorId="2AAF1CA3" wp14:editId="1AEA6FFC">
              <wp:simplePos x="0" y="0"/>
              <wp:positionH relativeFrom="column">
                <wp:posOffset>2858135</wp:posOffset>
              </wp:positionH>
              <wp:positionV relativeFrom="paragraph">
                <wp:posOffset>16510</wp:posOffset>
              </wp:positionV>
              <wp:extent cx="403200" cy="795600"/>
              <wp:effectExtent l="0" t="0" r="16510" b="24130"/>
              <wp:wrapNone/>
              <wp:docPr id="12452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5"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710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6128" behindDoc="1" locked="0" layoutInCell="1" allowOverlap="1" wp14:anchorId="2ED6D710" wp14:editId="0305435A">
              <wp:simplePos x="0" y="0"/>
              <wp:positionH relativeFrom="column">
                <wp:posOffset>2858135</wp:posOffset>
              </wp:positionH>
              <wp:positionV relativeFrom="paragraph">
                <wp:posOffset>16510</wp:posOffset>
              </wp:positionV>
              <wp:extent cx="403200" cy="795600"/>
              <wp:effectExtent l="0" t="0" r="16510" b="24130"/>
              <wp:wrapNone/>
              <wp:docPr id="12780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608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0160" behindDoc="1" locked="0" layoutInCell="1" allowOverlap="1" wp14:anchorId="386A7293" wp14:editId="66BA4266">
              <wp:simplePos x="0" y="0"/>
              <wp:positionH relativeFrom="column">
                <wp:posOffset>2858135</wp:posOffset>
              </wp:positionH>
              <wp:positionV relativeFrom="paragraph">
                <wp:posOffset>16510</wp:posOffset>
              </wp:positionV>
              <wp:extent cx="403200" cy="795600"/>
              <wp:effectExtent l="0" t="0" r="16510" b="24130"/>
              <wp:wrapNone/>
              <wp:docPr id="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FT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7152" behindDoc="1" locked="0" layoutInCell="1" allowOverlap="1" wp14:anchorId="7BF5928F" wp14:editId="17046101">
              <wp:simplePos x="0" y="0"/>
              <wp:positionH relativeFrom="column">
                <wp:posOffset>2858135</wp:posOffset>
              </wp:positionH>
              <wp:positionV relativeFrom="paragraph">
                <wp:posOffset>16510</wp:posOffset>
              </wp:positionV>
              <wp:extent cx="403200" cy="795600"/>
              <wp:effectExtent l="0" t="0" r="16510" b="24130"/>
              <wp:wrapNone/>
              <wp:docPr id="13107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7"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5056"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0224" behindDoc="1" locked="0" layoutInCell="1" allowOverlap="1" wp14:anchorId="1E0A20BB" wp14:editId="059676B6">
              <wp:simplePos x="0" y="0"/>
              <wp:positionH relativeFrom="column">
                <wp:posOffset>2858135</wp:posOffset>
              </wp:positionH>
              <wp:positionV relativeFrom="paragraph">
                <wp:posOffset>16510</wp:posOffset>
              </wp:positionV>
              <wp:extent cx="403200" cy="795600"/>
              <wp:effectExtent l="0" t="0" r="16510" b="24130"/>
              <wp:wrapNone/>
              <wp:docPr id="14091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0"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198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0400" behindDoc="1" locked="0" layoutInCell="1" allowOverlap="1" wp14:anchorId="7854D03F" wp14:editId="68C60090">
              <wp:simplePos x="0" y="0"/>
              <wp:positionH relativeFrom="column">
                <wp:posOffset>2858135</wp:posOffset>
              </wp:positionH>
              <wp:positionV relativeFrom="paragraph">
                <wp:posOffset>16510</wp:posOffset>
              </wp:positionV>
              <wp:extent cx="403200" cy="795600"/>
              <wp:effectExtent l="0" t="0" r="16510" b="24130"/>
              <wp:wrapNone/>
              <wp:docPr id="2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Kj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kl&#10;ilU4oxdkjam9FOTB81Mbm2Da1myg9SyavtlTDpX/xjbIKXB6vnIqTo5wvIy7DzgnSjiGRpPBEG1E&#10;iW4/NmDdF6Er4o2UAhYPTLLj2rom9ZLia1kty2xVShkc2O8WEsiR+fH2hqNJ3KL/kiYVqbHB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OXsEqN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2448" behindDoc="1" locked="0" layoutInCell="1" allowOverlap="1" wp14:anchorId="0F1081F0" wp14:editId="07557DB4">
              <wp:simplePos x="0" y="0"/>
              <wp:positionH relativeFrom="column">
                <wp:posOffset>2858135</wp:posOffset>
              </wp:positionH>
              <wp:positionV relativeFrom="paragraph">
                <wp:posOffset>16510</wp:posOffset>
              </wp:positionV>
              <wp:extent cx="403200" cy="795600"/>
              <wp:effectExtent l="0" t="0" r="16510" b="24130"/>
              <wp:wrapNone/>
              <wp:docPr id="3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yn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DpAe&#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4496" behindDoc="1" locked="0" layoutInCell="1" allowOverlap="1" wp14:anchorId="75C407A1" wp14:editId="7C658FE4">
              <wp:simplePos x="0" y="0"/>
              <wp:positionH relativeFrom="column">
                <wp:posOffset>2858135</wp:posOffset>
              </wp:positionH>
              <wp:positionV relativeFrom="paragraph">
                <wp:posOffset>16510</wp:posOffset>
              </wp:positionV>
              <wp:extent cx="403200" cy="795600"/>
              <wp:effectExtent l="0" t="0" r="16510" b="24130"/>
              <wp:wrapNone/>
              <wp:docPr id="3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8T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6544" behindDoc="1" locked="0" layoutInCell="1" allowOverlap="1" wp14:anchorId="5F4E06F3" wp14:editId="4F6D927C">
              <wp:simplePos x="0" y="0"/>
              <wp:positionH relativeFrom="column">
                <wp:posOffset>2858135</wp:posOffset>
              </wp:positionH>
              <wp:positionV relativeFrom="paragraph">
                <wp:posOffset>16510</wp:posOffset>
              </wp:positionV>
              <wp:extent cx="403200" cy="795600"/>
              <wp:effectExtent l="0" t="0" r="16510" b="24130"/>
              <wp:wrapNone/>
              <wp:docPr id="88476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Ly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1LhLy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8592" behindDoc="1" locked="0" layoutInCell="1" allowOverlap="1" wp14:anchorId="399982B4" wp14:editId="5137FD32">
              <wp:simplePos x="0" y="0"/>
              <wp:positionH relativeFrom="column">
                <wp:posOffset>2858135</wp:posOffset>
              </wp:positionH>
              <wp:positionV relativeFrom="paragraph">
                <wp:posOffset>16510</wp:posOffset>
              </wp:positionV>
              <wp:extent cx="403200" cy="795600"/>
              <wp:effectExtent l="0" t="0" r="16510" b="24130"/>
              <wp:wrapNone/>
              <wp:docPr id="88476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FG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k4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p2IFG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0640" behindDoc="1" locked="0" layoutInCell="1" allowOverlap="1" wp14:anchorId="6BF93DC7" wp14:editId="53C3FA98">
              <wp:simplePos x="0" y="0"/>
              <wp:positionH relativeFrom="column">
                <wp:posOffset>2858135</wp:posOffset>
              </wp:positionH>
              <wp:positionV relativeFrom="paragraph">
                <wp:posOffset>16510</wp:posOffset>
              </wp:positionV>
              <wp:extent cx="403200" cy="795600"/>
              <wp:effectExtent l="0" t="0" r="16510" b="24130"/>
              <wp:wrapNone/>
              <wp:docPr id="88477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9C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ArQm9C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9920" behindDoc="1" locked="0" layoutInCell="1" allowOverlap="1" wp14:anchorId="20718A70" wp14:editId="3ED8AFC6">
              <wp:simplePos x="0" y="0"/>
              <wp:positionH relativeFrom="column">
                <wp:posOffset>2839085</wp:posOffset>
              </wp:positionH>
              <wp:positionV relativeFrom="paragraph">
                <wp:posOffset>16510</wp:posOffset>
              </wp:positionV>
              <wp:extent cx="403200" cy="795600"/>
              <wp:effectExtent l="0" t="0" r="16510" b="24130"/>
              <wp:wrapNone/>
              <wp:docPr id="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h/Qo&#10;VuGMXpA1pvZSkAfPT21sgmlbs4HWs2j6Zk85VP4b2yCnwOn5yqk4OcLxMu4+4Jwo4RgaTQZDtBEl&#10;uv3YgHVfhK6IN1IKWDwwyY5r65rUS4qvZbUss1UpZXBgv1tIIEfmx9sbjiZxi/5LmlSkTml/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2688" behindDoc="1" locked="0" layoutInCell="1" allowOverlap="1" wp14:anchorId="19DC048A" wp14:editId="28A6F228">
              <wp:simplePos x="0" y="0"/>
              <wp:positionH relativeFrom="column">
                <wp:posOffset>2839085</wp:posOffset>
              </wp:positionH>
              <wp:positionV relativeFrom="paragraph">
                <wp:posOffset>16510</wp:posOffset>
              </wp:positionV>
              <wp:extent cx="403200" cy="795600"/>
              <wp:effectExtent l="0" t="0" r="16510" b="24130"/>
              <wp:wrapNone/>
              <wp:docPr id="88477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z2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vU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SiFPB1wfT5Tl7MHHT1hls391UxxBTH2indXcyFaxYMt5aL+TwkodoNc2u1&#10;NdxDe5b8RF9PbwxMO3aHennSF9Gz5N30m1wk/cZj6+BuhFm0e+yX794PWbd/m9lPAA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A3tPz2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264" behindDoc="1" locked="0" layoutInCell="1" allowOverlap="1" wp14:anchorId="12922A75" wp14:editId="0C739775">
              <wp:simplePos x="0" y="0"/>
              <wp:positionH relativeFrom="column">
                <wp:posOffset>2858135</wp:posOffset>
              </wp:positionH>
              <wp:positionV relativeFrom="paragraph">
                <wp:posOffset>16510</wp:posOffset>
              </wp:positionV>
              <wp:extent cx="403200" cy="795600"/>
              <wp:effectExtent l="0" t="0" r="16510" b="24130"/>
              <wp:wrapNone/>
              <wp:docPr id="983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0"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60294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4736" behindDoc="1" locked="0" layoutInCell="1" allowOverlap="1" wp14:anchorId="27A4C213" wp14:editId="76B608B3">
              <wp:simplePos x="0" y="0"/>
              <wp:positionH relativeFrom="column">
                <wp:posOffset>2839085</wp:posOffset>
              </wp:positionH>
              <wp:positionV relativeFrom="paragraph">
                <wp:posOffset>16510</wp:posOffset>
              </wp:positionV>
              <wp:extent cx="403200" cy="795600"/>
              <wp:effectExtent l="0" t="0" r="16510" b="24130"/>
              <wp:wrapNone/>
              <wp:docPr id="88477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nw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vUp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BSqDnw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6784" behindDoc="1" locked="0" layoutInCell="1" allowOverlap="1" wp14:anchorId="4078A4E7" wp14:editId="6F5AFEB8">
              <wp:simplePos x="0" y="0"/>
              <wp:positionH relativeFrom="column">
                <wp:posOffset>2839085</wp:posOffset>
              </wp:positionH>
              <wp:positionV relativeFrom="paragraph">
                <wp:posOffset>16510</wp:posOffset>
              </wp:positionV>
              <wp:extent cx="403200" cy="795600"/>
              <wp:effectExtent l="0" t="0" r="16510" b="24130"/>
              <wp:wrapNone/>
              <wp:docPr id="88477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EUQIAALU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BOXqpE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8832" behindDoc="1" locked="0" layoutInCell="1" allowOverlap="1" wp14:anchorId="10EAB9A8" wp14:editId="17E10939">
              <wp:simplePos x="0" y="0"/>
              <wp:positionH relativeFrom="column">
                <wp:posOffset>2839085</wp:posOffset>
              </wp:positionH>
              <wp:positionV relativeFrom="paragraph">
                <wp:posOffset>16510</wp:posOffset>
              </wp:positionV>
              <wp:extent cx="403200" cy="795600"/>
              <wp:effectExtent l="0" t="0" r="16510" b="24130"/>
              <wp:wrapNone/>
              <wp:docPr id="88477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P9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CYkLP9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1728" behindDoc="1" locked="0" layoutInCell="1" allowOverlap="1" wp14:anchorId="2F2B831C" wp14:editId="335193E0">
              <wp:simplePos x="0" y="0"/>
              <wp:positionH relativeFrom="column">
                <wp:posOffset>2858135</wp:posOffset>
              </wp:positionH>
              <wp:positionV relativeFrom="paragraph">
                <wp:posOffset>16510</wp:posOffset>
              </wp:positionV>
              <wp:extent cx="403200" cy="795600"/>
              <wp:effectExtent l="0" t="0" r="16510" b="24130"/>
              <wp:wrapNone/>
              <wp:docPr id="1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Q6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N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olSwNcF0+c7eTFz0NUbbtzcV8UQUxxrp3R3MReuWS7cWC7m85CESjfMrdXWcA/t&#10;WfITfT29MTDt2B3q5UlfBM+Sd9NvcpH0G4+tg3sRZtHusF+8ez9k3f5pZj8B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AkfBDp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776" behindDoc="1" locked="0" layoutInCell="1" allowOverlap="1" wp14:anchorId="5BA2D5E2" wp14:editId="10F43352">
              <wp:simplePos x="0" y="0"/>
              <wp:positionH relativeFrom="column">
                <wp:posOffset>2686685</wp:posOffset>
              </wp:positionH>
              <wp:positionV relativeFrom="paragraph">
                <wp:posOffset>16510</wp:posOffset>
              </wp:positionV>
              <wp:extent cx="403200" cy="795600"/>
              <wp:effectExtent l="0" t="0" r="16510" b="24130"/>
              <wp:wrapNone/>
              <wp:docPr id="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11.55pt;margin-top:1.3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E8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d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2272" behindDoc="1" locked="0" layoutInCell="1" allowOverlap="1" wp14:anchorId="036179B4" wp14:editId="4D86A89C">
              <wp:simplePos x="0" y="0"/>
              <wp:positionH relativeFrom="column">
                <wp:posOffset>2858135</wp:posOffset>
              </wp:positionH>
              <wp:positionV relativeFrom="paragraph">
                <wp:posOffset>16510</wp:posOffset>
              </wp:positionV>
              <wp:extent cx="403200" cy="795600"/>
              <wp:effectExtent l="0" t="0" r="16510" b="24130"/>
              <wp:wrapNone/>
              <wp:docPr id="147464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2"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9936"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3296" behindDoc="1" locked="0" layoutInCell="1" allowOverlap="1" wp14:anchorId="41FF47AE" wp14:editId="796DC456">
              <wp:simplePos x="0" y="0"/>
              <wp:positionH relativeFrom="column">
                <wp:posOffset>2858135</wp:posOffset>
              </wp:positionH>
              <wp:positionV relativeFrom="paragraph">
                <wp:posOffset>16510</wp:posOffset>
              </wp:positionV>
              <wp:extent cx="403200" cy="795600"/>
              <wp:effectExtent l="0" t="0" r="16510" b="24130"/>
              <wp:wrapNone/>
              <wp:docPr id="15074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891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4320" behindDoc="1" locked="0" layoutInCell="1" allowOverlap="1" wp14:anchorId="03120730" wp14:editId="65AA7E26">
              <wp:simplePos x="0" y="0"/>
              <wp:positionH relativeFrom="column">
                <wp:posOffset>2858135</wp:posOffset>
              </wp:positionH>
              <wp:positionV relativeFrom="paragraph">
                <wp:posOffset>16510</wp:posOffset>
              </wp:positionV>
              <wp:extent cx="403200" cy="795600"/>
              <wp:effectExtent l="0" t="0" r="16510" b="24130"/>
              <wp:wrapNone/>
              <wp:docPr id="15401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4"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7888"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0880" behindDoc="1" locked="0" layoutInCell="1" allowOverlap="1" wp14:anchorId="58B65D1C" wp14:editId="671EDBD4">
              <wp:simplePos x="0" y="0"/>
              <wp:positionH relativeFrom="column">
                <wp:posOffset>2858135</wp:posOffset>
              </wp:positionH>
              <wp:positionV relativeFrom="paragraph">
                <wp:posOffset>16510</wp:posOffset>
              </wp:positionV>
              <wp:extent cx="403200" cy="795600"/>
              <wp:effectExtent l="0" t="0" r="16510" b="24130"/>
              <wp:wrapNone/>
              <wp:docPr id="88477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BJ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g0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EZiBJ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5344" behindDoc="1" locked="0" layoutInCell="1" allowOverlap="1" wp14:anchorId="25E439FF" wp14:editId="3F91A748">
              <wp:simplePos x="0" y="0"/>
              <wp:positionH relativeFrom="column">
                <wp:posOffset>4420235</wp:posOffset>
              </wp:positionH>
              <wp:positionV relativeFrom="paragraph">
                <wp:posOffset>13970</wp:posOffset>
              </wp:positionV>
              <wp:extent cx="403200" cy="795600"/>
              <wp:effectExtent l="0" t="0" r="16510" b="24130"/>
              <wp:wrapNone/>
              <wp:docPr id="15729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5"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5686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0288" behindDoc="1" locked="0" layoutInCell="1" allowOverlap="1" wp14:anchorId="49862BE2" wp14:editId="3B4E68C6">
              <wp:simplePos x="0" y="0"/>
              <wp:positionH relativeFrom="column">
                <wp:posOffset>2858135</wp:posOffset>
              </wp:positionH>
              <wp:positionV relativeFrom="paragraph">
                <wp:posOffset>16510</wp:posOffset>
              </wp:positionV>
              <wp:extent cx="403200" cy="795600"/>
              <wp:effectExtent l="0" t="0" r="16510" b="24130"/>
              <wp:wrapNone/>
              <wp:docPr id="1310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60192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6368" behindDoc="1" locked="0" layoutInCell="1" allowOverlap="1" wp14:anchorId="51CB3F1C" wp14:editId="7D40F9B9">
              <wp:simplePos x="0" y="0"/>
              <wp:positionH relativeFrom="column">
                <wp:posOffset>2858135</wp:posOffset>
              </wp:positionH>
              <wp:positionV relativeFrom="paragraph">
                <wp:posOffset>16510</wp:posOffset>
              </wp:positionV>
              <wp:extent cx="403200" cy="795600"/>
              <wp:effectExtent l="0" t="0" r="16510" b="24130"/>
              <wp:wrapNone/>
              <wp:docPr id="16057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584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1120" behindDoc="1" locked="0" layoutInCell="1" allowOverlap="1" wp14:anchorId="40B92545" wp14:editId="19D793AC">
              <wp:simplePos x="0" y="0"/>
              <wp:positionH relativeFrom="column">
                <wp:posOffset>2858135</wp:posOffset>
              </wp:positionH>
              <wp:positionV relativeFrom="paragraph">
                <wp:posOffset>16510</wp:posOffset>
              </wp:positionV>
              <wp:extent cx="403200" cy="795600"/>
              <wp:effectExtent l="0" t="0" r="16510" b="24130"/>
              <wp:wrapNone/>
              <wp:docPr id="8847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05pt;margin-top:1.3pt;width:31.75pt;height:62.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iaUQIAALU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AQgria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3168" behindDoc="1" locked="0" layoutInCell="1" allowOverlap="1" wp14:anchorId="7E48EB86" wp14:editId="4E805CCE">
              <wp:simplePos x="0" y="0"/>
              <wp:positionH relativeFrom="column">
                <wp:posOffset>2858135</wp:posOffset>
              </wp:positionH>
              <wp:positionV relativeFrom="paragraph">
                <wp:posOffset>16510</wp:posOffset>
              </wp:positionV>
              <wp:extent cx="403200" cy="795600"/>
              <wp:effectExtent l="0" t="0" r="16510" b="24130"/>
              <wp:wrapNone/>
              <wp:docPr id="88479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05pt;margin-top:1.3pt;width:31.75pt;height:6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KXUA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5216" behindDoc="1" locked="0" layoutInCell="1" allowOverlap="1" wp14:anchorId="2D751EAF" wp14:editId="0126DCDF">
              <wp:simplePos x="0" y="0"/>
              <wp:positionH relativeFrom="column">
                <wp:posOffset>2858135</wp:posOffset>
              </wp:positionH>
              <wp:positionV relativeFrom="paragraph">
                <wp:posOffset>16510</wp:posOffset>
              </wp:positionV>
              <wp:extent cx="403200" cy="795600"/>
              <wp:effectExtent l="0" t="0" r="16510" b="24130"/>
              <wp:wrapNone/>
              <wp:docPr id="8847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05pt;margin-top:1.3pt;width:31.75pt;height:62.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Ql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mow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jUGQl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7392" behindDoc="1" locked="0" layoutInCell="1" allowOverlap="1" wp14:anchorId="4AF3FA74" wp14:editId="0CDC0AC3">
              <wp:simplePos x="0" y="0"/>
              <wp:positionH relativeFrom="column">
                <wp:posOffset>2858135</wp:posOffset>
              </wp:positionH>
              <wp:positionV relativeFrom="paragraph">
                <wp:posOffset>16510</wp:posOffset>
              </wp:positionV>
              <wp:extent cx="403200" cy="795600"/>
              <wp:effectExtent l="0" t="0" r="16510" b="24130"/>
              <wp:wrapNone/>
              <wp:docPr id="16384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7"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4816"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noProof/>
        <w:color w:val="FFFFFF"/>
        <w:sz w:val="18"/>
        <w:szCs w:val="18"/>
      </w:rPr>
    </w:pPr>
    <w:r>
      <w:rPr>
        <w:noProof/>
        <w:lang w:val="en-GB" w:eastAsia="en-GB" w:bidi="ar-SA"/>
      </w:rPr>
      <mc:AlternateContent>
        <mc:Choice Requires="wps">
          <w:drawing>
            <wp:anchor distT="0" distB="0" distL="114300" distR="114300" simplePos="0" relativeHeight="251777024" behindDoc="1" locked="0" layoutInCell="1" allowOverlap="1" wp14:anchorId="709598E1" wp14:editId="3616D8DD">
              <wp:simplePos x="0" y="0"/>
              <wp:positionH relativeFrom="column">
                <wp:posOffset>4420235</wp:posOffset>
              </wp:positionH>
              <wp:positionV relativeFrom="paragraph">
                <wp:posOffset>-15875</wp:posOffset>
              </wp:positionV>
              <wp:extent cx="402590" cy="795020"/>
              <wp:effectExtent l="0" t="0" r="16510" b="24130"/>
              <wp:wrapNone/>
              <wp:docPr id="2"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348.05pt;margin-top:-1.25pt;width:31.7pt;height:62.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" fillcolor="#016794" strokecolor="#385d8a" strokeweight="2pt">
              <v:textbox inset=",1.3mm"/>
            </v:rect>
          </w:pict>
        </mc:Fallback>
      </mc:AlternateContent>
    </w:r>
    <w:r>
      <w:rPr>
        <w:noProof/>
        <w:lang w:val="en-GB" w:eastAsia="en-GB" w:bidi="ar-SA"/>
      </w:rPr>
      <mc:AlternateContent>
        <mc:Choice Requires="wps">
          <w:drawing>
            <wp:anchor distT="0" distB="0" distL="114300" distR="114300" simplePos="0" relativeHeight="251778048" behindDoc="1" locked="0" layoutInCell="1" allowOverlap="1" wp14:anchorId="258A6A22" wp14:editId="4A1657A5">
              <wp:simplePos x="0" y="0"/>
              <wp:positionH relativeFrom="column">
                <wp:posOffset>4689475</wp:posOffset>
              </wp:positionH>
              <wp:positionV relativeFrom="paragraph">
                <wp:posOffset>-3143885</wp:posOffset>
              </wp:positionV>
              <wp:extent cx="402590" cy="795020"/>
              <wp:effectExtent l="0" t="0" r="16510" b="24130"/>
              <wp:wrapNone/>
              <wp:docPr id="3"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369.25pt;margin-top:-247.55pt;width:31.7pt;height:62.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" fillcolor="#016794" strokecolor="#385d8a" strokeweight="2pt">
              <v:textbox inset=",1.3mm"/>
            </v:rect>
          </w:pict>
        </mc:Fallback>
      </mc:AlternateContent>
    </w:r>
    <w:r>
      <w:rPr>
        <w:noProof/>
        <w:lang w:val="en-GB" w:eastAsia="en-GB" w:bidi="ar-SA"/>
      </w:rPr>
      <mc:AlternateContent>
        <mc:Choice Requires="wps">
          <w:drawing>
            <wp:anchor distT="0" distB="0" distL="114300" distR="114300" simplePos="0" relativeHeight="251779072" behindDoc="1" locked="0" layoutInCell="1" allowOverlap="1" wp14:anchorId="562D1EBF" wp14:editId="1C015C02">
              <wp:simplePos x="0" y="0"/>
              <wp:positionH relativeFrom="column">
                <wp:posOffset>4286885</wp:posOffset>
              </wp:positionH>
              <wp:positionV relativeFrom="paragraph">
                <wp:posOffset>-3119120</wp:posOffset>
              </wp:positionV>
              <wp:extent cx="402590" cy="795020"/>
              <wp:effectExtent l="0" t="0" r="16510" b="24130"/>
              <wp:wrapNone/>
              <wp:docPr id="4"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337.55pt;margin-top:-245.6pt;width:31.7pt;height:62.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" fillcolor="#016794" strokecolor="#385d8a" strokeweight="2pt">
              <v:textbox inset=",1.3mm"/>
            </v:rect>
          </w:pict>
        </mc:Fallback>
      </mc:AlternateContent>
    </w:r>
    <w:r>
      <w:rPr>
        <w:rFonts w:ascii="Verdana" w:hAnsi="Verdana"/>
        <w:b/>
        <w:noProof/>
        <w:color w:val="FFFFFF"/>
        <w:sz w:val="18"/>
        <w:szCs w:val="18"/>
      </w:rPr>
      <w:fldChar w:fldCharType="begin"/>
    </w:r>
    <w:r>
      <w:rPr>
        <w:rFonts w:ascii="Verdana" w:hAnsi="Verdana"/>
        <w:b/>
        <w:noProof/>
        <w:color w:val="FFFFFF"/>
        <w:sz w:val="18"/>
        <w:szCs w:val="18"/>
      </w:rPr>
      <w:instrText xml:space="preserve"> PAGE   \* MERGEFORMAT </w:instrText>
    </w:r>
    <w:r>
      <w:rPr>
        <w:rFonts w:ascii="Verdana" w:hAnsi="Verdana"/>
        <w:b/>
        <w:noProof/>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p w:rsidR="001609E3" w:rsidRDefault="00E45B63">
    <w:pPr>
      <w:pStyle w:val="Footer"/>
      <w:tabs>
        <w:tab w:val="left" w:pos="4871"/>
        <w:tab w:val="center" w:pos="7285"/>
      </w:tabs>
      <w:rPr>
        <w:rFonts w:ascii="Verdana" w:hAnsi="Verdana"/>
        <w:b/>
        <w:noProof/>
        <w:color w:val="FFFFFF"/>
        <w:sz w:val="18"/>
        <w:szCs w:val="18"/>
      </w:rPr>
    </w:pPr>
    <w:r>
      <w:tab/>
    </w:r>
    <w:r>
      <w:tab/>
    </w:r>
    <w:r>
      <w:tab/>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8416" behindDoc="1" locked="0" layoutInCell="1" allowOverlap="1" wp14:anchorId="7B336B4D" wp14:editId="7EA85A1C">
              <wp:simplePos x="0" y="0"/>
              <wp:positionH relativeFrom="column">
                <wp:posOffset>2858135</wp:posOffset>
              </wp:positionH>
              <wp:positionV relativeFrom="paragraph">
                <wp:posOffset>13970</wp:posOffset>
              </wp:positionV>
              <wp:extent cx="403200" cy="795600"/>
              <wp:effectExtent l="0" t="0" r="16510" b="24130"/>
              <wp:wrapNone/>
              <wp:docPr id="16712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1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7aUQIAALY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1488" behindDoc="1" locked="0" layoutInCell="1" allowOverlap="1" wp14:anchorId="1B95EF04" wp14:editId="61FF3641">
              <wp:simplePos x="0" y="0"/>
              <wp:positionH relativeFrom="column">
                <wp:posOffset>2858135</wp:posOffset>
              </wp:positionH>
              <wp:positionV relativeFrom="paragraph">
                <wp:posOffset>16510</wp:posOffset>
              </wp:positionV>
              <wp:extent cx="403200" cy="795600"/>
              <wp:effectExtent l="0" t="0" r="16510" b="24130"/>
              <wp:wrapNone/>
              <wp:docPr id="17695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UMUgIAALY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7872" behindDoc="1" locked="0" layoutInCell="1" allowOverlap="1" wp14:anchorId="16D15899" wp14:editId="78409828">
              <wp:simplePos x="0" y="0"/>
              <wp:positionH relativeFrom="column">
                <wp:posOffset>2962910</wp:posOffset>
              </wp:positionH>
              <wp:positionV relativeFrom="paragraph">
                <wp:posOffset>16510</wp:posOffset>
              </wp:positionV>
              <wp:extent cx="403200" cy="795600"/>
              <wp:effectExtent l="0" t="0" r="16510" b="24130"/>
              <wp:wrapNone/>
              <wp:docPr id="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3.3pt;margin-top:1.3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iF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B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Bdr>
        <w:top w:val="nil"/>
        <w:left w:val="nil"/>
        <w:bottom w:val="nil"/>
        <w:right w:val="nil"/>
        <w:between w:val="nil"/>
        <w:bar w:val="nil"/>
      </w:pBdr>
      <w:spacing w:line="276" w:lineRule="auto"/>
      <w:jc w:val="center"/>
      <w:rPr>
        <w:rFonts w:ascii="Arial" w:eastAsia="Calibri" w:hAnsi="Arial" w:cs="Arial"/>
        <w:sz w:val="16"/>
        <w:szCs w:val="16"/>
        <w:bdr w:val="nil"/>
      </w:rPr>
    </w:pPr>
    <w:r>
      <w:rPr>
        <w:rFonts w:ascii="Arial" w:hAnsi="Arial"/>
        <w:sz w:val="16"/>
        <w:bdr w:val="nil"/>
      </w:rPr>
      <w:t>Die beigefügten Erläuterungen bilden Bestandteil dieses Jahresabschlusses.</w:t>
    </w:r>
  </w:p>
  <w:p w:rsidR="001609E3" w:rsidRDefault="00E45B63">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1</w:t>
    </w:r>
    <w:r>
      <w:rPr>
        <w:rFonts w:ascii="Arial" w:eastAsia="Calibri" w:hAnsi="Arial" w:cs="Arial"/>
        <w:sz w:val="16"/>
        <w:szCs w:val="16"/>
        <w:bdr w:val="nil"/>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3536" behindDoc="1" locked="0" layoutInCell="1" allowOverlap="1" wp14:anchorId="611A27AC" wp14:editId="4370D5F7">
              <wp:simplePos x="0" y="0"/>
              <wp:positionH relativeFrom="column">
                <wp:posOffset>2981960</wp:posOffset>
              </wp:positionH>
              <wp:positionV relativeFrom="paragraph">
                <wp:posOffset>16510</wp:posOffset>
              </wp:positionV>
              <wp:extent cx="403200" cy="795600"/>
              <wp:effectExtent l="0" t="0" r="16510" b="24130"/>
              <wp:wrapNone/>
              <wp:docPr id="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4.8pt;margin-top:1.3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q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96</w:t>
    </w:r>
    <w:r>
      <w:rPr>
        <w:rFonts w:ascii="Verdana" w:hAnsi="Verdana"/>
        <w:b/>
        <w:noProof/>
        <w:color w:val="FFFFFF"/>
        <w:sz w:val="18"/>
        <w:szCs w:val="18"/>
      </w:rPr>
      <w:fldChar w:fldCharType="end"/>
    </w:r>
  </w:p>
  <w:p w:rsidR="001609E3" w:rsidRDefault="001609E3">
    <w:pPr>
      <w:pStyle w:val="Footer"/>
      <w:rPr>
        <w:rFonts w:eastAsia="Calibri"/>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Bdr>
        <w:top w:val="nil"/>
        <w:left w:val="nil"/>
        <w:bottom w:val="nil"/>
        <w:right w:val="nil"/>
        <w:between w:val="nil"/>
        <w:bar w:val="nil"/>
      </w:pBdr>
      <w:rPr>
        <w:bdr w:val="nil"/>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Normal0"/>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Seite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1</w:t>
    </w:r>
    <w:r>
      <w:rPr>
        <w:rFonts w:ascii="Arial" w:eastAsia="Calibri" w:hAnsi="Arial" w:cs="Arial"/>
        <w:sz w:val="16"/>
        <w:szCs w:val="16"/>
        <w:bdr w:val="ni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63" w:rsidRPr="00E45B63" w:rsidRDefault="00E45B63" w:rsidP="00E45B63">
    <w:pPr>
      <w:pStyle w:val="FooterCoverPage"/>
      <w:rPr>
        <w:rFonts w:ascii="Arial" w:hAnsi="Arial" w:cs="Arial"/>
        <w:b/>
        <w:sz w:val="48"/>
      </w:rPr>
    </w:pPr>
    <w:r w:rsidRPr="00E45B63">
      <w:rPr>
        <w:rFonts w:ascii="Arial" w:hAnsi="Arial" w:cs="Arial"/>
        <w:b/>
        <w:sz w:val="48"/>
      </w:rPr>
      <w:t>DE</w:t>
    </w:r>
    <w:r w:rsidRPr="00E45B63">
      <w:rPr>
        <w:rFonts w:ascii="Arial" w:hAnsi="Arial" w:cs="Arial"/>
        <w:b/>
        <w:sz w:val="48"/>
      </w:rPr>
      <w:tab/>
    </w:r>
    <w:r w:rsidRPr="00E45B63">
      <w:rPr>
        <w:rFonts w:ascii="Arial" w:hAnsi="Arial" w:cs="Arial"/>
        <w:b/>
        <w:sz w:val="48"/>
      </w:rPr>
      <w:tab/>
    </w:r>
    <w:fldSimple w:instr=" DOCVARIABLE &quot;LW_Confidence&quot; \* MERGEFORMAT ">
      <w:r>
        <w:t xml:space="preserve"> </w:t>
      </w:r>
    </w:fldSimple>
    <w:r w:rsidRPr="00E45B63">
      <w:tab/>
    </w:r>
    <w:r w:rsidRPr="00E45B63">
      <w:rPr>
        <w:rFonts w:ascii="Arial" w:hAnsi="Arial" w:cs="Arial"/>
        <w:b/>
        <w:sz w:val="48"/>
      </w:rPr>
      <w:t>DE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4976" behindDoc="1" locked="0" layoutInCell="1" allowOverlap="1" wp14:anchorId="4A164E71" wp14:editId="54CC2F13">
              <wp:simplePos x="0" y="0"/>
              <wp:positionH relativeFrom="column">
                <wp:posOffset>2858135</wp:posOffset>
              </wp:positionH>
              <wp:positionV relativeFrom="paragraph">
                <wp:posOffset>16510</wp:posOffset>
              </wp:positionV>
              <wp:extent cx="403200" cy="795600"/>
              <wp:effectExtent l="0" t="0" r="16510" b="24130"/>
              <wp:wrapNone/>
              <wp:docPr id="8847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05pt;margin-top:1.3pt;width:31.75pt;height:62.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b7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o0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D9jHb7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5584" behindDoc="1" locked="0" layoutInCell="1" allowOverlap="1" wp14:anchorId="5ACD2E75" wp14:editId="0C7C3485">
              <wp:simplePos x="0" y="0"/>
              <wp:positionH relativeFrom="column">
                <wp:posOffset>2924810</wp:posOffset>
              </wp:positionH>
              <wp:positionV relativeFrom="paragraph">
                <wp:posOffset>16510</wp:posOffset>
              </wp:positionV>
              <wp:extent cx="403200" cy="795600"/>
              <wp:effectExtent l="0" t="0" r="16510" b="24130"/>
              <wp:wrapNone/>
              <wp:docPr id="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0.3pt;margin-top:1.3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te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I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noProof/>
        <w:color w:val="FFFFFF"/>
        <w:sz w:val="18"/>
        <w:szCs w:val="18"/>
      </w:rPr>
      <w:fldChar w:fldCharType="end"/>
    </w:r>
  </w:p>
  <w:p w:rsidR="001609E3" w:rsidRDefault="001609E3">
    <w:pPr>
      <w:pStyle w:val="Footer"/>
      <w:rPr>
        <w:rFonts w:eastAsia="Calibri"/>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Normal0"/>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Normal27"/>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Seite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1</w:t>
    </w:r>
    <w:r>
      <w:rPr>
        <w:rFonts w:ascii="Arial" w:eastAsia="Calibri" w:hAnsi="Arial" w:cs="Arial"/>
        <w:sz w:val="16"/>
        <w:szCs w:val="16"/>
        <w:bdr w:val="nil"/>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7632" behindDoc="1" locked="0" layoutInCell="1" allowOverlap="1" wp14:anchorId="13F78904" wp14:editId="1A5028DC">
              <wp:simplePos x="0" y="0"/>
              <wp:positionH relativeFrom="column">
                <wp:posOffset>4144010</wp:posOffset>
              </wp:positionH>
              <wp:positionV relativeFrom="paragraph">
                <wp:posOffset>16510</wp:posOffset>
              </wp:positionV>
              <wp:extent cx="403200" cy="795600"/>
              <wp:effectExtent l="0" t="0" r="16510" b="24130"/>
              <wp:wrapNone/>
              <wp:docPr id="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26.3pt;margin-top:1.3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pD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noProof/>
        <w:color w:val="FFFFFF"/>
        <w:sz w:val="18"/>
        <w:szCs w:val="18"/>
      </w:rPr>
      <w:fldChar w:fldCharType="end"/>
    </w:r>
  </w:p>
  <w:p w:rsidR="001609E3" w:rsidRDefault="001609E3">
    <w:pPr>
      <w:pStyle w:val="Footer"/>
      <w:rPr>
        <w:rFonts w:eastAsia="Calibri"/>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Normal27"/>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Normal29"/>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Seite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1</w:t>
    </w:r>
    <w:r>
      <w:rPr>
        <w:rFonts w:ascii="Arial" w:eastAsia="Calibri" w:hAnsi="Arial" w:cs="Arial"/>
        <w:sz w:val="16"/>
        <w:szCs w:val="16"/>
        <w:bdr w:val="nil"/>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9680" behindDoc="1" locked="0" layoutInCell="1" allowOverlap="1">
              <wp:simplePos x="0" y="0"/>
              <wp:positionH relativeFrom="column">
                <wp:posOffset>2966085</wp:posOffset>
              </wp:positionH>
              <wp:positionV relativeFrom="paragraph">
                <wp:posOffset>-1905</wp:posOffset>
              </wp:positionV>
              <wp:extent cx="403200" cy="695325"/>
              <wp:effectExtent l="0" t="0" r="16510" b="28575"/>
              <wp:wrapNone/>
              <wp:docPr id="9" name="Rectangle 3"/>
              <wp:cNvGraphicFramePr/>
              <a:graphic xmlns:a="http://schemas.openxmlformats.org/drawingml/2006/main">
                <a:graphicData uri="http://schemas.microsoft.com/office/word/2010/wordprocessingShape">
                  <wps:wsp>
                    <wps:cNvSpPr/>
                    <wps:spPr>
                      <a:xfrm>
                        <a:off x="0" y="0"/>
                        <a:ext cx="403200" cy="69532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3.55pt;margin-top:-.15pt;width:31.75pt;height:5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noProof/>
        <w:color w:val="FFFFFF"/>
        <w:sz w:val="18"/>
        <w:szCs w:val="18"/>
      </w:rPr>
      <w:fldChar w:fldCharType="end"/>
    </w:r>
  </w:p>
  <w:p w:rsidR="001609E3" w:rsidRDefault="001609E3">
    <w:pPr>
      <w:pStyle w:val="Footer"/>
      <w:rPr>
        <w:rFonts w:eastAsia="Calibri"/>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Normal29"/>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2336" behindDoc="1" locked="0" layoutInCell="1" allowOverlap="1" wp14:anchorId="3836C691" wp14:editId="286C7A46">
              <wp:simplePos x="0" y="0"/>
              <wp:positionH relativeFrom="column">
                <wp:posOffset>2858135</wp:posOffset>
              </wp:positionH>
              <wp:positionV relativeFrom="paragraph">
                <wp:posOffset>16510</wp:posOffset>
              </wp:positionV>
              <wp:extent cx="403200" cy="795600"/>
              <wp:effectExtent l="0" t="0" r="16510" b="24130"/>
              <wp:wrapNone/>
              <wp:docPr id="1966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987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360" behindDoc="1" locked="0" layoutInCell="1" allowOverlap="1" wp14:anchorId="649BA1D9" wp14:editId="419CFA8B">
              <wp:simplePos x="0" y="0"/>
              <wp:positionH relativeFrom="column">
                <wp:posOffset>2858135</wp:posOffset>
              </wp:positionH>
              <wp:positionV relativeFrom="paragraph">
                <wp:posOffset>16510</wp:posOffset>
              </wp:positionV>
              <wp:extent cx="403200" cy="795600"/>
              <wp:effectExtent l="0" t="0" r="16510" b="24130"/>
              <wp:wrapNone/>
              <wp:docPr id="2293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4"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8848"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384" behindDoc="1" locked="0" layoutInCell="1" allowOverlap="1" wp14:anchorId="3E4471E0" wp14:editId="62D16DDF">
              <wp:simplePos x="0" y="0"/>
              <wp:positionH relativeFrom="column">
                <wp:posOffset>2858135</wp:posOffset>
              </wp:positionH>
              <wp:positionV relativeFrom="paragraph">
                <wp:posOffset>16510</wp:posOffset>
              </wp:positionV>
              <wp:extent cx="403200" cy="795600"/>
              <wp:effectExtent l="0" t="0" r="16510" b="24130"/>
              <wp:wrapNone/>
              <wp:docPr id="2621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5"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782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63" w:rsidRPr="00E45B63" w:rsidRDefault="00E45B63" w:rsidP="00E45B6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5408" behindDoc="1" locked="0" layoutInCell="1" allowOverlap="1" wp14:anchorId="1770F981" wp14:editId="64207625">
              <wp:simplePos x="0" y="0"/>
              <wp:positionH relativeFrom="column">
                <wp:posOffset>2858135</wp:posOffset>
              </wp:positionH>
              <wp:positionV relativeFrom="paragraph">
                <wp:posOffset>16510</wp:posOffset>
              </wp:positionV>
              <wp:extent cx="403200" cy="795600"/>
              <wp:effectExtent l="0" t="0" r="16510" b="24130"/>
              <wp:wrapNone/>
              <wp:docPr id="2949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680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6432" behindDoc="1" locked="0" layoutInCell="1" allowOverlap="1" wp14:anchorId="4C6150B1" wp14:editId="4C617BAE">
              <wp:simplePos x="0" y="0"/>
              <wp:positionH relativeFrom="column">
                <wp:posOffset>4420235</wp:posOffset>
              </wp:positionH>
              <wp:positionV relativeFrom="paragraph">
                <wp:posOffset>13970</wp:posOffset>
              </wp:positionV>
              <wp:extent cx="403200" cy="795600"/>
              <wp:effectExtent l="0" t="0" r="16510" b="24130"/>
              <wp:wrapNone/>
              <wp:docPr id="3276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7"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5776"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2208" behindDoc="1" locked="0" layoutInCell="1" allowOverlap="1" wp14:anchorId="52D292D5" wp14:editId="7357E04C">
              <wp:simplePos x="0" y="0"/>
              <wp:positionH relativeFrom="column">
                <wp:posOffset>4420235</wp:posOffset>
              </wp:positionH>
              <wp:positionV relativeFrom="paragraph">
                <wp:posOffset>13970</wp:posOffset>
              </wp:positionV>
              <wp:extent cx="403200" cy="795600"/>
              <wp:effectExtent l="0" t="0" r="16510" b="24130"/>
              <wp:wrapNone/>
              <wp:docPr id="1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48.05pt;margin-top:1.1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KI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3YAS&#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456" behindDoc="1" locked="0" layoutInCell="1" allowOverlap="1" wp14:anchorId="0D44CB88" wp14:editId="2340E6EA">
              <wp:simplePos x="0" y="0"/>
              <wp:positionH relativeFrom="column">
                <wp:posOffset>4420235</wp:posOffset>
              </wp:positionH>
              <wp:positionV relativeFrom="paragraph">
                <wp:posOffset>13970</wp:posOffset>
              </wp:positionV>
              <wp:extent cx="403200" cy="795600"/>
              <wp:effectExtent l="0" t="0" r="16510" b="24130"/>
              <wp:wrapNone/>
              <wp:docPr id="3604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8"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475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8480" behindDoc="1" locked="0" layoutInCell="1" allowOverlap="1" wp14:anchorId="0BE775EE" wp14:editId="49A3D38C">
              <wp:simplePos x="0" y="0"/>
              <wp:positionH relativeFrom="column">
                <wp:posOffset>4420235</wp:posOffset>
              </wp:positionH>
              <wp:positionV relativeFrom="paragraph">
                <wp:posOffset>13970</wp:posOffset>
              </wp:positionV>
              <wp:extent cx="403200" cy="795600"/>
              <wp:effectExtent l="0" t="0" r="16510" b="24130"/>
              <wp:wrapNone/>
              <wp:docPr id="39323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9"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3728"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9504" behindDoc="1" locked="0" layoutInCell="1" allowOverlap="1" wp14:anchorId="2CF78285" wp14:editId="2E56E7EF">
              <wp:simplePos x="0" y="0"/>
              <wp:positionH relativeFrom="column">
                <wp:posOffset>4420235</wp:posOffset>
              </wp:positionH>
              <wp:positionV relativeFrom="paragraph">
                <wp:posOffset>13970</wp:posOffset>
              </wp:positionV>
              <wp:extent cx="403200" cy="795600"/>
              <wp:effectExtent l="0" t="0" r="16510" b="24130"/>
              <wp:wrapNone/>
              <wp:docPr id="4260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0"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270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0528" behindDoc="1" locked="0" layoutInCell="1" allowOverlap="1" wp14:anchorId="570C7777" wp14:editId="1450008D">
              <wp:simplePos x="0" y="0"/>
              <wp:positionH relativeFrom="column">
                <wp:posOffset>2858135</wp:posOffset>
              </wp:positionH>
              <wp:positionV relativeFrom="paragraph">
                <wp:posOffset>16510</wp:posOffset>
              </wp:positionV>
              <wp:extent cx="403200" cy="795600"/>
              <wp:effectExtent l="0" t="0" r="16510" b="24130"/>
              <wp:wrapNone/>
              <wp:docPr id="4587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168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4256" behindDoc="1" locked="0" layoutInCell="1" allowOverlap="1" wp14:anchorId="5C31DF69" wp14:editId="0054B636">
              <wp:simplePos x="0" y="0"/>
              <wp:positionH relativeFrom="column">
                <wp:posOffset>2858135</wp:posOffset>
              </wp:positionH>
              <wp:positionV relativeFrom="paragraph">
                <wp:posOffset>16510</wp:posOffset>
              </wp:positionV>
              <wp:extent cx="403200" cy="795600"/>
              <wp:effectExtent l="0" t="0" r="16510" b="24130"/>
              <wp:wrapNone/>
              <wp:docPr id="2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SEl&#10;ilU4oxdkjam9FOTB81Mbm2Da1myg9SyavtlTDpX/xjbIKXB6vnIqTo5wvIy7DzgnSjiGRpPBEG1E&#10;iW4/NmDdF6Er4o2UAhYPTLLj2rom9ZLia1kty2xVShkc2O8WEsiR+fH2hqNJ3KL/kiYVqbHB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BSBw75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6304" behindDoc="1" locked="0" layoutInCell="1" allowOverlap="1" wp14:anchorId="4CDEDAC8" wp14:editId="1C7C0819">
              <wp:simplePos x="0" y="0"/>
              <wp:positionH relativeFrom="column">
                <wp:posOffset>2858135</wp:posOffset>
              </wp:positionH>
              <wp:positionV relativeFrom="paragraph">
                <wp:posOffset>16510</wp:posOffset>
              </wp:positionV>
              <wp:extent cx="403200" cy="795600"/>
              <wp:effectExtent l="0" t="0" r="16510" b="24130"/>
              <wp:wrapNone/>
              <wp:docPr id="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AK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REl&#10;ilU4oxdkjam9FOTB81Mbm2Da1myg9SyavtlTDpX/xjbIKXB6vnIqTo5wvIy7DzgnSjiGRpPBEG1E&#10;iW4/NmDdF6Er4o2UAhYPTLLj2rom9ZLia1kty2xVShkc2O8WEsiR+fH2hqNJ3KL/kiYVqbHB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Ah3UAp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624" behindDoc="1" locked="0" layoutInCell="1" allowOverlap="1" wp14:anchorId="5D4F55FC" wp14:editId="47A29983">
              <wp:simplePos x="0" y="0"/>
              <wp:positionH relativeFrom="column">
                <wp:posOffset>2781935</wp:posOffset>
              </wp:positionH>
              <wp:positionV relativeFrom="paragraph">
                <wp:posOffset>16510</wp:posOffset>
              </wp:positionV>
              <wp:extent cx="403200" cy="795600"/>
              <wp:effectExtent l="0" t="0" r="16510" b="24130"/>
              <wp:wrapNone/>
              <wp:docPr id="5898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19.05pt;margin-top:1.3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w4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7696" behindDoc="1" locked="0" layoutInCell="1" allowOverlap="1" wp14:anchorId="43E7FED2" wp14:editId="36279C06">
              <wp:simplePos x="0" y="0"/>
              <wp:positionH relativeFrom="column">
                <wp:posOffset>2858135</wp:posOffset>
              </wp:positionH>
              <wp:positionV relativeFrom="paragraph">
                <wp:posOffset>16510</wp:posOffset>
              </wp:positionV>
              <wp:extent cx="403200" cy="795600"/>
              <wp:effectExtent l="0" t="0" r="16510" b="24130"/>
              <wp:wrapNone/>
              <wp:docPr id="6881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8"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8451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9744" behindDoc="1" locked="0" layoutInCell="1" allowOverlap="1" wp14:anchorId="289974F0" wp14:editId="2227DE1A">
              <wp:simplePos x="0" y="0"/>
              <wp:positionH relativeFrom="column">
                <wp:posOffset>2858135</wp:posOffset>
              </wp:positionH>
              <wp:positionV relativeFrom="paragraph">
                <wp:posOffset>16510</wp:posOffset>
              </wp:positionV>
              <wp:extent cx="403200" cy="795600"/>
              <wp:effectExtent l="0" t="0" r="16510" b="24130"/>
              <wp:wrapNone/>
              <wp:docPr id="7537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0"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8246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768" behindDoc="1" locked="0" layoutInCell="1" allowOverlap="1" wp14:anchorId="6E8046C9" wp14:editId="4A2887D4">
              <wp:simplePos x="0" y="0"/>
              <wp:positionH relativeFrom="column">
                <wp:posOffset>2858135</wp:posOffset>
              </wp:positionH>
              <wp:positionV relativeFrom="paragraph">
                <wp:posOffset>16510</wp:posOffset>
              </wp:positionV>
              <wp:extent cx="403200" cy="795600"/>
              <wp:effectExtent l="0" t="0" r="16510" b="24130"/>
              <wp:wrapNone/>
              <wp:docPr id="7864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8144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816" behindDoc="1" locked="0" layoutInCell="1" allowOverlap="1" wp14:anchorId="0FEF9EC5" wp14:editId="76AA9B5E">
              <wp:simplePos x="0" y="0"/>
              <wp:positionH relativeFrom="column">
                <wp:posOffset>2858135</wp:posOffset>
              </wp:positionH>
              <wp:positionV relativeFrom="paragraph">
                <wp:posOffset>16510</wp:posOffset>
              </wp:positionV>
              <wp:extent cx="403200" cy="795600"/>
              <wp:effectExtent l="0" t="0" r="16510" b="24130"/>
              <wp:wrapNone/>
              <wp:docPr id="8520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939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3840" behindDoc="1" locked="0" layoutInCell="1" allowOverlap="1" wp14:anchorId="0A176102" wp14:editId="3DF146F2">
              <wp:simplePos x="0" y="0"/>
              <wp:positionH relativeFrom="column">
                <wp:posOffset>2858135</wp:posOffset>
              </wp:positionH>
              <wp:positionV relativeFrom="paragraph">
                <wp:posOffset>16510</wp:posOffset>
              </wp:positionV>
              <wp:extent cx="403200" cy="795600"/>
              <wp:effectExtent l="0" t="0" r="16510" b="24130"/>
              <wp:wrapNone/>
              <wp:docPr id="8847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4"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8368"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8352" behindDoc="1" locked="0" layoutInCell="1" allowOverlap="1" wp14:anchorId="6C3B74BF" wp14:editId="3FFAC47D">
              <wp:simplePos x="0" y="0"/>
              <wp:positionH relativeFrom="column">
                <wp:posOffset>2858135</wp:posOffset>
              </wp:positionH>
              <wp:positionV relativeFrom="paragraph">
                <wp:posOffset>16510</wp:posOffset>
              </wp:positionV>
              <wp:extent cx="403200" cy="795600"/>
              <wp:effectExtent l="0" t="0" r="16510" b="24130"/>
              <wp:wrapNone/>
              <wp:docPr id="2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EX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fZyU&#10;YhXO6AVZY2ovBXnw/NTGJpi2NRtoPYumb/aUQ+W/sQ1yCpyer5yKkyMcL+PuA86JEo6h0WQwRBtR&#10;otuPDVj3ReiKeCOlgMUDk+y4tq5JvaT4WlbLMluVUgYH9ruFBHJkfry94WgSt+i/pElFamxw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PkagRd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2928" behindDoc="1" locked="0" layoutInCell="1" allowOverlap="1" wp14:anchorId="482C07B1" wp14:editId="5C2FFF85">
              <wp:simplePos x="0" y="0"/>
              <wp:positionH relativeFrom="column">
                <wp:posOffset>2858135</wp:posOffset>
              </wp:positionH>
              <wp:positionV relativeFrom="paragraph">
                <wp:posOffset>16510</wp:posOffset>
              </wp:positionV>
              <wp:extent cx="403200" cy="795600"/>
              <wp:effectExtent l="0" t="0" r="16510" b="24130"/>
              <wp:wrapNone/>
              <wp:docPr id="16384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05pt;margin-top:1.3pt;width:31.75pt;height:62.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X4UQIAALU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&#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D9SgX4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4864" behindDoc="1" locked="0" layoutInCell="1" allowOverlap="1" wp14:anchorId="1250C80E" wp14:editId="40176FFE">
              <wp:simplePos x="0" y="0"/>
              <wp:positionH relativeFrom="column">
                <wp:posOffset>2858135</wp:posOffset>
              </wp:positionH>
              <wp:positionV relativeFrom="paragraph">
                <wp:posOffset>16510</wp:posOffset>
              </wp:positionV>
              <wp:extent cx="403200" cy="795600"/>
              <wp:effectExtent l="0" t="0" r="16510" b="24130"/>
              <wp:wrapNone/>
              <wp:docPr id="9175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5"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7344"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5888" behindDoc="1" locked="0" layoutInCell="1" allowOverlap="1" wp14:anchorId="5E3031DF" wp14:editId="79F6269A">
              <wp:simplePos x="0" y="0"/>
              <wp:positionH relativeFrom="column">
                <wp:posOffset>2858135</wp:posOffset>
              </wp:positionH>
              <wp:positionV relativeFrom="paragraph">
                <wp:posOffset>16510</wp:posOffset>
              </wp:positionV>
              <wp:extent cx="403200" cy="795600"/>
              <wp:effectExtent l="0" t="0" r="16510" b="24130"/>
              <wp:wrapNone/>
              <wp:docPr id="9503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632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w:instrText>
    </w:r>
    <w:r>
      <w:rPr>
        <w:rFonts w:ascii="Verdana" w:hAnsi="Verdana"/>
        <w:b/>
        <w:color w:val="FFFFFF"/>
        <w:sz w:val="18"/>
        <w:szCs w:val="18"/>
      </w:rPr>
      <w:instrText xml:space="preserve">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7936" behindDoc="1" locked="0" layoutInCell="1" allowOverlap="1" wp14:anchorId="7333E60B" wp14:editId="290D16D4">
              <wp:simplePos x="0" y="0"/>
              <wp:positionH relativeFrom="column">
                <wp:posOffset>2858135</wp:posOffset>
              </wp:positionH>
              <wp:positionV relativeFrom="paragraph">
                <wp:posOffset>16510</wp:posOffset>
              </wp:positionV>
              <wp:extent cx="403200" cy="795600"/>
              <wp:effectExtent l="0" t="0" r="16510" b="24130"/>
              <wp:wrapNone/>
              <wp:docPr id="10158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8"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427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8960" behindDoc="1" locked="0" layoutInCell="1" allowOverlap="1" wp14:anchorId="76318CF8" wp14:editId="65F9EAA5">
              <wp:simplePos x="0" y="0"/>
              <wp:positionH relativeFrom="column">
                <wp:posOffset>2858135</wp:posOffset>
              </wp:positionH>
              <wp:positionV relativeFrom="paragraph">
                <wp:posOffset>16510</wp:posOffset>
              </wp:positionV>
              <wp:extent cx="403200" cy="795600"/>
              <wp:effectExtent l="0" t="0" r="16510" b="24130"/>
              <wp:wrapNone/>
              <wp:docPr id="104863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9"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3248"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1008" behindDoc="1" locked="0" layoutInCell="1" allowOverlap="1" wp14:anchorId="3FABB301" wp14:editId="38FEF8E4">
              <wp:simplePos x="0" y="0"/>
              <wp:positionH relativeFrom="column">
                <wp:posOffset>2858135</wp:posOffset>
              </wp:positionH>
              <wp:positionV relativeFrom="paragraph">
                <wp:posOffset>16510</wp:posOffset>
              </wp:positionV>
              <wp:extent cx="403200" cy="795600"/>
              <wp:effectExtent l="0" t="0" r="16510" b="24130"/>
              <wp:wrapNone/>
              <wp:docPr id="11141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1200"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032" behindDoc="1" locked="0" layoutInCell="1" allowOverlap="1" wp14:anchorId="289F2044" wp14:editId="7BA59795">
              <wp:simplePos x="0" y="0"/>
              <wp:positionH relativeFrom="column">
                <wp:posOffset>2858135</wp:posOffset>
              </wp:positionH>
              <wp:positionV relativeFrom="paragraph">
                <wp:posOffset>16510</wp:posOffset>
              </wp:positionV>
              <wp:extent cx="403200" cy="795600"/>
              <wp:effectExtent l="0" t="0" r="16510" b="24130"/>
              <wp:wrapNone/>
              <wp:docPr id="114694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2"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0176"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3056" behindDoc="1" locked="0" layoutInCell="1" allowOverlap="1" wp14:anchorId="1AB528E4" wp14:editId="32EE6CC0">
              <wp:simplePos x="0" y="0"/>
              <wp:positionH relativeFrom="column">
                <wp:posOffset>2858135</wp:posOffset>
              </wp:positionH>
              <wp:positionV relativeFrom="paragraph">
                <wp:posOffset>16510</wp:posOffset>
              </wp:positionV>
              <wp:extent cx="403200" cy="795600"/>
              <wp:effectExtent l="0" t="0" r="16510" b="24130"/>
              <wp:wrapNone/>
              <wp:docPr id="11797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9152" fillcolor="#016794" strokecolor="#385d8a" strokeweight="2pt">
              <v:path arrowok="t"/>
            </v:rect>
          </w:pict>
        </mc:Fallback>
      </mc:AlternateContent>
    </w:r>
  </w:p>
  <w:p w:rsidR="001609E3" w:rsidRDefault="00E45B6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9E3" w:rsidRDefault="00E45B63">
      <w:r>
        <w:separator/>
      </w:r>
    </w:p>
    <w:p w:rsidR="001609E3" w:rsidRDefault="001609E3"/>
  </w:footnote>
  <w:footnote w:type="continuationSeparator" w:id="0">
    <w:p w:rsidR="001609E3" w:rsidRDefault="00E45B63">
      <w:r>
        <w:continuationSeparator/>
      </w:r>
    </w:p>
    <w:p w:rsidR="001609E3" w:rsidRDefault="001609E3"/>
  </w:footnote>
  <w:footnote w:id="1">
    <w:p w:rsidR="001609E3" w:rsidRDefault="00E45B63">
      <w:pPr>
        <w:pStyle w:val="Default"/>
        <w:rPr>
          <w:rFonts w:ascii="Verdana" w:eastAsia="Times New Roman" w:hAnsi="Verdana" w:cs="EUAlbertina"/>
          <w:sz w:val="14"/>
          <w:szCs w:val="14"/>
          <w:lang w:eastAsia="en-GB"/>
        </w:rPr>
      </w:pPr>
      <w:r>
        <w:rPr>
          <w:rStyle w:val="FootnoteReference"/>
          <w:rFonts w:ascii="Verdana" w:hAnsi="Verdana"/>
          <w:sz w:val="14"/>
        </w:rPr>
        <w:footnoteRef/>
      </w:r>
      <w:r>
        <w:rPr>
          <w:rFonts w:ascii="Verdana" w:hAnsi="Verdana"/>
          <w:sz w:val="14"/>
        </w:rPr>
        <w:t xml:space="preserve"> </w:t>
      </w:r>
      <w:r>
        <w:rPr>
          <w:rFonts w:ascii="Verdana" w:hAnsi="Verdana"/>
          <w:noProof/>
          <w:color w:val="auto"/>
          <w:sz w:val="14"/>
        </w:rPr>
        <w:t>ABl. L 210 vom 6.8.2013, S. 1.</w:t>
      </w:r>
    </w:p>
  </w:footnote>
  <w:footnote w:id="2">
    <w:p w:rsidR="001609E3" w:rsidRDefault="00E45B63">
      <w:pPr>
        <w:pStyle w:val="FootnoteText"/>
        <w:ind w:left="0" w:firstLine="0"/>
        <w:rPr>
          <w:rFonts w:ascii="Verdana" w:hAnsi="Verdana"/>
          <w:noProof/>
          <w:sz w:val="14"/>
          <w:szCs w:val="14"/>
          <w:lang w:eastAsia="en-US"/>
        </w:rPr>
      </w:pPr>
      <w:r>
        <w:rPr>
          <w:rStyle w:val="FootnoteReference"/>
          <w:rFonts w:ascii="Verdana" w:hAnsi="Verdana"/>
          <w:sz w:val="14"/>
        </w:rPr>
        <w:footnoteRef/>
      </w:r>
      <w:r>
        <w:rPr>
          <w:rFonts w:ascii="Verdana" w:hAnsi="Verdana"/>
          <w:sz w:val="14"/>
        </w:rPr>
        <w:t xml:space="preserve"> Die Schaffung der Überbrückungsfazilität war ursprünglich in Form eines Artikels der Durchführungsverordnung für den 11. EEF (COM(2013)445) vorgesehen worden. Als Alternative schlug die Kommission jedoch die Schaffung der Überbrückungsfazilität im Wege </w:t>
      </w:r>
      <w:r>
        <w:rPr>
          <w:rFonts w:ascii="Verdana" w:hAnsi="Verdana"/>
          <w:sz w:val="14"/>
        </w:rPr>
        <w:t>eines besonderen Ratsbeschlusses vor (Vorschlag für einen Beschluss des Rates über Übergangsmaßnahmen für die Verwaltung des EEF vom 1. Januar 2014 bis zum Inkrafttreten des 11. Europäischen Entwicklungsfonds, COM(2013)663) (auf Englisch).</w:t>
      </w:r>
    </w:p>
  </w:footnote>
  <w:footnote w:id="3">
    <w:p w:rsidR="001609E3" w:rsidRDefault="00E45B63">
      <w:pPr>
        <w:pStyle w:val="FootnoteText"/>
        <w:ind w:left="0" w:firstLine="0"/>
        <w:rPr>
          <w:rFonts w:ascii="Verdana" w:hAnsi="Verdana"/>
          <w:sz w:val="14"/>
          <w:szCs w:val="14"/>
        </w:rPr>
      </w:pPr>
      <w:r>
        <w:rPr>
          <w:rStyle w:val="FootnoteReference"/>
          <w:rFonts w:ascii="Verdana" w:hAnsi="Verdana"/>
          <w:sz w:val="14"/>
        </w:rPr>
        <w:footnoteRef/>
      </w:r>
      <w:r>
        <w:rPr>
          <w:rFonts w:ascii="Verdana" w:hAnsi="Verdana"/>
          <w:sz w:val="14"/>
        </w:rPr>
        <w:t xml:space="preserve"> Verordnung (EG</w:t>
      </w:r>
      <w:r>
        <w:rPr>
          <w:rFonts w:ascii="Verdana" w:hAnsi="Verdana"/>
          <w:sz w:val="14"/>
        </w:rPr>
        <w:t>) Nr. 215/2008 des Rates vom 18. Februar 2008 über die Finanzregelung für den 10. Europäischen Entwicklungsfonds. ABl. L 78 vom 19.2.2008, S. 1.</w:t>
      </w:r>
    </w:p>
  </w:footnote>
  <w:footnote w:id="4">
    <w:p w:rsidR="001609E3" w:rsidRDefault="00E45B63">
      <w:pPr>
        <w:pStyle w:val="FootnoteText"/>
        <w:ind w:left="0" w:firstLine="0"/>
        <w:rPr>
          <w:rFonts w:ascii="Verdana" w:hAnsi="Verdana"/>
          <w:sz w:val="14"/>
          <w:szCs w:val="14"/>
        </w:rPr>
      </w:pPr>
      <w:r>
        <w:rPr>
          <w:rStyle w:val="FootnoteReference"/>
          <w:rFonts w:ascii="Verdana" w:hAnsi="Verdana"/>
          <w:sz w:val="14"/>
        </w:rPr>
        <w:footnoteRef/>
      </w:r>
      <w:r>
        <w:rPr>
          <w:rFonts w:ascii="Verdana" w:hAnsi="Verdana"/>
          <w:sz w:val="14"/>
        </w:rPr>
        <w:t xml:space="preserve"> Verordnung (EU) Nr. 567/2014 des Rates vom 26. Mai 2014 zur Änderung der Verordnung (EG) Nr. 215/2008 über di</w:t>
      </w:r>
      <w:r>
        <w:rPr>
          <w:rFonts w:ascii="Verdana" w:hAnsi="Verdana"/>
          <w:sz w:val="14"/>
        </w:rPr>
        <w:t>e Finanzregelung für den 10. Europäischen Entwicklungsfonds für die Zwecke der Anwendung des Übergangszeitraums zwischen dem 10. Europäischen Entwicklungsfonds und dem 11. Europäischen Entwicklungsfonds bis zum Inkrafttreten des Internen Abkommens über den</w:t>
      </w:r>
      <w:r>
        <w:rPr>
          <w:rFonts w:ascii="Verdana" w:hAnsi="Verdana"/>
          <w:sz w:val="14"/>
        </w:rPr>
        <w:t xml:space="preserve"> 11. Europäischen Entwicklungsfonds. ABl. L 157 vom 27.5.2014, S. 52.</w:t>
      </w:r>
    </w:p>
  </w:footnote>
  <w:footnote w:id="5">
    <w:p w:rsidR="001609E3" w:rsidRDefault="00E45B63">
      <w:pPr>
        <w:pStyle w:val="FootnoteText"/>
        <w:ind w:left="0" w:firstLine="0"/>
        <w:rPr>
          <w:rFonts w:ascii="Verdana" w:hAnsi="Verdana"/>
          <w:sz w:val="14"/>
          <w:szCs w:val="14"/>
        </w:rPr>
      </w:pPr>
      <w:r>
        <w:rPr>
          <w:rStyle w:val="FootnoteReference"/>
          <w:rFonts w:ascii="Verdana" w:hAnsi="Verdana"/>
          <w:sz w:val="14"/>
        </w:rPr>
        <w:footnoteRef/>
      </w:r>
      <w:r>
        <w:rPr>
          <w:sz w:val="14"/>
        </w:rPr>
        <w:t xml:space="preserve"> </w:t>
      </w:r>
      <w:r>
        <w:rPr>
          <w:rFonts w:ascii="Verdana" w:hAnsi="Verdana"/>
          <w:sz w:val="14"/>
        </w:rPr>
        <w:t>Verordnung (EU) 2015/323 des Rates vom 2. März 2015 über die Finanzregelung für den 11. Europäischen Entwicklungsfonds. ABl. L 58 vom 3.3.2015, S. 17-38.</w:t>
      </w:r>
    </w:p>
  </w:footnote>
  <w:footnote w:id="6">
    <w:p w:rsidR="001609E3" w:rsidRDefault="00E45B63">
      <w:pPr>
        <w:pStyle w:val="FootnoteText"/>
        <w:ind w:left="0" w:firstLine="0"/>
        <w:rPr>
          <w:rFonts w:ascii="Verdana" w:hAnsi="Verdana"/>
          <w:sz w:val="16"/>
          <w:szCs w:val="16"/>
        </w:rPr>
      </w:pPr>
      <w:r>
        <w:rPr>
          <w:rStyle w:val="FootnoteReference"/>
          <w:rFonts w:ascii="Verdana" w:hAnsi="Verdana"/>
          <w:sz w:val="14"/>
        </w:rPr>
        <w:footnoteRef/>
      </w:r>
      <w:r>
        <w:rPr>
          <w:rStyle w:val="FootnoteReference"/>
          <w:rFonts w:ascii="Verdana" w:hAnsi="Verdana"/>
          <w:sz w:val="14"/>
        </w:rPr>
        <w:t xml:space="preserve"> </w:t>
      </w:r>
      <w:r>
        <w:rPr>
          <w:rFonts w:ascii="Verdana" w:hAnsi="Verdana"/>
          <w:sz w:val="14"/>
        </w:rPr>
        <w:t>Verordnung (EU) 2015/322 des</w:t>
      </w:r>
      <w:r>
        <w:rPr>
          <w:rFonts w:ascii="Verdana" w:hAnsi="Verdana"/>
          <w:sz w:val="14"/>
        </w:rPr>
        <w:t xml:space="preserve"> Rates vom 2. März 2015 über die Durchführung des 11. Europäischen Entwicklungsfonds. ABl. L 58 vom 3.3.2015, S. 1-16.</w:t>
      </w:r>
    </w:p>
  </w:footnote>
  <w:footnote w:id="7">
    <w:p w:rsidR="001609E3" w:rsidRDefault="00E45B63">
      <w:pPr>
        <w:pStyle w:val="Textstand-alone"/>
        <w:rPr>
          <w:sz w:val="16"/>
          <w:szCs w:val="16"/>
        </w:rPr>
      </w:pPr>
      <w:r>
        <w:rPr>
          <w:noProof w:val="0"/>
          <w:sz w:val="14"/>
        </w:rPr>
        <w:footnoteRef/>
      </w:r>
      <w:r>
        <w:rPr>
          <w:noProof w:val="0"/>
          <w:sz w:val="14"/>
        </w:rPr>
        <w:t xml:space="preserve"> Verordnung (EU) Nr. 567/2014 des Rates vom 26. Mai 2014 zur Änderung der Verordnung (EG) Nr. 215/2008 über die Finanzregelung für den 1</w:t>
      </w:r>
      <w:r>
        <w:rPr>
          <w:noProof w:val="0"/>
          <w:sz w:val="14"/>
        </w:rPr>
        <w:t>0. Europäischen Entwicklungsfonds für die Zwecke der Anwendung des Übergangszeitraums zwischen dem 10. Europäischen Entwicklungsfonds und dem 11. Europäischen Entwicklungsfonds bis zum Inkrafttreten des Internen Abkommens über den 11. Europäischen Entwickl</w:t>
      </w:r>
      <w:r>
        <w:rPr>
          <w:noProof w:val="0"/>
          <w:sz w:val="14"/>
        </w:rPr>
        <w:t>ungsfonds. ABl. L 157 vom 27.5.2014, Art. 43.</w:t>
      </w:r>
    </w:p>
  </w:footnote>
  <w:footnote w:id="8">
    <w:p w:rsidR="001609E3" w:rsidRDefault="00E45B63">
      <w:pPr>
        <w:pStyle w:val="FootnoteText"/>
        <w:ind w:left="0" w:firstLine="0"/>
        <w:rPr>
          <w:rFonts w:ascii="Verdana" w:hAnsi="Verdana"/>
          <w:sz w:val="14"/>
          <w:szCs w:val="14"/>
        </w:rPr>
      </w:pPr>
      <w:r>
        <w:rPr>
          <w:rStyle w:val="FootnoteReference"/>
          <w:rFonts w:ascii="Verdana" w:hAnsi="Verdana"/>
          <w:sz w:val="14"/>
        </w:rPr>
        <w:footnoteRef/>
      </w:r>
      <w:r>
        <w:rPr>
          <w:rFonts w:ascii="Verdana" w:hAnsi="Verdana"/>
          <w:sz w:val="14"/>
        </w:rPr>
        <w:t>2016 ist das erste Jahr, in dem der Jahresabschluss des EU-Treuhandfonds für Afrika veröffentlicht und demzufolge auch erstmals in die Jahresrechnungen des EEF aufgenommen wird. Die Transaktionen des Jahres 20</w:t>
      </w:r>
      <w:r>
        <w:rPr>
          <w:rFonts w:ascii="Verdana" w:hAnsi="Verdana"/>
          <w:sz w:val="14"/>
        </w:rPr>
        <w:t>15 finden sich in den Vergleichszahlen wieder.</w:t>
      </w:r>
    </w:p>
  </w:footnote>
  <w:footnote w:id="9">
    <w:p w:rsidR="001609E3" w:rsidRDefault="00E45B63">
      <w:pPr>
        <w:pStyle w:val="Textstand-alone"/>
      </w:pPr>
      <w:r>
        <w:rPr>
          <w:rStyle w:val="FootnoteReference"/>
        </w:rPr>
        <w:footnoteRef/>
      </w:r>
      <w:r>
        <w:t xml:space="preserve"> </w:t>
      </w:r>
      <w:r>
        <w:rPr>
          <w:sz w:val="14"/>
        </w:rPr>
        <w:t>Gemäß Artikel 59 der Finanzregelung für den 11. Europäischen Entwicklungsfonds werden die Kassenmittel in der Vermögensübersicht des 11. EEF ausgewiesen.</w:t>
      </w:r>
    </w:p>
  </w:footnote>
  <w:footnote w:id="10">
    <w:p w:rsidR="001609E3" w:rsidRDefault="00E45B63">
      <w:pPr>
        <w:pStyle w:val="Text8pNormalLeft"/>
        <w:jc w:val="both"/>
        <w:rPr>
          <w:sz w:val="14"/>
          <w:szCs w:val="14"/>
        </w:rPr>
      </w:pPr>
      <w:r>
        <w:rPr>
          <w:rStyle w:val="FootnoteReference"/>
          <w:sz w:val="14"/>
        </w:rPr>
        <w:footnoteRef/>
      </w:r>
      <w:r>
        <w:rPr>
          <w:sz w:val="14"/>
        </w:rPr>
        <w:t xml:space="preserve"> Gemäß Artikel 59 der Finanzregelung für den 11. Europäischen Entwicklungsfonds werden die Kassenmittel in der Vermögensübersicht des 11. EEF ausgewiesen. Die Beschaffenheit der verschiedenen Bankkonten wird in Kapitel 5 „Management des finanziellen Risiko</w:t>
      </w:r>
      <w:r>
        <w:rPr>
          <w:sz w:val="14"/>
        </w:rPr>
        <w:t>s“ umrissen.</w:t>
      </w:r>
    </w:p>
  </w:footnote>
  <w:footnote w:id="11">
    <w:p w:rsidR="001609E3" w:rsidRDefault="00E45B63">
      <w:pPr>
        <w:pStyle w:val="Text8pNormalLeft"/>
      </w:pPr>
      <w:r>
        <w:rPr>
          <w:rStyle w:val="FootnoteReference"/>
          <w:sz w:val="14"/>
        </w:rPr>
        <w:footnoteRef/>
      </w:r>
      <w:r>
        <w:rPr>
          <w:sz w:val="14"/>
        </w:rPr>
        <w:t xml:space="preserve"> ABl. L 156 vom 29.5.1998, S. 3-106.</w:t>
      </w:r>
    </w:p>
  </w:footnote>
  <w:footnote w:id="12">
    <w:p w:rsidR="001609E3" w:rsidRDefault="00E45B63">
      <w:pPr>
        <w:pStyle w:val="FootnoteText"/>
        <w:rPr>
          <w:rFonts w:ascii="Verdana" w:hAnsi="Verdana"/>
          <w:sz w:val="14"/>
          <w:szCs w:val="14"/>
        </w:rPr>
      </w:pPr>
      <w:r>
        <w:rPr>
          <w:rStyle w:val="FootnoteReference"/>
          <w:rFonts w:ascii="Verdana" w:hAnsi="Verdana"/>
          <w:sz w:val="14"/>
        </w:rPr>
        <w:footnoteRef/>
      </w:r>
      <w:r>
        <w:rPr>
          <w:rFonts w:ascii="Verdana" w:hAnsi="Verdana"/>
          <w:sz w:val="14"/>
        </w:rPr>
        <w:t xml:space="preserve"> Nach den Bestimmungen von Artikel 9 Absatz 2 Buchstabe d der Finanzregelung für den 11. EEF erfasst.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63" w:rsidRPr="00E45B63" w:rsidRDefault="00E45B63" w:rsidP="00E45B6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w:t>
    </w:r>
    <w:r>
      <w:rPr>
        <w:rFonts w:ascii="Verdana" w:hAnsi="Verdana"/>
        <w:i/>
        <w:color w:val="016794"/>
        <w:sz w:val="16"/>
      </w:rPr>
      <w:t>chen Entwicklungsfonds 2016</w:t>
    </w:r>
  </w:p>
  <w:p w:rsidR="001609E3" w:rsidRDefault="001609E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w:t>
    </w:r>
    <w:r>
      <w:rPr>
        <w:rFonts w:ascii="Verdana" w:hAnsi="Verdana"/>
        <w:i/>
        <w:color w:val="016794"/>
        <w:sz w:val="16"/>
      </w:rPr>
      <w:t>Entwicklungsfonds 2016</w:t>
    </w:r>
  </w:p>
  <w:p w:rsidR="001609E3" w:rsidRDefault="001609E3">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w:t>
    </w:r>
    <w:r>
      <w:rPr>
        <w:rFonts w:ascii="Verdana" w:hAnsi="Verdana"/>
        <w:i/>
        <w:color w:val="016794"/>
        <w:sz w:val="16"/>
      </w:rPr>
      <w:t>Entwicklungsfonds 2016</w:t>
    </w:r>
  </w:p>
  <w:p w:rsidR="001609E3" w:rsidRDefault="001609E3">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w:t>
    </w:r>
    <w:r>
      <w:rPr>
        <w:rFonts w:ascii="Verdana" w:hAnsi="Verdana"/>
        <w:i/>
        <w:color w:val="016794"/>
        <w:sz w:val="16"/>
      </w:rPr>
      <w:t>Entwicklungsfonds 2016</w:t>
    </w:r>
  </w:p>
  <w:p w:rsidR="001609E3" w:rsidRDefault="001609E3">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w:t>
    </w:r>
    <w:r>
      <w:rPr>
        <w:rFonts w:ascii="Verdana" w:hAnsi="Verdana"/>
        <w:i/>
        <w:color w:val="016794"/>
        <w:sz w:val="16"/>
      </w:rPr>
      <w:t>des Europäischen Entwicklungsfonds 2016</w:t>
    </w:r>
  </w:p>
  <w:p w:rsidR="001609E3" w:rsidRDefault="001609E3">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w:t>
    </w:r>
    <w:r>
      <w:rPr>
        <w:rFonts w:ascii="Verdana" w:hAnsi="Verdana"/>
        <w:i/>
        <w:color w:val="016794"/>
        <w:sz w:val="16"/>
      </w:rPr>
      <w:t>sfonds 2016</w:t>
    </w:r>
  </w:p>
  <w:p w:rsidR="001609E3" w:rsidRDefault="001609E3">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w:t>
    </w:r>
    <w:r>
      <w:rPr>
        <w:rFonts w:ascii="Verdana" w:hAnsi="Verdana"/>
        <w:i/>
        <w:color w:val="016794"/>
        <w:sz w:val="16"/>
      </w:rPr>
      <w:t>Entwicklungsfonds 2016</w:t>
    </w:r>
  </w:p>
  <w:p w:rsidR="001609E3" w:rsidRDefault="001609E3">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w:t>
    </w:r>
    <w:r>
      <w:rPr>
        <w:rFonts w:ascii="Verdana" w:hAnsi="Verdana"/>
        <w:i/>
        <w:color w:val="016794"/>
        <w:sz w:val="16"/>
      </w:rPr>
      <w:t>6</w:t>
    </w:r>
  </w:p>
  <w:p w:rsidR="001609E3" w:rsidRDefault="001609E3">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Vorläufige Jahresrechnungen des Europäischen Entwicklungsfonds 2016</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w:t>
    </w:r>
    <w:r>
      <w:rPr>
        <w:rFonts w:ascii="Verdana" w:hAnsi="Verdana"/>
        <w:i/>
        <w:color w:val="016794"/>
        <w:sz w:val="16"/>
      </w:rPr>
      <w:t>Entwicklungsfonds 2016</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Entwicklungsfonds </w:t>
    </w:r>
    <w:r>
      <w:rPr>
        <w:rFonts w:ascii="Verdana" w:hAnsi="Verdana"/>
        <w:i/>
        <w:color w:val="016794"/>
        <w:sz w:val="16"/>
      </w:rPr>
      <w:t>2016</w:t>
    </w:r>
  </w:p>
  <w:p w:rsidR="001609E3" w:rsidRDefault="001609E3">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 xml:space="preserve">INVESTITIONSFAZILITÄT </w:t>
    </w:r>
  </w:p>
  <w:p w:rsidR="001609E3" w:rsidRDefault="001609E3">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Bdr>
        <w:top w:val="nil"/>
        <w:left w:val="nil"/>
        <w:bottom w:val="nil"/>
        <w:right w:val="nil"/>
        <w:between w:val="nil"/>
        <w:bar w:val="nil"/>
      </w:pBdr>
      <w:rPr>
        <w:bdr w:val="nil"/>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INVESTITIONSFAZILITÄT</w:t>
    </w:r>
  </w:p>
  <w:p w:rsidR="001609E3" w:rsidRDefault="001609E3">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63" w:rsidRPr="00E45B63" w:rsidRDefault="00E45B63" w:rsidP="00E45B6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lang w:val="en-GB"/>
      </w:rPr>
    </w:pPr>
    <w:r>
      <w:rPr>
        <w:rFonts w:ascii="Verdana" w:hAnsi="Verdana"/>
        <w:i/>
        <w:color w:val="016794"/>
        <w:sz w:val="16"/>
      </w:rPr>
      <w:t xml:space="preserve">Jahresrechnungen des Europäischen Entwicklungsfonds </w:t>
    </w:r>
    <w:r>
      <w:rPr>
        <w:rFonts w:ascii="Verdana" w:hAnsi="Verdana"/>
        <w:i/>
        <w:color w:val="016794"/>
        <w:sz w:val="16"/>
        <w:szCs w:val="14"/>
        <w:lang w:val="en-GB"/>
      </w:rPr>
      <w:t>2016</w:t>
    </w:r>
  </w:p>
  <w:p w:rsidR="001609E3" w:rsidRDefault="001609E3">
    <w:pPr>
      <w:pStyle w:val="Header"/>
      <w:rPr>
        <w:lang w:val="en-GB"/>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w:t>
    </w:r>
    <w:r>
      <w:rPr>
        <w:rFonts w:ascii="Verdana" w:hAnsi="Verdana"/>
        <w:i/>
        <w:color w:val="016794"/>
        <w:sz w:val="16"/>
      </w:rPr>
      <w:t>Entwicklungsfonds 2016</w:t>
    </w:r>
  </w:p>
  <w:p w:rsidR="001609E3" w:rsidRDefault="001609E3">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Normal0"/>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25"/>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INVESTITIONSFAZILITÄT</w:t>
    </w:r>
  </w:p>
  <w:p w:rsidR="001609E3" w:rsidRDefault="001609E3">
    <w:pPr>
      <w:pStyle w:val="Header25"/>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25"/>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Normal27"/>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INVESTITIONSFAZILITÄT</w:t>
    </w:r>
  </w:p>
  <w:p w:rsidR="001609E3" w:rsidRDefault="001609E3">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Normal2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63" w:rsidRPr="00E45B63" w:rsidRDefault="00E45B63" w:rsidP="00E45B6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w:t>
    </w:r>
    <w:r>
      <w:rPr>
        <w:rFonts w:ascii="Verdana" w:hAnsi="Verdana"/>
        <w:i/>
        <w:color w:val="016794"/>
        <w:sz w:val="16"/>
      </w:rPr>
      <w:t>Europäischen Entwicklungsfonds 2016</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Jahresrechnungen des Europäischen Entwicklungsfonds </w:t>
    </w:r>
    <w:r>
      <w:rPr>
        <w:rFonts w:ascii="Verdana" w:hAnsi="Verdana"/>
        <w:i/>
        <w:color w:val="016794"/>
        <w:sz w:val="16"/>
      </w:rPr>
      <w:t>2016</w:t>
    </w:r>
  </w:p>
  <w:p w:rsidR="001609E3" w:rsidRDefault="001609E3">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E45B63">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Jahresrechnungen des Europäischen Entwicklungsfonds 2016</w:t>
    </w:r>
  </w:p>
  <w:p w:rsidR="001609E3" w:rsidRDefault="001609E3">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9E3" w:rsidRDefault="001609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CE0FEBC"/>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DF685982">
      <w:start w:val="1"/>
      <w:numFmt w:val="lowerLetter"/>
      <w:pStyle w:val="Textstand-alonenumberingLetters"/>
      <w:lvlText w:val="%1)"/>
      <w:lvlJc w:val="left"/>
      <w:pPr>
        <w:ind w:left="720" w:hanging="360"/>
      </w:pPr>
      <w:rPr>
        <w:rFonts w:hint="default"/>
      </w:rPr>
    </w:lvl>
    <w:lvl w:ilvl="1" w:tplc="38A0E20A" w:tentative="1">
      <w:start w:val="1"/>
      <w:numFmt w:val="lowerLetter"/>
      <w:lvlText w:val="%2."/>
      <w:lvlJc w:val="left"/>
      <w:pPr>
        <w:ind w:left="1440" w:hanging="360"/>
      </w:pPr>
    </w:lvl>
    <w:lvl w:ilvl="2" w:tplc="13982AD4" w:tentative="1">
      <w:start w:val="1"/>
      <w:numFmt w:val="lowerRoman"/>
      <w:lvlText w:val="%3."/>
      <w:lvlJc w:val="right"/>
      <w:pPr>
        <w:ind w:left="2160" w:hanging="180"/>
      </w:pPr>
    </w:lvl>
    <w:lvl w:ilvl="3" w:tplc="8C425408" w:tentative="1">
      <w:start w:val="1"/>
      <w:numFmt w:val="decimal"/>
      <w:lvlText w:val="%4."/>
      <w:lvlJc w:val="left"/>
      <w:pPr>
        <w:ind w:left="2880" w:hanging="360"/>
      </w:pPr>
    </w:lvl>
    <w:lvl w:ilvl="4" w:tplc="501A69FE" w:tentative="1">
      <w:start w:val="1"/>
      <w:numFmt w:val="lowerLetter"/>
      <w:lvlText w:val="%5."/>
      <w:lvlJc w:val="left"/>
      <w:pPr>
        <w:ind w:left="3600" w:hanging="360"/>
      </w:pPr>
    </w:lvl>
    <w:lvl w:ilvl="5" w:tplc="96385366" w:tentative="1">
      <w:start w:val="1"/>
      <w:numFmt w:val="lowerRoman"/>
      <w:lvlText w:val="%6."/>
      <w:lvlJc w:val="right"/>
      <w:pPr>
        <w:ind w:left="4320" w:hanging="180"/>
      </w:pPr>
    </w:lvl>
    <w:lvl w:ilvl="6" w:tplc="D09A2A64" w:tentative="1">
      <w:start w:val="1"/>
      <w:numFmt w:val="decimal"/>
      <w:lvlText w:val="%7."/>
      <w:lvlJc w:val="left"/>
      <w:pPr>
        <w:ind w:left="5040" w:hanging="360"/>
      </w:pPr>
    </w:lvl>
    <w:lvl w:ilvl="7" w:tplc="B57866D4" w:tentative="1">
      <w:start w:val="1"/>
      <w:numFmt w:val="lowerLetter"/>
      <w:lvlText w:val="%8."/>
      <w:lvlJc w:val="left"/>
      <w:pPr>
        <w:ind w:left="5760" w:hanging="360"/>
      </w:pPr>
    </w:lvl>
    <w:lvl w:ilvl="8" w:tplc="66460280" w:tentative="1">
      <w:start w:val="1"/>
      <w:numFmt w:val="lowerRoman"/>
      <w:lvlText w:val="%9."/>
      <w:lvlJc w:val="right"/>
      <w:pPr>
        <w:ind w:left="6480" w:hanging="180"/>
      </w:pPr>
    </w:lvl>
  </w:abstractNum>
  <w:abstractNum w:abstractNumId="2">
    <w:nsid w:val="00000004"/>
    <w:multiLevelType w:val="hybridMultilevel"/>
    <w:tmpl w:val="7CB6E1C4"/>
    <w:lvl w:ilvl="0" w:tplc="FFD42D0A">
      <w:start w:val="1"/>
      <w:numFmt w:val="decimal"/>
      <w:pStyle w:val="DGTextstand-alonenumbering"/>
      <w:lvlText w:val="(%1)"/>
      <w:lvlJc w:val="left"/>
      <w:pPr>
        <w:ind w:left="720" w:hanging="360"/>
      </w:pPr>
      <w:rPr>
        <w:rFonts w:hint="default"/>
      </w:rPr>
    </w:lvl>
    <w:lvl w:ilvl="1" w:tplc="20C6A190" w:tentative="1">
      <w:start w:val="1"/>
      <w:numFmt w:val="lowerLetter"/>
      <w:lvlText w:val="%2."/>
      <w:lvlJc w:val="left"/>
      <w:pPr>
        <w:ind w:left="1440" w:hanging="360"/>
      </w:pPr>
    </w:lvl>
    <w:lvl w:ilvl="2" w:tplc="9A4A7902" w:tentative="1">
      <w:start w:val="1"/>
      <w:numFmt w:val="lowerRoman"/>
      <w:lvlText w:val="%3."/>
      <w:lvlJc w:val="right"/>
      <w:pPr>
        <w:ind w:left="2160" w:hanging="180"/>
      </w:pPr>
    </w:lvl>
    <w:lvl w:ilvl="3" w:tplc="D3D2C4B6" w:tentative="1">
      <w:start w:val="1"/>
      <w:numFmt w:val="decimal"/>
      <w:lvlText w:val="%4."/>
      <w:lvlJc w:val="left"/>
      <w:pPr>
        <w:ind w:left="2880" w:hanging="360"/>
      </w:pPr>
    </w:lvl>
    <w:lvl w:ilvl="4" w:tplc="2458C082" w:tentative="1">
      <w:start w:val="1"/>
      <w:numFmt w:val="lowerLetter"/>
      <w:lvlText w:val="%5."/>
      <w:lvlJc w:val="left"/>
      <w:pPr>
        <w:ind w:left="3600" w:hanging="360"/>
      </w:pPr>
    </w:lvl>
    <w:lvl w:ilvl="5" w:tplc="EAD47E10" w:tentative="1">
      <w:start w:val="1"/>
      <w:numFmt w:val="lowerRoman"/>
      <w:lvlText w:val="%6."/>
      <w:lvlJc w:val="right"/>
      <w:pPr>
        <w:ind w:left="4320" w:hanging="180"/>
      </w:pPr>
    </w:lvl>
    <w:lvl w:ilvl="6" w:tplc="8ACC4B4A" w:tentative="1">
      <w:start w:val="1"/>
      <w:numFmt w:val="decimal"/>
      <w:lvlText w:val="%7."/>
      <w:lvlJc w:val="left"/>
      <w:pPr>
        <w:ind w:left="5040" w:hanging="360"/>
      </w:pPr>
    </w:lvl>
    <w:lvl w:ilvl="7" w:tplc="B5D4220C" w:tentative="1">
      <w:start w:val="1"/>
      <w:numFmt w:val="lowerLetter"/>
      <w:lvlText w:val="%8."/>
      <w:lvlJc w:val="left"/>
      <w:pPr>
        <w:ind w:left="5760" w:hanging="360"/>
      </w:pPr>
    </w:lvl>
    <w:lvl w:ilvl="8" w:tplc="A0A8B472" w:tentative="1">
      <w:start w:val="1"/>
      <w:numFmt w:val="lowerRoman"/>
      <w:lvlText w:val="%9."/>
      <w:lvlJc w:val="right"/>
      <w:pPr>
        <w:ind w:left="6480" w:hanging="180"/>
      </w:pPr>
    </w:lvl>
  </w:abstractNum>
  <w:abstractNum w:abstractNumId="3">
    <w:nsid w:val="00000006"/>
    <w:multiLevelType w:val="hybridMultilevel"/>
    <w:tmpl w:val="42FC2B20"/>
    <w:lvl w:ilvl="0" w:tplc="D940E6D0">
      <w:start w:val="1"/>
      <w:numFmt w:val="lowerRoman"/>
      <w:pStyle w:val="TextSubtitlenumberingRCItalic"/>
      <w:lvlText w:val="(%1)"/>
      <w:lvlJc w:val="left"/>
      <w:pPr>
        <w:ind w:left="720" w:hanging="360"/>
      </w:pPr>
      <w:rPr>
        <w:rFonts w:hint="default"/>
      </w:rPr>
    </w:lvl>
    <w:lvl w:ilvl="1" w:tplc="5F606EAA" w:tentative="1">
      <w:start w:val="1"/>
      <w:numFmt w:val="lowerLetter"/>
      <w:lvlText w:val="%2."/>
      <w:lvlJc w:val="left"/>
      <w:pPr>
        <w:ind w:left="1440" w:hanging="360"/>
      </w:pPr>
    </w:lvl>
    <w:lvl w:ilvl="2" w:tplc="DF16C972" w:tentative="1">
      <w:start w:val="1"/>
      <w:numFmt w:val="lowerRoman"/>
      <w:lvlText w:val="%3."/>
      <w:lvlJc w:val="right"/>
      <w:pPr>
        <w:ind w:left="2160" w:hanging="180"/>
      </w:pPr>
    </w:lvl>
    <w:lvl w:ilvl="3" w:tplc="B30E9C42" w:tentative="1">
      <w:start w:val="1"/>
      <w:numFmt w:val="decimal"/>
      <w:lvlText w:val="%4."/>
      <w:lvlJc w:val="left"/>
      <w:pPr>
        <w:ind w:left="2880" w:hanging="360"/>
      </w:pPr>
    </w:lvl>
    <w:lvl w:ilvl="4" w:tplc="040A34A0" w:tentative="1">
      <w:start w:val="1"/>
      <w:numFmt w:val="lowerLetter"/>
      <w:lvlText w:val="%5."/>
      <w:lvlJc w:val="left"/>
      <w:pPr>
        <w:ind w:left="3600" w:hanging="360"/>
      </w:pPr>
    </w:lvl>
    <w:lvl w:ilvl="5" w:tplc="60DC58EE" w:tentative="1">
      <w:start w:val="1"/>
      <w:numFmt w:val="lowerRoman"/>
      <w:lvlText w:val="%6."/>
      <w:lvlJc w:val="right"/>
      <w:pPr>
        <w:ind w:left="4320" w:hanging="180"/>
      </w:pPr>
    </w:lvl>
    <w:lvl w:ilvl="6" w:tplc="23B65FA8" w:tentative="1">
      <w:start w:val="1"/>
      <w:numFmt w:val="decimal"/>
      <w:lvlText w:val="%7."/>
      <w:lvlJc w:val="left"/>
      <w:pPr>
        <w:ind w:left="5040" w:hanging="360"/>
      </w:pPr>
    </w:lvl>
    <w:lvl w:ilvl="7" w:tplc="03FE955A" w:tentative="1">
      <w:start w:val="1"/>
      <w:numFmt w:val="lowerLetter"/>
      <w:lvlText w:val="%8."/>
      <w:lvlJc w:val="left"/>
      <w:pPr>
        <w:ind w:left="5760" w:hanging="360"/>
      </w:pPr>
    </w:lvl>
    <w:lvl w:ilvl="8" w:tplc="44EA1308" w:tentative="1">
      <w:start w:val="1"/>
      <w:numFmt w:val="lowerRoman"/>
      <w:lvlText w:val="%9."/>
      <w:lvlJc w:val="right"/>
      <w:pPr>
        <w:ind w:left="6480" w:hanging="180"/>
      </w:pPr>
    </w:lvl>
  </w:abstractNum>
  <w:abstractNum w:abstractNumId="4">
    <w:nsid w:val="00000007"/>
    <w:multiLevelType w:val="hybridMultilevel"/>
    <w:tmpl w:val="5DD0517A"/>
    <w:lvl w:ilvl="0" w:tplc="37D661B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2F3EBB26" w:tentative="1">
      <w:start w:val="1"/>
      <w:numFmt w:val="lowerLetter"/>
      <w:lvlText w:val="%2."/>
      <w:lvlJc w:val="left"/>
      <w:pPr>
        <w:ind w:left="1797" w:hanging="360"/>
      </w:pPr>
    </w:lvl>
    <w:lvl w:ilvl="2" w:tplc="0F7C539C" w:tentative="1">
      <w:start w:val="1"/>
      <w:numFmt w:val="lowerRoman"/>
      <w:lvlText w:val="%3."/>
      <w:lvlJc w:val="right"/>
      <w:pPr>
        <w:ind w:left="2517" w:hanging="180"/>
      </w:pPr>
    </w:lvl>
    <w:lvl w:ilvl="3" w:tplc="FEBE5C16" w:tentative="1">
      <w:start w:val="1"/>
      <w:numFmt w:val="decimal"/>
      <w:lvlText w:val="%4."/>
      <w:lvlJc w:val="left"/>
      <w:pPr>
        <w:ind w:left="3237" w:hanging="360"/>
      </w:pPr>
    </w:lvl>
    <w:lvl w:ilvl="4" w:tplc="3E3AC6CA" w:tentative="1">
      <w:start w:val="1"/>
      <w:numFmt w:val="lowerLetter"/>
      <w:lvlText w:val="%5."/>
      <w:lvlJc w:val="left"/>
      <w:pPr>
        <w:ind w:left="3957" w:hanging="360"/>
      </w:pPr>
    </w:lvl>
    <w:lvl w:ilvl="5" w:tplc="A7D874B6" w:tentative="1">
      <w:start w:val="1"/>
      <w:numFmt w:val="lowerRoman"/>
      <w:lvlText w:val="%6."/>
      <w:lvlJc w:val="right"/>
      <w:pPr>
        <w:ind w:left="4677" w:hanging="180"/>
      </w:pPr>
    </w:lvl>
    <w:lvl w:ilvl="6" w:tplc="EEACF90C" w:tentative="1">
      <w:start w:val="1"/>
      <w:numFmt w:val="decimal"/>
      <w:lvlText w:val="%7."/>
      <w:lvlJc w:val="left"/>
      <w:pPr>
        <w:ind w:left="5397" w:hanging="360"/>
      </w:pPr>
    </w:lvl>
    <w:lvl w:ilvl="7" w:tplc="E25431AC" w:tentative="1">
      <w:start w:val="1"/>
      <w:numFmt w:val="lowerLetter"/>
      <w:lvlText w:val="%8."/>
      <w:lvlJc w:val="left"/>
      <w:pPr>
        <w:ind w:left="6117" w:hanging="360"/>
      </w:pPr>
    </w:lvl>
    <w:lvl w:ilvl="8" w:tplc="18F84D2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1B785400">
      <w:start w:val="1"/>
      <w:numFmt w:val="decimal"/>
      <w:pStyle w:val="HEADER4Part3"/>
      <w:lvlText w:val="%1.1.1.1"/>
      <w:lvlJc w:val="left"/>
      <w:pPr>
        <w:ind w:left="720" w:hanging="360"/>
      </w:pPr>
      <w:rPr>
        <w:rFonts w:ascii="Verdana" w:hAnsi="Verdana" w:hint="default"/>
        <w:sz w:val="18"/>
        <w:szCs w:val="18"/>
      </w:rPr>
    </w:lvl>
    <w:lvl w:ilvl="1" w:tplc="128A8542" w:tentative="1">
      <w:start w:val="1"/>
      <w:numFmt w:val="lowerLetter"/>
      <w:lvlText w:val="%2."/>
      <w:lvlJc w:val="left"/>
      <w:pPr>
        <w:ind w:left="1440" w:hanging="360"/>
      </w:pPr>
    </w:lvl>
    <w:lvl w:ilvl="2" w:tplc="DA8830E0" w:tentative="1">
      <w:start w:val="1"/>
      <w:numFmt w:val="lowerRoman"/>
      <w:lvlText w:val="%3."/>
      <w:lvlJc w:val="right"/>
      <w:pPr>
        <w:ind w:left="2160" w:hanging="180"/>
      </w:pPr>
    </w:lvl>
    <w:lvl w:ilvl="3" w:tplc="6688C500">
      <w:start w:val="1"/>
      <w:numFmt w:val="decimal"/>
      <w:lvlText w:val="%4."/>
      <w:lvlJc w:val="left"/>
      <w:pPr>
        <w:ind w:left="2880" w:hanging="360"/>
      </w:pPr>
    </w:lvl>
    <w:lvl w:ilvl="4" w:tplc="25D0023E" w:tentative="1">
      <w:start w:val="1"/>
      <w:numFmt w:val="lowerLetter"/>
      <w:lvlText w:val="%5."/>
      <w:lvlJc w:val="left"/>
      <w:pPr>
        <w:ind w:left="3600" w:hanging="360"/>
      </w:pPr>
    </w:lvl>
    <w:lvl w:ilvl="5" w:tplc="3E907D80" w:tentative="1">
      <w:start w:val="1"/>
      <w:numFmt w:val="lowerRoman"/>
      <w:lvlText w:val="%6."/>
      <w:lvlJc w:val="right"/>
      <w:pPr>
        <w:ind w:left="4320" w:hanging="180"/>
      </w:pPr>
    </w:lvl>
    <w:lvl w:ilvl="6" w:tplc="296C96EA" w:tentative="1">
      <w:start w:val="1"/>
      <w:numFmt w:val="decimal"/>
      <w:lvlText w:val="%7."/>
      <w:lvlJc w:val="left"/>
      <w:pPr>
        <w:ind w:left="5040" w:hanging="360"/>
      </w:pPr>
    </w:lvl>
    <w:lvl w:ilvl="7" w:tplc="04C670D8" w:tentative="1">
      <w:start w:val="1"/>
      <w:numFmt w:val="lowerLetter"/>
      <w:lvlText w:val="%8."/>
      <w:lvlJc w:val="left"/>
      <w:pPr>
        <w:ind w:left="5760" w:hanging="360"/>
      </w:pPr>
    </w:lvl>
    <w:lvl w:ilvl="8" w:tplc="ADF62616" w:tentative="1">
      <w:start w:val="1"/>
      <w:numFmt w:val="lowerRoman"/>
      <w:lvlText w:val="%9."/>
      <w:lvlJc w:val="right"/>
      <w:pPr>
        <w:ind w:left="6480" w:hanging="180"/>
      </w:pPr>
    </w:lvl>
  </w:abstractNum>
  <w:abstractNum w:abstractNumId="8">
    <w:nsid w:val="199F1DAA"/>
    <w:multiLevelType w:val="hybridMultilevel"/>
    <w:tmpl w:val="1248AB5A"/>
    <w:lvl w:ilvl="0" w:tplc="585E6DDE">
      <w:start w:val="1"/>
      <w:numFmt w:val="decimal"/>
      <w:pStyle w:val="Textstand-alonenumberingJustified"/>
      <w:lvlText w:val="(%1)"/>
      <w:lvlJc w:val="left"/>
      <w:pPr>
        <w:ind w:left="720" w:hanging="360"/>
      </w:pPr>
      <w:rPr>
        <w:rFonts w:ascii="Verdana" w:hAnsi="Verdana" w:hint="default"/>
        <w:b w:val="0"/>
        <w:i w:val="0"/>
        <w:sz w:val="18"/>
      </w:rPr>
    </w:lvl>
    <w:lvl w:ilvl="1" w:tplc="7D7C75E8" w:tentative="1">
      <w:start w:val="1"/>
      <w:numFmt w:val="lowerLetter"/>
      <w:lvlText w:val="%2."/>
      <w:lvlJc w:val="left"/>
      <w:pPr>
        <w:ind w:left="1440" w:hanging="360"/>
      </w:pPr>
    </w:lvl>
    <w:lvl w:ilvl="2" w:tplc="D2ACC8BC" w:tentative="1">
      <w:start w:val="1"/>
      <w:numFmt w:val="lowerRoman"/>
      <w:lvlText w:val="%3."/>
      <w:lvlJc w:val="right"/>
      <w:pPr>
        <w:ind w:left="2160" w:hanging="180"/>
      </w:pPr>
    </w:lvl>
    <w:lvl w:ilvl="3" w:tplc="7E9234DE" w:tentative="1">
      <w:start w:val="1"/>
      <w:numFmt w:val="decimal"/>
      <w:lvlText w:val="%4."/>
      <w:lvlJc w:val="left"/>
      <w:pPr>
        <w:ind w:left="2880" w:hanging="360"/>
      </w:pPr>
    </w:lvl>
    <w:lvl w:ilvl="4" w:tplc="6F2A377C" w:tentative="1">
      <w:start w:val="1"/>
      <w:numFmt w:val="lowerLetter"/>
      <w:lvlText w:val="%5."/>
      <w:lvlJc w:val="left"/>
      <w:pPr>
        <w:ind w:left="3600" w:hanging="360"/>
      </w:pPr>
    </w:lvl>
    <w:lvl w:ilvl="5" w:tplc="0E66C008" w:tentative="1">
      <w:start w:val="1"/>
      <w:numFmt w:val="lowerRoman"/>
      <w:lvlText w:val="%6."/>
      <w:lvlJc w:val="right"/>
      <w:pPr>
        <w:ind w:left="4320" w:hanging="180"/>
      </w:pPr>
    </w:lvl>
    <w:lvl w:ilvl="6" w:tplc="8A543486" w:tentative="1">
      <w:start w:val="1"/>
      <w:numFmt w:val="decimal"/>
      <w:lvlText w:val="%7."/>
      <w:lvlJc w:val="left"/>
      <w:pPr>
        <w:ind w:left="5040" w:hanging="360"/>
      </w:pPr>
    </w:lvl>
    <w:lvl w:ilvl="7" w:tplc="63D6758E" w:tentative="1">
      <w:start w:val="1"/>
      <w:numFmt w:val="lowerLetter"/>
      <w:lvlText w:val="%8."/>
      <w:lvlJc w:val="left"/>
      <w:pPr>
        <w:ind w:left="5760" w:hanging="360"/>
      </w:pPr>
    </w:lvl>
    <w:lvl w:ilvl="8" w:tplc="60562150" w:tentative="1">
      <w:start w:val="1"/>
      <w:numFmt w:val="lowerRoman"/>
      <w:lvlText w:val="%9."/>
      <w:lvlJc w:val="right"/>
      <w:pPr>
        <w:ind w:left="6480" w:hanging="180"/>
      </w:pPr>
    </w:lvl>
  </w:abstractNum>
  <w:abstractNum w:abstractNumId="9">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31D31BBD"/>
    <w:multiLevelType w:val="hybridMultilevel"/>
    <w:tmpl w:val="AB545582"/>
    <w:lvl w:ilvl="0" w:tplc="49941324">
      <w:start w:val="1"/>
      <w:numFmt w:val="bullet"/>
      <w:pStyle w:val="Textstand-alonebulletpointJustified"/>
      <w:lvlText w:val=""/>
      <w:lvlJc w:val="left"/>
      <w:pPr>
        <w:ind w:left="1080" w:hanging="360"/>
      </w:pPr>
      <w:rPr>
        <w:rFonts w:ascii="Verdana" w:hAnsi="Verdana" w:hint="default"/>
      </w:rPr>
    </w:lvl>
    <w:lvl w:ilvl="1" w:tplc="908CDB66" w:tentative="1">
      <w:start w:val="1"/>
      <w:numFmt w:val="bullet"/>
      <w:lvlText w:val="o"/>
      <w:lvlJc w:val="left"/>
      <w:pPr>
        <w:ind w:left="1800" w:hanging="360"/>
      </w:pPr>
      <w:rPr>
        <w:rFonts w:ascii="Courier New" w:hAnsi="Courier New" w:cs="Courier New" w:hint="default"/>
      </w:rPr>
    </w:lvl>
    <w:lvl w:ilvl="2" w:tplc="7590A4C6" w:tentative="1">
      <w:start w:val="1"/>
      <w:numFmt w:val="bullet"/>
      <w:lvlText w:val=""/>
      <w:lvlJc w:val="left"/>
      <w:pPr>
        <w:ind w:left="2520" w:hanging="360"/>
      </w:pPr>
      <w:rPr>
        <w:rFonts w:ascii="Wingdings" w:hAnsi="Wingdings" w:hint="default"/>
      </w:rPr>
    </w:lvl>
    <w:lvl w:ilvl="3" w:tplc="BF300696" w:tentative="1">
      <w:start w:val="1"/>
      <w:numFmt w:val="bullet"/>
      <w:lvlText w:val=""/>
      <w:lvlJc w:val="left"/>
      <w:pPr>
        <w:ind w:left="3240" w:hanging="360"/>
      </w:pPr>
      <w:rPr>
        <w:rFonts w:ascii="Symbol" w:hAnsi="Symbol" w:hint="default"/>
      </w:rPr>
    </w:lvl>
    <w:lvl w:ilvl="4" w:tplc="FE92C80A" w:tentative="1">
      <w:start w:val="1"/>
      <w:numFmt w:val="bullet"/>
      <w:lvlText w:val="o"/>
      <w:lvlJc w:val="left"/>
      <w:pPr>
        <w:ind w:left="3960" w:hanging="360"/>
      </w:pPr>
      <w:rPr>
        <w:rFonts w:ascii="Courier New" w:hAnsi="Courier New" w:cs="Courier New" w:hint="default"/>
      </w:rPr>
    </w:lvl>
    <w:lvl w:ilvl="5" w:tplc="9DBCA28E" w:tentative="1">
      <w:start w:val="1"/>
      <w:numFmt w:val="bullet"/>
      <w:lvlText w:val=""/>
      <w:lvlJc w:val="left"/>
      <w:pPr>
        <w:ind w:left="4680" w:hanging="360"/>
      </w:pPr>
      <w:rPr>
        <w:rFonts w:ascii="Wingdings" w:hAnsi="Wingdings" w:hint="default"/>
      </w:rPr>
    </w:lvl>
    <w:lvl w:ilvl="6" w:tplc="CC2A1764" w:tentative="1">
      <w:start w:val="1"/>
      <w:numFmt w:val="bullet"/>
      <w:lvlText w:val=""/>
      <w:lvlJc w:val="left"/>
      <w:pPr>
        <w:ind w:left="5400" w:hanging="360"/>
      </w:pPr>
      <w:rPr>
        <w:rFonts w:ascii="Symbol" w:hAnsi="Symbol" w:hint="default"/>
      </w:rPr>
    </w:lvl>
    <w:lvl w:ilvl="7" w:tplc="A0E03476" w:tentative="1">
      <w:start w:val="1"/>
      <w:numFmt w:val="bullet"/>
      <w:lvlText w:val="o"/>
      <w:lvlJc w:val="left"/>
      <w:pPr>
        <w:ind w:left="6120" w:hanging="360"/>
      </w:pPr>
      <w:rPr>
        <w:rFonts w:ascii="Courier New" w:hAnsi="Courier New" w:cs="Courier New" w:hint="default"/>
      </w:rPr>
    </w:lvl>
    <w:lvl w:ilvl="8" w:tplc="0C602F8E" w:tentative="1">
      <w:start w:val="1"/>
      <w:numFmt w:val="bullet"/>
      <w:lvlText w:val=""/>
      <w:lvlJc w:val="left"/>
      <w:pPr>
        <w:ind w:left="6840" w:hanging="360"/>
      </w:pPr>
      <w:rPr>
        <w:rFonts w:ascii="Wingdings" w:hAnsi="Wingdings" w:hint="default"/>
      </w:rPr>
    </w:lvl>
  </w:abstractNum>
  <w:abstractNum w:abstractNumId="11">
    <w:nsid w:val="5EA07653"/>
    <w:multiLevelType w:val="hybridMultilevel"/>
    <w:tmpl w:val="549C48F2"/>
    <w:lvl w:ilvl="0" w:tplc="D610B54C">
      <w:start w:val="1"/>
      <w:numFmt w:val="bullet"/>
      <w:pStyle w:val="Textstand-aloneBulletpoint"/>
      <w:lvlText w:val="-"/>
      <w:lvlJc w:val="left"/>
      <w:pPr>
        <w:ind w:left="1080" w:hanging="360"/>
      </w:pPr>
      <w:rPr>
        <w:rFonts w:ascii="Verdana" w:hAnsi="Verdana" w:hint="default"/>
      </w:rPr>
    </w:lvl>
    <w:lvl w:ilvl="1" w:tplc="C52E0228" w:tentative="1">
      <w:start w:val="1"/>
      <w:numFmt w:val="bullet"/>
      <w:lvlText w:val="o"/>
      <w:lvlJc w:val="left"/>
      <w:pPr>
        <w:ind w:left="1800" w:hanging="360"/>
      </w:pPr>
      <w:rPr>
        <w:rFonts w:ascii="Courier New" w:hAnsi="Courier New" w:cs="Courier New" w:hint="default"/>
      </w:rPr>
    </w:lvl>
    <w:lvl w:ilvl="2" w:tplc="2C7C1F14" w:tentative="1">
      <w:start w:val="1"/>
      <w:numFmt w:val="bullet"/>
      <w:lvlText w:val=""/>
      <w:lvlJc w:val="left"/>
      <w:pPr>
        <w:ind w:left="2520" w:hanging="360"/>
      </w:pPr>
      <w:rPr>
        <w:rFonts w:ascii="Wingdings" w:hAnsi="Wingdings" w:hint="default"/>
      </w:rPr>
    </w:lvl>
    <w:lvl w:ilvl="3" w:tplc="AC8602CA" w:tentative="1">
      <w:start w:val="1"/>
      <w:numFmt w:val="bullet"/>
      <w:lvlText w:val=""/>
      <w:lvlJc w:val="left"/>
      <w:pPr>
        <w:ind w:left="3240" w:hanging="360"/>
      </w:pPr>
      <w:rPr>
        <w:rFonts w:ascii="Symbol" w:hAnsi="Symbol" w:hint="default"/>
      </w:rPr>
    </w:lvl>
    <w:lvl w:ilvl="4" w:tplc="4EDA7940" w:tentative="1">
      <w:start w:val="1"/>
      <w:numFmt w:val="bullet"/>
      <w:lvlText w:val="o"/>
      <w:lvlJc w:val="left"/>
      <w:pPr>
        <w:ind w:left="3960" w:hanging="360"/>
      </w:pPr>
      <w:rPr>
        <w:rFonts w:ascii="Courier New" w:hAnsi="Courier New" w:cs="Courier New" w:hint="default"/>
      </w:rPr>
    </w:lvl>
    <w:lvl w:ilvl="5" w:tplc="27CC24F0" w:tentative="1">
      <w:start w:val="1"/>
      <w:numFmt w:val="bullet"/>
      <w:lvlText w:val=""/>
      <w:lvlJc w:val="left"/>
      <w:pPr>
        <w:ind w:left="4680" w:hanging="360"/>
      </w:pPr>
      <w:rPr>
        <w:rFonts w:ascii="Wingdings" w:hAnsi="Wingdings" w:hint="default"/>
      </w:rPr>
    </w:lvl>
    <w:lvl w:ilvl="6" w:tplc="8E96A976" w:tentative="1">
      <w:start w:val="1"/>
      <w:numFmt w:val="bullet"/>
      <w:lvlText w:val=""/>
      <w:lvlJc w:val="left"/>
      <w:pPr>
        <w:ind w:left="5400" w:hanging="360"/>
      </w:pPr>
      <w:rPr>
        <w:rFonts w:ascii="Symbol" w:hAnsi="Symbol" w:hint="default"/>
      </w:rPr>
    </w:lvl>
    <w:lvl w:ilvl="7" w:tplc="8E549A90" w:tentative="1">
      <w:start w:val="1"/>
      <w:numFmt w:val="bullet"/>
      <w:lvlText w:val="o"/>
      <w:lvlJc w:val="left"/>
      <w:pPr>
        <w:ind w:left="6120" w:hanging="360"/>
      </w:pPr>
      <w:rPr>
        <w:rFonts w:ascii="Courier New" w:hAnsi="Courier New" w:cs="Courier New" w:hint="default"/>
      </w:rPr>
    </w:lvl>
    <w:lvl w:ilvl="8" w:tplc="14462A14" w:tentative="1">
      <w:start w:val="1"/>
      <w:numFmt w:val="bullet"/>
      <w:lvlText w:val=""/>
      <w:lvlJc w:val="left"/>
      <w:pPr>
        <w:ind w:left="6840" w:hanging="360"/>
      </w:pPr>
      <w:rPr>
        <w:rFonts w:ascii="Wingdings" w:hAnsi="Wingdings" w:hint="default"/>
      </w:rPr>
    </w:lvl>
  </w:abstractNum>
  <w:abstractNum w:abstractNumId="12">
    <w:nsid w:val="6F351A53"/>
    <w:multiLevelType w:val="hybridMultilevel"/>
    <w:tmpl w:val="A22E4046"/>
    <w:lvl w:ilvl="0" w:tplc="3DE8795C">
      <w:start w:val="1"/>
      <w:numFmt w:val="lowerRoman"/>
      <w:pStyle w:val="Textstand-alonenumberingRCIndentJustified"/>
      <w:lvlText w:val="(%1)"/>
      <w:lvlJc w:val="left"/>
      <w:pPr>
        <w:ind w:left="720" w:hanging="360"/>
      </w:pPr>
      <w:rPr>
        <w:rFonts w:hint="default"/>
      </w:rPr>
    </w:lvl>
    <w:lvl w:ilvl="1" w:tplc="4322FCFA" w:tentative="1">
      <w:start w:val="1"/>
      <w:numFmt w:val="lowerLetter"/>
      <w:lvlText w:val="%2."/>
      <w:lvlJc w:val="left"/>
      <w:pPr>
        <w:ind w:left="1440" w:hanging="360"/>
      </w:pPr>
    </w:lvl>
    <w:lvl w:ilvl="2" w:tplc="B9BA9884" w:tentative="1">
      <w:start w:val="1"/>
      <w:numFmt w:val="lowerRoman"/>
      <w:lvlText w:val="%3."/>
      <w:lvlJc w:val="right"/>
      <w:pPr>
        <w:ind w:left="2160" w:hanging="180"/>
      </w:pPr>
    </w:lvl>
    <w:lvl w:ilvl="3" w:tplc="8C867B30" w:tentative="1">
      <w:start w:val="1"/>
      <w:numFmt w:val="decimal"/>
      <w:lvlText w:val="%4."/>
      <w:lvlJc w:val="left"/>
      <w:pPr>
        <w:ind w:left="2880" w:hanging="360"/>
      </w:pPr>
    </w:lvl>
    <w:lvl w:ilvl="4" w:tplc="78303A0E" w:tentative="1">
      <w:start w:val="1"/>
      <w:numFmt w:val="lowerLetter"/>
      <w:lvlText w:val="%5."/>
      <w:lvlJc w:val="left"/>
      <w:pPr>
        <w:ind w:left="3600" w:hanging="360"/>
      </w:pPr>
    </w:lvl>
    <w:lvl w:ilvl="5" w:tplc="9758AF82" w:tentative="1">
      <w:start w:val="1"/>
      <w:numFmt w:val="lowerRoman"/>
      <w:lvlText w:val="%6."/>
      <w:lvlJc w:val="right"/>
      <w:pPr>
        <w:ind w:left="4320" w:hanging="180"/>
      </w:pPr>
    </w:lvl>
    <w:lvl w:ilvl="6" w:tplc="89AC0556" w:tentative="1">
      <w:start w:val="1"/>
      <w:numFmt w:val="decimal"/>
      <w:lvlText w:val="%7."/>
      <w:lvlJc w:val="left"/>
      <w:pPr>
        <w:ind w:left="5040" w:hanging="360"/>
      </w:pPr>
    </w:lvl>
    <w:lvl w:ilvl="7" w:tplc="FFC4AF2C" w:tentative="1">
      <w:start w:val="1"/>
      <w:numFmt w:val="lowerLetter"/>
      <w:lvlText w:val="%8."/>
      <w:lvlJc w:val="left"/>
      <w:pPr>
        <w:ind w:left="5760" w:hanging="360"/>
      </w:pPr>
    </w:lvl>
    <w:lvl w:ilvl="8" w:tplc="B8225E22" w:tentative="1">
      <w:start w:val="1"/>
      <w:numFmt w:val="lowerRoman"/>
      <w:lvlText w:val="%9."/>
      <w:lvlJc w:val="right"/>
      <w:pPr>
        <w:ind w:left="6480" w:hanging="180"/>
      </w:pPr>
    </w:lvl>
  </w:abstractNum>
  <w:abstractNum w:abstractNumId="13">
    <w:nsid w:val="6F351A54"/>
    <w:multiLevelType w:val="hybridMultilevel"/>
    <w:tmpl w:val="937694E8"/>
    <w:lvl w:ilvl="0" w:tplc="0672BCA4">
      <w:start w:val="1"/>
      <w:numFmt w:val="bullet"/>
      <w:lvlText w:val="-"/>
      <w:lvlJc w:val="left"/>
      <w:pPr>
        <w:ind w:left="1080" w:hanging="360"/>
      </w:pPr>
      <w:rPr>
        <w:rFonts w:ascii="Verdana" w:hAnsi="Verdana" w:hint="default"/>
      </w:rPr>
    </w:lvl>
    <w:lvl w:ilvl="1" w:tplc="671858DC" w:tentative="1">
      <w:start w:val="1"/>
      <w:numFmt w:val="bullet"/>
      <w:lvlText w:val="o"/>
      <w:lvlJc w:val="left"/>
      <w:pPr>
        <w:ind w:left="1800" w:hanging="360"/>
      </w:pPr>
      <w:rPr>
        <w:rFonts w:ascii="Courier New" w:hAnsi="Courier New" w:cs="Courier New" w:hint="default"/>
      </w:rPr>
    </w:lvl>
    <w:lvl w:ilvl="2" w:tplc="6B9E2F46" w:tentative="1">
      <w:start w:val="1"/>
      <w:numFmt w:val="bullet"/>
      <w:lvlText w:val=""/>
      <w:lvlJc w:val="left"/>
      <w:pPr>
        <w:ind w:left="2520" w:hanging="360"/>
      </w:pPr>
      <w:rPr>
        <w:rFonts w:ascii="Wingdings" w:hAnsi="Wingdings" w:hint="default"/>
      </w:rPr>
    </w:lvl>
    <w:lvl w:ilvl="3" w:tplc="E3444BC8" w:tentative="1">
      <w:start w:val="1"/>
      <w:numFmt w:val="bullet"/>
      <w:lvlText w:val=""/>
      <w:lvlJc w:val="left"/>
      <w:pPr>
        <w:ind w:left="3240" w:hanging="360"/>
      </w:pPr>
      <w:rPr>
        <w:rFonts w:ascii="Symbol" w:hAnsi="Symbol" w:hint="default"/>
      </w:rPr>
    </w:lvl>
    <w:lvl w:ilvl="4" w:tplc="BE8A470C" w:tentative="1">
      <w:start w:val="1"/>
      <w:numFmt w:val="bullet"/>
      <w:lvlText w:val="o"/>
      <w:lvlJc w:val="left"/>
      <w:pPr>
        <w:ind w:left="3960" w:hanging="360"/>
      </w:pPr>
      <w:rPr>
        <w:rFonts w:ascii="Courier New" w:hAnsi="Courier New" w:cs="Courier New" w:hint="default"/>
      </w:rPr>
    </w:lvl>
    <w:lvl w:ilvl="5" w:tplc="F28A3438" w:tentative="1">
      <w:start w:val="1"/>
      <w:numFmt w:val="bullet"/>
      <w:lvlText w:val=""/>
      <w:lvlJc w:val="left"/>
      <w:pPr>
        <w:ind w:left="4680" w:hanging="360"/>
      </w:pPr>
      <w:rPr>
        <w:rFonts w:ascii="Wingdings" w:hAnsi="Wingdings" w:hint="default"/>
      </w:rPr>
    </w:lvl>
    <w:lvl w:ilvl="6" w:tplc="913AEE1C" w:tentative="1">
      <w:start w:val="1"/>
      <w:numFmt w:val="bullet"/>
      <w:lvlText w:val=""/>
      <w:lvlJc w:val="left"/>
      <w:pPr>
        <w:ind w:left="5400" w:hanging="360"/>
      </w:pPr>
      <w:rPr>
        <w:rFonts w:ascii="Symbol" w:hAnsi="Symbol" w:hint="default"/>
      </w:rPr>
    </w:lvl>
    <w:lvl w:ilvl="7" w:tplc="54F00A4E" w:tentative="1">
      <w:start w:val="1"/>
      <w:numFmt w:val="bullet"/>
      <w:lvlText w:val="o"/>
      <w:lvlJc w:val="left"/>
      <w:pPr>
        <w:ind w:left="6120" w:hanging="360"/>
      </w:pPr>
      <w:rPr>
        <w:rFonts w:ascii="Courier New" w:hAnsi="Courier New" w:cs="Courier New" w:hint="default"/>
      </w:rPr>
    </w:lvl>
    <w:lvl w:ilvl="8" w:tplc="AC5260C4" w:tentative="1">
      <w:start w:val="1"/>
      <w:numFmt w:val="bullet"/>
      <w:lvlText w:val=""/>
      <w:lvlJc w:val="left"/>
      <w:pPr>
        <w:ind w:left="6840" w:hanging="360"/>
      </w:pPr>
      <w:rPr>
        <w:rFonts w:ascii="Wingdings" w:hAnsi="Wingdings" w:hint="default"/>
      </w:rPr>
    </w:lvl>
  </w:abstractNum>
  <w:abstractNum w:abstractNumId="14">
    <w:nsid w:val="6F351A55"/>
    <w:multiLevelType w:val="hybridMultilevel"/>
    <w:tmpl w:val="EF80B480"/>
    <w:lvl w:ilvl="0" w:tplc="BABC6AD2">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71403B88" w:tentative="1">
      <w:start w:val="1"/>
      <w:numFmt w:val="lowerLetter"/>
      <w:lvlText w:val="%2."/>
      <w:lvlJc w:val="left"/>
      <w:pPr>
        <w:ind w:left="1797" w:hanging="360"/>
      </w:pPr>
    </w:lvl>
    <w:lvl w:ilvl="2" w:tplc="33AA58B6" w:tentative="1">
      <w:start w:val="1"/>
      <w:numFmt w:val="lowerRoman"/>
      <w:lvlText w:val="%3."/>
      <w:lvlJc w:val="right"/>
      <w:pPr>
        <w:ind w:left="2517" w:hanging="180"/>
      </w:pPr>
    </w:lvl>
    <w:lvl w:ilvl="3" w:tplc="ABB6DE7A" w:tentative="1">
      <w:start w:val="1"/>
      <w:numFmt w:val="decimal"/>
      <w:lvlText w:val="%4."/>
      <w:lvlJc w:val="left"/>
      <w:pPr>
        <w:ind w:left="3237" w:hanging="360"/>
      </w:pPr>
    </w:lvl>
    <w:lvl w:ilvl="4" w:tplc="82C8D3E2" w:tentative="1">
      <w:start w:val="1"/>
      <w:numFmt w:val="lowerLetter"/>
      <w:lvlText w:val="%5."/>
      <w:lvlJc w:val="left"/>
      <w:pPr>
        <w:ind w:left="3957" w:hanging="360"/>
      </w:pPr>
    </w:lvl>
    <w:lvl w:ilvl="5" w:tplc="1B9A33A2" w:tentative="1">
      <w:start w:val="1"/>
      <w:numFmt w:val="lowerRoman"/>
      <w:lvlText w:val="%6."/>
      <w:lvlJc w:val="right"/>
      <w:pPr>
        <w:ind w:left="4677" w:hanging="180"/>
      </w:pPr>
    </w:lvl>
    <w:lvl w:ilvl="6" w:tplc="1D8AB80A" w:tentative="1">
      <w:start w:val="1"/>
      <w:numFmt w:val="decimal"/>
      <w:lvlText w:val="%7."/>
      <w:lvlJc w:val="left"/>
      <w:pPr>
        <w:ind w:left="5397" w:hanging="360"/>
      </w:pPr>
    </w:lvl>
    <w:lvl w:ilvl="7" w:tplc="FAB201FC" w:tentative="1">
      <w:start w:val="1"/>
      <w:numFmt w:val="lowerLetter"/>
      <w:lvlText w:val="%8."/>
      <w:lvlJc w:val="left"/>
      <w:pPr>
        <w:ind w:left="6117" w:hanging="360"/>
      </w:pPr>
    </w:lvl>
    <w:lvl w:ilvl="8" w:tplc="6D3402F0" w:tentative="1">
      <w:start w:val="1"/>
      <w:numFmt w:val="lowerRoman"/>
      <w:lvlText w:val="%9."/>
      <w:lvlJc w:val="right"/>
      <w:pPr>
        <w:ind w:left="6837" w:hanging="180"/>
      </w:pPr>
    </w:lvl>
  </w:abstractNum>
  <w:abstractNum w:abstractNumId="15">
    <w:nsid w:val="6F351A56"/>
    <w:multiLevelType w:val="hybridMultilevel"/>
    <w:tmpl w:val="EF80B480"/>
    <w:lvl w:ilvl="0" w:tplc="8CF0399E">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4EEFE78" w:tentative="1">
      <w:start w:val="1"/>
      <w:numFmt w:val="lowerLetter"/>
      <w:lvlText w:val="%2."/>
      <w:lvlJc w:val="left"/>
      <w:pPr>
        <w:ind w:left="2215" w:hanging="360"/>
      </w:pPr>
    </w:lvl>
    <w:lvl w:ilvl="2" w:tplc="EA5EC930" w:tentative="1">
      <w:start w:val="1"/>
      <w:numFmt w:val="lowerRoman"/>
      <w:lvlText w:val="%3."/>
      <w:lvlJc w:val="right"/>
      <w:pPr>
        <w:ind w:left="2935" w:hanging="180"/>
      </w:pPr>
    </w:lvl>
    <w:lvl w:ilvl="3" w:tplc="C7B29182" w:tentative="1">
      <w:start w:val="1"/>
      <w:numFmt w:val="decimal"/>
      <w:lvlText w:val="%4."/>
      <w:lvlJc w:val="left"/>
      <w:pPr>
        <w:ind w:left="3655" w:hanging="360"/>
      </w:pPr>
    </w:lvl>
    <w:lvl w:ilvl="4" w:tplc="A7A4D8E6" w:tentative="1">
      <w:start w:val="1"/>
      <w:numFmt w:val="lowerLetter"/>
      <w:lvlText w:val="%5."/>
      <w:lvlJc w:val="left"/>
      <w:pPr>
        <w:ind w:left="4375" w:hanging="360"/>
      </w:pPr>
    </w:lvl>
    <w:lvl w:ilvl="5" w:tplc="6844757E" w:tentative="1">
      <w:start w:val="1"/>
      <w:numFmt w:val="lowerRoman"/>
      <w:lvlText w:val="%6."/>
      <w:lvlJc w:val="right"/>
      <w:pPr>
        <w:ind w:left="5095" w:hanging="180"/>
      </w:pPr>
    </w:lvl>
    <w:lvl w:ilvl="6" w:tplc="F3EC3B6C" w:tentative="1">
      <w:start w:val="1"/>
      <w:numFmt w:val="decimal"/>
      <w:lvlText w:val="%7."/>
      <w:lvlJc w:val="left"/>
      <w:pPr>
        <w:ind w:left="5815" w:hanging="360"/>
      </w:pPr>
    </w:lvl>
    <w:lvl w:ilvl="7" w:tplc="12E8CF36" w:tentative="1">
      <w:start w:val="1"/>
      <w:numFmt w:val="lowerLetter"/>
      <w:lvlText w:val="%8."/>
      <w:lvlJc w:val="left"/>
      <w:pPr>
        <w:ind w:left="6535" w:hanging="360"/>
      </w:pPr>
    </w:lvl>
    <w:lvl w:ilvl="8" w:tplc="DB782946" w:tentative="1">
      <w:start w:val="1"/>
      <w:numFmt w:val="lowerRoman"/>
      <w:lvlText w:val="%9."/>
      <w:lvlJc w:val="right"/>
      <w:pPr>
        <w:ind w:left="7255" w:hanging="180"/>
      </w:pPr>
    </w:lvl>
  </w:abstractNum>
  <w:abstractNum w:abstractNumId="16">
    <w:nsid w:val="6F351A57"/>
    <w:multiLevelType w:val="hybridMultilevel"/>
    <w:tmpl w:val="42FC2B20"/>
    <w:lvl w:ilvl="0" w:tplc="838AA5E2">
      <w:start w:val="1"/>
      <w:numFmt w:val="lowerRoman"/>
      <w:lvlText w:val="(%1)"/>
      <w:lvlJc w:val="left"/>
      <w:pPr>
        <w:ind w:left="720" w:hanging="360"/>
      </w:pPr>
      <w:rPr>
        <w:rFonts w:hint="default"/>
      </w:rPr>
    </w:lvl>
    <w:lvl w:ilvl="1" w:tplc="7D98C214" w:tentative="1">
      <w:start w:val="1"/>
      <w:numFmt w:val="lowerLetter"/>
      <w:lvlText w:val="%2."/>
      <w:lvlJc w:val="left"/>
      <w:pPr>
        <w:ind w:left="1440" w:hanging="360"/>
      </w:pPr>
    </w:lvl>
    <w:lvl w:ilvl="2" w:tplc="02ACC3EC" w:tentative="1">
      <w:start w:val="1"/>
      <w:numFmt w:val="lowerRoman"/>
      <w:lvlText w:val="%3."/>
      <w:lvlJc w:val="right"/>
      <w:pPr>
        <w:ind w:left="2160" w:hanging="180"/>
      </w:pPr>
    </w:lvl>
    <w:lvl w:ilvl="3" w:tplc="AFDCFD52" w:tentative="1">
      <w:start w:val="1"/>
      <w:numFmt w:val="decimal"/>
      <w:lvlText w:val="%4."/>
      <w:lvlJc w:val="left"/>
      <w:pPr>
        <w:ind w:left="2880" w:hanging="360"/>
      </w:pPr>
    </w:lvl>
    <w:lvl w:ilvl="4" w:tplc="EFB8E694" w:tentative="1">
      <w:start w:val="1"/>
      <w:numFmt w:val="lowerLetter"/>
      <w:lvlText w:val="%5."/>
      <w:lvlJc w:val="left"/>
      <w:pPr>
        <w:ind w:left="3600" w:hanging="360"/>
      </w:pPr>
    </w:lvl>
    <w:lvl w:ilvl="5" w:tplc="61A44CE8" w:tentative="1">
      <w:start w:val="1"/>
      <w:numFmt w:val="lowerRoman"/>
      <w:lvlText w:val="%6."/>
      <w:lvlJc w:val="right"/>
      <w:pPr>
        <w:ind w:left="4320" w:hanging="180"/>
      </w:pPr>
    </w:lvl>
    <w:lvl w:ilvl="6" w:tplc="E0AA6D72" w:tentative="1">
      <w:start w:val="1"/>
      <w:numFmt w:val="decimal"/>
      <w:lvlText w:val="%7."/>
      <w:lvlJc w:val="left"/>
      <w:pPr>
        <w:ind w:left="5040" w:hanging="360"/>
      </w:pPr>
    </w:lvl>
    <w:lvl w:ilvl="7" w:tplc="140207CC" w:tentative="1">
      <w:start w:val="1"/>
      <w:numFmt w:val="lowerLetter"/>
      <w:lvlText w:val="%8."/>
      <w:lvlJc w:val="left"/>
      <w:pPr>
        <w:ind w:left="5760" w:hanging="360"/>
      </w:pPr>
    </w:lvl>
    <w:lvl w:ilvl="8" w:tplc="6C347A40" w:tentative="1">
      <w:start w:val="1"/>
      <w:numFmt w:val="lowerRoman"/>
      <w:lvlText w:val="%9."/>
      <w:lvlJc w:val="right"/>
      <w:pPr>
        <w:ind w:left="6480" w:hanging="180"/>
      </w:pPr>
    </w:lvl>
  </w:abstractNum>
  <w:abstractNum w:abstractNumId="17">
    <w:nsid w:val="6F351A58"/>
    <w:multiLevelType w:val="hybridMultilevel"/>
    <w:tmpl w:val="B14C37E6"/>
    <w:lvl w:ilvl="0" w:tplc="423E90EE">
      <w:start w:val="1"/>
      <w:numFmt w:val="lowerRoman"/>
      <w:lvlText w:val="(%1)"/>
      <w:lvlJc w:val="left"/>
      <w:pPr>
        <w:ind w:left="720" w:hanging="360"/>
      </w:pPr>
      <w:rPr>
        <w:rFonts w:hint="default"/>
      </w:rPr>
    </w:lvl>
    <w:lvl w:ilvl="1" w:tplc="6F349620" w:tentative="1">
      <w:start w:val="1"/>
      <w:numFmt w:val="lowerLetter"/>
      <w:lvlText w:val="%2."/>
      <w:lvlJc w:val="left"/>
      <w:pPr>
        <w:ind w:left="1440" w:hanging="360"/>
      </w:pPr>
    </w:lvl>
    <w:lvl w:ilvl="2" w:tplc="AD589828" w:tentative="1">
      <w:start w:val="1"/>
      <w:numFmt w:val="lowerRoman"/>
      <w:lvlText w:val="%3."/>
      <w:lvlJc w:val="right"/>
      <w:pPr>
        <w:ind w:left="2160" w:hanging="180"/>
      </w:pPr>
    </w:lvl>
    <w:lvl w:ilvl="3" w:tplc="A7DC5622" w:tentative="1">
      <w:start w:val="1"/>
      <w:numFmt w:val="decimal"/>
      <w:lvlText w:val="%4."/>
      <w:lvlJc w:val="left"/>
      <w:pPr>
        <w:ind w:left="2880" w:hanging="360"/>
      </w:pPr>
    </w:lvl>
    <w:lvl w:ilvl="4" w:tplc="DB4EDEEA" w:tentative="1">
      <w:start w:val="1"/>
      <w:numFmt w:val="lowerLetter"/>
      <w:lvlText w:val="%5."/>
      <w:lvlJc w:val="left"/>
      <w:pPr>
        <w:ind w:left="3600" w:hanging="360"/>
      </w:pPr>
    </w:lvl>
    <w:lvl w:ilvl="5" w:tplc="61AA22CC" w:tentative="1">
      <w:start w:val="1"/>
      <w:numFmt w:val="lowerRoman"/>
      <w:lvlText w:val="%6."/>
      <w:lvlJc w:val="right"/>
      <w:pPr>
        <w:ind w:left="4320" w:hanging="180"/>
      </w:pPr>
    </w:lvl>
    <w:lvl w:ilvl="6" w:tplc="5DB69222" w:tentative="1">
      <w:start w:val="1"/>
      <w:numFmt w:val="decimal"/>
      <w:lvlText w:val="%7."/>
      <w:lvlJc w:val="left"/>
      <w:pPr>
        <w:ind w:left="5040" w:hanging="360"/>
      </w:pPr>
    </w:lvl>
    <w:lvl w:ilvl="7" w:tplc="BE44EB46" w:tentative="1">
      <w:start w:val="1"/>
      <w:numFmt w:val="lowerLetter"/>
      <w:lvlText w:val="%8."/>
      <w:lvlJc w:val="left"/>
      <w:pPr>
        <w:ind w:left="5760" w:hanging="360"/>
      </w:pPr>
    </w:lvl>
    <w:lvl w:ilvl="8" w:tplc="5D16999C" w:tentative="1">
      <w:start w:val="1"/>
      <w:numFmt w:val="lowerRoman"/>
      <w:lvlText w:val="%9."/>
      <w:lvlJc w:val="right"/>
      <w:pPr>
        <w:ind w:left="6480" w:hanging="180"/>
      </w:pPr>
    </w:lvl>
  </w:abstractNum>
  <w:abstractNum w:abstractNumId="18">
    <w:nsid w:val="6F351A59"/>
    <w:multiLevelType w:val="hybridMultilevel"/>
    <w:tmpl w:val="12AEDBD0"/>
    <w:lvl w:ilvl="0" w:tplc="C7B64208">
      <w:start w:val="1"/>
      <w:numFmt w:val="bullet"/>
      <w:lvlText w:val=""/>
      <w:lvlJc w:val="left"/>
      <w:pPr>
        <w:ind w:left="1080" w:hanging="360"/>
      </w:pPr>
      <w:rPr>
        <w:rFonts w:ascii="Symbol" w:hAnsi="Symbol" w:hint="default"/>
      </w:rPr>
    </w:lvl>
    <w:lvl w:ilvl="1" w:tplc="C17A1C64" w:tentative="1">
      <w:start w:val="1"/>
      <w:numFmt w:val="bullet"/>
      <w:lvlText w:val="o"/>
      <w:lvlJc w:val="left"/>
      <w:pPr>
        <w:ind w:left="1800" w:hanging="360"/>
      </w:pPr>
      <w:rPr>
        <w:rFonts w:ascii="Courier New" w:hAnsi="Courier New" w:cs="Courier New" w:hint="default"/>
      </w:rPr>
    </w:lvl>
    <w:lvl w:ilvl="2" w:tplc="A95223FC" w:tentative="1">
      <w:start w:val="1"/>
      <w:numFmt w:val="bullet"/>
      <w:lvlText w:val=""/>
      <w:lvlJc w:val="left"/>
      <w:pPr>
        <w:ind w:left="2520" w:hanging="360"/>
      </w:pPr>
      <w:rPr>
        <w:rFonts w:ascii="Wingdings" w:hAnsi="Wingdings" w:hint="default"/>
      </w:rPr>
    </w:lvl>
    <w:lvl w:ilvl="3" w:tplc="DB06F00A" w:tentative="1">
      <w:start w:val="1"/>
      <w:numFmt w:val="bullet"/>
      <w:lvlText w:val=""/>
      <w:lvlJc w:val="left"/>
      <w:pPr>
        <w:ind w:left="3240" w:hanging="360"/>
      </w:pPr>
      <w:rPr>
        <w:rFonts w:ascii="Symbol" w:hAnsi="Symbol" w:hint="default"/>
      </w:rPr>
    </w:lvl>
    <w:lvl w:ilvl="4" w:tplc="6D52752C" w:tentative="1">
      <w:start w:val="1"/>
      <w:numFmt w:val="bullet"/>
      <w:lvlText w:val="o"/>
      <w:lvlJc w:val="left"/>
      <w:pPr>
        <w:ind w:left="3960" w:hanging="360"/>
      </w:pPr>
      <w:rPr>
        <w:rFonts w:ascii="Courier New" w:hAnsi="Courier New" w:cs="Courier New" w:hint="default"/>
      </w:rPr>
    </w:lvl>
    <w:lvl w:ilvl="5" w:tplc="A66CFB8E" w:tentative="1">
      <w:start w:val="1"/>
      <w:numFmt w:val="bullet"/>
      <w:lvlText w:val=""/>
      <w:lvlJc w:val="left"/>
      <w:pPr>
        <w:ind w:left="4680" w:hanging="360"/>
      </w:pPr>
      <w:rPr>
        <w:rFonts w:ascii="Wingdings" w:hAnsi="Wingdings" w:hint="default"/>
      </w:rPr>
    </w:lvl>
    <w:lvl w:ilvl="6" w:tplc="1CD0B33C" w:tentative="1">
      <w:start w:val="1"/>
      <w:numFmt w:val="bullet"/>
      <w:lvlText w:val=""/>
      <w:lvlJc w:val="left"/>
      <w:pPr>
        <w:ind w:left="5400" w:hanging="360"/>
      </w:pPr>
      <w:rPr>
        <w:rFonts w:ascii="Symbol" w:hAnsi="Symbol" w:hint="default"/>
      </w:rPr>
    </w:lvl>
    <w:lvl w:ilvl="7" w:tplc="A6E651B8" w:tentative="1">
      <w:start w:val="1"/>
      <w:numFmt w:val="bullet"/>
      <w:lvlText w:val="o"/>
      <w:lvlJc w:val="left"/>
      <w:pPr>
        <w:ind w:left="6120" w:hanging="360"/>
      </w:pPr>
      <w:rPr>
        <w:rFonts w:ascii="Courier New" w:hAnsi="Courier New" w:cs="Courier New" w:hint="default"/>
      </w:rPr>
    </w:lvl>
    <w:lvl w:ilvl="8" w:tplc="54103C5E" w:tentative="1">
      <w:start w:val="1"/>
      <w:numFmt w:val="bullet"/>
      <w:lvlText w:val=""/>
      <w:lvlJc w:val="left"/>
      <w:pPr>
        <w:ind w:left="6840" w:hanging="360"/>
      </w:pPr>
      <w:rPr>
        <w:rFonts w:ascii="Wingdings" w:hAnsi="Wingdings" w:hint="default"/>
      </w:rPr>
    </w:lvl>
  </w:abstractNum>
  <w:abstractNum w:abstractNumId="19">
    <w:nsid w:val="6F351A5A"/>
    <w:multiLevelType w:val="hybridMultilevel"/>
    <w:tmpl w:val="1D8E5BAC"/>
    <w:lvl w:ilvl="0" w:tplc="2956560C">
      <w:start w:val="1"/>
      <w:numFmt w:val="bullet"/>
      <w:lvlText w:val=""/>
      <w:lvlJc w:val="left"/>
      <w:pPr>
        <w:ind w:left="720" w:hanging="360"/>
      </w:pPr>
      <w:rPr>
        <w:rFonts w:ascii="Symbol" w:hAnsi="Symbol" w:hint="default"/>
      </w:rPr>
    </w:lvl>
    <w:lvl w:ilvl="1" w:tplc="65667D84" w:tentative="1">
      <w:start w:val="1"/>
      <w:numFmt w:val="lowerLetter"/>
      <w:lvlText w:val="%2."/>
      <w:lvlJc w:val="left"/>
      <w:pPr>
        <w:ind w:left="1440" w:hanging="360"/>
      </w:pPr>
    </w:lvl>
    <w:lvl w:ilvl="2" w:tplc="C64E5420" w:tentative="1">
      <w:start w:val="1"/>
      <w:numFmt w:val="lowerRoman"/>
      <w:lvlText w:val="%3."/>
      <w:lvlJc w:val="right"/>
      <w:pPr>
        <w:ind w:left="2160" w:hanging="180"/>
      </w:pPr>
    </w:lvl>
    <w:lvl w:ilvl="3" w:tplc="D4C8791A" w:tentative="1">
      <w:start w:val="1"/>
      <w:numFmt w:val="decimal"/>
      <w:lvlText w:val="%4."/>
      <w:lvlJc w:val="left"/>
      <w:pPr>
        <w:ind w:left="2880" w:hanging="360"/>
      </w:pPr>
    </w:lvl>
    <w:lvl w:ilvl="4" w:tplc="61C63F8A" w:tentative="1">
      <w:start w:val="1"/>
      <w:numFmt w:val="lowerLetter"/>
      <w:lvlText w:val="%5."/>
      <w:lvlJc w:val="left"/>
      <w:pPr>
        <w:ind w:left="3600" w:hanging="360"/>
      </w:pPr>
    </w:lvl>
    <w:lvl w:ilvl="5" w:tplc="0728EA76" w:tentative="1">
      <w:start w:val="1"/>
      <w:numFmt w:val="lowerRoman"/>
      <w:lvlText w:val="%6."/>
      <w:lvlJc w:val="right"/>
      <w:pPr>
        <w:ind w:left="4320" w:hanging="180"/>
      </w:pPr>
    </w:lvl>
    <w:lvl w:ilvl="6" w:tplc="54B8ABE2" w:tentative="1">
      <w:start w:val="1"/>
      <w:numFmt w:val="decimal"/>
      <w:lvlText w:val="%7."/>
      <w:lvlJc w:val="left"/>
      <w:pPr>
        <w:ind w:left="5040" w:hanging="360"/>
      </w:pPr>
    </w:lvl>
    <w:lvl w:ilvl="7" w:tplc="98765990" w:tentative="1">
      <w:start w:val="1"/>
      <w:numFmt w:val="lowerLetter"/>
      <w:lvlText w:val="%8."/>
      <w:lvlJc w:val="left"/>
      <w:pPr>
        <w:ind w:left="5760" w:hanging="360"/>
      </w:pPr>
    </w:lvl>
    <w:lvl w:ilvl="8" w:tplc="6C16E9B0" w:tentative="1">
      <w:start w:val="1"/>
      <w:numFmt w:val="lowerRoman"/>
      <w:lvlText w:val="%9."/>
      <w:lvlJc w:val="right"/>
      <w:pPr>
        <w:ind w:left="6480" w:hanging="180"/>
      </w:pPr>
    </w:lvl>
  </w:abstractNum>
  <w:abstractNum w:abstractNumId="20">
    <w:nsid w:val="6F351A5B"/>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21">
    <w:nsid w:val="6F351A5C"/>
    <w:multiLevelType w:val="singleLevel"/>
    <w:tmpl w:val="00000004"/>
    <w:name w:val="WW8Num4"/>
    <w:lvl w:ilvl="0">
      <w:start w:val="1"/>
      <w:numFmt w:val="bullet"/>
      <w:lvlText w:val=""/>
      <w:lvlJc w:val="left"/>
      <w:pPr>
        <w:tabs>
          <w:tab w:val="num" w:pos="720"/>
        </w:tabs>
        <w:ind w:left="720" w:hanging="360"/>
      </w:pPr>
      <w:rPr>
        <w:rFonts w:ascii="Symbol" w:hAnsi="Symbol"/>
        <w:caps w:val="0"/>
        <w:smallCaps w:val="0"/>
        <w:strike w:val="0"/>
        <w:dstrike w:val="0"/>
        <w:vanish w:val="0"/>
        <w:color w:val="000000"/>
        <w:position w:val="0"/>
        <w:sz w:val="24"/>
        <w:vertAlign w:val="baseline"/>
      </w:rPr>
    </w:lvl>
  </w:abstractNum>
  <w:abstractNum w:abstractNumId="22">
    <w:nsid w:val="6F351A5D"/>
    <w:multiLevelType w:val="multilevel"/>
    <w:tmpl w:val="EA926228"/>
    <w:name w:val="WW8Num5"/>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F351A5E"/>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24">
    <w:nsid w:val="6F351A5F"/>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25">
    <w:nsid w:val="6F351A60"/>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F351A61"/>
    <w:multiLevelType w:val="multilevel"/>
    <w:tmpl w:val="86DC0B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6F351A62"/>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8">
    <w:nsid w:val="6F351A63"/>
    <w:multiLevelType w:val="hybridMultilevel"/>
    <w:tmpl w:val="8A58B420"/>
    <w:lvl w:ilvl="0" w:tplc="3BD6EED6">
      <w:start w:val="293"/>
      <w:numFmt w:val="bullet"/>
      <w:lvlText w:val="-"/>
      <w:lvlJc w:val="left"/>
      <w:pPr>
        <w:ind w:left="720" w:hanging="360"/>
      </w:pPr>
      <w:rPr>
        <w:rFonts w:ascii="Arial" w:hAnsi="Arial" w:cs="Arial" w:hint="default"/>
      </w:rPr>
    </w:lvl>
    <w:lvl w:ilvl="1" w:tplc="3418FF18" w:tentative="1">
      <w:start w:val="1"/>
      <w:numFmt w:val="bullet"/>
      <w:lvlText w:val="o"/>
      <w:lvlJc w:val="left"/>
      <w:pPr>
        <w:ind w:left="1440" w:hanging="360"/>
      </w:pPr>
      <w:rPr>
        <w:rFonts w:ascii="Courier New" w:hAnsi="Courier New" w:cs="Courier New" w:hint="default"/>
      </w:rPr>
    </w:lvl>
    <w:lvl w:ilvl="2" w:tplc="C6BC8E90" w:tentative="1">
      <w:start w:val="1"/>
      <w:numFmt w:val="bullet"/>
      <w:lvlText w:val=""/>
      <w:lvlJc w:val="left"/>
      <w:pPr>
        <w:ind w:left="2160" w:hanging="360"/>
      </w:pPr>
      <w:rPr>
        <w:rFonts w:ascii="Wingdings" w:hAnsi="Wingdings" w:hint="default"/>
      </w:rPr>
    </w:lvl>
    <w:lvl w:ilvl="3" w:tplc="ACD85584" w:tentative="1">
      <w:start w:val="1"/>
      <w:numFmt w:val="bullet"/>
      <w:lvlText w:val=""/>
      <w:lvlJc w:val="left"/>
      <w:pPr>
        <w:ind w:left="2880" w:hanging="360"/>
      </w:pPr>
      <w:rPr>
        <w:rFonts w:ascii="Symbol" w:hAnsi="Symbol" w:hint="default"/>
      </w:rPr>
    </w:lvl>
    <w:lvl w:ilvl="4" w:tplc="2DAA2A4A" w:tentative="1">
      <w:start w:val="1"/>
      <w:numFmt w:val="bullet"/>
      <w:lvlText w:val="o"/>
      <w:lvlJc w:val="left"/>
      <w:pPr>
        <w:ind w:left="3600" w:hanging="360"/>
      </w:pPr>
      <w:rPr>
        <w:rFonts w:ascii="Courier New" w:hAnsi="Courier New" w:cs="Courier New" w:hint="default"/>
      </w:rPr>
    </w:lvl>
    <w:lvl w:ilvl="5" w:tplc="DD4C5AF0" w:tentative="1">
      <w:start w:val="1"/>
      <w:numFmt w:val="bullet"/>
      <w:lvlText w:val=""/>
      <w:lvlJc w:val="left"/>
      <w:pPr>
        <w:ind w:left="4320" w:hanging="360"/>
      </w:pPr>
      <w:rPr>
        <w:rFonts w:ascii="Wingdings" w:hAnsi="Wingdings" w:hint="default"/>
      </w:rPr>
    </w:lvl>
    <w:lvl w:ilvl="6" w:tplc="FE7209FC" w:tentative="1">
      <w:start w:val="1"/>
      <w:numFmt w:val="bullet"/>
      <w:lvlText w:val=""/>
      <w:lvlJc w:val="left"/>
      <w:pPr>
        <w:ind w:left="5040" w:hanging="360"/>
      </w:pPr>
      <w:rPr>
        <w:rFonts w:ascii="Symbol" w:hAnsi="Symbol" w:hint="default"/>
      </w:rPr>
    </w:lvl>
    <w:lvl w:ilvl="7" w:tplc="48E4BB88" w:tentative="1">
      <w:start w:val="1"/>
      <w:numFmt w:val="bullet"/>
      <w:lvlText w:val="o"/>
      <w:lvlJc w:val="left"/>
      <w:pPr>
        <w:ind w:left="5760" w:hanging="360"/>
      </w:pPr>
      <w:rPr>
        <w:rFonts w:ascii="Courier New" w:hAnsi="Courier New" w:cs="Courier New" w:hint="default"/>
      </w:rPr>
    </w:lvl>
    <w:lvl w:ilvl="8" w:tplc="CEF8AFDE" w:tentative="1">
      <w:start w:val="1"/>
      <w:numFmt w:val="bullet"/>
      <w:lvlText w:val=""/>
      <w:lvlJc w:val="left"/>
      <w:pPr>
        <w:ind w:left="6480" w:hanging="360"/>
      </w:pPr>
      <w:rPr>
        <w:rFonts w:ascii="Wingdings" w:hAnsi="Wingdings" w:hint="default"/>
      </w:rPr>
    </w:lvl>
  </w:abstractNum>
  <w:abstractNum w:abstractNumId="29">
    <w:nsid w:val="6F351A64"/>
    <w:multiLevelType w:val="hybridMultilevel"/>
    <w:tmpl w:val="6040F0EC"/>
    <w:name w:val="WW8Num82"/>
    <w:lvl w:ilvl="0" w:tplc="1490409C">
      <w:start w:val="293"/>
      <w:numFmt w:val="bullet"/>
      <w:lvlText w:val="-"/>
      <w:lvlJc w:val="left"/>
      <w:pPr>
        <w:tabs>
          <w:tab w:val="num" w:pos="720"/>
        </w:tabs>
        <w:ind w:left="720" w:hanging="360"/>
      </w:pPr>
      <w:rPr>
        <w:rFonts w:ascii="Arial" w:hAnsi="Arial" w:cs="Arial" w:hint="default"/>
      </w:rPr>
    </w:lvl>
    <w:lvl w:ilvl="1" w:tplc="0AE2B9B4" w:tentative="1">
      <w:start w:val="1"/>
      <w:numFmt w:val="bullet"/>
      <w:lvlText w:val="o"/>
      <w:lvlJc w:val="left"/>
      <w:pPr>
        <w:tabs>
          <w:tab w:val="num" w:pos="1440"/>
        </w:tabs>
        <w:ind w:left="1440" w:hanging="360"/>
      </w:pPr>
      <w:rPr>
        <w:rFonts w:ascii="Courier New" w:hAnsi="Courier New" w:cs="Courier New" w:hint="default"/>
      </w:rPr>
    </w:lvl>
    <w:lvl w:ilvl="2" w:tplc="CF880A7E" w:tentative="1">
      <w:start w:val="1"/>
      <w:numFmt w:val="bullet"/>
      <w:lvlText w:val=""/>
      <w:lvlJc w:val="left"/>
      <w:pPr>
        <w:tabs>
          <w:tab w:val="num" w:pos="2160"/>
        </w:tabs>
        <w:ind w:left="2160" w:hanging="360"/>
      </w:pPr>
      <w:rPr>
        <w:rFonts w:ascii="Wingdings" w:hAnsi="Wingdings" w:hint="default"/>
      </w:rPr>
    </w:lvl>
    <w:lvl w:ilvl="3" w:tplc="D1C65902" w:tentative="1">
      <w:start w:val="1"/>
      <w:numFmt w:val="bullet"/>
      <w:lvlText w:val=""/>
      <w:lvlJc w:val="left"/>
      <w:pPr>
        <w:tabs>
          <w:tab w:val="num" w:pos="2880"/>
        </w:tabs>
        <w:ind w:left="2880" w:hanging="360"/>
      </w:pPr>
      <w:rPr>
        <w:rFonts w:ascii="Symbol" w:hAnsi="Symbol" w:hint="default"/>
      </w:rPr>
    </w:lvl>
    <w:lvl w:ilvl="4" w:tplc="F9862D38" w:tentative="1">
      <w:start w:val="1"/>
      <w:numFmt w:val="bullet"/>
      <w:lvlText w:val="o"/>
      <w:lvlJc w:val="left"/>
      <w:pPr>
        <w:tabs>
          <w:tab w:val="num" w:pos="3600"/>
        </w:tabs>
        <w:ind w:left="3600" w:hanging="360"/>
      </w:pPr>
      <w:rPr>
        <w:rFonts w:ascii="Courier New" w:hAnsi="Courier New" w:cs="Courier New" w:hint="default"/>
      </w:rPr>
    </w:lvl>
    <w:lvl w:ilvl="5" w:tplc="14AEA052" w:tentative="1">
      <w:start w:val="1"/>
      <w:numFmt w:val="bullet"/>
      <w:lvlText w:val=""/>
      <w:lvlJc w:val="left"/>
      <w:pPr>
        <w:tabs>
          <w:tab w:val="num" w:pos="4320"/>
        </w:tabs>
        <w:ind w:left="4320" w:hanging="360"/>
      </w:pPr>
      <w:rPr>
        <w:rFonts w:ascii="Wingdings" w:hAnsi="Wingdings" w:hint="default"/>
      </w:rPr>
    </w:lvl>
    <w:lvl w:ilvl="6" w:tplc="F086E09A" w:tentative="1">
      <w:start w:val="1"/>
      <w:numFmt w:val="bullet"/>
      <w:lvlText w:val=""/>
      <w:lvlJc w:val="left"/>
      <w:pPr>
        <w:tabs>
          <w:tab w:val="num" w:pos="5040"/>
        </w:tabs>
        <w:ind w:left="5040" w:hanging="360"/>
      </w:pPr>
      <w:rPr>
        <w:rFonts w:ascii="Symbol" w:hAnsi="Symbol" w:hint="default"/>
      </w:rPr>
    </w:lvl>
    <w:lvl w:ilvl="7" w:tplc="0FAA73CA" w:tentative="1">
      <w:start w:val="1"/>
      <w:numFmt w:val="bullet"/>
      <w:lvlText w:val="o"/>
      <w:lvlJc w:val="left"/>
      <w:pPr>
        <w:tabs>
          <w:tab w:val="num" w:pos="5760"/>
        </w:tabs>
        <w:ind w:left="5760" w:hanging="360"/>
      </w:pPr>
      <w:rPr>
        <w:rFonts w:ascii="Courier New" w:hAnsi="Courier New" w:cs="Courier New" w:hint="default"/>
      </w:rPr>
    </w:lvl>
    <w:lvl w:ilvl="8" w:tplc="6A7CB6D2" w:tentative="1">
      <w:start w:val="1"/>
      <w:numFmt w:val="bullet"/>
      <w:lvlText w:val=""/>
      <w:lvlJc w:val="left"/>
      <w:pPr>
        <w:tabs>
          <w:tab w:val="num" w:pos="6480"/>
        </w:tabs>
        <w:ind w:left="6480" w:hanging="360"/>
      </w:pPr>
      <w:rPr>
        <w:rFonts w:ascii="Wingdings" w:hAnsi="Wingdings" w:hint="default"/>
      </w:rPr>
    </w:lvl>
  </w:abstractNum>
  <w:abstractNum w:abstractNumId="30">
    <w:nsid w:val="6F351A65"/>
    <w:multiLevelType w:val="hybridMultilevel"/>
    <w:tmpl w:val="B6101AC2"/>
    <w:lvl w:ilvl="0" w:tplc="2E9EDAFC">
      <w:numFmt w:val="bullet"/>
      <w:lvlText w:val="-"/>
      <w:lvlJc w:val="left"/>
      <w:pPr>
        <w:ind w:left="720" w:hanging="360"/>
      </w:pPr>
      <w:rPr>
        <w:rFonts w:ascii="Arial" w:eastAsia="Times New Roman" w:hAnsi="Arial" w:cs="Times New Roman" w:hint="default"/>
      </w:rPr>
    </w:lvl>
    <w:lvl w:ilvl="1" w:tplc="7150A048">
      <w:start w:val="1"/>
      <w:numFmt w:val="bullet"/>
      <w:lvlText w:val="o"/>
      <w:lvlJc w:val="left"/>
      <w:pPr>
        <w:ind w:left="1440" w:hanging="360"/>
      </w:pPr>
      <w:rPr>
        <w:rFonts w:ascii="Courier New" w:hAnsi="Courier New" w:cs="Courier New" w:hint="default"/>
      </w:rPr>
    </w:lvl>
    <w:lvl w:ilvl="2" w:tplc="636A30BA">
      <w:start w:val="1"/>
      <w:numFmt w:val="bullet"/>
      <w:lvlText w:val=""/>
      <w:lvlJc w:val="left"/>
      <w:pPr>
        <w:ind w:left="2160" w:hanging="360"/>
      </w:pPr>
      <w:rPr>
        <w:rFonts w:ascii="Wingdings" w:hAnsi="Wingdings" w:hint="default"/>
      </w:rPr>
    </w:lvl>
    <w:lvl w:ilvl="3" w:tplc="D910D040">
      <w:start w:val="1"/>
      <w:numFmt w:val="bullet"/>
      <w:lvlText w:val=""/>
      <w:lvlJc w:val="left"/>
      <w:pPr>
        <w:ind w:left="2880" w:hanging="360"/>
      </w:pPr>
      <w:rPr>
        <w:rFonts w:ascii="Symbol" w:hAnsi="Symbol" w:hint="default"/>
      </w:rPr>
    </w:lvl>
    <w:lvl w:ilvl="4" w:tplc="9C32907C">
      <w:start w:val="1"/>
      <w:numFmt w:val="bullet"/>
      <w:lvlText w:val="o"/>
      <w:lvlJc w:val="left"/>
      <w:pPr>
        <w:ind w:left="3600" w:hanging="360"/>
      </w:pPr>
      <w:rPr>
        <w:rFonts w:ascii="Courier New" w:hAnsi="Courier New" w:cs="Courier New" w:hint="default"/>
      </w:rPr>
    </w:lvl>
    <w:lvl w:ilvl="5" w:tplc="5E0699C2">
      <w:start w:val="1"/>
      <w:numFmt w:val="bullet"/>
      <w:lvlText w:val=""/>
      <w:lvlJc w:val="left"/>
      <w:pPr>
        <w:ind w:left="4320" w:hanging="360"/>
      </w:pPr>
      <w:rPr>
        <w:rFonts w:ascii="Wingdings" w:hAnsi="Wingdings" w:hint="default"/>
      </w:rPr>
    </w:lvl>
    <w:lvl w:ilvl="6" w:tplc="33E400FC">
      <w:start w:val="1"/>
      <w:numFmt w:val="bullet"/>
      <w:lvlText w:val=""/>
      <w:lvlJc w:val="left"/>
      <w:pPr>
        <w:ind w:left="5040" w:hanging="360"/>
      </w:pPr>
      <w:rPr>
        <w:rFonts w:ascii="Symbol" w:hAnsi="Symbol" w:hint="default"/>
      </w:rPr>
    </w:lvl>
    <w:lvl w:ilvl="7" w:tplc="46966A8C">
      <w:start w:val="1"/>
      <w:numFmt w:val="bullet"/>
      <w:lvlText w:val="o"/>
      <w:lvlJc w:val="left"/>
      <w:pPr>
        <w:ind w:left="5760" w:hanging="360"/>
      </w:pPr>
      <w:rPr>
        <w:rFonts w:ascii="Courier New" w:hAnsi="Courier New" w:cs="Courier New" w:hint="default"/>
      </w:rPr>
    </w:lvl>
    <w:lvl w:ilvl="8" w:tplc="F08242E4">
      <w:start w:val="1"/>
      <w:numFmt w:val="bullet"/>
      <w:lvlText w:val=""/>
      <w:lvlJc w:val="left"/>
      <w:pPr>
        <w:ind w:left="6480" w:hanging="360"/>
      </w:pPr>
      <w:rPr>
        <w:rFonts w:ascii="Wingdings" w:hAnsi="Wingdings" w:hint="default"/>
      </w:rPr>
    </w:lvl>
  </w:abstractNum>
  <w:abstractNum w:abstractNumId="31">
    <w:nsid w:val="6F351A66"/>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F351A67"/>
    <w:multiLevelType w:val="hybridMultilevel"/>
    <w:tmpl w:val="35C41564"/>
    <w:lvl w:ilvl="0" w:tplc="D6B6BA46">
      <w:start w:val="293"/>
      <w:numFmt w:val="bullet"/>
      <w:lvlText w:val="-"/>
      <w:lvlJc w:val="left"/>
      <w:pPr>
        <w:ind w:left="720" w:hanging="360"/>
      </w:pPr>
      <w:rPr>
        <w:rFonts w:ascii="Arial" w:hAnsi="Arial" w:cs="Arial" w:hint="default"/>
      </w:rPr>
    </w:lvl>
    <w:lvl w:ilvl="1" w:tplc="80CC8A98" w:tentative="1">
      <w:start w:val="1"/>
      <w:numFmt w:val="bullet"/>
      <w:lvlText w:val="o"/>
      <w:lvlJc w:val="left"/>
      <w:pPr>
        <w:ind w:left="1440" w:hanging="360"/>
      </w:pPr>
      <w:rPr>
        <w:rFonts w:ascii="Courier New" w:hAnsi="Courier New" w:cs="Courier New" w:hint="default"/>
      </w:rPr>
    </w:lvl>
    <w:lvl w:ilvl="2" w:tplc="7CD69532" w:tentative="1">
      <w:start w:val="1"/>
      <w:numFmt w:val="bullet"/>
      <w:lvlText w:val=""/>
      <w:lvlJc w:val="left"/>
      <w:pPr>
        <w:ind w:left="2160" w:hanging="360"/>
      </w:pPr>
      <w:rPr>
        <w:rFonts w:ascii="Wingdings" w:hAnsi="Wingdings" w:hint="default"/>
      </w:rPr>
    </w:lvl>
    <w:lvl w:ilvl="3" w:tplc="33883E74" w:tentative="1">
      <w:start w:val="1"/>
      <w:numFmt w:val="bullet"/>
      <w:lvlText w:val=""/>
      <w:lvlJc w:val="left"/>
      <w:pPr>
        <w:ind w:left="2880" w:hanging="360"/>
      </w:pPr>
      <w:rPr>
        <w:rFonts w:ascii="Symbol" w:hAnsi="Symbol" w:hint="default"/>
      </w:rPr>
    </w:lvl>
    <w:lvl w:ilvl="4" w:tplc="6D9EBE46" w:tentative="1">
      <w:start w:val="1"/>
      <w:numFmt w:val="bullet"/>
      <w:lvlText w:val="o"/>
      <w:lvlJc w:val="left"/>
      <w:pPr>
        <w:ind w:left="3600" w:hanging="360"/>
      </w:pPr>
      <w:rPr>
        <w:rFonts w:ascii="Courier New" w:hAnsi="Courier New" w:cs="Courier New" w:hint="default"/>
      </w:rPr>
    </w:lvl>
    <w:lvl w:ilvl="5" w:tplc="F4A87A72" w:tentative="1">
      <w:start w:val="1"/>
      <w:numFmt w:val="bullet"/>
      <w:lvlText w:val=""/>
      <w:lvlJc w:val="left"/>
      <w:pPr>
        <w:ind w:left="4320" w:hanging="360"/>
      </w:pPr>
      <w:rPr>
        <w:rFonts w:ascii="Wingdings" w:hAnsi="Wingdings" w:hint="default"/>
      </w:rPr>
    </w:lvl>
    <w:lvl w:ilvl="6" w:tplc="F88462C2" w:tentative="1">
      <w:start w:val="1"/>
      <w:numFmt w:val="bullet"/>
      <w:lvlText w:val=""/>
      <w:lvlJc w:val="left"/>
      <w:pPr>
        <w:ind w:left="5040" w:hanging="360"/>
      </w:pPr>
      <w:rPr>
        <w:rFonts w:ascii="Symbol" w:hAnsi="Symbol" w:hint="default"/>
      </w:rPr>
    </w:lvl>
    <w:lvl w:ilvl="7" w:tplc="1BA602B6" w:tentative="1">
      <w:start w:val="1"/>
      <w:numFmt w:val="bullet"/>
      <w:lvlText w:val="o"/>
      <w:lvlJc w:val="left"/>
      <w:pPr>
        <w:ind w:left="5760" w:hanging="360"/>
      </w:pPr>
      <w:rPr>
        <w:rFonts w:ascii="Courier New" w:hAnsi="Courier New" w:cs="Courier New" w:hint="default"/>
      </w:rPr>
    </w:lvl>
    <w:lvl w:ilvl="8" w:tplc="610211AC" w:tentative="1">
      <w:start w:val="1"/>
      <w:numFmt w:val="bullet"/>
      <w:lvlText w:val=""/>
      <w:lvlJc w:val="left"/>
      <w:pPr>
        <w:ind w:left="6480" w:hanging="360"/>
      </w:pPr>
      <w:rPr>
        <w:rFonts w:ascii="Wingdings" w:hAnsi="Wingdings" w:hint="default"/>
      </w:rPr>
    </w:lvl>
  </w:abstractNum>
  <w:abstractNum w:abstractNumId="33">
    <w:nsid w:val="6F351A68"/>
    <w:multiLevelType w:val="multilevel"/>
    <w:tmpl w:val="40FEDBDE"/>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4">
    <w:nsid w:val="6F351A69"/>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6F351A6A"/>
    <w:multiLevelType w:val="hybridMultilevel"/>
    <w:tmpl w:val="F2122D3E"/>
    <w:lvl w:ilvl="0" w:tplc="010C7EEE">
      <w:start w:val="1"/>
      <w:numFmt w:val="bullet"/>
      <w:lvlText w:val=""/>
      <w:lvlJc w:val="left"/>
      <w:pPr>
        <w:tabs>
          <w:tab w:val="num" w:pos="431"/>
        </w:tabs>
        <w:ind w:left="431" w:hanging="431"/>
      </w:pPr>
      <w:rPr>
        <w:rFonts w:ascii="Wingdings" w:hAnsi="Wingdings" w:hint="default"/>
      </w:rPr>
    </w:lvl>
    <w:lvl w:ilvl="1" w:tplc="DA36FDAA" w:tentative="1">
      <w:start w:val="1"/>
      <w:numFmt w:val="bullet"/>
      <w:lvlText w:val="o"/>
      <w:lvlJc w:val="left"/>
      <w:pPr>
        <w:tabs>
          <w:tab w:val="num" w:pos="1440"/>
        </w:tabs>
        <w:ind w:left="1440" w:hanging="360"/>
      </w:pPr>
      <w:rPr>
        <w:rFonts w:ascii="Courier New" w:hAnsi="Courier New" w:cs="Courier New" w:hint="default"/>
      </w:rPr>
    </w:lvl>
    <w:lvl w:ilvl="2" w:tplc="03D43D28" w:tentative="1">
      <w:start w:val="1"/>
      <w:numFmt w:val="bullet"/>
      <w:lvlText w:val=""/>
      <w:lvlJc w:val="left"/>
      <w:pPr>
        <w:tabs>
          <w:tab w:val="num" w:pos="2160"/>
        </w:tabs>
        <w:ind w:left="2160" w:hanging="360"/>
      </w:pPr>
      <w:rPr>
        <w:rFonts w:ascii="Wingdings" w:hAnsi="Wingdings" w:hint="default"/>
      </w:rPr>
    </w:lvl>
    <w:lvl w:ilvl="3" w:tplc="892256A8" w:tentative="1">
      <w:start w:val="1"/>
      <w:numFmt w:val="bullet"/>
      <w:lvlText w:val=""/>
      <w:lvlJc w:val="left"/>
      <w:pPr>
        <w:tabs>
          <w:tab w:val="num" w:pos="2880"/>
        </w:tabs>
        <w:ind w:left="2880" w:hanging="360"/>
      </w:pPr>
      <w:rPr>
        <w:rFonts w:ascii="Symbol" w:hAnsi="Symbol" w:hint="default"/>
      </w:rPr>
    </w:lvl>
    <w:lvl w:ilvl="4" w:tplc="FF063B18" w:tentative="1">
      <w:start w:val="1"/>
      <w:numFmt w:val="bullet"/>
      <w:lvlText w:val="o"/>
      <w:lvlJc w:val="left"/>
      <w:pPr>
        <w:tabs>
          <w:tab w:val="num" w:pos="3600"/>
        </w:tabs>
        <w:ind w:left="3600" w:hanging="360"/>
      </w:pPr>
      <w:rPr>
        <w:rFonts w:ascii="Courier New" w:hAnsi="Courier New" w:cs="Courier New" w:hint="default"/>
      </w:rPr>
    </w:lvl>
    <w:lvl w:ilvl="5" w:tplc="8F96F608" w:tentative="1">
      <w:start w:val="1"/>
      <w:numFmt w:val="bullet"/>
      <w:lvlText w:val=""/>
      <w:lvlJc w:val="left"/>
      <w:pPr>
        <w:tabs>
          <w:tab w:val="num" w:pos="4320"/>
        </w:tabs>
        <w:ind w:left="4320" w:hanging="360"/>
      </w:pPr>
      <w:rPr>
        <w:rFonts w:ascii="Wingdings" w:hAnsi="Wingdings" w:hint="default"/>
      </w:rPr>
    </w:lvl>
    <w:lvl w:ilvl="6" w:tplc="396A1762" w:tentative="1">
      <w:start w:val="1"/>
      <w:numFmt w:val="bullet"/>
      <w:lvlText w:val=""/>
      <w:lvlJc w:val="left"/>
      <w:pPr>
        <w:tabs>
          <w:tab w:val="num" w:pos="5040"/>
        </w:tabs>
        <w:ind w:left="5040" w:hanging="360"/>
      </w:pPr>
      <w:rPr>
        <w:rFonts w:ascii="Symbol" w:hAnsi="Symbol" w:hint="default"/>
      </w:rPr>
    </w:lvl>
    <w:lvl w:ilvl="7" w:tplc="52340FAE" w:tentative="1">
      <w:start w:val="1"/>
      <w:numFmt w:val="bullet"/>
      <w:lvlText w:val="o"/>
      <w:lvlJc w:val="left"/>
      <w:pPr>
        <w:tabs>
          <w:tab w:val="num" w:pos="5760"/>
        </w:tabs>
        <w:ind w:left="5760" w:hanging="360"/>
      </w:pPr>
      <w:rPr>
        <w:rFonts w:ascii="Courier New" w:hAnsi="Courier New" w:cs="Courier New" w:hint="default"/>
      </w:rPr>
    </w:lvl>
    <w:lvl w:ilvl="8" w:tplc="F304845C" w:tentative="1">
      <w:start w:val="1"/>
      <w:numFmt w:val="bullet"/>
      <w:lvlText w:val=""/>
      <w:lvlJc w:val="left"/>
      <w:pPr>
        <w:tabs>
          <w:tab w:val="num" w:pos="6480"/>
        </w:tabs>
        <w:ind w:left="6480" w:hanging="360"/>
      </w:pPr>
      <w:rPr>
        <w:rFonts w:ascii="Wingdings" w:hAnsi="Wingdings" w:hint="default"/>
      </w:rPr>
    </w:lvl>
  </w:abstractNum>
  <w:abstractNum w:abstractNumId="36">
    <w:nsid w:val="6F351A6B"/>
    <w:multiLevelType w:val="hybridMultilevel"/>
    <w:tmpl w:val="8E5A7388"/>
    <w:lvl w:ilvl="0" w:tplc="52AABA92">
      <w:numFmt w:val="bullet"/>
      <w:lvlText w:val="-"/>
      <w:lvlJc w:val="left"/>
      <w:pPr>
        <w:tabs>
          <w:tab w:val="num" w:pos="720"/>
        </w:tabs>
        <w:ind w:left="720" w:hanging="363"/>
      </w:pPr>
      <w:rPr>
        <w:rFonts w:ascii="Futura Lt BT" w:hAnsi="Futura Lt BT" w:cs="Times New Roman" w:hint="default"/>
      </w:rPr>
    </w:lvl>
    <w:lvl w:ilvl="1" w:tplc="EE803B22">
      <w:start w:val="1"/>
      <w:numFmt w:val="bullet"/>
      <w:lvlText w:val="o"/>
      <w:lvlJc w:val="left"/>
      <w:pPr>
        <w:tabs>
          <w:tab w:val="num" w:pos="1440"/>
        </w:tabs>
        <w:ind w:left="1440" w:hanging="360"/>
      </w:pPr>
      <w:rPr>
        <w:rFonts w:ascii="Courier New" w:hAnsi="Courier New" w:cs="Courier New" w:hint="default"/>
      </w:rPr>
    </w:lvl>
    <w:lvl w:ilvl="2" w:tplc="FB323F62">
      <w:start w:val="1"/>
      <w:numFmt w:val="bullet"/>
      <w:lvlText w:val=""/>
      <w:lvlJc w:val="left"/>
      <w:pPr>
        <w:tabs>
          <w:tab w:val="num" w:pos="2160"/>
        </w:tabs>
        <w:ind w:left="2160" w:hanging="360"/>
      </w:pPr>
      <w:rPr>
        <w:rFonts w:ascii="Wingdings" w:hAnsi="Wingdings" w:hint="default"/>
      </w:rPr>
    </w:lvl>
    <w:lvl w:ilvl="3" w:tplc="EF066F02">
      <w:start w:val="1"/>
      <w:numFmt w:val="bullet"/>
      <w:lvlText w:val=""/>
      <w:lvlJc w:val="left"/>
      <w:pPr>
        <w:tabs>
          <w:tab w:val="num" w:pos="2880"/>
        </w:tabs>
        <w:ind w:left="2880" w:hanging="360"/>
      </w:pPr>
      <w:rPr>
        <w:rFonts w:ascii="Symbol" w:hAnsi="Symbol" w:hint="default"/>
      </w:rPr>
    </w:lvl>
    <w:lvl w:ilvl="4" w:tplc="213423F4">
      <w:start w:val="1"/>
      <w:numFmt w:val="bullet"/>
      <w:lvlText w:val="o"/>
      <w:lvlJc w:val="left"/>
      <w:pPr>
        <w:tabs>
          <w:tab w:val="num" w:pos="3600"/>
        </w:tabs>
        <w:ind w:left="3600" w:hanging="360"/>
      </w:pPr>
      <w:rPr>
        <w:rFonts w:ascii="Courier New" w:hAnsi="Courier New" w:cs="Courier New" w:hint="default"/>
      </w:rPr>
    </w:lvl>
    <w:lvl w:ilvl="5" w:tplc="990E31D6">
      <w:start w:val="1"/>
      <w:numFmt w:val="bullet"/>
      <w:lvlText w:val=""/>
      <w:lvlJc w:val="left"/>
      <w:pPr>
        <w:tabs>
          <w:tab w:val="num" w:pos="4320"/>
        </w:tabs>
        <w:ind w:left="4320" w:hanging="360"/>
      </w:pPr>
      <w:rPr>
        <w:rFonts w:ascii="Wingdings" w:hAnsi="Wingdings" w:hint="default"/>
      </w:rPr>
    </w:lvl>
    <w:lvl w:ilvl="6" w:tplc="3E00DA5E">
      <w:start w:val="1"/>
      <w:numFmt w:val="bullet"/>
      <w:lvlText w:val=""/>
      <w:lvlJc w:val="left"/>
      <w:pPr>
        <w:tabs>
          <w:tab w:val="num" w:pos="5040"/>
        </w:tabs>
        <w:ind w:left="5040" w:hanging="360"/>
      </w:pPr>
      <w:rPr>
        <w:rFonts w:ascii="Symbol" w:hAnsi="Symbol" w:hint="default"/>
      </w:rPr>
    </w:lvl>
    <w:lvl w:ilvl="7" w:tplc="C26A14EA">
      <w:start w:val="1"/>
      <w:numFmt w:val="bullet"/>
      <w:lvlText w:val="o"/>
      <w:lvlJc w:val="left"/>
      <w:pPr>
        <w:tabs>
          <w:tab w:val="num" w:pos="5760"/>
        </w:tabs>
        <w:ind w:left="5760" w:hanging="360"/>
      </w:pPr>
      <w:rPr>
        <w:rFonts w:ascii="Courier New" w:hAnsi="Courier New" w:cs="Courier New" w:hint="default"/>
      </w:rPr>
    </w:lvl>
    <w:lvl w:ilvl="8" w:tplc="BAE0C5D4">
      <w:start w:val="1"/>
      <w:numFmt w:val="bullet"/>
      <w:lvlText w:val=""/>
      <w:lvlJc w:val="left"/>
      <w:pPr>
        <w:tabs>
          <w:tab w:val="num" w:pos="6480"/>
        </w:tabs>
        <w:ind w:left="6480" w:hanging="360"/>
      </w:pPr>
      <w:rPr>
        <w:rFonts w:ascii="Wingdings" w:hAnsi="Wingdings" w:hint="default"/>
      </w:rPr>
    </w:lvl>
  </w:abstractNum>
  <w:abstractNum w:abstractNumId="37">
    <w:nsid w:val="6F351A6C"/>
    <w:multiLevelType w:val="hybridMultilevel"/>
    <w:tmpl w:val="C7242F70"/>
    <w:lvl w:ilvl="0" w:tplc="F6082868">
      <w:numFmt w:val="bullet"/>
      <w:lvlText w:val="-"/>
      <w:lvlJc w:val="left"/>
      <w:pPr>
        <w:tabs>
          <w:tab w:val="num" w:pos="720"/>
        </w:tabs>
        <w:ind w:left="720" w:hanging="363"/>
      </w:pPr>
      <w:rPr>
        <w:rFonts w:ascii="Futura Lt BT" w:hAnsi="Futura Lt BT" w:cs="Times New Roman" w:hint="default"/>
      </w:rPr>
    </w:lvl>
    <w:lvl w:ilvl="1" w:tplc="600C4A7A" w:tentative="1">
      <w:start w:val="1"/>
      <w:numFmt w:val="bullet"/>
      <w:lvlText w:val="o"/>
      <w:lvlJc w:val="left"/>
      <w:pPr>
        <w:tabs>
          <w:tab w:val="num" w:pos="1440"/>
        </w:tabs>
        <w:ind w:left="1440" w:hanging="360"/>
      </w:pPr>
      <w:rPr>
        <w:rFonts w:ascii="Courier New" w:hAnsi="Courier New" w:cs="Courier New" w:hint="default"/>
      </w:rPr>
    </w:lvl>
    <w:lvl w:ilvl="2" w:tplc="7EF87E56" w:tentative="1">
      <w:start w:val="1"/>
      <w:numFmt w:val="bullet"/>
      <w:lvlText w:val=""/>
      <w:lvlJc w:val="left"/>
      <w:pPr>
        <w:tabs>
          <w:tab w:val="num" w:pos="2160"/>
        </w:tabs>
        <w:ind w:left="2160" w:hanging="360"/>
      </w:pPr>
      <w:rPr>
        <w:rFonts w:ascii="Wingdings" w:hAnsi="Wingdings" w:hint="default"/>
      </w:rPr>
    </w:lvl>
    <w:lvl w:ilvl="3" w:tplc="3E581F98" w:tentative="1">
      <w:start w:val="1"/>
      <w:numFmt w:val="bullet"/>
      <w:lvlText w:val=""/>
      <w:lvlJc w:val="left"/>
      <w:pPr>
        <w:tabs>
          <w:tab w:val="num" w:pos="2880"/>
        </w:tabs>
        <w:ind w:left="2880" w:hanging="360"/>
      </w:pPr>
      <w:rPr>
        <w:rFonts w:ascii="Symbol" w:hAnsi="Symbol" w:hint="default"/>
      </w:rPr>
    </w:lvl>
    <w:lvl w:ilvl="4" w:tplc="5B3A2B5E" w:tentative="1">
      <w:start w:val="1"/>
      <w:numFmt w:val="bullet"/>
      <w:lvlText w:val="o"/>
      <w:lvlJc w:val="left"/>
      <w:pPr>
        <w:tabs>
          <w:tab w:val="num" w:pos="3600"/>
        </w:tabs>
        <w:ind w:left="3600" w:hanging="360"/>
      </w:pPr>
      <w:rPr>
        <w:rFonts w:ascii="Courier New" w:hAnsi="Courier New" w:cs="Courier New" w:hint="default"/>
      </w:rPr>
    </w:lvl>
    <w:lvl w:ilvl="5" w:tplc="2B907BBE" w:tentative="1">
      <w:start w:val="1"/>
      <w:numFmt w:val="bullet"/>
      <w:lvlText w:val=""/>
      <w:lvlJc w:val="left"/>
      <w:pPr>
        <w:tabs>
          <w:tab w:val="num" w:pos="4320"/>
        </w:tabs>
        <w:ind w:left="4320" w:hanging="360"/>
      </w:pPr>
      <w:rPr>
        <w:rFonts w:ascii="Wingdings" w:hAnsi="Wingdings" w:hint="default"/>
      </w:rPr>
    </w:lvl>
    <w:lvl w:ilvl="6" w:tplc="C2640FF4" w:tentative="1">
      <w:start w:val="1"/>
      <w:numFmt w:val="bullet"/>
      <w:lvlText w:val=""/>
      <w:lvlJc w:val="left"/>
      <w:pPr>
        <w:tabs>
          <w:tab w:val="num" w:pos="5040"/>
        </w:tabs>
        <w:ind w:left="5040" w:hanging="360"/>
      </w:pPr>
      <w:rPr>
        <w:rFonts w:ascii="Symbol" w:hAnsi="Symbol" w:hint="default"/>
      </w:rPr>
    </w:lvl>
    <w:lvl w:ilvl="7" w:tplc="4918889C" w:tentative="1">
      <w:start w:val="1"/>
      <w:numFmt w:val="bullet"/>
      <w:lvlText w:val="o"/>
      <w:lvlJc w:val="left"/>
      <w:pPr>
        <w:tabs>
          <w:tab w:val="num" w:pos="5760"/>
        </w:tabs>
        <w:ind w:left="5760" w:hanging="360"/>
      </w:pPr>
      <w:rPr>
        <w:rFonts w:ascii="Courier New" w:hAnsi="Courier New" w:cs="Courier New" w:hint="default"/>
      </w:rPr>
    </w:lvl>
    <w:lvl w:ilvl="8" w:tplc="3F8EBF0E" w:tentative="1">
      <w:start w:val="1"/>
      <w:numFmt w:val="bullet"/>
      <w:lvlText w:val=""/>
      <w:lvlJc w:val="left"/>
      <w:pPr>
        <w:tabs>
          <w:tab w:val="num" w:pos="6480"/>
        </w:tabs>
        <w:ind w:left="6480" w:hanging="360"/>
      </w:pPr>
      <w:rPr>
        <w:rFonts w:ascii="Wingdings" w:hAnsi="Wingdings" w:hint="default"/>
      </w:rPr>
    </w:lvl>
  </w:abstractNum>
  <w:abstractNum w:abstractNumId="38">
    <w:nsid w:val="6F351A6D"/>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351A6E"/>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0">
    <w:nsid w:val="6F351A6F"/>
    <w:multiLevelType w:val="multilevel"/>
    <w:tmpl w:val="DE90D416"/>
    <w:name w:val="WW8Num5"/>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351A70"/>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F351A71"/>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3">
    <w:nsid w:val="6F351A72"/>
    <w:multiLevelType w:val="multilevel"/>
    <w:tmpl w:val="313ADC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6F351A73"/>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F351A74"/>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F351A75"/>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F351A76"/>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F351A77"/>
    <w:multiLevelType w:val="hybridMultilevel"/>
    <w:tmpl w:val="E23C9EFE"/>
    <w:lvl w:ilvl="0" w:tplc="3EB879D8">
      <w:numFmt w:val="bullet"/>
      <w:lvlText w:val="-"/>
      <w:lvlJc w:val="left"/>
      <w:pPr>
        <w:tabs>
          <w:tab w:val="num" w:pos="720"/>
        </w:tabs>
        <w:ind w:left="720" w:hanging="360"/>
      </w:pPr>
      <w:rPr>
        <w:rFonts w:ascii="Futura Lt BT" w:hAnsi="Futura Lt BT" w:cs="Times New Roman" w:hint="default"/>
      </w:rPr>
    </w:lvl>
    <w:lvl w:ilvl="1" w:tplc="D1680058" w:tentative="1">
      <w:start w:val="1"/>
      <w:numFmt w:val="bullet"/>
      <w:lvlText w:val="o"/>
      <w:lvlJc w:val="left"/>
      <w:pPr>
        <w:tabs>
          <w:tab w:val="num" w:pos="1440"/>
        </w:tabs>
        <w:ind w:left="1440" w:hanging="360"/>
      </w:pPr>
      <w:rPr>
        <w:rFonts w:ascii="Courier New" w:hAnsi="Courier New" w:cs="Courier New" w:hint="default"/>
      </w:rPr>
    </w:lvl>
    <w:lvl w:ilvl="2" w:tplc="B11E6B22" w:tentative="1">
      <w:start w:val="1"/>
      <w:numFmt w:val="bullet"/>
      <w:lvlText w:val=""/>
      <w:lvlJc w:val="left"/>
      <w:pPr>
        <w:tabs>
          <w:tab w:val="num" w:pos="2160"/>
        </w:tabs>
        <w:ind w:left="2160" w:hanging="360"/>
      </w:pPr>
      <w:rPr>
        <w:rFonts w:ascii="Wingdings" w:hAnsi="Wingdings" w:hint="default"/>
      </w:rPr>
    </w:lvl>
    <w:lvl w:ilvl="3" w:tplc="5A782204" w:tentative="1">
      <w:start w:val="1"/>
      <w:numFmt w:val="bullet"/>
      <w:lvlText w:val=""/>
      <w:lvlJc w:val="left"/>
      <w:pPr>
        <w:tabs>
          <w:tab w:val="num" w:pos="2880"/>
        </w:tabs>
        <w:ind w:left="2880" w:hanging="360"/>
      </w:pPr>
      <w:rPr>
        <w:rFonts w:ascii="Symbol" w:hAnsi="Symbol" w:hint="default"/>
      </w:rPr>
    </w:lvl>
    <w:lvl w:ilvl="4" w:tplc="7840C1A0" w:tentative="1">
      <w:start w:val="1"/>
      <w:numFmt w:val="bullet"/>
      <w:lvlText w:val="o"/>
      <w:lvlJc w:val="left"/>
      <w:pPr>
        <w:tabs>
          <w:tab w:val="num" w:pos="3600"/>
        </w:tabs>
        <w:ind w:left="3600" w:hanging="360"/>
      </w:pPr>
      <w:rPr>
        <w:rFonts w:ascii="Courier New" w:hAnsi="Courier New" w:cs="Courier New" w:hint="default"/>
      </w:rPr>
    </w:lvl>
    <w:lvl w:ilvl="5" w:tplc="B3BCB25C" w:tentative="1">
      <w:start w:val="1"/>
      <w:numFmt w:val="bullet"/>
      <w:lvlText w:val=""/>
      <w:lvlJc w:val="left"/>
      <w:pPr>
        <w:tabs>
          <w:tab w:val="num" w:pos="4320"/>
        </w:tabs>
        <w:ind w:left="4320" w:hanging="360"/>
      </w:pPr>
      <w:rPr>
        <w:rFonts w:ascii="Wingdings" w:hAnsi="Wingdings" w:hint="default"/>
      </w:rPr>
    </w:lvl>
    <w:lvl w:ilvl="6" w:tplc="2AF0A94E" w:tentative="1">
      <w:start w:val="1"/>
      <w:numFmt w:val="bullet"/>
      <w:lvlText w:val=""/>
      <w:lvlJc w:val="left"/>
      <w:pPr>
        <w:tabs>
          <w:tab w:val="num" w:pos="5040"/>
        </w:tabs>
        <w:ind w:left="5040" w:hanging="360"/>
      </w:pPr>
      <w:rPr>
        <w:rFonts w:ascii="Symbol" w:hAnsi="Symbol" w:hint="default"/>
      </w:rPr>
    </w:lvl>
    <w:lvl w:ilvl="7" w:tplc="BA50FEE0" w:tentative="1">
      <w:start w:val="1"/>
      <w:numFmt w:val="bullet"/>
      <w:lvlText w:val="o"/>
      <w:lvlJc w:val="left"/>
      <w:pPr>
        <w:tabs>
          <w:tab w:val="num" w:pos="5760"/>
        </w:tabs>
        <w:ind w:left="5760" w:hanging="360"/>
      </w:pPr>
      <w:rPr>
        <w:rFonts w:ascii="Courier New" w:hAnsi="Courier New" w:cs="Courier New" w:hint="default"/>
      </w:rPr>
    </w:lvl>
    <w:lvl w:ilvl="8" w:tplc="A6102D44" w:tentative="1">
      <w:start w:val="1"/>
      <w:numFmt w:val="bullet"/>
      <w:lvlText w:val=""/>
      <w:lvlJc w:val="left"/>
      <w:pPr>
        <w:tabs>
          <w:tab w:val="num" w:pos="6480"/>
        </w:tabs>
        <w:ind w:left="6480" w:hanging="360"/>
      </w:pPr>
      <w:rPr>
        <w:rFonts w:ascii="Wingdings" w:hAnsi="Wingdings" w:hint="default"/>
      </w:rPr>
    </w:lvl>
  </w:abstractNum>
  <w:abstractNum w:abstractNumId="49">
    <w:nsid w:val="6F351A78"/>
    <w:multiLevelType w:val="hybridMultilevel"/>
    <w:tmpl w:val="36C6AE94"/>
    <w:lvl w:ilvl="0" w:tplc="FE523C0E">
      <w:start w:val="1"/>
      <w:numFmt w:val="lowerRoman"/>
      <w:pStyle w:val="Listi0"/>
      <w:lvlText w:val="%1)"/>
      <w:lvlJc w:val="left"/>
      <w:pPr>
        <w:tabs>
          <w:tab w:val="num" w:pos="1080"/>
        </w:tabs>
        <w:ind w:left="1080" w:hanging="720"/>
      </w:pPr>
      <w:rPr>
        <w:rFonts w:cs="Times New Roman" w:hint="default"/>
      </w:rPr>
    </w:lvl>
    <w:lvl w:ilvl="1" w:tplc="61D20F6E">
      <w:start w:val="1"/>
      <w:numFmt w:val="lowerLetter"/>
      <w:lvlText w:val="%2."/>
      <w:lvlJc w:val="left"/>
      <w:pPr>
        <w:tabs>
          <w:tab w:val="num" w:pos="1440"/>
        </w:tabs>
        <w:ind w:left="1440" w:hanging="360"/>
      </w:pPr>
      <w:rPr>
        <w:rFonts w:cs="Times New Roman"/>
      </w:rPr>
    </w:lvl>
    <w:lvl w:ilvl="2" w:tplc="3E42E578">
      <w:start w:val="1"/>
      <w:numFmt w:val="lowerRoman"/>
      <w:lvlText w:val="%3."/>
      <w:lvlJc w:val="right"/>
      <w:pPr>
        <w:tabs>
          <w:tab w:val="num" w:pos="2160"/>
        </w:tabs>
        <w:ind w:left="2160" w:hanging="180"/>
      </w:pPr>
      <w:rPr>
        <w:rFonts w:cs="Times New Roman"/>
      </w:rPr>
    </w:lvl>
    <w:lvl w:ilvl="3" w:tplc="E668A568">
      <w:start w:val="1"/>
      <w:numFmt w:val="decimal"/>
      <w:lvlText w:val="%4."/>
      <w:lvlJc w:val="left"/>
      <w:pPr>
        <w:tabs>
          <w:tab w:val="num" w:pos="2880"/>
        </w:tabs>
        <w:ind w:left="2880" w:hanging="360"/>
      </w:pPr>
      <w:rPr>
        <w:rFonts w:cs="Times New Roman"/>
      </w:rPr>
    </w:lvl>
    <w:lvl w:ilvl="4" w:tplc="11F8C6E8">
      <w:start w:val="1"/>
      <w:numFmt w:val="lowerLetter"/>
      <w:lvlText w:val="%5."/>
      <w:lvlJc w:val="left"/>
      <w:pPr>
        <w:tabs>
          <w:tab w:val="num" w:pos="3600"/>
        </w:tabs>
        <w:ind w:left="3600" w:hanging="360"/>
      </w:pPr>
      <w:rPr>
        <w:rFonts w:cs="Times New Roman"/>
      </w:rPr>
    </w:lvl>
    <w:lvl w:ilvl="5" w:tplc="483EEDF8">
      <w:start w:val="1"/>
      <w:numFmt w:val="lowerRoman"/>
      <w:lvlText w:val="%6."/>
      <w:lvlJc w:val="right"/>
      <w:pPr>
        <w:tabs>
          <w:tab w:val="num" w:pos="4320"/>
        </w:tabs>
        <w:ind w:left="4320" w:hanging="180"/>
      </w:pPr>
      <w:rPr>
        <w:rFonts w:cs="Times New Roman"/>
      </w:rPr>
    </w:lvl>
    <w:lvl w:ilvl="6" w:tplc="F3324C80">
      <w:start w:val="1"/>
      <w:numFmt w:val="decimal"/>
      <w:lvlText w:val="%7."/>
      <w:lvlJc w:val="left"/>
      <w:pPr>
        <w:tabs>
          <w:tab w:val="num" w:pos="5040"/>
        </w:tabs>
        <w:ind w:left="5040" w:hanging="360"/>
      </w:pPr>
      <w:rPr>
        <w:rFonts w:cs="Times New Roman"/>
      </w:rPr>
    </w:lvl>
    <w:lvl w:ilvl="7" w:tplc="451826A2">
      <w:start w:val="1"/>
      <w:numFmt w:val="lowerLetter"/>
      <w:lvlText w:val="%8."/>
      <w:lvlJc w:val="left"/>
      <w:pPr>
        <w:tabs>
          <w:tab w:val="num" w:pos="5760"/>
        </w:tabs>
        <w:ind w:left="5760" w:hanging="360"/>
      </w:pPr>
      <w:rPr>
        <w:rFonts w:cs="Times New Roman"/>
      </w:rPr>
    </w:lvl>
    <w:lvl w:ilvl="8" w:tplc="6EECEA46">
      <w:start w:val="1"/>
      <w:numFmt w:val="lowerRoman"/>
      <w:lvlText w:val="%9."/>
      <w:lvlJc w:val="right"/>
      <w:pPr>
        <w:tabs>
          <w:tab w:val="num" w:pos="6480"/>
        </w:tabs>
        <w:ind w:left="6480" w:hanging="180"/>
      </w:pPr>
      <w:rPr>
        <w:rFonts w:cs="Times New Roman"/>
      </w:rPr>
    </w:lvl>
  </w:abstractNum>
  <w:abstractNum w:abstractNumId="50">
    <w:nsid w:val="6F351A79"/>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F351A7A"/>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F351A7B"/>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F351A7C"/>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F351A7D"/>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F351A7E"/>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6F351A7F"/>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6F351A80"/>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F351A81"/>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6F351A82"/>
    <w:multiLevelType w:val="multilevel"/>
    <w:tmpl w:val="7368D72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5"/>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F351A83"/>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6F351A84"/>
    <w:multiLevelType w:val="multilevel"/>
    <w:tmpl w:val="DF042372"/>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6F351A85"/>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F351A86"/>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F351A87"/>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6F351A88"/>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6F351A89"/>
    <w:multiLevelType w:val="multilevel"/>
    <w:tmpl w:val="EA926228"/>
    <w:name w:val="WW8Num5"/>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6F351A8A"/>
    <w:multiLevelType w:val="hybridMultilevel"/>
    <w:tmpl w:val="75360A3C"/>
    <w:lvl w:ilvl="0" w:tplc="70B42E96">
      <w:start w:val="1"/>
      <w:numFmt w:val="bullet"/>
      <w:lvlText w:val=""/>
      <w:lvlJc w:val="left"/>
      <w:pPr>
        <w:ind w:left="360" w:hanging="360"/>
      </w:pPr>
      <w:rPr>
        <w:rFonts w:ascii="Symbol" w:hAnsi="Symbol" w:hint="default"/>
      </w:rPr>
    </w:lvl>
    <w:lvl w:ilvl="1" w:tplc="AF18AEF0" w:tentative="1">
      <w:start w:val="1"/>
      <w:numFmt w:val="bullet"/>
      <w:lvlText w:val="o"/>
      <w:lvlJc w:val="left"/>
      <w:pPr>
        <w:ind w:left="1080" w:hanging="360"/>
      </w:pPr>
      <w:rPr>
        <w:rFonts w:ascii="Courier New" w:hAnsi="Courier New" w:cs="Courier New" w:hint="default"/>
      </w:rPr>
    </w:lvl>
    <w:lvl w:ilvl="2" w:tplc="C472C2D4" w:tentative="1">
      <w:start w:val="1"/>
      <w:numFmt w:val="bullet"/>
      <w:lvlText w:val=""/>
      <w:lvlJc w:val="left"/>
      <w:pPr>
        <w:ind w:left="1800" w:hanging="360"/>
      </w:pPr>
      <w:rPr>
        <w:rFonts w:ascii="Wingdings" w:hAnsi="Wingdings" w:hint="default"/>
      </w:rPr>
    </w:lvl>
    <w:lvl w:ilvl="3" w:tplc="C1822BD2" w:tentative="1">
      <w:start w:val="1"/>
      <w:numFmt w:val="bullet"/>
      <w:lvlText w:val=""/>
      <w:lvlJc w:val="left"/>
      <w:pPr>
        <w:ind w:left="2520" w:hanging="360"/>
      </w:pPr>
      <w:rPr>
        <w:rFonts w:ascii="Symbol" w:hAnsi="Symbol" w:hint="default"/>
      </w:rPr>
    </w:lvl>
    <w:lvl w:ilvl="4" w:tplc="8EC8309C" w:tentative="1">
      <w:start w:val="1"/>
      <w:numFmt w:val="bullet"/>
      <w:lvlText w:val="o"/>
      <w:lvlJc w:val="left"/>
      <w:pPr>
        <w:ind w:left="3240" w:hanging="360"/>
      </w:pPr>
      <w:rPr>
        <w:rFonts w:ascii="Courier New" w:hAnsi="Courier New" w:cs="Courier New" w:hint="default"/>
      </w:rPr>
    </w:lvl>
    <w:lvl w:ilvl="5" w:tplc="2BAA6EE4" w:tentative="1">
      <w:start w:val="1"/>
      <w:numFmt w:val="bullet"/>
      <w:lvlText w:val=""/>
      <w:lvlJc w:val="left"/>
      <w:pPr>
        <w:ind w:left="3960" w:hanging="360"/>
      </w:pPr>
      <w:rPr>
        <w:rFonts w:ascii="Wingdings" w:hAnsi="Wingdings" w:hint="default"/>
      </w:rPr>
    </w:lvl>
    <w:lvl w:ilvl="6" w:tplc="BFD27E82" w:tentative="1">
      <w:start w:val="1"/>
      <w:numFmt w:val="bullet"/>
      <w:lvlText w:val=""/>
      <w:lvlJc w:val="left"/>
      <w:pPr>
        <w:ind w:left="4680" w:hanging="360"/>
      </w:pPr>
      <w:rPr>
        <w:rFonts w:ascii="Symbol" w:hAnsi="Symbol" w:hint="default"/>
      </w:rPr>
    </w:lvl>
    <w:lvl w:ilvl="7" w:tplc="DC962B28" w:tentative="1">
      <w:start w:val="1"/>
      <w:numFmt w:val="bullet"/>
      <w:lvlText w:val="o"/>
      <w:lvlJc w:val="left"/>
      <w:pPr>
        <w:ind w:left="5400" w:hanging="360"/>
      </w:pPr>
      <w:rPr>
        <w:rFonts w:ascii="Courier New" w:hAnsi="Courier New" w:cs="Courier New" w:hint="default"/>
      </w:rPr>
    </w:lvl>
    <w:lvl w:ilvl="8" w:tplc="191A4A76" w:tentative="1">
      <w:start w:val="1"/>
      <w:numFmt w:val="bullet"/>
      <w:lvlText w:val=""/>
      <w:lvlJc w:val="left"/>
      <w:pPr>
        <w:ind w:left="6120" w:hanging="360"/>
      </w:pPr>
      <w:rPr>
        <w:rFonts w:ascii="Wingdings" w:hAnsi="Wingdings" w:hint="default"/>
      </w:rPr>
    </w:lvl>
  </w:abstractNum>
  <w:abstractNum w:abstractNumId="68">
    <w:nsid w:val="6F351A8B"/>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6F351A8C"/>
    <w:multiLevelType w:val="hybridMultilevel"/>
    <w:tmpl w:val="DD6AEF06"/>
    <w:lvl w:ilvl="0" w:tplc="54161F8A">
      <w:start w:val="1"/>
      <w:numFmt w:val="bullet"/>
      <w:lvlText w:val=""/>
      <w:lvlJc w:val="left"/>
      <w:pPr>
        <w:ind w:left="360" w:hanging="360"/>
      </w:pPr>
      <w:rPr>
        <w:rFonts w:ascii="Symbol" w:hAnsi="Symbol" w:hint="default"/>
      </w:rPr>
    </w:lvl>
    <w:lvl w:ilvl="1" w:tplc="59CAEFD8" w:tentative="1">
      <w:start w:val="1"/>
      <w:numFmt w:val="bullet"/>
      <w:lvlText w:val="o"/>
      <w:lvlJc w:val="left"/>
      <w:pPr>
        <w:ind w:left="1080" w:hanging="360"/>
      </w:pPr>
      <w:rPr>
        <w:rFonts w:ascii="Courier New" w:hAnsi="Courier New" w:cs="Courier New" w:hint="default"/>
      </w:rPr>
    </w:lvl>
    <w:lvl w:ilvl="2" w:tplc="BD3C198C" w:tentative="1">
      <w:start w:val="1"/>
      <w:numFmt w:val="bullet"/>
      <w:lvlText w:val=""/>
      <w:lvlJc w:val="left"/>
      <w:pPr>
        <w:ind w:left="1800" w:hanging="360"/>
      </w:pPr>
      <w:rPr>
        <w:rFonts w:ascii="Wingdings" w:hAnsi="Wingdings" w:hint="default"/>
      </w:rPr>
    </w:lvl>
    <w:lvl w:ilvl="3" w:tplc="72D49AF6" w:tentative="1">
      <w:start w:val="1"/>
      <w:numFmt w:val="bullet"/>
      <w:lvlText w:val=""/>
      <w:lvlJc w:val="left"/>
      <w:pPr>
        <w:ind w:left="2520" w:hanging="360"/>
      </w:pPr>
      <w:rPr>
        <w:rFonts w:ascii="Symbol" w:hAnsi="Symbol" w:hint="default"/>
      </w:rPr>
    </w:lvl>
    <w:lvl w:ilvl="4" w:tplc="36386EA4" w:tentative="1">
      <w:start w:val="1"/>
      <w:numFmt w:val="bullet"/>
      <w:lvlText w:val="o"/>
      <w:lvlJc w:val="left"/>
      <w:pPr>
        <w:ind w:left="3240" w:hanging="360"/>
      </w:pPr>
      <w:rPr>
        <w:rFonts w:ascii="Courier New" w:hAnsi="Courier New" w:cs="Courier New" w:hint="default"/>
      </w:rPr>
    </w:lvl>
    <w:lvl w:ilvl="5" w:tplc="EA7AC70A" w:tentative="1">
      <w:start w:val="1"/>
      <w:numFmt w:val="bullet"/>
      <w:lvlText w:val=""/>
      <w:lvlJc w:val="left"/>
      <w:pPr>
        <w:ind w:left="3960" w:hanging="360"/>
      </w:pPr>
      <w:rPr>
        <w:rFonts w:ascii="Wingdings" w:hAnsi="Wingdings" w:hint="default"/>
      </w:rPr>
    </w:lvl>
    <w:lvl w:ilvl="6" w:tplc="58B8EFE8" w:tentative="1">
      <w:start w:val="1"/>
      <w:numFmt w:val="bullet"/>
      <w:lvlText w:val=""/>
      <w:lvlJc w:val="left"/>
      <w:pPr>
        <w:ind w:left="4680" w:hanging="360"/>
      </w:pPr>
      <w:rPr>
        <w:rFonts w:ascii="Symbol" w:hAnsi="Symbol" w:hint="default"/>
      </w:rPr>
    </w:lvl>
    <w:lvl w:ilvl="7" w:tplc="2562A748" w:tentative="1">
      <w:start w:val="1"/>
      <w:numFmt w:val="bullet"/>
      <w:lvlText w:val="o"/>
      <w:lvlJc w:val="left"/>
      <w:pPr>
        <w:ind w:left="5400" w:hanging="360"/>
      </w:pPr>
      <w:rPr>
        <w:rFonts w:ascii="Courier New" w:hAnsi="Courier New" w:cs="Courier New" w:hint="default"/>
      </w:rPr>
    </w:lvl>
    <w:lvl w:ilvl="8" w:tplc="E020D564" w:tentative="1">
      <w:start w:val="1"/>
      <w:numFmt w:val="bullet"/>
      <w:lvlText w:val=""/>
      <w:lvlJc w:val="left"/>
      <w:pPr>
        <w:ind w:left="6120" w:hanging="360"/>
      </w:pPr>
      <w:rPr>
        <w:rFonts w:ascii="Wingdings" w:hAnsi="Wingdings" w:hint="default"/>
      </w:rPr>
    </w:lvl>
  </w:abstractNum>
  <w:abstractNum w:abstractNumId="70">
    <w:nsid w:val="6F351A8D"/>
    <w:multiLevelType w:val="multilevel"/>
    <w:tmpl w:val="71C885E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F351A8E"/>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6F351A8F"/>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6F351A90"/>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6F351A91"/>
    <w:multiLevelType w:val="multilevel"/>
    <w:tmpl w:val="EA926228"/>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6F351A92"/>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6F351A93"/>
    <w:multiLevelType w:val="multilevel"/>
    <w:tmpl w:val="EA926228"/>
    <w:name w:val="WW8Num5"/>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nsid w:val="6F351A94"/>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6F351A95"/>
    <w:multiLevelType w:val="hybridMultilevel"/>
    <w:tmpl w:val="AC84B144"/>
    <w:lvl w:ilvl="0" w:tplc="30E081A2">
      <w:numFmt w:val="bullet"/>
      <w:lvlText w:val="-"/>
      <w:lvlJc w:val="left"/>
      <w:pPr>
        <w:tabs>
          <w:tab w:val="num" w:pos="720"/>
        </w:tabs>
        <w:ind w:left="720" w:hanging="360"/>
      </w:pPr>
      <w:rPr>
        <w:rFonts w:ascii="Futura Lt BT" w:hAnsi="Futura Lt BT" w:cs="Times New Roman" w:hint="default"/>
      </w:rPr>
    </w:lvl>
    <w:lvl w:ilvl="1" w:tplc="AB546906" w:tentative="1">
      <w:start w:val="1"/>
      <w:numFmt w:val="bullet"/>
      <w:lvlText w:val="o"/>
      <w:lvlJc w:val="left"/>
      <w:pPr>
        <w:tabs>
          <w:tab w:val="num" w:pos="1080"/>
        </w:tabs>
        <w:ind w:left="1080" w:hanging="360"/>
      </w:pPr>
      <w:rPr>
        <w:rFonts w:ascii="Courier New" w:hAnsi="Courier New" w:cs="Courier New" w:hint="default"/>
      </w:rPr>
    </w:lvl>
    <w:lvl w:ilvl="2" w:tplc="63C4D222" w:tentative="1">
      <w:start w:val="1"/>
      <w:numFmt w:val="bullet"/>
      <w:lvlText w:val=""/>
      <w:lvlJc w:val="left"/>
      <w:pPr>
        <w:tabs>
          <w:tab w:val="num" w:pos="1800"/>
        </w:tabs>
        <w:ind w:left="1800" w:hanging="360"/>
      </w:pPr>
      <w:rPr>
        <w:rFonts w:ascii="Wingdings" w:hAnsi="Wingdings" w:hint="default"/>
      </w:rPr>
    </w:lvl>
    <w:lvl w:ilvl="3" w:tplc="DB783FFA" w:tentative="1">
      <w:start w:val="1"/>
      <w:numFmt w:val="bullet"/>
      <w:lvlText w:val=""/>
      <w:lvlJc w:val="left"/>
      <w:pPr>
        <w:tabs>
          <w:tab w:val="num" w:pos="2520"/>
        </w:tabs>
        <w:ind w:left="2520" w:hanging="360"/>
      </w:pPr>
      <w:rPr>
        <w:rFonts w:ascii="Symbol" w:hAnsi="Symbol" w:hint="default"/>
      </w:rPr>
    </w:lvl>
    <w:lvl w:ilvl="4" w:tplc="A5EAA78C" w:tentative="1">
      <w:start w:val="1"/>
      <w:numFmt w:val="bullet"/>
      <w:lvlText w:val="o"/>
      <w:lvlJc w:val="left"/>
      <w:pPr>
        <w:tabs>
          <w:tab w:val="num" w:pos="3240"/>
        </w:tabs>
        <w:ind w:left="3240" w:hanging="360"/>
      </w:pPr>
      <w:rPr>
        <w:rFonts w:ascii="Courier New" w:hAnsi="Courier New" w:cs="Courier New" w:hint="default"/>
      </w:rPr>
    </w:lvl>
    <w:lvl w:ilvl="5" w:tplc="366C1EA0" w:tentative="1">
      <w:start w:val="1"/>
      <w:numFmt w:val="bullet"/>
      <w:lvlText w:val=""/>
      <w:lvlJc w:val="left"/>
      <w:pPr>
        <w:tabs>
          <w:tab w:val="num" w:pos="3960"/>
        </w:tabs>
        <w:ind w:left="3960" w:hanging="360"/>
      </w:pPr>
      <w:rPr>
        <w:rFonts w:ascii="Wingdings" w:hAnsi="Wingdings" w:hint="default"/>
      </w:rPr>
    </w:lvl>
    <w:lvl w:ilvl="6" w:tplc="2582481A" w:tentative="1">
      <w:start w:val="1"/>
      <w:numFmt w:val="bullet"/>
      <w:lvlText w:val=""/>
      <w:lvlJc w:val="left"/>
      <w:pPr>
        <w:tabs>
          <w:tab w:val="num" w:pos="4680"/>
        </w:tabs>
        <w:ind w:left="4680" w:hanging="360"/>
      </w:pPr>
      <w:rPr>
        <w:rFonts w:ascii="Symbol" w:hAnsi="Symbol" w:hint="default"/>
      </w:rPr>
    </w:lvl>
    <w:lvl w:ilvl="7" w:tplc="8DAC6624" w:tentative="1">
      <w:start w:val="1"/>
      <w:numFmt w:val="bullet"/>
      <w:lvlText w:val="o"/>
      <w:lvlJc w:val="left"/>
      <w:pPr>
        <w:tabs>
          <w:tab w:val="num" w:pos="5400"/>
        </w:tabs>
        <w:ind w:left="5400" w:hanging="360"/>
      </w:pPr>
      <w:rPr>
        <w:rFonts w:ascii="Courier New" w:hAnsi="Courier New" w:cs="Courier New" w:hint="default"/>
      </w:rPr>
    </w:lvl>
    <w:lvl w:ilvl="8" w:tplc="0B24E4D6" w:tentative="1">
      <w:start w:val="1"/>
      <w:numFmt w:val="bullet"/>
      <w:lvlText w:val=""/>
      <w:lvlJc w:val="left"/>
      <w:pPr>
        <w:tabs>
          <w:tab w:val="num" w:pos="6120"/>
        </w:tabs>
        <w:ind w:left="6120" w:hanging="360"/>
      </w:pPr>
      <w:rPr>
        <w:rFonts w:ascii="Wingdings" w:hAnsi="Wingdings" w:hint="default"/>
      </w:rPr>
    </w:lvl>
  </w:abstractNum>
  <w:abstractNum w:abstractNumId="79">
    <w:nsid w:val="6F351A96"/>
    <w:multiLevelType w:val="hybridMultilevel"/>
    <w:tmpl w:val="AC84B144"/>
    <w:lvl w:ilvl="0" w:tplc="694AC14C">
      <w:numFmt w:val="bullet"/>
      <w:lvlText w:val="-"/>
      <w:lvlJc w:val="left"/>
      <w:pPr>
        <w:tabs>
          <w:tab w:val="num" w:pos="720"/>
        </w:tabs>
        <w:ind w:left="720" w:hanging="360"/>
      </w:pPr>
      <w:rPr>
        <w:rFonts w:ascii="Futura Lt BT" w:hAnsi="Futura Lt BT" w:cs="Times New Roman" w:hint="default"/>
      </w:rPr>
    </w:lvl>
    <w:lvl w:ilvl="1" w:tplc="121AF272">
      <w:start w:val="1"/>
      <w:numFmt w:val="bullet"/>
      <w:lvlText w:val="o"/>
      <w:lvlJc w:val="left"/>
      <w:pPr>
        <w:tabs>
          <w:tab w:val="num" w:pos="1080"/>
        </w:tabs>
        <w:ind w:left="1080" w:hanging="360"/>
      </w:pPr>
      <w:rPr>
        <w:rFonts w:ascii="Courier New" w:hAnsi="Courier New" w:cs="Courier New" w:hint="default"/>
      </w:rPr>
    </w:lvl>
    <w:lvl w:ilvl="2" w:tplc="AD8C787C">
      <w:start w:val="1"/>
      <w:numFmt w:val="bullet"/>
      <w:lvlText w:val=""/>
      <w:lvlJc w:val="left"/>
      <w:pPr>
        <w:tabs>
          <w:tab w:val="num" w:pos="1800"/>
        </w:tabs>
        <w:ind w:left="1800" w:hanging="360"/>
      </w:pPr>
      <w:rPr>
        <w:rFonts w:ascii="Wingdings" w:hAnsi="Wingdings" w:hint="default"/>
      </w:rPr>
    </w:lvl>
    <w:lvl w:ilvl="3" w:tplc="B46C331C">
      <w:start w:val="1"/>
      <w:numFmt w:val="bullet"/>
      <w:lvlText w:val=""/>
      <w:lvlJc w:val="left"/>
      <w:pPr>
        <w:tabs>
          <w:tab w:val="num" w:pos="2520"/>
        </w:tabs>
        <w:ind w:left="2520" w:hanging="360"/>
      </w:pPr>
      <w:rPr>
        <w:rFonts w:ascii="Symbol" w:hAnsi="Symbol" w:hint="default"/>
      </w:rPr>
    </w:lvl>
    <w:lvl w:ilvl="4" w:tplc="1BB41A52">
      <w:start w:val="1"/>
      <w:numFmt w:val="bullet"/>
      <w:lvlText w:val="o"/>
      <w:lvlJc w:val="left"/>
      <w:pPr>
        <w:tabs>
          <w:tab w:val="num" w:pos="3240"/>
        </w:tabs>
        <w:ind w:left="3240" w:hanging="360"/>
      </w:pPr>
      <w:rPr>
        <w:rFonts w:ascii="Courier New" w:hAnsi="Courier New" w:cs="Courier New" w:hint="default"/>
      </w:rPr>
    </w:lvl>
    <w:lvl w:ilvl="5" w:tplc="35208452">
      <w:start w:val="1"/>
      <w:numFmt w:val="bullet"/>
      <w:lvlText w:val=""/>
      <w:lvlJc w:val="left"/>
      <w:pPr>
        <w:tabs>
          <w:tab w:val="num" w:pos="3960"/>
        </w:tabs>
        <w:ind w:left="3960" w:hanging="360"/>
      </w:pPr>
      <w:rPr>
        <w:rFonts w:ascii="Wingdings" w:hAnsi="Wingdings" w:hint="default"/>
      </w:rPr>
    </w:lvl>
    <w:lvl w:ilvl="6" w:tplc="A1A61034">
      <w:start w:val="1"/>
      <w:numFmt w:val="bullet"/>
      <w:lvlText w:val=""/>
      <w:lvlJc w:val="left"/>
      <w:pPr>
        <w:tabs>
          <w:tab w:val="num" w:pos="4680"/>
        </w:tabs>
        <w:ind w:left="4680" w:hanging="360"/>
      </w:pPr>
      <w:rPr>
        <w:rFonts w:ascii="Symbol" w:hAnsi="Symbol" w:hint="default"/>
      </w:rPr>
    </w:lvl>
    <w:lvl w:ilvl="7" w:tplc="0C847E76">
      <w:start w:val="1"/>
      <w:numFmt w:val="bullet"/>
      <w:lvlText w:val="o"/>
      <w:lvlJc w:val="left"/>
      <w:pPr>
        <w:tabs>
          <w:tab w:val="num" w:pos="5400"/>
        </w:tabs>
        <w:ind w:left="5400" w:hanging="360"/>
      </w:pPr>
      <w:rPr>
        <w:rFonts w:ascii="Courier New" w:hAnsi="Courier New" w:cs="Courier New" w:hint="default"/>
      </w:rPr>
    </w:lvl>
    <w:lvl w:ilvl="8" w:tplc="0F8234AA">
      <w:start w:val="1"/>
      <w:numFmt w:val="bullet"/>
      <w:lvlText w:val=""/>
      <w:lvlJc w:val="left"/>
      <w:pPr>
        <w:tabs>
          <w:tab w:val="num" w:pos="6120"/>
        </w:tabs>
        <w:ind w:left="6120" w:hanging="360"/>
      </w:pPr>
      <w:rPr>
        <w:rFonts w:ascii="Wingdings" w:hAnsi="Wingdings" w:hint="default"/>
      </w:rPr>
    </w:lvl>
  </w:abstractNum>
  <w:abstractNum w:abstractNumId="80">
    <w:nsid w:val="6F351A97"/>
    <w:multiLevelType w:val="multilevel"/>
    <w:tmpl w:val="EA926228"/>
    <w:name w:val="WW8Num5"/>
    <w:lvl w:ilvl="0">
      <w:start w:val="1"/>
      <w:numFmt w:val="decimal"/>
      <w:pStyle w:val="Notes21"/>
      <w:lvlText w:val="%1"/>
      <w:lvlJc w:val="left"/>
      <w:pPr>
        <w:tabs>
          <w:tab w:val="num" w:pos="432"/>
        </w:tabs>
        <w:ind w:left="432" w:hanging="432"/>
      </w:pPr>
      <w:rPr>
        <w:rFonts w:hint="default"/>
        <w:lang w:val="en-GB"/>
      </w:rPr>
    </w:lvl>
    <w:lvl w:ilvl="1">
      <w:start w:val="1"/>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F351A98"/>
    <w:multiLevelType w:val="multilevel"/>
    <w:tmpl w:val="408EED6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6F351A99"/>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6F351A9A"/>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6F351A9B"/>
    <w:multiLevelType w:val="multilevel"/>
    <w:tmpl w:val="EA926228"/>
    <w:name w:val="WW8Num5"/>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6F351A9C"/>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6F351A9D"/>
    <w:multiLevelType w:val="multilevel"/>
    <w:tmpl w:val="C37624AE"/>
    <w:name w:val="WW8Num5"/>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F351A9E"/>
    <w:multiLevelType w:val="multilevel"/>
    <w:tmpl w:val="C37624AE"/>
    <w:name w:val="WW8Num5"/>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6F351A9F"/>
    <w:multiLevelType w:val="multilevel"/>
    <w:tmpl w:val="5B401FA0"/>
    <w:name w:val="WW8Num5"/>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6F351AA0"/>
    <w:multiLevelType w:val="hybridMultilevel"/>
    <w:tmpl w:val="A61ACEF2"/>
    <w:lvl w:ilvl="0" w:tplc="7B340EC2">
      <w:numFmt w:val="bullet"/>
      <w:lvlText w:val="-"/>
      <w:lvlJc w:val="left"/>
      <w:pPr>
        <w:tabs>
          <w:tab w:val="num" w:pos="720"/>
        </w:tabs>
        <w:ind w:left="720" w:hanging="360"/>
      </w:pPr>
      <w:rPr>
        <w:rFonts w:ascii="Futura Lt BT" w:hAnsi="Futura Lt BT" w:cs="Times New Roman" w:hint="default"/>
      </w:rPr>
    </w:lvl>
    <w:lvl w:ilvl="1" w:tplc="A02E6FA8">
      <w:start w:val="1"/>
      <w:numFmt w:val="bullet"/>
      <w:lvlText w:val="o"/>
      <w:lvlJc w:val="left"/>
      <w:pPr>
        <w:tabs>
          <w:tab w:val="num" w:pos="1440"/>
        </w:tabs>
        <w:ind w:left="1440" w:hanging="360"/>
      </w:pPr>
      <w:rPr>
        <w:rFonts w:ascii="Courier New" w:hAnsi="Courier New" w:cs="Courier New" w:hint="default"/>
      </w:rPr>
    </w:lvl>
    <w:lvl w:ilvl="2" w:tplc="155E10C8" w:tentative="1">
      <w:start w:val="1"/>
      <w:numFmt w:val="bullet"/>
      <w:lvlText w:val=""/>
      <w:lvlJc w:val="left"/>
      <w:pPr>
        <w:tabs>
          <w:tab w:val="num" w:pos="2160"/>
        </w:tabs>
        <w:ind w:left="2160" w:hanging="360"/>
      </w:pPr>
      <w:rPr>
        <w:rFonts w:ascii="Wingdings" w:hAnsi="Wingdings" w:hint="default"/>
      </w:rPr>
    </w:lvl>
    <w:lvl w:ilvl="3" w:tplc="32F8D5E0" w:tentative="1">
      <w:start w:val="1"/>
      <w:numFmt w:val="bullet"/>
      <w:lvlText w:val=""/>
      <w:lvlJc w:val="left"/>
      <w:pPr>
        <w:tabs>
          <w:tab w:val="num" w:pos="2880"/>
        </w:tabs>
        <w:ind w:left="2880" w:hanging="360"/>
      </w:pPr>
      <w:rPr>
        <w:rFonts w:ascii="Symbol" w:hAnsi="Symbol" w:hint="default"/>
      </w:rPr>
    </w:lvl>
    <w:lvl w:ilvl="4" w:tplc="A1F6F34C" w:tentative="1">
      <w:start w:val="1"/>
      <w:numFmt w:val="bullet"/>
      <w:lvlText w:val="o"/>
      <w:lvlJc w:val="left"/>
      <w:pPr>
        <w:tabs>
          <w:tab w:val="num" w:pos="3600"/>
        </w:tabs>
        <w:ind w:left="3600" w:hanging="360"/>
      </w:pPr>
      <w:rPr>
        <w:rFonts w:ascii="Courier New" w:hAnsi="Courier New" w:cs="Courier New" w:hint="default"/>
      </w:rPr>
    </w:lvl>
    <w:lvl w:ilvl="5" w:tplc="4D16CE42" w:tentative="1">
      <w:start w:val="1"/>
      <w:numFmt w:val="bullet"/>
      <w:lvlText w:val=""/>
      <w:lvlJc w:val="left"/>
      <w:pPr>
        <w:tabs>
          <w:tab w:val="num" w:pos="4320"/>
        </w:tabs>
        <w:ind w:left="4320" w:hanging="360"/>
      </w:pPr>
      <w:rPr>
        <w:rFonts w:ascii="Wingdings" w:hAnsi="Wingdings" w:hint="default"/>
      </w:rPr>
    </w:lvl>
    <w:lvl w:ilvl="6" w:tplc="453A4324" w:tentative="1">
      <w:start w:val="1"/>
      <w:numFmt w:val="bullet"/>
      <w:lvlText w:val=""/>
      <w:lvlJc w:val="left"/>
      <w:pPr>
        <w:tabs>
          <w:tab w:val="num" w:pos="5040"/>
        </w:tabs>
        <w:ind w:left="5040" w:hanging="360"/>
      </w:pPr>
      <w:rPr>
        <w:rFonts w:ascii="Symbol" w:hAnsi="Symbol" w:hint="default"/>
      </w:rPr>
    </w:lvl>
    <w:lvl w:ilvl="7" w:tplc="130C0DB4" w:tentative="1">
      <w:start w:val="1"/>
      <w:numFmt w:val="bullet"/>
      <w:lvlText w:val="o"/>
      <w:lvlJc w:val="left"/>
      <w:pPr>
        <w:tabs>
          <w:tab w:val="num" w:pos="5760"/>
        </w:tabs>
        <w:ind w:left="5760" w:hanging="360"/>
      </w:pPr>
      <w:rPr>
        <w:rFonts w:ascii="Courier New" w:hAnsi="Courier New" w:cs="Courier New" w:hint="default"/>
      </w:rPr>
    </w:lvl>
    <w:lvl w:ilvl="8" w:tplc="07F6EC26" w:tentative="1">
      <w:start w:val="1"/>
      <w:numFmt w:val="bullet"/>
      <w:lvlText w:val=""/>
      <w:lvlJc w:val="left"/>
      <w:pPr>
        <w:tabs>
          <w:tab w:val="num" w:pos="6480"/>
        </w:tabs>
        <w:ind w:left="6480" w:hanging="360"/>
      </w:pPr>
      <w:rPr>
        <w:rFonts w:ascii="Wingdings" w:hAnsi="Wingdings" w:hint="default"/>
      </w:rPr>
    </w:lvl>
  </w:abstractNum>
  <w:abstractNum w:abstractNumId="90">
    <w:nsid w:val="6F351AA1"/>
    <w:multiLevelType w:val="multilevel"/>
    <w:tmpl w:val="BCF0F7F4"/>
    <w:name w:val="WW8Num5"/>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6F351AA2"/>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6F351AA3"/>
    <w:multiLevelType w:val="multilevel"/>
    <w:tmpl w:val="DE1EA1B0"/>
    <w:name w:val="WW8Num5"/>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6F351AA4"/>
    <w:multiLevelType w:val="hybridMultilevel"/>
    <w:tmpl w:val="C5FE403C"/>
    <w:lvl w:ilvl="0" w:tplc="B70A890E">
      <w:numFmt w:val="bullet"/>
      <w:lvlText w:val="-"/>
      <w:lvlJc w:val="left"/>
      <w:pPr>
        <w:ind w:left="720" w:hanging="360"/>
      </w:pPr>
      <w:rPr>
        <w:rFonts w:ascii="Arial" w:eastAsia="Times New Roman" w:hAnsi="Arial" w:cs="Arial" w:hint="default"/>
      </w:rPr>
    </w:lvl>
    <w:lvl w:ilvl="1" w:tplc="750E0E12" w:tentative="1">
      <w:start w:val="1"/>
      <w:numFmt w:val="bullet"/>
      <w:lvlText w:val="o"/>
      <w:lvlJc w:val="left"/>
      <w:pPr>
        <w:ind w:left="1440" w:hanging="360"/>
      </w:pPr>
      <w:rPr>
        <w:rFonts w:ascii="Courier New" w:hAnsi="Courier New" w:cs="Courier New" w:hint="default"/>
      </w:rPr>
    </w:lvl>
    <w:lvl w:ilvl="2" w:tplc="49CED84E" w:tentative="1">
      <w:start w:val="1"/>
      <w:numFmt w:val="bullet"/>
      <w:lvlText w:val=""/>
      <w:lvlJc w:val="left"/>
      <w:pPr>
        <w:ind w:left="2160" w:hanging="360"/>
      </w:pPr>
      <w:rPr>
        <w:rFonts w:ascii="Wingdings" w:hAnsi="Wingdings" w:hint="default"/>
      </w:rPr>
    </w:lvl>
    <w:lvl w:ilvl="3" w:tplc="D41A99EC" w:tentative="1">
      <w:start w:val="1"/>
      <w:numFmt w:val="bullet"/>
      <w:lvlText w:val=""/>
      <w:lvlJc w:val="left"/>
      <w:pPr>
        <w:ind w:left="2880" w:hanging="360"/>
      </w:pPr>
      <w:rPr>
        <w:rFonts w:ascii="Symbol" w:hAnsi="Symbol" w:hint="default"/>
      </w:rPr>
    </w:lvl>
    <w:lvl w:ilvl="4" w:tplc="9D66D4DE" w:tentative="1">
      <w:start w:val="1"/>
      <w:numFmt w:val="bullet"/>
      <w:lvlText w:val="o"/>
      <w:lvlJc w:val="left"/>
      <w:pPr>
        <w:ind w:left="3600" w:hanging="360"/>
      </w:pPr>
      <w:rPr>
        <w:rFonts w:ascii="Courier New" w:hAnsi="Courier New" w:cs="Courier New" w:hint="default"/>
      </w:rPr>
    </w:lvl>
    <w:lvl w:ilvl="5" w:tplc="FE3E5BF8" w:tentative="1">
      <w:start w:val="1"/>
      <w:numFmt w:val="bullet"/>
      <w:lvlText w:val=""/>
      <w:lvlJc w:val="left"/>
      <w:pPr>
        <w:ind w:left="4320" w:hanging="360"/>
      </w:pPr>
      <w:rPr>
        <w:rFonts w:ascii="Wingdings" w:hAnsi="Wingdings" w:hint="default"/>
      </w:rPr>
    </w:lvl>
    <w:lvl w:ilvl="6" w:tplc="C466053E" w:tentative="1">
      <w:start w:val="1"/>
      <w:numFmt w:val="bullet"/>
      <w:lvlText w:val=""/>
      <w:lvlJc w:val="left"/>
      <w:pPr>
        <w:ind w:left="5040" w:hanging="360"/>
      </w:pPr>
      <w:rPr>
        <w:rFonts w:ascii="Symbol" w:hAnsi="Symbol" w:hint="default"/>
      </w:rPr>
    </w:lvl>
    <w:lvl w:ilvl="7" w:tplc="56545EF2" w:tentative="1">
      <w:start w:val="1"/>
      <w:numFmt w:val="bullet"/>
      <w:lvlText w:val="o"/>
      <w:lvlJc w:val="left"/>
      <w:pPr>
        <w:ind w:left="5760" w:hanging="360"/>
      </w:pPr>
      <w:rPr>
        <w:rFonts w:ascii="Courier New" w:hAnsi="Courier New" w:cs="Courier New" w:hint="default"/>
      </w:rPr>
    </w:lvl>
    <w:lvl w:ilvl="8" w:tplc="BFFA59F8" w:tentative="1">
      <w:start w:val="1"/>
      <w:numFmt w:val="bullet"/>
      <w:lvlText w:val=""/>
      <w:lvlJc w:val="left"/>
      <w:pPr>
        <w:ind w:left="6480" w:hanging="360"/>
      </w:pPr>
      <w:rPr>
        <w:rFonts w:ascii="Wingdings" w:hAnsi="Wingdings" w:hint="default"/>
      </w:rPr>
    </w:lvl>
  </w:abstractNum>
  <w:abstractNum w:abstractNumId="94">
    <w:nsid w:val="6F351AA5"/>
    <w:multiLevelType w:val="multilevel"/>
    <w:tmpl w:val="EA926228"/>
    <w:name w:val="WW8Num5"/>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5">
    <w:nsid w:val="6F351AA6"/>
    <w:multiLevelType w:val="hybridMultilevel"/>
    <w:tmpl w:val="F38271A4"/>
    <w:lvl w:ilvl="0" w:tplc="34A6459A">
      <w:start w:val="1"/>
      <w:numFmt w:val="bullet"/>
      <w:lvlText w:val=""/>
      <w:lvlJc w:val="left"/>
      <w:pPr>
        <w:ind w:left="720" w:hanging="360"/>
      </w:pPr>
      <w:rPr>
        <w:rFonts w:ascii="Symbol" w:hAnsi="Symbol" w:hint="default"/>
      </w:rPr>
    </w:lvl>
    <w:lvl w:ilvl="1" w:tplc="902C7D86">
      <w:start w:val="1"/>
      <w:numFmt w:val="bullet"/>
      <w:lvlText w:val="o"/>
      <w:lvlJc w:val="left"/>
      <w:pPr>
        <w:ind w:left="1440" w:hanging="360"/>
      </w:pPr>
      <w:rPr>
        <w:rFonts w:ascii="Courier New" w:hAnsi="Courier New" w:cs="Courier New" w:hint="default"/>
      </w:rPr>
    </w:lvl>
    <w:lvl w:ilvl="2" w:tplc="EBB41C1C">
      <w:start w:val="1"/>
      <w:numFmt w:val="bullet"/>
      <w:lvlText w:val=""/>
      <w:lvlJc w:val="left"/>
      <w:pPr>
        <w:ind w:left="2160" w:hanging="360"/>
      </w:pPr>
      <w:rPr>
        <w:rFonts w:ascii="Wingdings" w:hAnsi="Wingdings" w:hint="default"/>
      </w:rPr>
    </w:lvl>
    <w:lvl w:ilvl="3" w:tplc="C46AB902">
      <w:start w:val="1"/>
      <w:numFmt w:val="bullet"/>
      <w:lvlText w:val=""/>
      <w:lvlJc w:val="left"/>
      <w:pPr>
        <w:ind w:left="2880" w:hanging="360"/>
      </w:pPr>
      <w:rPr>
        <w:rFonts w:ascii="Symbol" w:hAnsi="Symbol" w:hint="default"/>
      </w:rPr>
    </w:lvl>
    <w:lvl w:ilvl="4" w:tplc="0B8A169C">
      <w:start w:val="1"/>
      <w:numFmt w:val="bullet"/>
      <w:lvlText w:val="o"/>
      <w:lvlJc w:val="left"/>
      <w:pPr>
        <w:ind w:left="3600" w:hanging="360"/>
      </w:pPr>
      <w:rPr>
        <w:rFonts w:ascii="Courier New" w:hAnsi="Courier New" w:cs="Courier New" w:hint="default"/>
      </w:rPr>
    </w:lvl>
    <w:lvl w:ilvl="5" w:tplc="C7F6B9D8">
      <w:start w:val="1"/>
      <w:numFmt w:val="bullet"/>
      <w:lvlText w:val=""/>
      <w:lvlJc w:val="left"/>
      <w:pPr>
        <w:ind w:left="4320" w:hanging="360"/>
      </w:pPr>
      <w:rPr>
        <w:rFonts w:ascii="Wingdings" w:hAnsi="Wingdings" w:hint="default"/>
      </w:rPr>
    </w:lvl>
    <w:lvl w:ilvl="6" w:tplc="09B49EFC">
      <w:start w:val="1"/>
      <w:numFmt w:val="bullet"/>
      <w:lvlText w:val=""/>
      <w:lvlJc w:val="left"/>
      <w:pPr>
        <w:ind w:left="5040" w:hanging="360"/>
      </w:pPr>
      <w:rPr>
        <w:rFonts w:ascii="Symbol" w:hAnsi="Symbol" w:hint="default"/>
      </w:rPr>
    </w:lvl>
    <w:lvl w:ilvl="7" w:tplc="96386AA8">
      <w:start w:val="1"/>
      <w:numFmt w:val="bullet"/>
      <w:lvlText w:val="o"/>
      <w:lvlJc w:val="left"/>
      <w:pPr>
        <w:ind w:left="5760" w:hanging="360"/>
      </w:pPr>
      <w:rPr>
        <w:rFonts w:ascii="Courier New" w:hAnsi="Courier New" w:cs="Courier New" w:hint="default"/>
      </w:rPr>
    </w:lvl>
    <w:lvl w:ilvl="8" w:tplc="402091AC">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8"/>
  </w:num>
  <w:num w:numId="7">
    <w:abstractNumId w:val="10"/>
  </w:num>
  <w:num w:numId="8">
    <w:abstractNumId w:val="4"/>
  </w:num>
  <w:num w:numId="9">
    <w:abstractNumId w:val="11"/>
  </w:num>
  <w:num w:numId="10">
    <w:abstractNumId w:val="9"/>
  </w:num>
  <w:num w:numId="11">
    <w:abstractNumId w:val="12"/>
  </w:num>
  <w:num w:numId="12">
    <w:abstractNumId w:val="2"/>
  </w:num>
  <w:num w:numId="13">
    <w:abstractNumId w:val="7"/>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90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0/03/2017 18:47:34&lt;/DYNAMIZEDON&gt;&lt;LASTUPDATEDBY&gt;wittaan&lt;/LASTUPDATEDBY&gt;&lt;LASTUPDATEDON&gt;6/2/2017 6:02:46 AM&lt;/LASTUPDATEDON&gt;&lt;UTC&gt;1&lt;/UTC&gt;&lt;/UPDATE&gt;&lt;QUERIES bbk=&quot;9445&quot; bbkdesc=&quot;2016 Annual Accounts/EDF Annual Accounts/DC - Aggregated balance sheet (xlsx)&quot; datapro=&quot;BS&quot; tdatapro=&quot;BS&quot; author=&quot;&quot; modtime=&quot;6/7/2016 4:36:24 PM&quot; moduser=&quot;vanbena&quot; rolluptime=&quot;&quot; syuser=&quot;vanbena&quot; syuzeit=&quot;6/7/2016 4:36:24 PM&quot; root=&quot;/DATA&quot; colcount=&quot;4&quot; rowcount=&quot;32&quot; url=&quot;&quot; dynamizeds=&quot;SAP Disclosure Management - Production&quot; dynamizedstype=&quot;9&quot; refreshds=&quot;&quot; viewtype=&quot;1&quot;&gt;&lt;QUERY reftype=&quot;ABS&quot; elmntsel=&quot;TABLE&quot; bbk=&quot;9445&quot; bbkdesc=&quot;2016 Annual Accounts/EDF Annual Accounts/DC - Aggregated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7/05/2017 10:13:49&lt;/DYNAMIZEDON&gt;&lt;LASTUPDATEDBY&gt;wittaan&lt;/LASTUPDATEDBY&gt;&lt;LASTUPDATEDON&gt;6/2/2017 5:55:31 AM&lt;/LASTUPDATEDON&gt;&lt;UTC&gt;1&lt;/UTC&gt;&lt;/UPDATE&gt;&lt;QUERIES bbk=&quot;9489&quot; bbkdesc=&quot;2016 Annual Accounts/EDF Annual Accounts/DC - Aggregated Statement of financial performance (xlsx)&quot; datapro=&quot;PL&quot; tdatapro=&quot;PL&quot; author=&quot;&quot; modtime=&quot;12/2/2014 8:39:14 AM&quot; moduser=&quot;vignale&quot; rolluptime=&quot;&quot; syuser=&quot;vignale&quot; syuzeit=&quot;12/2/2014 8:39:14 AM&quot; root=&quot;/DATA&quot; colcount=&quot;4&quot; rowcount=&quot;19&quot; url=&quot;&quot; dynamizeds=&quot;SAP Disclosure Management - Production&quot; dynamizedstype=&quot;9&quot; refreshds=&quot;&quot; viewtype=&quot;1&quot;&gt;&lt;QUERY reftype=&quot;ABS&quot; elmntsel=&quot;TABLE&quot; bbk=&quot;9489&quot; bbkdesc=&quot;2016 Annual Accounts/EDF Annual Accounts/DC - Aggregated Statement of financial performance (xlsx)&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0/03/2017 10:32:40&lt;/DYNAMIZEDON&gt;&lt;LASTUPDATEDBY&gt;wittaan&lt;/LASTUPDATEDBY&gt;&lt;LASTUPDATEDON&gt;6/2/2017 6:03:01 AM&lt;/LASTUPDATEDON&gt;&lt;UTC&gt;1&lt;/UTC&gt;&lt;/UPDATE&gt;&lt;QUERIES bbk=&quot;9547&quot; bbkdesc=&quot;2016 Annual Accounts/EDF Annual Accounts/DC - Aggregated cashflow statement (xlsx)&quot; datapro=&quot;CF&quot; tdatapro=&quot;CF&quot; author=&quot;&quot; modtime=&quot;3/25/2015 8:13:45 AM&quot; moduser=&quot;wittaan&quot; rolluptime=&quot;&quot; syuser=&quot;wittaan&quot; syuzeit=&quot;3/25/2015 8:13:45 AM&quot; root=&quot;/DATA&quot; colcount=&quot;4&quot; rowcount=&quot;22&quot; url=&quot;&quot; dynamizeds=&quot;SAP Disclosure Management - Production&quot; dynamizedstype=&quot;9&quot; refreshds=&quot;&quot; viewtype=&quot;1&quot;&gt;&lt;QUERY reftype=&quot;ABS&quot; elmntsel=&quot;TABLE&quot; bbk=&quot;9547&quot; bbkdesc=&quot;2016 Annual Accounts/EDF Annual Accounts/DC - Aggregated cashflow statement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5/2/2017 9:14:37 AM&lt;/DYNAMIZEDON&gt;&lt;LASTUPDATEDBY&gt;wittaan&lt;/LASTUPDATEDBY&gt;&lt;LASTUPDATEDON&gt;6/2/2017 6:28:33 AM&lt;/LASTUPDATEDON&gt;&lt;UTC&gt;1&lt;/UTC&gt;&lt;/UPDATE&gt;&lt;QUERIES bbk=&quot;9530&quot; bbkdesc=&quot;2016 Annual Accounts/EDF Annual Accounts/DC - Aggregated statement of changes in net assets (xlsx)&quot; datapro=&quot;CNA&quot; tdatapro=&quot;CNA&quot; author=&quot;&quot; modtime=&quot;6/2/2017 6:26:26 AM&quot; moduser=&quot;wittaan&quot; rolluptime=&quot;&quot; syuser=&quot;wittaan&quot; syuzeit=&quot;6/2/2017 6:26:26 AM&quot; root=&quot;/BBOOK/DATAPROVIDER[./META/PROPS/ID='CNA']/DATA&quot; colcount=&quot;7&quot; rowcount=&quot;12&quot; url=&quot;&quot; dynamizeds=&quot;SAP Disclosure Management - Production&quot; dynamizedstype=&quot;9&quot; refreshds=&quot;&quot; viewtype=&quot;1&quot;&gt;&lt;QUERY reftype=&quot;ABS&quot; elmntsel=&quot;TABLE&quot; bbk=&quot;9530&quot; bbkdesc=&quot;2016 Annual Accounts/EDF Annual Accounts/DC - Aggregated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carlben&lt;/DYNAMIZEDBY&gt;&lt;DYNAMIZEDON&gt;5/2/2017 9:30:51 AM&lt;/DYNAMIZEDON&gt;&lt;LASTUPDATEDBY&gt;wittaan&lt;/LASTUPDATEDBY&gt;&lt;LASTUPDATEDON&gt;6/2/2017 6:03:42 AM&lt;/LASTUPDATEDON&gt;&lt;UTC&gt;1&lt;/UTC&gt;&lt;/UPDATE&gt;&lt;QUERIES bbk=&quot;9560&quot; bbkdesc=&quot;2016 Annual Accounts/EDF Annual Accounts/DC - Balance sheet of the eighth ninth 10th and 11th EDF (xlsx)&quot; datapro=&quot;BSEDF&quot; tdatapro=&quot;BSEDF&quot; author=&quot;&quot; modtime=&quot;6/1/2017 5:37:54 PM&quot; moduser=&quot;wittaan&quot; rolluptime=&quot;&quot; syuser=&quot;wittaan&quot; syuzeit=&quot;6/1/2017 5:37:54 PM&quot; root=&quot;/BBOOK/DATAPROVIDER[./META/PROPS/ID='BSEDF']/DATA&quot; colcount=&quot;11&quot; rowcount=&quot;36&quot; url=&quot;&quot; dynamizeds=&quot;SAP Disclosure Management - Production&quot; dynamizedstype=&quot;9&quot; refreshds=&quot;&quot; viewtype=&quot;1&quot;&gt;&lt;QUERY reftype=&quot;ABS&quot; elmntsel=&quot;TABLE&quot; bbk=&quot;9560&quot; bbkdesc=&quot;2016 Annual Accounts/EDF Annual Accounts/DC - Balance sheet of the eighth ninth 10th and 11th EDF (xlsx)&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7/05/2017 10:30:42&lt;/DYNAMIZEDON&gt;&lt;LASTUPDATEDBY&gt;wittaan&lt;/LASTUPDATEDBY&gt;&lt;LASTUPDATEDON&gt;6/2/2017 6:42:34 AM&lt;/LASTUPDATEDON&gt;&lt;UTC&gt;1&lt;/UTC&gt;&lt;/UPDATE&gt;&lt;QUERIES bbk=&quot;9513&quot; bbkdesc=&quot;2016 Annual Accounts/EDF Annual Accounts/DC - Statement of financial performance of the eighth ninth 10th and 11th EDF (xlsx)&quot; datapro=&quot;PLEDF&quot; tdatapro=&quot;PLEDF&quot; author=&quot;&quot; modtime=&quot;5/2/2017 9:35:35 AM&quot; moduser=&quot;carlben&quot; rolluptime=&quot;&quot; syuser=&quot;carlben&quot; syuzeit=&quot;5/2/2017 9:35:35 AM&quot; root=&quot;/DATA&quot; colcount=&quot;11&quot; rowcount=&quot;21&quot; url=&quot;&quot; dynamizeds=&quot;SAP Disclosure Management - Production&quot; dynamizedstype=&quot;9&quot; refreshds=&quot;&quot; viewtype=&quot;1&quot;&gt;&lt;QUERY reftype=&quot;ABS&quot; elmntsel=&quot;TABLE&quot; bbk=&quot;9513&quot; bbkdesc=&quot;2016 Annual Accounts/EDF Annual Accounts/DC - Statement of financial performance of the eighth ninth 10th and 11th EDF (xlsx)&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09:57:00&lt;/DYNAMIZEDON&gt;&lt;LASTUPDATEDBY&gt;wittaan&lt;/LASTUPDATEDBY&gt;&lt;LASTUPDATEDON&gt;6/2/2017 6:46:19 AM&lt;/LASTUPDATEDON&gt;&lt;UTC&gt;1&lt;/UTC&gt;&lt;/UPDATE&gt;&lt;QUERIES bbk=&quot;9548&quot; bbkdesc=&quot;2016 Annual Accounts/EDF Annual Accounts/DC - Statement of changes in net assets of the eighth EDF (xlsx)&quot; datapro=&quot;CNA8&quot; tdatapro=&quot;CNA8&quot; author=&quot;&quot; modtime=&quot;3/21/2015 3:06:47 PM&quot; moduser=&quot;wittaan&quot; rolluptime=&quot;&quot; syuser=&quot;wittaan&quot; syuzeit=&quot;3/21/2015 3:06:47 PM&quot; root=&quot;/DATA&quot; colcount=&quot;8&quot; rowcount=&quot;12&quot; url=&quot;&quot; dynamizeds=&quot;SAP Disclosure Management - Production&quot; dynamizedstype=&quot;9&quot; refreshds=&quot;&quot; viewtype=&quot;1&quot;&gt;&lt;QUERY reftype=&quot;ABS&quot; elmntsel=&quot;TABLE&quot; bbk=&quot;9548&quot; bbkdesc=&quot;2016 Annual Accounts/EDF Annual Accounts/DC - Statement of changes in net assets of the eighth EDF (xlsx)&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11:03:29&lt;/DYNAMIZEDON&gt;&lt;LASTUPDATEDBY&gt;wittaan&lt;/LASTUPDATEDBY&gt;&lt;LASTUPDATEDON&gt;6/2/2017 6:46:24 AM&lt;/LASTUPDATEDON&gt;&lt;UTC&gt;1&lt;/UTC&gt;&lt;/UPDATE&gt;&lt;QUERIES bbk=&quot;9552&quot; bbkdesc=&quot;2016 Annual Accounts/EDF Annual Accounts/DC - Statement of changes in net assets of the ninth EDF (xlsx)&quot; datapro=&quot;CNA9&quot; tdatapro=&quot;CNA9&quot; author=&quot;&quot; modtime=&quot;6/2/2017 6:21:02 AM&quot; moduser=&quot;wittaan&quot; rolluptime=&quot;&quot; syuser=&quot;wittaan&quot; syuzeit=&quot;6/2/2017 6:21:02 AM&quot; root=&quot;/BBOOK/DATAPROVIDER[./META/PROPS/ID='CNA9']/DATA&quot; colcount=&quot;8&quot; rowcount=&quot;12&quot; url=&quot;&quot; dynamizeds=&quot;SAP Disclosure Management - Production&quot; dynamizedstype=&quot;9&quot; refreshds=&quot;&quot; viewtype=&quot;1&quot;&gt;&lt;QUERY reftype=&quot;ABS&quot; elmntsel=&quot;TABLE&quot; bbk=&quot;9552&quot; bbkdesc=&quot;2016 Annual Accounts/EDF Annual Accounts/DC - Statement of changes in net assets of the ninth EDF (xlsx)&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12:52:55&lt;/DYNAMIZEDON&gt;&lt;LASTUPDATEDBY&gt;wittaan&lt;/LASTUPDATEDBY&gt;&lt;LASTUPDATEDON&gt;6/2/2017 6:46:29 AM&lt;/LASTUPDATEDON&gt;&lt;UTC&gt;1&lt;/UTC&gt;&lt;/UPDATE&gt;&lt;QUERIES bbk=&quot;9540&quot; bbkdesc=&quot;2016 Annual Accounts/EDF Annual Accounts/DC - Statement of changes in net assets of the 10th EDF (xlsx)&quot; datapro=&quot;CNA10&quot; tdatapro=&quot;CNA10&quot; author=&quot;&quot; modtime=&quot;6/2/2017 6:21:01 AM&quot; moduser=&quot;wittaan&quot; rolluptime=&quot;&quot; syuser=&quot;wittaan&quot; syuzeit=&quot;6/2/2017 6:21:01 AM&quot; root=&quot;/BBOOK/DATAPROVIDER[./META/PROPS/ID='CNA10']/DATA&quot; colcount=&quot;8&quot; rowcount=&quot;14&quot; url=&quot;&quot; dynamizeds=&quot;SAP Disclosure Management - Production&quot; dynamizedstype=&quot;9&quot; refreshds=&quot;&quot; viewtype=&quot;1&quot;&gt;&lt;QUERY reftype=&quot;ABS&quot; elmntsel=&quot;TABLE&quot; bbk=&quot;9540&quot; bbkdesc=&quot;2016 Annual Accounts/EDF Annual Accounts 2015/DC - Statement of changes in net assets of the 10th EDF (xlsx)&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2/12/2015 09:56:50&lt;/DYNAMIZEDON&gt;&lt;LASTUPDATEDBY&gt;wittaan&lt;/LASTUPDATEDBY&gt;&lt;LASTUPDATEDON&gt;6/2/2017 6:46:34 AM&lt;/LASTUPDATEDON&gt;&lt;UTC&gt;1&lt;/UTC&gt;&lt;/UPDATE&gt;&lt;QUERIES bbk=&quot;9527&quot; bbkdesc=&quot;2016 Annual Accounts/EDF Annual Accounts/DC - Statement of changes in net assets of the 11th EDF (xlsx)&quot; datapro=&quot;CNA11&quot; tdatapro=&quot;CNA11&quot; author=&quot;&quot; modtime=&quot;6/2/2017 6:21:01 AM&quot; moduser=&quot;wittaan&quot; rolluptime=&quot;&quot; syuser=&quot;wittaan&quot; syuzeit=&quot;6/2/2017 6:21:01 AM&quot; root=&quot;/BBOOK/DATAPROVIDER[./META/PROPS/ID='CNA11']/DATA&quot; colcount=&quot;8&quot; rowcount=&quot;10&quot; url=&quot;&quot; dynamizeds=&quot;SAP Disclosure Management - Production&quot; dynamizedstype=&quot;9&quot; refreshds=&quot;&quot; viewtype=&quot;1&quot;&gt;&lt;QUERY reftype=&quot;ABS&quot; elmntsel=&quot;TABLE&quot; bbk=&quot;9527&quot; bbkdesc=&quot;2016 Annual Accounts/EDF Annual Accounts/DC - Statement of changes in net assets of the 11th EDF (xlsx)&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14/02/2017 15:36:09&lt;/DYNAMIZEDON&gt;&lt;LASTUPDATEDBY&gt;wittaan&lt;/LASTUPDATEDBY&gt;&lt;LASTUPDATEDON&gt;6/2/2017 6:19:01 AM&lt;/LASTUPDATEDON&gt;&lt;UTC&gt;1&lt;/UTC&gt;&lt;/UPDATE&gt;&lt;QUERIES bbk=&quot;8904&quot; bbkdesc=&quot;2016 Annual Accounts/EU Annual Accounts/DC - Currency table (xlsx)&quot; datapro=&quot;CURRENCY&quot; tdatapro=&quot;CURRENCY&quot; author=&quot;&quot; modtime=&quot;2/6/2017 4:36:20 PM&quot; moduser=&quot;koehlmn&quot; rolluptime=&quot;&quot; syuser=&quot;koehlmn&quot; syuzeit=&quot;2/6/2017 4:36:20 PM&quot; root=&quot;/DATA&quot; colcount=&quot;6&quot; rowcount=&quot;7&quot; url=&quot;&quot; dynamizeds=&quot;SAP Disclosure Management - Production&quot; dynamizedstype=&quot;9&quot; refreshds=&quot;&quot; viewtype=&quot;1&quot;&gt;&lt;QUERY reftype=&quot;ABS&quot; elmntsel=&quot;TABLE&quot; bbk=&quot;8904&quot; bbkdesc=&quot;2016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14/02/2017 14:44:06&lt;/DYNAMIZEDON&gt;&lt;LASTUPDATEDBY&gt;wittaan&lt;/LASTUPDATEDBY&gt;&lt;LASTUPDATEDON&gt;6/2/2017 6:19:01 AM&lt;/LASTUPDATEDON&gt;&lt;UTC&gt;1&lt;/UTC&gt;&lt;/UPDATE&gt;&lt;QUERIES bbk=&quot;9242&quot; bbkdesc=&quot;2016 Annual Accounts/EEAS Annual accounts/DC - DeprecRates (xlsx)&quot; datapro=&quot;DEPRECRATES&quot; tdatapro=&quot;DEPRECRATES&quot; author=&quot;&quot; modtime=&quot;2/13/2017 11:27:49 AM&quot; moduser=&quot;oerboan&quot; rolluptime=&quot;&quot; syuser=&quot;oerboan&quot; syuzeit=&quot;2/13/2017 11:27:49 AM&quot; root=&quot;/DATA&quot; colcount=&quot;2&quot; rowcount=&quot;7&quot; url=&quot;&quot; dynamizeds=&quot;SAP Disclosure Management - Production&quot; dynamizedstype=&quot;9&quot; refreshds=&quot;&quot; viewtype=&quot;1&quot;&gt;&lt;QUERY reftype=&quot;ABS&quot; elmntsel=&quot;TABLE&quot; bbk=&quot;9242&quot; bbkdesc=&quot;2016 Annual Accounts/EEAS Annual accounts/DC - DeprecRates (xlsx)&quot; datapro=&quot;DEPRECRATES&quot; infos=&quot;&quot; iscomment=&quot;0&quot;&gt;&lt;SELECT&gt;/BBOOK/DATAPROVIDER[./META/PROPS/ID='DEPRECRATE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1/05/2017 14:17:12&lt;/DYNAMIZEDON&gt;&lt;LASTUPDATEDBY&gt;wittaan&lt;/LASTUPDATEDBY&gt;&lt;LASTUPDATEDON&gt;6/2/2017 6:20:09 AM&lt;/LASTUPDATEDON&gt;&lt;UTC&gt;1&lt;/UTC&gt;&lt;/UPDATE&gt;&lt;QUERIES bbk=&quot;10675&quot; bbkdesc=&quot;2016 Annual Accounts/EDF Annual Accounts/DC - Pre financing (xlsx)&quot; datapro=&quot;NCAssetsPF&quot; tdatapro=&quot;NCAssetsPF&quot; author=&quot;&quot; modtime=&quot;6/1/2017 5:39:32 PM&quot; moduser=&quot;wittaan&quot; rolluptime=&quot;&quot; syuser=&quot;wittaan&quot; syuzeit=&quot;6/1/2017 5:39:32 PM&quot; root=&quot;/BBOOK/DATAPROVIDER[./META/PROPS/ID='NCAssetsPF']/DATA&quot; colcount=&quot;8&quot; rowcount=&quot;5&quot; url=&quot;&quot; dynamizeds=&quot;Disclosure Management - Production&quot; dynamizedstype=&quot;9&quot; refreshds=&quot;&quot; viewtype=&quot;1&quot;&gt;&lt;QUERY reftype=&quot;ABS&quot; elmntsel=&quot;TABLE&quot; bbk=&quot;10675&quot; bbkdesc=&quot;2016 Annual Accounts/EDF Annual Accounts/DC - Pre financing (xlsx)&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1:56:25&lt;/DYNAMIZEDON&gt;&lt;LASTUPDATEDBY&gt;wittaan&lt;/LASTUPDATEDBY&gt;&lt;LASTUPDATEDON&gt;6/2/2017 8:26:51 AM&lt;/LASTUPDATEDON&gt;&lt;UTC&gt;1&lt;/UTC&gt;&lt;/UPDATE&gt;&lt;QUERIES bbk=&quot;9486&quot; bbkdesc=&quot;2016 Annual Accounts/EDF Annual Accounts/DC - Non current Pre financing (xlsx)&quot; datapro=&quot;NCAssetsPFMgmt&quot; tdatapro=&quot;NCAssetsPFMgmt&quot; author=&quot;&quot; modtime=&quot;12/14/2015 9:15:07 AM&quot; moduser=&quot;wittaan&quot; rolluptime=&quot;&quot; syuser=&quot;wittaan&quot; syuzeit=&quot;12/14/2015 9:15:07 AM&quot; root=&quot;/DATA&quot; colcount=&quot;3&quot; rowcount=&quot;17&quot; url=&quot;&quot; dynamizeds=&quot;Disclosure Management - Production&quot; dynamizedstype=&quot;9&quot; refreshds=&quot;&quot; viewtype=&quot;1&quot;&gt;&lt;QUERY reftype=&quot;ABS&quot; elmntsel=&quot;TABLE&quot; bbk=&quot;9486&quot; bbkdesc=&quot;2016 Annual Accounts/EDF Annual Accounts/DC - Non current Pre financing (xlsx)&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5:17:53&lt;/DYNAMIZEDON&gt;&lt;LASTUPDATEDBY&gt;wittaan&lt;/LASTUPDATEDBY&gt;&lt;LASTUPDATEDON&gt;6/2/2017 8:34:22 AM&lt;/LASTUPDATEDON&gt;&lt;UTC&gt;1&lt;/UTC&gt;&lt;/UPDATE&gt;&lt;QUERIES bbk=&quot;9561&quot; bbkdesc=&quot;2016 Annual Accounts/EDF Annual Accounts/DC - Current Pre financing (xlsx)&quot; datapro=&quot;CAssetsPF&quot; tdatapro=&quot;CAssetsPF&quot; author=&quot;&quot; modtime=&quot;6/2/2017 8:32:05 AM&quot; moduser=&quot;wittaan&quot; rolluptime=&quot;&quot; syuser=&quot;wittaan&quot; syuzeit=&quot;6/2/2017 8:32:05 A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9561&quot; bbkdesc=&quot;2016 Annual Accounts/EDF Annual Accounts 2015/DC - Current Pre financing (xlsx)&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1:48:04&lt;/DYNAMIZEDON&gt;&lt;LASTUPDATEDBY&gt;wittaan&lt;/LASTUPDATEDBY&gt;&lt;LASTUPDATEDON&gt;6/2/2017 8:34:27 AM&lt;/LASTUPDATEDON&gt;&lt;UTC&gt;1&lt;/UTC&gt;&lt;/UPDATE&gt;&lt;QUERIES bbk=&quot;9561&quot; bbkdesc=&quot;2016 Annual Accounts/EDF Annual Accounts/DC - Current Pre financing (xlsx)&quot; datapro=&quot;CAssetsPFMgmt&quot; tdatapro=&quot;CAssetsPFMgmt&quot; author=&quot;&quot; modtime=&quot;6/2/2017 8:32:05 AM&quot; moduser=&quot;wittaan&quot; rolluptime=&quot;&quot; syuser=&quot;wittaan&quot; syuzeit=&quot;6/2/2017 8:32:05 AM&quot; root=&quot;/BBOOK/DATAPROVIDER[./META/PROPS/ID='CAssetsPF']/DATA&quot; colcount=&quot;3&quot; rowcount=&quot;17&quot; url=&quot;&quot; dynamizeds=&quot;SAP Disclosure Management - Production&quot; dynamizedstype=&quot;9&quot; refreshds=&quot;&quot; viewtype=&quot;1&quot;&gt;&lt;QUERY reftype=&quot;ABS&quot; elmntsel=&quot;TABLE&quot; bbk=&quot;9561&quot; bbkdesc=&quot;2016 Annual Accounts/EDF Annual Accounts 2015/DC - Current Pre financing (xlsx)&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2/05/2017 09:37:09&lt;/DYNAMIZEDON&gt;&lt;LASTUPDATEDBY&gt;wittaan&lt;/LASTUPDATEDBY&gt;&lt;LASTUPDATEDON&gt;6/2/2017 6:20:08 AM&lt;/LASTUPDATEDON&gt;&lt;UTC&gt;1&lt;/UTC&gt;&lt;/UPDATE&gt;&lt;QUERIES bbk=&quot;10749&quot; bbkdesc=&quot;2016 Annual Accounts/EDF Annual Accounts/DC - Trust fund contributions (xlsx)&quot; datapro=&quot;TFCONTRIB&quot; tdatapro=&quot;TFCONTRIB&quot; author=&quot;&quot; modtime=&quot;5/12/2017 8:22:40 AM&quot; moduser=&quot;carlben&quot; rolluptime=&quot;&quot; syuser=&quot;carlben&quot; syuzeit=&quot;5/12/2017 8:22:40 AM&quot; root=&quot;/DATA&quot; colcount=&quot;5&quot; rowcount=&quot;5&quot; url=&quot;&quot; dynamizeds=&quot;Disclosure Management - Production&quot; dynamizedstype=&quot;9&quot; refreshds=&quot;&quot; viewtype=&quot;1&quot;&gt;&lt;QUERY reftype=&quot;ABS&quot; elmntsel=&quot;TABLE&quot; bbk=&quot;10749&quot; bbkdesc=&quot;2016 Annual Accounts/EDF Annual Accounts/DC - Trust fund contributions (xlsx)&quot; datapro=&quot;TFCONTRIB&quot; infos=&quot;&quot; iscomment=&quot;0&quot;&gt;&lt;SELECT&gt;/BBOOK/DATAPROVIDER[./META/PROPS/ID='TFCONTRIB']/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2/03/2017 15:28:09&lt;/DYNAMIZEDON&gt;&lt;LASTUPDATEDBY&gt;wittaan&lt;/LASTUPDATEDBY&gt;&lt;LASTUPDATEDON&gt;6/2/2017 5:55:23 AM&lt;/LASTUPDATEDON&gt;&lt;UTC&gt;1&lt;/UTC&gt;&lt;/UPDATE&gt;&lt;QUERIES bbk=&quot;9569&quot; bbkdesc=&quot;2016 Annual Accounts/EDF Annual Accounts/DC - Exchange receivables and Non-exchange recoverables (xlsx)&quot; datapro=&quot;ERNER&quot; tdatapro=&quot;ERNER&quot; author=&quot;&quot; modtime=&quot;6/1/2017 5:38:32 PM&quot; moduser=&quot;wittaan&quot; rolluptime=&quot;&quot; syuser=&quot;wittaan&quot; syuzeit=&quot;6/1/2017 5:38:32 PM&quot; root=&quot;/BBOOK/DATAPROVIDER[./META/PROPS/ID='ERNER']/DATA&quot; colcount=&quot;4&quot; rowcount=&quot;5&quot; url=&quot;&quot; dynamizeds=&quot;SAP Disclosure Management - Production&quot; dynamizedstype=&quot;9&quot; refreshds=&quot;&quot; viewtype=&quot;1&quot;&gt;&lt;QUERY reftype=&quot;ABS&quot; elmntsel=&quot;TABLE&quot; bbk=&quot;9569&quot; bbkdesc=&quot;2016 Annual Accounts/EDF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9:46:24 PM&lt;/DYNAMIZEDON&gt;&lt;LASTUPDATEDBY&gt;wittaan&lt;/LASTUPDATEDBY&gt;&lt;LASTUPDATEDON&gt;6/2/2017 5:55:23 AM&lt;/LASTUPDATEDON&gt;&lt;UTC&gt;1&lt;/UTC&gt;&lt;/UPDATE&gt;&lt;QUERIES bbk=&quot;9474&quot; bbkdesc=&quot;2016 Annual Accounts/EDF Annual Accounts/DC - Non-exchange receivables-detail (xlsx)&quot; datapro=&quot;CAssetsReceivables&quot; tdatapro=&quot;CAssetsReceivables&quot; author=&quot;&quot; modtime=&quot;6/1/2017 5:37:29 PM&quot; moduser=&quot;wittaan&quot; rolluptime=&quot;&quot; syuser=&quot;wittaan&quot; syuzeit=&quot;6/1/2017 5:37:29 PM&quot; root=&quot;/BBOOK/DATAPROVIDER[./META/PROPS/ID='CAssetsReceivables']/DATA&quot; colcount=&quot;7&quot; rowcount=&quot;9&quot; url=&quot;&quot; dynamizeds=&quot;SAP Disclosure Management - Production&quot; dynamizedstype=&quot;9&quot; refreshds=&quot;&quot; viewtype=&quot;1&quot;&gt;&lt;QUERY reftype=&quot;ABS&quot; elmntsel=&quot;TABLE&quot; bbk=&quot;9474&quot; bbkdesc=&quot;2016 Annual Accounts/EDF Annual Accounts/DC - Non-exchange receivables-detail (xlsx)&quot; datapro=&quot;CAssetsReceivables&quot; infos=&quot;&quot; iscomment=&quot;0&quot;&gt;&lt;SELECT&gt;/BBOOK/DATAPROVIDER[./META/PROPS/ID='CAssetsReceivable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6/05/2017 07:31:59&lt;/DYNAMIZEDON&gt;&lt;LASTUPDATEDBY&gt;wittaan&lt;/LASTUPDATEDBY&gt;&lt;LASTUPDATEDON&gt;6/2/2017 5:55:23 AM&lt;/LASTUPDATEDON&gt;&lt;UTC&gt;1&lt;/UTC&gt;&lt;/UPDATE&gt;&lt;QUERIES bbk=&quot;9477&quot; bbkdesc=&quot;2016 Annual Accounts/EDF Annual Accounts/DC - Receivable from Member States (xls)&quot; datapro=&quot;MSRECEIV&quot; tdatapro=&quot;MSRECEIV&quot; author=&quot;&quot; modtime=&quot;3/22/2017 3:19:24 PM&quot; moduser=&quot;vanbena&quot; rolluptime=&quot;&quot; syuser=&quot;vanbena&quot; syuzeit=&quot;3/22/2017 3:19:24 PM&quot; root=&quot;/DATA&quot; colcount=&quot;4&quot; rowcount=&quot;25&quot; url=&quot;&quot; dynamizeds=&quot;SAP Disclosure Management - Production&quot; dynamizedstype=&quot;9&quot; refreshds=&quot;&quot; viewtype=&quot;1&quot;&gt;&lt;QUERY reftype=&quot;ABS&quot; elmntsel=&quot;TABLE&quot; bbk=&quot;9477&quot; bbkdesc=&quot;2016 Annual Accounts/EDF Annual Accounts/DC - Receivable from Member States (xls)&quot; datapro=&quot;MSRECEIV&quot; infos=&quot;&quot; iscomment=&quot;0&quot;&gt;&lt;SELECT&gt;/BBOOK/DATAPROVIDER[./META/PROPS/ID='MSRECEIV']/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9:44:30 PM&lt;/DYNAMIZEDON&gt;&lt;LASTUPDATEDBY&gt;wittaan&lt;/LASTUPDATEDBY&gt;&lt;LASTUPDATEDON&gt;6/2/2017 5:55:23 AM&lt;/LASTUPDATEDON&gt;&lt;UTC&gt;1&lt;/UTC&gt;&lt;/UPDATE&gt;&lt;QUERIES bbk=&quot;10435&quot; bbkdesc=&quot;2016 Annual Accounts/EDF Annual Accounts/DC - Exchange receivables-detail (xlsx)&quot; datapro=&quot;CAssetsReceivables&quot; tdatapro=&quot;CAssetsReceivables&quot; author=&quot;&quot; modtime=&quot;6/1/2017 5:39:10 PM&quot; moduser=&quot;wittaan&quot; rolluptime=&quot;&quot; syuser=&quot;wittaan&quot; syuzeit=&quot;6/1/2017 5:39:10 PM&quot; root=&quot;/BBOOK/DATAPROVIDER[./META/PROPS/ID='CAssetsReceivables']/DATA&quot; colcount=&quot;7&quot; rowcount=&quot;5&quot; url=&quot;&quot; dynamizeds=&quot;SAP Disclosure Management - Production&quot; dynamizedstype=&quot;9&quot; refreshds=&quot;&quot; viewtype=&quot;1&quot;&gt;&lt;QUERY reftype=&quot;ABS&quot; elmntsel=&quot;TABLE&quot; bbk=&quot;10435&quot; bbkdesc=&quot;2016 Annual Accounts/EDF Annual Accounts/DC - Exchange receivables-detail (xlsx)&quot; datapro=&quot;CAssetsReceivables&quot; infos=&quot;&quot; iscomment=&quot;0&quot;&gt;&lt;SELECT&gt;/BBOOK/DATAPROVIDER[./META/PROPS/ID='CAssetsReceivables']/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10:02:04 PM&lt;/DYNAMIZEDON&gt;&lt;LASTUPDATEDBY&gt;wittaan&lt;/LASTUPDATEDBY&gt;&lt;LASTUPDATEDON&gt;6/2/2017 6:06:38 AM&lt;/LASTUPDATEDON&gt;&lt;UTC&gt;1&lt;/UTC&gt;&lt;/UPDATE&gt;&lt;QUERIES bbk=&quot;9510&quot; bbkdesc=&quot;2016 Annual Accounts/EDF Annual Accounts/DC - Cash and cash equivalents current assets (xlsx)&quot; datapro=&quot;CAssetsCash&quot; tdatapro=&quot;CAssetsCash&quot; author=&quot;&quot; modtime=&quot;12/3/2015 1:30:42 PM&quot; moduser=&quot;MILOTLU&quot; rolluptime=&quot;&quot; syuser=&quot;MILOTLU&quot; syuzeit=&quot;12/3/2015 1:30:42 PM&quot; root=&quot;/DATA&quot; colcount=&quot;7&quot; rowcount=&quot;8&quot; url=&quot;&quot; dynamizeds=&quot;SAP Disclosure Management - Production&quot; dynamizedstype=&quot;9&quot; refreshds=&quot;&quot; viewtype=&quot;1&quot;&gt;&lt;QUERY reftype=&quot;ABS&quot; elmntsel=&quot;TABLE&quot; bbk=&quot;9510&quot; bbkdesc=&quot;2016 Annual Accounts/EDF Annual Accounts/DC - Cash and cash equivalents current assets (xlsx)&quot; datapro=&quot;CAssetsCash&quot; infos=&quot;&quot; iscomment=&quot;0&quot;&gt;&lt;SELECT&gt;/BBOOK/DATAPROVIDER[./META/PROPS/ID='CAssetsCash']/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02/12/2016 16:03:18&lt;/DYNAMIZEDON&gt;&lt;LASTUPDATEDBY&gt;wittaan&lt;/LASTUPDATEDBY&gt;&lt;LASTUPDATEDON&gt;6/2/2017 6:52:23 AM&lt;/LASTUPDATEDON&gt;&lt;UTC&gt;1&lt;/UTC&gt;&lt;/UPDATE&gt;&lt;QUERIES bbk=&quot;9575&quot; bbkdesc=&quot;2016 Annual Accounts/EDF Annual Accounts/DC Non current provisions (xlsx)&quot; datapro=&quot;NCLiabPayables&quot; tdatapro=&quot;NCLiabPayables&quot; author=&quot;&quot; modtime=&quot;6/2/2017 6:21:03 AM&quot; moduser=&quot;wittaan&quot; rolluptime=&quot;&quot; syuser=&quot;wittaan&quot; syuzeit=&quot;6/2/2017 6:21:03 AM&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9575&quot; bbkdesc=&quot;2016 Annual Accounts/EDF Annual Accounts 2015/DC Non current provisions (xlsx)&quot; datapro=&quot;NCLiabPayables&quot; infos=&quot;&quot; iscomment=&quot;0&quot;&gt;&lt;SELECT&gt;/BBOOK/DATAPROVIDER[./META/PROPS/ID='N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16:16&lt;/DYNAMIZEDON&gt;&lt;LASTUPDATEDBY&gt;wittaan&lt;/LASTUPDATEDBY&gt;&lt;LASTUPDATEDON&gt;6/2/2017 6:06:39 AM&lt;/LASTUPDATEDON&gt;&lt;UTC&gt;1&lt;/UTC&gt;&lt;/UPDATE&gt;&lt;QUERIES bbk=&quot;9436&quot; bbkdesc=&quot;2016 Annual Accounts/EDF Annual Accounts/DC - NC Financial liabilities (xlsx)&quot; datapro=&quot;NCLiabPayables&quot; tdatapro=&quot;NCLiabPayables&quot; author=&quot;&quot; modtime=&quot;12/3/2015 11:43:40 AM&quot; moduser=&quot;MILOTLU&quot; rolluptime=&quot;&quot; syuser=&quot;MILOTLU&quot; syuzeit=&quot;12/3/2015 11:43:40 AM&quot; root=&quot;/DATA&quot; colcount=&quot;7&quot; rowcount=&quot;4&quot; url=&quot;&quot; dynamizeds=&quot;SAP Disclosure Management - Production&quot; dynamizedstype=&quot;9&quot; refreshds=&quot;&quot; viewtype=&quot;1&quot;&gt;&lt;QUERY reftype=&quot;ABS&quot; elmntsel=&quot;TABLE&quot; bbk=&quot;9436&quot; bbkdesc=&quot;2016 Annual Accounts/EDF Annual Accounts 2015/DC - Non current Payables (xlsx)&quot; datapro=&quot;NCLiabPayables&quot; infos=&quot;&quot; iscomment=&quot;0&quot;&gt;&lt;SELECT&gt;/BBOOK/DATAPROVIDER[./META/PROPS/ID='NCLiab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02/12/2016 16:55:58&lt;/DYNAMIZEDON&gt;&lt;LASTUPDATEDBY&gt;wittaan&lt;/LASTUPDATEDBY&gt;&lt;LASTUPDATEDON&gt;6/2/2017 6:10:24 AM&lt;/LASTUPDATEDON&gt;&lt;UTC&gt;1&lt;/UTC&gt;&lt;/UPDATE&gt;&lt;QUERIES bbk=&quot;9542&quot; bbkdesc=&quot;2016 Annual Accounts/EDF Annual Accounts/DC - Payables (xlsx)&quot; datapro=&quot;CLIABPAYABLES&quot; tdatapro=&quot;CLIABPAYABLES&quot; author=&quot;&quot; modtime=&quot;6/2/2017 6:07:16 AM&quot; moduser=&quot;wittaan&quot; rolluptime=&quot;&quot; syuser=&quot;wittaan&quot; syuzeit=&quot;6/2/2017 6:07:16 AM&quot; root=&quot;/BBOOK/DATAPROVIDER[./META/PROPS/ID='CLIABPAYABLES']/DATA&quot; colcount=&quot;8&quot; rowcount=&quot;5&quot; url=&quot;&quot; dynamizeds=&quot;SAP Disclosure Management - Production&quot; dynamizedstype=&quot;9&quot; refreshds=&quot;&quot; viewtype=&quot;1&quot;&gt;&lt;QUERY reftype=&quot;ABS&quot; elmntsel=&quot;TABLE&quot; bbk=&quot;9542&quot; bbkdesc=&quot;2016 Annual Accounts/EDF Annual Accounts/DC - Payables (xlsx)&quot; datapro=&quot;CLIABPAYABLES&quot; infos=&quot;&quot; iscomment=&quot;0&quot;&gt;&lt;SELECT&gt;/BBOOK/DATAPROVIDER[./META/PROPS/ID='CLIABPAYABL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2/03/2017 13:25:08&lt;/DYNAMIZEDON&gt;&lt;LASTUPDATEDBY&gt;wittaan&lt;/LASTUPDATEDBY&gt;&lt;LASTUPDATEDON&gt;6/2/2017 6:10:24 AM&lt;/LASTUPDATEDON&gt;&lt;UTC&gt;1&lt;/UTC&gt;&lt;/UPDATE&gt;&lt;QUERIES bbk=&quot;9509&quot; bbkdesc=&quot;2016 Annual Accounts/EDF Annual Accounts/DC - Current payables (xlsx)&quot; datapro=&quot;CPAYABLES&quot; tdatapro=&quot;CPAYABLES&quot; author=&quot;&quot; modtime=&quot;6/2/2017 6:04:22 AM&quot; moduser=&quot;wittaan&quot; rolluptime=&quot;&quot; syuser=&quot;wittaan&quot; syuzeit=&quot;6/2/2017 6:04:22 AM&quot; root=&quot;/BBOOK/DATAPROVIDER[./META/PROPS/ID='CPAYABLES']/DATA&quot; colcount=&quot;7&quot; rowcount=&quot;8&quot; url=&quot;&quot; dynamizeds=&quot;SAP Disclosure Management - Production&quot; dynamizedstype=&quot;9&quot; refreshds=&quot;&quot; viewtype=&quot;1&quot;&gt;&lt;QUERY reftype=&quot;ABS&quot; elmntsel=&quot;TABLE&quot; bbk=&quot;9509&quot; bbkdesc=&quot;2016 Annual Accounts/EDF Annual Accounts/DC - Current payables (xlsx)&quot; datapro=&quot;CPAYABLES&quot; infos=&quot;&quot; iscomment=&quot;0&quot;&gt;&lt;SELECT&gt;/BBOOK/DATAPROVIDER[./META/PROPS/ID='CPAYABLE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02/12/2016 17:54:08&lt;/DYNAMIZEDON&gt;&lt;LASTUPDATEDBY&gt;wittaan&lt;/LASTUPDATEDBY&gt;&lt;LASTUPDATEDON&gt;6/2/2017 6:10:24 AM&lt;/LASTUPDATEDON&gt;&lt;UTC&gt;1&lt;/UTC&gt;&lt;/UPDATE&gt;&lt;QUERIES bbk=&quot;10438&quot; bbkdesc=&quot;2016 Annual Accounts/EDF Annual Accounts/DC - Sundry payables (xlsx)&quot; datapro=&quot;SUNPAY&quot; tdatapro=&quot;SUNPAY&quot; author=&quot;&quot; modtime=&quot;6/1/2017 5:39:10 PM&quot; moduser=&quot;wittaan&quot; rolluptime=&quot;&quot; syuser=&quot;wittaan&quot; syuzeit=&quot;6/1/2017 5:39:10 PM&quot; root=&quot;/BBOOK/DATAPROVIDER[./META/PROPS/ID='SUNPAY']/DATA&quot; colcount=&quot;8&quot; rowcount=&quot;6&quot; url=&quot;&quot; dynamizeds=&quot;SAP Disclosure Management - Production&quot; dynamizedstype=&quot;9&quot; refreshds=&quot;&quot; viewtype=&quot;1&quot;&gt;&lt;QUERY reftype=&quot;ABS&quot; elmntsel=&quot;TABLE&quot; bbk=&quot;10438&quot; bbkdesc=&quot;2016 Annual Accounts/EDF Annual Accounts/DC - Sundry payables (xlsx)&quot; datapro=&quot;SUNPAY&quot; infos=&quot;&quot; iscomment=&quot;0&quot;&gt;&lt;SELECT&gt;/BBOOK/DATAPROVIDER[./META/PROPS/ID='SUNPAY']/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20:13&lt;/DYNAMIZEDON&gt;&lt;LASTUPDATEDBY&gt;wittaan&lt;/LASTUPDATEDBY&gt;&lt;LASTUPDATEDON&gt;6/2/2017 6:10:24 AM&lt;/LASTUPDATEDON&gt;&lt;UTC&gt;1&lt;/UTC&gt;&lt;/UPDATE&gt;&lt;QUERIES bbk=&quot;10639&quot; bbkdesc=&quot;2016 Annual Accounts/EDF Annual Accounts/DC - Cofinancing payables (xlsx)&quot; datapro=&quot;COFIPAY&quot; tdatapro=&quot;COFIPAY&quot; author=&quot;&quot; modtime=&quot;3/21/2017 10:18:08 AM&quot; moduser=&quot;MILOTLU&quot; rolluptime=&quot;&quot; syuser=&quot;MILOTLU&quot; syuzeit=&quot;3/21/2017 10:18:08 AM&quot; root=&quot;/DATA&quot; colcount=&quot;7&quot; rowcount=&quot;26&quot; url=&quot;&quot; dynamizeds=&quot;Disclosure Management - Production&quot; dynamizedstype=&quot;9&quot; refreshds=&quot;&quot; viewtype=&quot;1&quot;&gt;&lt;QUERY reftype=&quot;ABS&quot; elmntsel=&quot;TABLE&quot; bbk=&quot;10639&quot; bbkdesc=&quot;2016 Annual Accounts/EDF Annual Accounts/DC - Cofinancing payables (xlsx)&quot; datapro=&quot;COFIPAY&quot; infos=&quot;&quot; iscomment=&quot;0&quot;&gt;&lt;SELECT&gt;/BBOOK/DATAPROVIDER[./META/PROPS/ID='COFIPAY']/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21:29&lt;/DYNAMIZEDON&gt;&lt;LASTUPDATEDBY&gt;wittaan&lt;/LASTUPDATEDBY&gt;&lt;LASTUPDATEDON&gt;6/2/2017 6:10:24 AM&lt;/LASTUPDATEDON&gt;&lt;UTC&gt;1&lt;/UTC&gt;&lt;/UPDATE&gt;&lt;QUERIES bbk=&quot;9546&quot; bbkdesc=&quot;2016 Annual Accounts/EDF Annual Accounts/DC - Deferred capital contribution detail (xlsx)&quot; datapro=&quot;DFCC&quot; tdatapro=&quot;DFCC&quot; author=&quot;&quot; modtime=&quot;5/8/2017 12:37:36 PM&quot; moduser=&quot;carlben&quot; rolluptime=&quot;&quot; syuser=&quot;carlben&quot; syuzeit=&quot;5/8/2017 12:37:36 PM&quot; root=&quot;/DATA&quot; colcount=&quot;7&quot; rowcount=&quot;6&quot; url=&quot;&quot; dynamizeds=&quot;SAP Disclosure Management - Production&quot; dynamizedstype=&quot;9&quot; refreshds=&quot;&quot; viewtype=&quot;1&quot;&gt;&lt;QUERY reftype=&quot;ABS&quot; elmntsel=&quot;TABLE&quot; bbk=&quot;9546&quot; bbkdesc=&quot;2016 Annual Accounts/EDF Annual Accounts/DC - Deferred capital contribution detail (xlsx)&quot; datapro=&quot;DFCC&quot; infos=&quot;&quot; iscomment=&quot;0&quot;&gt;&lt;SELECT&gt;/BBOOK/DATAPROVIDER[./META/PROPS/ID='DFCC']/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24:35&lt;/DYNAMIZEDON&gt;&lt;LASTUPDATEDBY&gt;wittaan&lt;/LASTUPDATEDBY&gt;&lt;LASTUPDATEDON&gt;6/2/2017 6:13:18 AM&lt;/LASTUPDATEDON&gt;&lt;UTC&gt;1&lt;/UTC&gt;&lt;/UPDATE&gt;&lt;QUERIES bbk=&quot;9551&quot; bbkdesc=&quot;2016 Annual Accounts/EDF Annual Accounts/DC - Accrued charges (xlsx)&quot; datapro=&quot;ACCRUEDCHARGES&quot; tdatapro=&quot;ACCRUEDCHARGES&quot; author=&quot;&quot; modtime=&quot;12/3/2015 11:45:06 AM&quot; moduser=&quot;MILOTLU&quot; rolluptime=&quot;&quot; syuser=&quot;MILOTLU&quot; syuzeit=&quot;12/3/2015 11:45:06 AM&quot; root=&quot;/DATA&quot; colcount=&quot;7&quot; rowcount=&quot;5&quot; url=&quot;&quot; dynamizeds=&quot;SAP Disclosure Management - Production&quot; dynamizedstype=&quot;9&quot; refreshds=&quot;&quot; viewtype=&quot;1&quot;&gt;&lt;QUERY reftype=&quot;ABS&quot; elmntsel=&quot;TABLE&quot; bbk=&quot;9551&quot; bbkdesc=&quot;2016 Annual Accounts/EDF Annual Accounts 2015/DC - Accrued charges (xlsx)&quot; datapro=&quot;ACCRUEDCHARGES&quot; infos=&quot;&quot; iscomment=&quot;0&quot;&gt;&lt;SELECT&gt;/BBOOK/DATAPROVIDER[./META/PROPS/ID='ACCRUEDCHARGES']/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31:41&lt;/DYNAMIZEDON&gt;&lt;LASTUPDATEDBY&gt;wittaan&lt;/LASTUPDATEDBY&gt;&lt;LASTUPDATEDON&gt;6/2/2017 6:03:03 AM&lt;/LASTUPDATEDON&gt;&lt;UTC&gt;1&lt;/UTC&gt;&lt;/UPDATE&gt;&lt;QUERIES bbk=&quot;9461&quot; bbkdesc=&quot;2016 Annual Accounts/EDF Annual Accounts/DC - Called fund capital (xlsx)&quot; datapro=&quot;NACalledFundCapital&quot; tdatapro=&quot;NACalledFundCapital&quot; author=&quot;&quot; modtime=&quot;5/8/2017 12:27:43 PM&quot; moduser=&quot;carlben&quot; rolluptime=&quot;&quot; syuser=&quot;carlben&quot; syuzeit=&quot;5/8/2017 12:27:43 PM&quot; root=&quot;/DATA&quot; colcount=&quot;6&quot; rowcount=&quot;9&quot; url=&quot;&quot; dynamizeds=&quot;SAP Disclosure Management - Production&quot; dynamizedstype=&quot;9&quot; refreshds=&quot;&quot; viewtype=&quot;1&quot;&gt;&lt;QUERY reftype=&quot;ABS&quot; elmntsel=&quot;TABLE&quot; bbk=&quot;9461&quot; bbkdesc=&quot;2016 Annual Accounts/EDF Annual Accounts 2015/DC - Called fund capital (xlsx)&quot; datapro=&quot;NACalledFundCapital&quot; infos=&quot;&quot; iscomment=&quot;0&quot;&gt;&lt;SELECT&gt;/BBOOK/DATAPROVIDER[./META/PROPS/ID='NACalledFundCapital']/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10:30:57 PM&lt;/DYNAMIZEDON&gt;&lt;LASTUPDATEDBY&gt;wittaan&lt;/LASTUPDATEDBY&gt;&lt;LASTUPDATEDON&gt;6/2/2017 6:03:03 AM&lt;/LASTUPDATEDON&gt;&lt;UTC&gt;1&lt;/UTC&gt;&lt;/UPDATE&gt;&lt;QUERIES bbk=&quot;9461&quot; bbkdesc=&quot;2016 Annual Accounts/EDF Annual Accounts/DC - Called fund capital (xlsx)&quot; datapro=&quot;NACalledFundCapitalMS&quot; tdatapro=&quot;NACalledFundCapitalMS&quot; author=&quot;&quot; modtime=&quot;12/21/2016 8:31:44 PM&quot; moduser=&quot;MILOTLU&quot; rolluptime=&quot;&quot; syuser=&quot;MILOTLU&quot; syuzeit=&quot;12/21/2016 8:31:44 PM&quot; root=&quot;/DATA&quot; colcount=&quot;5&quot; rowcount=&quot;30&quot; url=&quot;&quot; dynamizeds=&quot;SAP Disclosure Management - Production&quot; dynamizedstype=&quot;9&quot; refreshds=&quot;&quot; viewtype=&quot;1&quot;&gt;&lt;QUERY reftype=&quot;ABS&quot; elmntsel=&quot;TABLE&quot; bbk=&quot;9461&quot; bbkdesc=&quot;2016 Annual Accounts/EDF Annual Accounts/DC - Called fund capital (xlsx)&quot; datapro=&quot;NACalledFundCapitalMS&quot; infos=&quot;&quot; iscomment=&quot;0&quot;&gt;&lt;SELECT&gt;/BBOOK/DATAPROVIDER[./META/PROPS/ID='NACalledFundCapitalM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16:36:13&lt;/DYNAMIZEDON&gt;&lt;LASTUPDATEDBY&gt;wittaan&lt;/LASTUPDATEDBY&gt;&lt;LASTUPDATEDON&gt;6/2/2017 6:19:00 AM&lt;/LASTUPDATEDON&gt;&lt;UTC&gt;1&lt;/UTC&gt;&lt;/UPDATE&gt;&lt;QUERIES bbk=&quot;9576&quot; bbkdesc=&quot;2016 Annual Accounts/EDF Annual Accounts/DC - Transfers between Active EDFs (xlsx)&quot; datapro=&quot;NAOtherReserves&quot; tdatapro=&quot;NAOtherReserves&quot; author=&quot;&quot; modtime=&quot;6/2/2017 6:14:08 AM&quot; moduser=&quot;wittaan&quot; rolluptime=&quot;&quot; syuser=&quot;wittaan&quot; syuzeit=&quot;6/2/2017 6:14:08 AM&quot; root=&quot;/BBOOK/DATAPROVIDER[./META/PROPS/ID='NAOtherReserves']/DATA&quot; colcount=&quot;6&quot; rowcount=&quot;13&quot; url=&quot;&quot; dynamizeds=&quot;SAP Disclosure Management - Production&quot; dynamizedstype=&quot;9&quot; refreshds=&quot;&quot; viewtype=&quot;1&quot;&gt;&lt;QUERY reftype=&quot;ABS&quot; elmntsel=&quot;TABLE&quot; bbk=&quot;9576&quot; bbkdesc=&quot;2016 Annual Accounts/EDF Annual Accounts 2015/DC - Transfers between Active EDFs (xlsx)&quot; datapro=&quot;NAOtherReserves&quot; infos=&quot;&quot; iscomment=&quot;0&quot;&gt;&lt;SELECT&gt;/BBOOK/DATAPROVIDER[./META/PROPS/ID='NAOtherReserve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1/05/2017 12:46:06&lt;/DYNAMIZEDON&gt;&lt;LASTUPDATEDBY&gt;wittaan&lt;/LASTUPDATEDBY&gt;&lt;LASTUPDATEDON&gt;6/2/2017 5:55:11 AM&lt;/LASTUPDATEDON&gt;&lt;UTC&gt;1&lt;/UTC&gt;&lt;/UPDATE&gt;&lt;QUERIES bbk=&quot;9555&quot; bbkdesc=&quot;2016 Annual Accounts/EDF Annual Accounts/DC - Called fund capital from closed EDFs carried forward (xlsx)&quot; datapro=&quot;NAOtherReserves&quot; tdatapro=&quot;NAOtherReserves&quot; author=&quot;&quot; modtime=&quot;3/16/2016 5:33:27 PM&quot; moduser=&quot;vanbena&quot; rolluptime=&quot;&quot; syuser=&quot;vanbena&quot; syuzeit=&quot;3/16/2016 5:33:27 PM&quot; root=&quot;/DATA&quot; colcount=&quot;7&quot; rowcount=&quot;4&quot; url=&quot;&quot; dynamizeds=&quot;Disclosure Management - Production&quot; dynamizedstype=&quot;9&quot; refreshds=&quot;&quot; viewtype=&quot;1&quot;&gt;&lt;QUERY reftype=&quot;ABS&quot; elmntsel=&quot;TABLE&quot; bbk=&quot;9555&quot; bbkdesc=&quot;2016 Annual Accounts/EDF Annual Accounts/DC - Other reserves (xlsx)&quot; datapro=&quot;NAOtherReserves&quot; infos=&quot;&quot; iscomment=&quot;0&quot;&gt;&lt;SELECT&gt;/BBOOK/DATAPROVIDER[./META/PROPS/ID='NAOtherReserves']/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10:38:49 PM&lt;/DYNAMIZEDON&gt;&lt;LASTUPDATEDBY&gt;wittaan&lt;/LASTUPDATEDBY&gt;&lt;LASTUPDATEDON&gt;6/2/2017 7:36:06 AM&lt;/LASTUPDATEDON&gt;&lt;UTC&gt;1&lt;/UTC&gt;&lt;/UPDATE&gt;&lt;QUERIES bbk=&quot;9490&quot; bbkdesc=&quot;2016 Annual Accounts/EDF Annual Accounts/DC - Exchange and non-exchange revenue (xlsx)&quot; datapro=&quot;REVEXCHNONEX&quot; tdatapro=&quot;REVEXCHNONEX&quot; author=&quot;&quot; modtime=&quot;12/3/2015 11:47:35 AM&quot; moduser=&quot;MILOTLU&quot; rolluptime=&quot;&quot; syuser=&quot;MILOTLU&quot; syuzeit=&quot;12/3/2015 11:47:35 AM&quot; root=&quot;/DATA&quot; colcount=&quot;4&quot; rowcount=&quot;5&quot; url=&quot;&quot; dynamizeds=&quot;SAP Disclosure Management - Production&quot; dynamizedstype=&quot;9&quot; refreshds=&quot;&quot; viewtype=&quot;1&quot;&gt;&lt;QUERY reftype=&quot;ABS&quot; elmntsel=&quot;TABLE&quot; bbk=&quot;9490&quot; bbkdesc=&quot;2016 Annual Accounts/EDF Annual Accounts 2015/DC - Exchange and non-exchange revenue (xlsx)&quot; datapro=&quot;REVEXCHNONEX&quot; infos=&quot;&quot; iscomment=&quot;0&quot;&gt;&lt;SELECT&gt;/BBOOK/DATAPROVIDER[./META/PROPS/ID='REVEXCHNONEX']/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milotlu&lt;/DYNAMIZEDBY&gt;&lt;DYNAMIZEDON&gt;24/03/2015 12:12:48&lt;/DYNAMIZEDON&gt;&lt;LASTUPDATEDBY&gt;wittaan&lt;/LASTUPDATEDBY&gt;&lt;LASTUPDATEDON&gt;6/2/2017 7:35:56 AM&lt;/LASTUPDATEDON&gt;&lt;UTC&gt;1&lt;/UTC&gt;&lt;/UPDATE&gt;&lt;QUERIES bbk=&quot;9468&quot; bbkdesc=&quot;2016 Annual Accounts/EDF Annual Accounts/DC - Revenue non-ex transactions (xlsx)&quot; datapro=&quot;OR&quot; tdatapro=&quot;OR&quot; author=&quot;&quot; modtime=&quot;6/2/2017 7:35:13 AM&quot; moduser=&quot;wittaan&quot; rolluptime=&quot;&quot; syuser=&quot;wittaan&quot; syuzeit=&quot;6/2/2017 7:35:13 AM&quot; root=&quot;/BBOOK/DATAPROVIDER[./META/PROPS/ID='OR']/DATA&quot; colcount=&quot;8&quot; rowcount=&quot;6&quot; url=&quot;&quot; dynamizeds=&quot;SAP Disclosure Management - Production&quot; dynamizedstype=&quot;9&quot; refreshds=&quot;&quot; viewtype=&quot;1&quot;&gt;&lt;QUERY reftype=&quot;ABS&quot; elmntsel=&quot;TABLE&quot; bbk=&quot;9468&quot; bbkdesc=&quot;2016 Annual Accounts/EDF Annual Accounts 2015/DC - Operating revenue (xlsx)&quot; datapro=&quot;OR&quot; infos=&quot;&quot; iscomment=&quot;0&quot;&gt;&lt;SELECT&gt;/BBOOK/DATAPROVIDER[./META/PROPS/ID='OR']/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7/03/2016 09:47:17&lt;/DYNAMIZEDON&gt;&lt;LASTUPDATEDBY&gt;wittaan&lt;/LASTUPDATEDBY&gt;&lt;LASTUPDATEDON&gt;6/2/2017 7:36:01 AM&lt;/LASTUPDATEDON&gt;&lt;UTC&gt;1&lt;/UTC&gt;&lt;/UPDATE&gt;&lt;QUERIES bbk=&quot;9468&quot; bbkdesc=&quot;2016 Annual Accounts/EDF Annual Accounts/DC - Revenue non-ex transactions (xlsx)&quot; datapro=&quot;ORbyMgmtMode&quot; tdatapro=&quot;ORbyMgmtMode&quot; author=&quot;&quot; modtime=&quot;6/2/2017 7:35:13 AM&quot; moduser=&quot;wittaan&quot; rolluptime=&quot;&quot; syuser=&quot;wittaan&quot; syuzeit=&quot;6/2/2017 7:35:13 AM&quot; root=&quot;/BBOOK/DATAPROVIDER[./META/PROPS/ID='ORbyMgmtMode']/DATA&quot; colcount=&quot;3&quot; rowcount=&quot;13&quot; url=&quot;&quot; dynamizeds=&quot;SAP Disclosure Management - Production&quot; dynamizedstype=&quot;9&quot; refreshds=&quot;&quot; viewtype=&quot;1&quot;&gt;&lt;QUERY reftype=&quot;ABS&quot; elmntsel=&quot;TABLE&quot; bbk=&quot;9468&quot; bbkdesc=&quot;2016 Annual Accounts/EDF Annual Accounts 2015/DC - Operating revenue (xlsx)&quot; datapro=&quot;ORbyMgmtMode&quot; infos=&quot;&quot; iscomment=&quot;0&quot;&gt;&lt;SELECT&gt;/BBOOK/DATAPROVIDER[./META/PROPS/ID='ORbyMgmtMode']/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5/16/2017 1:54:08 PM&lt;/DYNAMIZEDON&gt;&lt;LASTUPDATEDBY&gt;wittaan&lt;/LASTUPDATEDBY&gt;&lt;LASTUPDATEDON&gt;6/2/2017 7:36:11 AM&lt;/LASTUPDATEDON&gt;&lt;UTC&gt;1&lt;/UTC&gt;&lt;/UPDATE&gt;&lt;QUERIES bbk=&quot;10440&quot; bbkdesc=&quot;2016 Annual Accounts/EDF Annual Accounts/DC - Exchange revenue (xlsx)&quot; datapro=&quot;EXREV&quot; tdatapro=&quot;EXREV&quot; author=&quot;&quot; modtime=&quot;6/2/2017 6:21:03 AM&quot; moduser=&quot;wittaan&quot; rolluptime=&quot;&quot; syuser=&quot;wittaan&quot; syuzeit=&quot;6/2/2017 6:21:03 AM&quot; root=&quot;/BBOOK/DATAPROVIDER[./META/PROPS/ID='EXREV']/DATA&quot; colcount=&quot;7&quot; rowcount=&quot;6&quot; url=&quot;&quot; dynamizeds=&quot;SAP Disclosure Management - Production&quot; dynamizedstype=&quot;9&quot; refreshds=&quot;&quot; viewtype=&quot;1&quot;&gt;&lt;QUERY reftype=&quot;ABS&quot; elmntsel=&quot;TABLE&quot; bbk=&quot;10440&quot; bbkdesc=&quot;2016 Annual Accounts/EDF Annual Accounts/DC - Exchange revenue (xlsx)&quot; datapro=&quot;EXREV&quot; infos=&quot;&quot; iscomment=&quot;0&quot;&gt;&lt;SELECT&gt;/BBOOK/DATAPROVIDER[./META/PROPS/ID='EXREV']/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2:42:26&lt;/DYNAMIZEDON&gt;&lt;LASTUPDATEDBY&gt;wittaan&lt;/LASTUPDATEDBY&gt;&lt;LASTUPDATEDON&gt;6/2/2017 7:40:14 AM&lt;/LASTUPDATEDON&gt;&lt;UTC&gt;1&lt;/UTC&gt;&lt;/UPDATE&gt;&lt;QUERIES bbk=&quot;9454&quot; bbkdesc=&quot;2016 Annual Accounts/EDF Annual Accounts/DC - Aid instruments (xlsx)&quot; datapro=&quot;OEAI&quot; tdatapro=&quot;OEAI&quot; author=&quot;&quot; modtime=&quot;6/2/2017 7:37:15 AM&quot; moduser=&quot;wittaan&quot; rolluptime=&quot;&quot; syuser=&quot;wittaan&quot; syuzeit=&quot;6/2/2017 7:37:15 AM&quot; root=&quot;/BBOOK/DATAPROVIDER[./META/PROPS/ID='OEAI']/DATA&quot; colcount=&quot;7&quot; rowcount=&quot;15&quot; url=&quot;&quot; dynamizeds=&quot;SAP Disclosure Management - Production&quot; dynamizedstype=&quot;9&quot; refreshds=&quot;&quot; viewtype=&quot;1&quot;&gt;&lt;QUERY reftype=&quot;ABS&quot; elmntsel=&quot;TABLE&quot; bbk=&quot;9454&quot; bbkdesc=&quot;2016 Annual Accounts/EDF Annual Accounts/DC - Aid instruments (xlsx)&quot; datapro=&quot;OEAI&quot; infos=&quot;&quot; iscomment=&quot;0&quot;&gt;&lt;SELECT&gt;/BBOOK/DATAPROVIDER[./META/PROPS/ID='OEA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08/12/2016 15:05:19&lt;/DYNAMIZEDON&gt;&lt;LASTUPDATEDBY&gt;wittaan&lt;/LASTUPDATEDBY&gt;&lt;LASTUPDATEDON&gt;6/2/2017 7:40:09 AM&lt;/LASTUPDATEDON&gt;&lt;UTC&gt;1&lt;/UTC&gt;&lt;/UPDATE&gt;&lt;QUERIES bbk=&quot;10443&quot; bbkdesc=&quot;2016 Annual Accounts/EDF Annual Accounts/DC - Co-financing (xlsx)&quot; datapro=&quot;COFIN&quot; tdatapro=&quot;COFIN&quot; author=&quot;&quot; modtime=&quot;6/2/2017 6:21:03 AM&quot; moduser=&quot;wittaan&quot; rolluptime=&quot;&quot; syuser=&quot;wittaan&quot; syuzeit=&quot;6/2/2017 6:21:03 AM&quot; root=&quot;/BBOOK/DATAPROVIDER[./META/PROPS/ID='COFIN']/DATA&quot; colcount=&quot;7&quot; rowcount=&quot;3&quot; url=&quot;&quot; dynamizeds=&quot;SAP Disclosure Management - Production&quot; dynamizedstype=&quot;9&quot; refreshds=&quot;&quot; viewtype=&quot;1&quot;&gt;&lt;QUERY reftype=&quot;ABS&quot; elmntsel=&quot;TABLE&quot; bbk=&quot;10443&quot; bbkdesc=&quot;2016 Annual Accounts/EDF Annual Accounts/DC - Co-financing (xlsx)&quot; datapro=&quot;COFIN&quot; infos=&quot;&quot; iscomment=&quot;0&quot;&gt;&lt;SELECT&gt;/BBOOK/DATAPROVIDER[./META/PROPS/ID='COFIN']/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2:43:31&lt;/DYNAMIZEDON&gt;&lt;LASTUPDATEDBY&gt;wittaan&lt;/LASTUPDATEDBY&gt;&lt;LASTUPDATEDON&gt;6/2/2017 7:40:19 AM&lt;/LASTUPDATEDON&gt;&lt;UTC&gt;1&lt;/UTC&gt;&lt;/UPDATE&gt;&lt;QUERIES bbk=&quot;9524&quot; bbkdesc=&quot;2016 Annual Accounts/EDF Annual Accounts/DC - Aid_cofinancing by mng type (xlsx)&quot; datapro=&quot;OEbyMgmtMode&quot; tdatapro=&quot;OEbyMgmtMode&quot; author=&quot;&quot; modtime=&quot;6/2/2017 7:39:00 AM&quot; moduser=&quot;wittaan&quot; rolluptime=&quot;&quot; syuser=&quot;wittaan&quot; syuzeit=&quot;6/2/2017 7:39:00 AM&quot; root=&quot;/BBOOK/DATAPROVIDER[./META/PROPS/ID='OEbyMgmtMode']/DATA&quot; colcount=&quot;3&quot; rowcount=&quot;17&quot; url=&quot;&quot; dynamizeds=&quot;SAP Disclosure Management - Production&quot; dynamizedstype=&quot;9&quot; refreshds=&quot;&quot; viewtype=&quot;1&quot;&gt;&lt;QUERY reftype=&quot;ABS&quot; elmntsel=&quot;TABLE&quot; bbk=&quot;9524&quot; bbkdesc=&quot;2016 Annual Accounts/EDF Annual Accounts 2015/DC - Operating expenses (xlsx)&quot; datapro=&quot;OEbyMgmtMode&quot; infos=&quot;&quot; iscomment=&quot;0&quot;&gt;&lt;SELECT&gt;/BBOOK/DATAPROVIDER[./META/PROPS/ID='OEbyMgmtMode']/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08/12/2016 15:11:32&lt;/DYNAMIZEDON&gt;&lt;LASTUPDATEDBY&gt;wittaan&lt;/LASTUPDATEDBY&gt;&lt;LASTUPDATEDON&gt;6/2/2017 7:40:24 AM&lt;/LASTUPDATEDON&gt;&lt;UTC&gt;1&lt;/UTC&gt;&lt;/UPDATE&gt;&lt;QUERIES bbk=&quot;10441&quot; bbkdesc=&quot;2016 Annual Accounts/EDF Annual Accounts/DC - Finance costs (xlsx)&quot; datapro=&quot;FINCOST&quot; tdatapro=&quot;FINCOST&quot; author=&quot;&quot; modtime=&quot;6/2/2017 6:21:03 AM&quot; moduser=&quot;wittaan&quot; rolluptime=&quot;&quot; syuser=&quot;wittaan&quot; syuzeit=&quot;6/2/2017 6:21:03 AM&quot; root=&quot;/BBOOK/DATAPROVIDER[./META/PROPS/ID='FINCOST']/DATA&quot; colcount=&quot;7&quot; rowcount=&quot;5&quot; url=&quot;&quot; dynamizeds=&quot;SAP Disclosure Management - Production&quot; dynamizedstype=&quot;9&quot; refreshds=&quot;&quot; viewtype=&quot;1&quot;&gt;&lt;QUERY reftype=&quot;ABS&quot; elmntsel=&quot;TABLE&quot; bbk=&quot;10441&quot; bbkdesc=&quot;2016 Annual Accounts/EDF Annual Accounts/DC - Finance costs (xlsx)&quot; datapro=&quot;FINCOST&quot; infos=&quot;&quot; iscomment=&quot;0&quot;&gt;&lt;SELECT&gt;/BBOOK/DATAPROVIDER[./META/PROPS/ID='FINCOST']/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0/05/2017 13:59:32&lt;/DYNAMIZEDON&gt;&lt;LASTUPDATEDBY&gt;wittaan&lt;/LASTUPDATEDBY&gt;&lt;LASTUPDATEDON&gt;6/2/2017 7:40:29 AM&lt;/LASTUPDATEDON&gt;&lt;UTC&gt;1&lt;/UTC&gt;&lt;/UPDATE&gt;&lt;QUERIES bbk=&quot;10442&quot; bbkdesc=&quot;2016 Annual Accounts/EDF Annual Accounts/DC - Other Expenses (xlsx)&quot; datapro=&quot;OTHEXP&quot; tdatapro=&quot;OTHEXP&quot; author=&quot;&quot; modtime=&quot;5/8/2017 11:25:18 AM&quot; moduser=&quot;carlben&quot; rolluptime=&quot;&quot; syuser=&quot;carlben&quot; syuzeit=&quot;5/8/2017 11:25:18 AM&quot; root=&quot;/DATA&quot; colcount=&quot;7&quot; rowcount=&quot;8&quot; url=&quot;&quot; dynamizeds=&quot;SAP Disclosure Management - Production&quot; dynamizedstype=&quot;9&quot; refreshds=&quot;&quot; viewtype=&quot;1&quot;&gt;&lt;QUERY reftype=&quot;ABS&quot; elmntsel=&quot;TABLE&quot; bbk=&quot;10442&quot; bbkdesc=&quot;2016 Annual Accounts/EDF Annual Accounts/DC - Other Expenses (xlsx)&quot; datapro=&quot;OTHEXP&quot; infos=&quot;&quot; iscomment=&quot;0&quot;&gt;&lt;SELECT&gt;/BBOOK/DATAPROVIDER[./META/PROPS/ID='OTHEXP']/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34:02&lt;/DYNAMIZEDON&gt;&lt;LASTUPDATEDBY&gt;wittaan&lt;/LASTUPDATEDBY&gt;&lt;LASTUPDATEDON&gt;6/2/2017 6:03:04 AM&lt;/LASTUPDATEDON&gt;&lt;UTC&gt;1&lt;/UTC&gt;&lt;/UPDATE&gt;&lt;QUERIES bbk=&quot;9511&quot; bbkdesc=&quot;2016 Annual Accounts/EDF Annual Accounts/DC - Contingent assets (xlsx)&quot; datapro=&quot;CONA&quot; tdatapro=&quot;CONA&quot; author=&quot;&quot; modtime=&quot;3/21/2017 12:55:35 PM&quot; moduser=&quot;MILOTLU&quot; rolluptime=&quot;&quot; syuser=&quot;MILOTLU&quot; syuzeit=&quot;3/21/2017 12:55:35 PM&quot; root=&quot;/DATA&quot; colcount=&quot;7&quot; rowcount=&quot;5&quot; url=&quot;&quot; dynamizeds=&quot;SAP Disclosure Management - Production&quot; dynamizedstype=&quot;9&quot; refreshds=&quot;&quot; viewtype=&quot;1&quot;&gt;&lt;QUERY reftype=&quot;ABS&quot; elmntsel=&quot;TABLE&quot; bbk=&quot;9511&quot; bbkdesc=&quot;2016 Annual Accounts/EDF Annual Accounts 2015/DC - Contingent assets (xlsx)&quot; datapro=&quot;CONA&quot; infos=&quot;&quot; iscomment=&quot;0&quot;&gt;&lt;SELECT&gt;/BBOOK/DATAPROVIDER[./META/PROPS/ID='CONA']/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37:05&lt;/DYNAMIZEDON&gt;&lt;LASTUPDATEDBY&gt;wittaan&lt;/LASTUPDATEDBY&gt;&lt;LASTUPDATEDON&gt;6/2/2017 6:02:54 AM&lt;/LASTUPDATEDON&gt;&lt;UTC&gt;1&lt;/UTC&gt;&lt;/UPDATE&gt;&lt;QUERIES bbk=&quot;9439&quot; bbkdesc=&quot;2016 Annual Accounts/EDF Annual Accounts/DC - Outstanding commitments not yet expensed (xlsx)&quot; datapro=&quot;OCNYE&quot; tdatapro=&quot;OCNYE&quot; author=&quot;&quot; modtime=&quot;5/8/2017 12:27:30 PM&quot; moduser=&quot;carlben&quot; rolluptime=&quot;&quot; syuser=&quot;carlben&quot; syuzeit=&quot;5/8/2017 12:27:30 PM&quot; root=&quot;/DATA&quot; colcount=&quot;7&quot; rowcount=&quot;4&quot; url=&quot;&quot; dynamizeds=&quot;SAP Disclosure Management - Production&quot; dynamizedstype=&quot;9&quot; refreshds=&quot;&quot; viewtype=&quot;1&quot;&gt;&lt;QUERY reftype=&quot;ABS&quot; elmntsel=&quot;TABLE&quot; bbk=&quot;9439&quot; bbkdesc=&quot;2016 Annual Accounts/EDF Annual Accounts 2015/DC - Outstanding commitments not yet expensed (xlsx)&quot; datapro=&quot;OCNYE&quot; infos=&quot;&quot; iscomment=&quot;0&quot;&gt;&lt;SELECT&gt;/BBOOK/DATAPROVIDER[./META/PROPS/ID='OCNYE']/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0/05/2017 14:17:58&lt;/DYNAMIZEDON&gt;&lt;LASTUPDATEDBY&gt;wittaan&lt;/LASTUPDATEDBY&gt;&lt;LASTUPDATEDON&gt;6/2/2017 6:57:58 AM&lt;/LASTUPDATEDON&gt;&lt;UTC&gt;1&lt;/UTC&gt;&lt;/UPDATE&gt;&lt;QUERIES bbk=&quot;9570&quot; bbkdesc=&quot;2016 Annual Accounts/EDF Annual Accounts/DC - Exposure of the EDF to currency risk at year end (xlsx)&quot; datapro=&quot;CR&quot; tdatapro=&quot;CR&quot; author=&quot;&quot; modtime=&quot;6/2/2017 6:57:10 AM&quot; moduser=&quot;wittaan&quot; rolluptime=&quot;&quot; syuser=&quot;wittaan&quot; syuzeit=&quot;6/2/2017 6:57:10 AM&quot; root=&quot;/BBOOK/DATAPROVIDER[./META/PROPS/ID='CR']/DATA&quot; colcount=&quot;16&quot; rowcount=&quot;12&quot; url=&quot;&quot; dynamizeds=&quot;SAP Disclosure Management - Production&quot; dynamizedstype=&quot;9&quot; refreshds=&quot;&quot; viewtype=&quot;1&quot;&gt;&lt;QUERY reftype=&quot;ABS&quot; elmntsel=&quot;TABLE&quot; bbk=&quot;9570&quot; bbkdesc=&quot;2016 Annual Accounts/EDF Annual Accounts 2015/DC - Exposure of the EDF to currency risk at year end (xlsx)&quot; datapro=&quot;CR&quot; infos=&quot;&quot; iscomment=&quot;0&quot;&gt;&lt;SELECT&gt;/BBOOK/DATAPROVIDER[./META/PROPS/ID='C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2/2015 09:32:01&lt;/DYNAMIZEDON&gt;&lt;LASTUPDATEDBY&gt;wittaan&lt;/LASTUPDATEDBY&gt;&lt;LASTUPDATEDON&gt;6/2/2017 7:02:24 AM&lt;/LASTUPDATEDON&gt;&lt;UTC&gt;1&lt;/UTC&gt;&lt;/UPDATE&gt;&lt;QUERIES bbk=&quot;9571&quot; bbkdesc=&quot;2016 Annual Accounts/EDF Annual Accounts/DC - Credit risk (xlsx)&quot; datapro=&quot;CDTR&quot; tdatapro=&quot;CDTR&quot; author=&quot;&quot; modtime=&quot;6/2/2017 7:01:34 AM&quot; moduser=&quot;wittaan&quot; rolluptime=&quot;&quot; syuser=&quot;wittaan&quot; syuzeit=&quot;6/2/2017 7:01:34 AM&quot; root=&quot;/BBOOK/DATAPROVIDER[./META/PROPS/ID='CDTR']/DATA&quot; colcount=&quot;6&quot; rowcount=&quot;7&quot; url=&quot;&quot; dynamizeds=&quot;SAP Disclosure Management - Production&quot; dynamizedstype=&quot;9&quot; refreshds=&quot;&quot; viewtype=&quot;1&quot;&gt;&lt;QUERY reftype=&quot;ABS&quot; elmntsel=&quot;TABLE&quot; bbk=&quot;9571&quot; bbkdesc=&quot;2016 Annual Accounts/EDF Annual Accounts 2015/DC - Credit risk (xlsx)&quot; datapro=&quot;CDTR&quot; infos=&quot;&quot; iscomment=&quot;0&quot;&gt;&lt;SELECT&gt;/BBOOK/DATAPROVIDER[./META/PROPS/ID='CDTR']/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8:50:09&lt;/DYNAMIZEDON&gt;&lt;LASTUPDATEDBY&gt;wittaan&lt;/LASTUPDATEDBY&gt;&lt;LASTUPDATEDON&gt;6/2/2017 7:02:29 AM&lt;/LASTUPDATEDON&gt;&lt;UTC&gt;1&lt;/UTC&gt;&lt;/UPDATE&gt;&lt;QUERIES bbk=&quot;9571&quot; bbkdesc=&quot;2016 Annual Accounts/EDF Annual Accounts/DC - Credit risk (xlsx)&quot; datapro=&quot;FARC&quot; tdatapro=&quot;FARC&quot; author=&quot;&quot; modtime=&quot;6/2/2017 7:01:34 AM&quot; moduser=&quot;wittaan&quot; rolluptime=&quot;&quot; syuser=&quot;wittaan&quot; syuzeit=&quot;6/2/2017 7:01:34 AM&quot; root=&quot;/BBOOK/DATAPROVIDER[./META/PROPS/ID='FARC']/DATA&quot; colcount=&quot;7&quot; rowcount=&quot;14&quot; url=&quot;&quot; dynamizeds=&quot;SAP Disclosure Management - Production&quot; dynamizedstype=&quot;9&quot; refreshds=&quot;&quot; viewtype=&quot;1&quot;&gt;&lt;QUERY reftype=&quot;ABS&quot; elmntsel=&quot;TABLE&quot; bbk=&quot;9571&quot; bbkdesc=&quot;2016 Annual Accounts/EDF Annual Accounts 2015/DC - Credit risk (xlsx)&quot; datapro=&quot;FARC&quot; infos=&quot;&quot; iscomment=&quot;0&quot;&gt;&lt;SELECT&gt;/BBOOK/DATAPROVIDER[./META/PROPS/ID='FARC']/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7/05/2017 13:06:50&lt;/DYNAMIZEDON&gt;&lt;LASTUPDATEDBY&gt;wittaan&lt;/LASTUPDATEDBY&gt;&lt;LASTUPDATEDON&gt;6/2/2017 6:13:21 AM&lt;/LASTUPDATEDON&gt;&lt;UTC&gt;1&lt;/UTC&gt;&lt;/UPDATE&gt;&lt;QUERIES bbk=&quot;9572&quot; bbkdesc=&quot;2016 Annual Accounts/EDF Annual Accounts/DC - Maturity analysis of financial liabilities (xlsx)&quot; datapro=&quot;LR&quot; tdatapro=&quot;LR&quot; author=&quot;&quot; modtime=&quot;6/1/2017 5:39:00 PM&quot; moduser=&quot;wittaan&quot; rolluptime=&quot;&quot; syuser=&quot;wittaan&quot; syuzeit=&quot;6/1/2017 5:39:00 PM&quot; root=&quot;/BBOOK/DATAPROVIDER[./META/PROPS/ID='LR']/DATA&quot; colcount=&quot;5&quot; rowcount=&quot;6&quot; url=&quot;&quot; dynamizeds=&quot;SAP Disclosure Management - Production&quot; dynamizedstype=&quot;9&quot; refreshds=&quot;&quot; viewtype=&quot;1&quot;&gt;&lt;QUERY reftype=&quot;ABS&quot; elmntsel=&quot;TABLE&quot; bbk=&quot;9572&quot; bbkdesc=&quot;2016 Annual Accounts/EDF Annual Accounts 2015/DC - Maturity analysis of financial liabilities (xlsx)&quot; datapro=&quot;LR&quot; infos=&quot;&quot; iscomment=&quot;0&quot;&gt;&lt;SELECT&gt;/BBOOK/DATAPROVIDER[./META/PROPS/ID='LR']/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58:40 AM&lt;/DYNAMIZEDON&gt;&lt;LASTUPDATEDBY&gt;wittaan&lt;/LASTUPDATEDBY&gt;&lt;LASTUPDATEDON&gt;6/2/2017 6:10:34 AM&lt;/LASTUPDATEDON&gt;&lt;UTC&gt;1&lt;/UTC&gt;&lt;/UPDATE&gt;&lt;QUERIES bbk=&quot;9442&quot; bbkdesc=&quot;2016 Annual Accounts/EDF Annual Accounts/DC - Economic result and Budget result (xlsx)&quot; datapro=&quot;ECRBDGR&quot; tdatapro=&quot;ECRBDGR&quot; author=&quot;&quot; modtime=&quot;6/2/2017 5:55:42 AM&quot; moduser=&quot;wittaan&quot; rolluptime=&quot;&quot; syuser=&quot;wittaan&quot; syuzeit=&quot;6/2/2017 5:55:42 AM&quot; root=&quot;/BBOOK/DATAPROVIDER[./META/PROPS/ID='ECRBDGR']/DATA&quot; colcount=&quot;3&quot; rowcount=&quot;18&quot; url=&quot;&quot; dynamizeds=&quot;SAP Disclosure Management - Production&quot; dynamizedstype=&quot;9&quot; refreshds=&quot;&quot; viewtype=&quot;1&quot;&gt;&lt;QUERY reftype=&quot;ABS&quot; elmntsel=&quot;TABLE&quot; bbk=&quot;9442&quot; bbkdesc=&quot;2016 Annual Accounts/EDF Annual Accounts 2015/DC - Economic result and Budget result (xlsx)&quot; datapro=&quot;ECRBDGR&quot; infos=&quot;&quot; iscomment=&quot;0&quot;&gt;&lt;SELECT&gt;/BBOOK/DATAPROVIDER[./META/PROPS/ID='ECRBDGR']/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37:43 PM&lt;/DYNAMIZEDON&gt;&lt;LASTUPDATEDBY&gt;wittaan&lt;/LASTUPDATEDBY&gt;&lt;LASTUPDATEDON&gt;6/2/2017 6:19:45 AM&lt;/LASTUPDATEDON&gt;&lt;UTC&gt;1&lt;/UTC&gt;&lt;/UPDATE&gt;&lt;QUERIES bbk=&quot;8796&quot; bbkdesc=&quot;2016 Annual Accounts/BEKOU Annual accounts/DC - Balance Sheet (xlsx)&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8796&quot; bbkdesc=&quot;2016 Annual Accounts/2015 BEKOU Annual accounts/DC - Balance Sheet (xlsx)&quot; datapro=&quot;BS&quot; infos=&quot;&quot; iscomment=&quot;0&quot;&gt;&lt;SELECT&gt;/BBOOK/DATAPROVIDER[./META/PROPS/ID='BS']/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48:59 PM&lt;/DYNAMIZEDON&gt;&lt;LASTUPDATEDBY&gt;wittaan&lt;/LASTUPDATEDBY&gt;&lt;LASTUPDATEDON&gt;6/2/2017 6:19:46 AM&lt;/LASTUPDATEDON&gt;&lt;UTC&gt;1&lt;/UTC&gt;&lt;/UPDATE&gt;&lt;QUERIES bbk=&quot;8798&quot; bbkdesc=&quot;2016 Annual Accounts/BEKOU Annual accounts/DC - Statement of Financial Performance (xlsx)&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8798&quot; bbkdesc=&quot;2016 Annual Accounts/2015 BEKOU Annual accounts/DC - Statement of Financial Performance (xlsx)&quot; datapro=&quot;FP&quot; infos=&quot;&quot; iscomment=&quot;0&quot;&gt;&lt;SELECT&gt;/BBOOK/DATAPROVIDER[./META/PROPS/ID='FP']/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13/03/2017 16:05:40&lt;/DYNAMIZEDON&gt;&lt;LASTUPDATEDBY&gt;wittaan&lt;/LASTUPDATEDBY&gt;&lt;LASTUPDATEDON&gt;6/2/2017 6:19:47 AM&lt;/LASTUPDATEDON&gt;&lt;UTC&gt;1&lt;/UTC&gt;&lt;/UPDATE&gt;&lt;QUERIES bbk=&quot;10546&quot; bbkdesc=&quot;2016 Annual Accounts/BEKOU Annual accounts/DC Cashflow statement Bekou (xlsx)&quot; datapro=&quot;CF&quot; tdatapro=&quot;CF&quot; author=&quot;&quot; modtime=&quot;1/10/2017 3:14:35 PM&quot; moduser=&quot;MILOTLU&quot; rolluptime=&quot;&quot; syuser=&quot;MILOTLU&quot; syuzeit=&quot;1/10/2017 3:14:35 PM&quot; root=&quot;/DATA&quot; colcount=&quot;3&quot; rowcount=&quot;18&quot; url=&quot;&quot; dynamizeds=&quot;SAP Disclosure Management - Production&quot; dynamizedstype=&quot;9&quot; refreshds=&quot;&quot; viewtype=&quot;1&quot;&gt;&lt;QUERY reftype=&quot;ABS&quot; elmntsel=&quot;TABLE&quot; bbk=&quot;10546&quot; bbkdesc=&quot;2016 Annual Accounts/BEKOU Annual accounts/DC Cashflow statement Bekou (xlsx)&quot; datapro=&quot;CF&quot; infos=&quot;&quot; iscomment=&quot;0&quot;&gt;&lt;SELECT&gt;/BBOOK/DATAPROVIDER[./META/PROPS/ID='CF']/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wittaan&lt;/LASTUPDATEDBY&gt;&lt;LASTUPDATEDON&gt;6/2/2017 6:19:48 AM&lt;/LASTUPDATEDON&gt;&lt;UTC&gt;1&lt;/UTC&gt;&lt;/UPDATE&gt;&lt;QUERIES bbk=&quot;8800&quot; bbkdesc=&quot;2016 Annual Accounts/2015 BEKOU Annual accounts/DC - Statement of changes in net assets (xlsx)&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8800&quot; bbkdesc=&quot;2016 Annual Accounts/2015 BEKOU Annual accounts/DC - Statement of changes in net assets (xlsx)&quot; datapro=&quot;CNA&quot; infos=&quot;&quot; iscomment=&quot;0&quot;&gt;&lt;SELECT&gt;/BBOOK/DATAPROVIDER[./META/PROPS/ID='CNA']/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carlben&lt;/DYNAMIZEDBY&gt;&lt;DYNAMIZEDON&gt;07/03/2017 09:56:05&lt;/DYNAMIZEDON&gt;&lt;LASTUPDATEDBY&gt;wittaan&lt;/LASTUPDATEDBY&gt;&lt;LASTUPDATEDON&gt;6/2/2017 6:19:50 AM&lt;/LASTUPDATEDON&gt;&lt;UTC&gt;1&lt;/UTC&gt;&lt;/UPDATE&gt;&lt;QUERIES bbk=&quot;10410&quot; bbkdesc=&quot;2016 Annual Accounts/AFRICA EU Annual Accounts/DC - Balance Sheet (xlsx)&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0410&quot; bbkdesc=&quot;2016 Annual Accounts/AFRICA EU Annual Accounts/DC - Balance Sheet&quot; datapro=&quot;BS&quot; infos=&quot;&quot; iscomment=&quot;0&quot;&gt;&lt;SELECT&gt;/BBOOK/DATAPROVIDER[./META/PROPS/ID='BS']/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2/10/2017 5:40:39 PM&lt;/DYNAMIZEDON&gt;&lt;LASTUPDATEDBY&gt;wittaan&lt;/LASTUPDATEDBY&gt;&lt;LASTUPDATEDON&gt;6/2/2017 6:19:49 AM&lt;/LASTUPDATEDON&gt;&lt;UTC&gt;1&lt;/UTC&gt;&lt;/UPDATE&gt;&lt;QUERIES bbk=&quot;10412&quot; bbkdesc=&quot;2016 Annual Accounts/AFRICA EU Annual Accounts/DC - Statement of Financial Performance (xlsx)&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0412&quot; bbkdesc=&quot;2016 Annual Accounts/AFRICA EU Annual Accounts/DC - Statement of Financial Performance&quot; datapro=&quot;FP&quot; infos=&quot;&quot; iscomment=&quot;0&quot;&gt;&lt;SELECT&gt;/BBOOK/DATAPROVIDER[./META/PROPS/ID='F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3/7/2017 1:14:32 PM&lt;/DYNAMIZEDON&gt;&lt;LASTUPDATEDBY&gt;wittaan&lt;/LASTUPDATEDBY&gt;&lt;LASTUPDATEDON&gt;6/2/2017 6:19:51 AM&lt;/LASTUPDATEDON&gt;&lt;UTC&gt;1&lt;/UTC&gt;&lt;/UPDATE&gt;&lt;QUERIES bbk=&quot;10548&quot; bbkdesc=&quot;2016 Annual Accounts/AFRICA EU Annual Accounts/DC Cashflow statement Africa (xlsx)&quot; datapro=&quot;CF&quot; tdatapro=&quot;CF&quot; author=&quot;&quot; modtime=&quot;3/7/2017 1:15:40 PM&quot; moduser=&quot;MILOTLU&quot; rolluptime=&quot;&quot; syuser=&quot;MILOTLU&quot; syuzeit=&quot;3/7/2017 1:15:40 PM&quot; root=&quot;/BBOOK/DATAPROVIDER[./META/PROPS/ID='CF']/DATA&quot; colcount=&quot;3&quot; rowcount=&quot;18&quot; url=&quot;&quot; dynamizeds=&quot;SAP Disclosure Management - Production&quot; dynamizedstype=&quot;9&quot; refreshds=&quot;&quot; viewtype=&quot;1&quot;&gt;&lt;QUERY reftype=&quot;ABS&quot; elmntsel=&quot;TABLE&quot; bbk=&quot;10548&quot; bbkdesc=&quot;2016 Annual Accounts/AFRICA EU Annual Accounts/DC Cashflow statement Africa (xlsx)&quot; datapro=&quot;CF&quot; infos=&quot;&quot; iscomment=&quot;0&quot;&gt;&lt;SELECT&gt;/BBOOK/DATAPROVIDER[./META/PROPS/ID='CF']/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wittaan&lt;/LASTUPDATEDBY&gt;&lt;LASTUPDATEDON&gt;6/2/2017 6:19:52 AM&lt;/LASTUPDATEDON&gt;&lt;UTC&gt;1&lt;/UTC&gt;&lt;/UPDATE&gt;&lt;QUERIES bbk=&quot;10414&quot; bbkdesc=&quot;2016 Annual Accounts/AFRICA E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0414&quot; bbkdesc=&quot;2016 Annual Accounts/AFRICA EU Annual Accounts/DC - Statement of changes in net assets&quot; datapro=&quot;CNA&quot; infos=&quot;&quot; iscomment=&quot;0&quot;&gt;&lt;SELECT&gt;/BBOOK/DATAPROVIDER[./META/PROPS/ID='CNA']/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12/2016 19:57:28&lt;/DYNAMIZEDON&gt;&lt;LASTUPDATEDBY&gt;wittaan&lt;/LASTUPDATEDBY&gt;&lt;LASTUPDATEDON&gt;6/2/2017 6:03:33 AM&lt;/LASTUPDATEDON&gt;&lt;UTC&gt;1&lt;/UTC&gt;&lt;/UPDATE&gt;&lt;QUERIES bbk=&quot;10444&quot; bbkdesc=&quot;2016 Annual Accounts/EDF Annual Accounts/DC-Conso BS (xlsx)&quot; datapro=&quot;CONSBS&quot; tdatapro=&quot;CONSBS&quot; author=&quot;&quot; modtime=&quot;6/1/2017 5:39:21 PM&quot; moduser=&quot;wittaan&quot; rolluptime=&quot;&quot; syuser=&quot;wittaan&quot; syuzeit=&quot;6/1/2017 5:39:21 PM&quot; root=&quot;/BBOOK/DATAPROVIDER[./META/PROPS/ID='CONSBS']/DATA&quot; colcount=&quot;3&quot; rowcount=&quot;33&quot; url=&quot;&quot; dynamizeds=&quot;SAP Disclosure Management - Production&quot; dynamizedstype=&quot;9&quot; refreshds=&quot;&quot; viewtype=&quot;1&quot;&gt;&lt;QUERY reftype=&quot;ABS&quot; elmntsel=&quot;TABLE&quot; bbk=&quot;10444&quot; bbkdesc=&quot;2016 Annual Accounts/EDF Annual Accounts/DC-Conso BS (xlsx)&quot; datapro=&quot;CONSBS&quot; infos=&quot;&quot; iscomment=&quot;0&quot;&gt;&lt;SELECT&gt;/BBOOK/DATAPROVIDER[./META/PROPS/ID='CONSBS']/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1/03/2017 14:15:26&lt;/DYNAMIZEDON&gt;&lt;LASTUPDATEDBY&gt;wittaan&lt;/LASTUPDATEDBY&gt;&lt;LASTUPDATEDON&gt;6/2/2017 5:55:24 AM&lt;/LASTUPDATEDON&gt;&lt;UTC&gt;1&lt;/UTC&gt;&lt;/UPDATE&gt;&lt;QUERIES bbk=&quot;10447&quot; bbkdesc=&quot;2016 Annual Accounts/EDF Annual Accounts/DC-Conso PL (xlsx)&quot; datapro=&quot;CONSPL&quot; tdatapro=&quot;CONSPL&quot; author=&quot;&quot; modtime=&quot;6/1/2017 5:39:22 PM&quot; moduser=&quot;wittaan&quot; rolluptime=&quot;&quot; syuser=&quot;wittaan&quot; syuzeit=&quot;6/1/2017 5:39:22 PM&quot; root=&quot;/BBOOK/DATAPROVIDER[./META/PROPS/ID='CONSPL']/DATA&quot; colcount=&quot;3&quot; rowcount=&quot;21&quot; url=&quot;&quot; dynamizeds=&quot;SAP Disclosure Management - Production&quot; dynamizedstype=&quot;9&quot; refreshds=&quot;&quot; viewtype=&quot;1&quot;&gt;&lt;QUERY reftype=&quot;ABS&quot; elmntsel=&quot;TABLE&quot; bbk=&quot;10447&quot; bbkdesc=&quot;2016 Annual Accounts/EDF Annual Accounts/DC-Conso PL (xlsx)&quot; datapro=&quot;CONSPL&quot; infos=&quot;&quot; iscomment=&quot;0&quot;&gt;&lt;SELECT&gt;/BBOOK/DATAPROVIDER[./META/PROPS/ID='CONSPL']/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4/03/2017 12:59:57&lt;/DYNAMIZEDON&gt;&lt;LASTUPDATEDBY&gt;wittaan&lt;/LASTUPDATEDBY&gt;&lt;LASTUPDATEDON&gt;6/2/2017 6:02:42 AM&lt;/LASTUPDATEDON&gt;&lt;UTC&gt;1&lt;/UTC&gt;&lt;/UPDATE&gt;&lt;QUERIES bbk=&quot;10637&quot; bbkdesc=&quot;2016 Annual Accounts/EDF Annual Accounts/DC - consolidated CF EDF-TFs (xlsx)&quot; datapro=&quot;CF&quot; tdatapro=&quot;CF&quot; author=&quot;&quot; modtime=&quot;6/1/2017 5:39:28 PM&quot; moduser=&quot;wittaan&quot; rolluptime=&quot;&quot; syuser=&quot;wittaan&quot; syuzeit=&quot;6/1/2017 5:39:28 PM&quot; root=&quot;/BBOOK/DATAPROVIDER[./META/PROPS/ID='CF']/DATA&quot; colcount=&quot;3&quot; rowcount=&quot;22&quot; url=&quot;&quot; dynamizeds=&quot;Disclosure Management - Production&quot; dynamizedstype=&quot;9&quot; refreshds=&quot;&quot; viewtype=&quot;1&quot;&gt;&lt;QUERY reftype=&quot;ABS&quot; elmntsel=&quot;TABLE&quot; bbk=&quot;10637&quot; bbkdesc=&quot;2016 Annual Accounts/EDF Annual Accounts/DC - consolidated CF EDF-TFs (xlsx)&quot; datapro=&quot;CF&quot; infos=&quot;&quot; iscomment=&quot;0&quot;&gt;&lt;SELECT&gt;/BBOOK/DATAPROVIDER[./META/PROPS/ID='CF']/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1/05/2017 14:39:37&lt;/DYNAMIZEDON&gt;&lt;LASTUPDATEDBY&gt;wittaan&lt;/LASTUPDATEDBY&gt;&lt;LASTUPDATEDON&gt;6/2/2017 6:02:46 AM&lt;/LASTUPDATEDON&gt;&lt;UTC&gt;1&lt;/UTC&gt;&lt;/UPDATE&gt;&lt;QUERIES bbk=&quot;10638&quot; bbkdesc=&quot;2016 Annual Accounts/EDF Annual Accounts/DC - Conso statement net assets EDF-TFs (xlsx)&quot; datapro=&quot;CNA&quot; tdatapro=&quot;CNA&quot; author=&quot;&quot; modtime=&quot;3/24/2017 1:09:56 PM&quot; moduser=&quot;MILOTLU&quot; rolluptime=&quot;&quot; syuser=&quot;MILOTLU&quot; syuzeit=&quot;3/24/2017 1:09:56 PM&quot; root=&quot;/DATA&quot; colcount=&quot;7&quot; rowcount=&quot;12&quot; url=&quot;&quot; dynamizeds=&quot;Disclosure Management - Production&quot; dynamizedstype=&quot;9&quot; refreshds=&quot;&quot; viewtype=&quot;1&quot;&gt;&lt;QUERY reftype=&quot;ABS&quot; elmntsel=&quot;TABLE&quot; bbk=&quot;10638&quot; bbkdesc=&quot;2016 Annual Accounts/EDF Annual Accounts/DC - Conso statement net assets EDF-TFs (xlsx)&quot; datapro=&quot;CNA&quot; infos=&quot;&quot; iscomment=&quot;0&quot;&gt;&lt;SELECT&gt;/BBOOK/DATAPROVIDER[./META/PROPS/ID='CNA']/DATA/ROW&lt;/SELECT&gt;&lt;FILTERS&gt;&lt;FILTER&gt;&lt;/FILTER&gt;&lt;/FILTERS&gt;&lt;/QUERY&gt;&lt;/QUERIES&gt;&lt;/OBJECT&gt;"/>
    <w:docVar w:name="BIP_VARIABLES" w:val="&lt;BBOOKS&gt;&lt;BBOOK bbname=&quot;DefaultVariables&quot;&gt;&lt;VARIABLES /&gt;&lt;/BBOOK&gt;&lt;BBOOK bbname=&quot;9445&quot; bbdesc=&quot;2016 Annual Accounts/EDF Annual Accounts/DC - Aggregated balance sheet (xlsx)&quot; dsname=&quot;SAP Disclosure Management - Production&quot;&gt;&lt;VARIABLES&gt;&lt;/VARIABLES&gt;&lt;/BBOOK&gt;&lt;BBOOK bbname=&quot;9489&quot; bbdesc=&quot;2016 Annual Accounts/EDF Annual Accounts/DC - Aggregated Statement of financial performance (xlsx)&quot; dsname=&quot;SAP Disclosure Management - Production&quot;&gt;&lt;VARIABLES /&gt;&lt;/BBOOK&gt;&lt;BBOOK bbname=&quot;9547&quot; bbdesc=&quot;2016 Annual Accounts/EDF Annual Accounts/DC - Aggregated cashflow statement (xlsx)&quot; dsname=&quot;SAP Disclosure Management - Production&quot;&gt;&lt;VARIABLES /&gt;&lt;/BBOOK&gt;&lt;BBOOK bbname=&quot;9530&quot; bbdesc=&quot;2016 Annual Accounts/EDF Annual Accounts/DC - Aggregated statement of changes in net assets (xlsx)&quot; dsname=&quot;SAP Disclosure Management - Production&quot;&gt;&lt;VARIABLES /&gt;&lt;/BBOOK&gt;&lt;BBOOK bbname=&quot;9560&quot; bbdesc=&quot;2016 Annual Accounts/EDF Annual Accounts/DC - Balance sheet of the eighth ninth 10th and 11th EDF (xlsx)&quot; dsname=&quot;SAP Disclosure Management - Production&quot;&gt;&lt;VARIABLES /&gt;&lt;/BBOOK&gt;&lt;BBOOK bbname=&quot;9513&quot; bbdesc=&quot;2016 Annual Accounts/EDF Annual Accounts/DC - Statement of financial performance of the eighth ninth 10th and 11th EDF (xlsx)&quot; dsname=&quot;SAP Disclosure Management - Production&quot;&gt;&lt;VARIABLES /&gt;&lt;/BBOOK&gt;&lt;BBOOK bbname=&quot;9548&quot; bbdesc=&quot;2016 Annual Accounts/EDF Annual Accounts/DC - Statement of changes in net assets of the eighth EDF (xlsx)&quot; dsname=&quot;SAP Disclosure Management - Production&quot;&gt;&lt;VARIABLES /&gt;&lt;/BBOOK&gt;&lt;BBOOK bbname=&quot;9552&quot; bbdesc=&quot;2016 Annual Accounts/EDF Annual Accounts/DC - Statement of changes in net assets of the ninth EDF (xlsx)&quot; dsname=&quot;SAP Disclosure Management - Production&quot;&gt;&lt;VARIABLES /&gt;&lt;/BBOOK&gt;&lt;BBOOK bbname=&quot;9540&quot; bbdesc=&quot;2016 Annual Accounts/EDF Annual Accounts/DC - Statement of changes in net assets of the 10th EDF (xlsx)&quot; dsname=&quot;SAP Disclosure Management - Production&quot;&gt;&lt;VARIABLES /&gt;&lt;/BBOOK&gt;&lt;BBOOK bbname=&quot;9527&quot; bbdesc=&quot;2016 Annual Accounts/EDF Annual Accounts/DC - Statement of changes in net assets of the 11th EDF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8904&quot; bbdesc=&quot;2016 Annual Accounts/EU Annual Accounts/DC - Currency table (xlsx)&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9242&quot; bbdesc=&quot;2016 Annual Accounts/EEAS Annual accounts/DC - DeprecRates (xlsx)&quot; dsname=&quot;SAP Disclosure Management - Production&quot;&gt;&lt;VARIABLES /&gt;&lt;/BBOOK&gt;&lt;BBOOK bbname=&quot;9486&quot; bbdesc=&quot;2016 Annual Accounts/EDF Annual Accounts/DC - Non current Pre financing (xlsx)&quot; dsname=&quot;Disclosure Management - Production&quot;&gt;&lt;VARIABLES /&gt;&lt;/BBOOK&gt;&lt;BBOOK bbname=&quot;5631&quot; bbdesc=&quot;2015 Annual Accounts/EDF Annual Accounts/DC - Outstanding commitments not yet expensed (xlsx)&quot; dsname=&quot;SAP Disclosure Management - Production&quot;&gt;&lt;VARIABLES /&gt;&lt;/BBOOK&gt;&lt;BBOOK bbname=&quot;10444&quot; bbdesc=&quot;2016 Annual Accounts/EDF Annual Accounts/DC-Conso BS (xlsx)&quot; dsname=&quot;Disclosure Management - Production&quot;&gt;&lt;VARIABLES /&gt;&lt;/BBOOK&gt;&lt;BBOOK bbname=&quot;10675&quot; bbdesc=&quot;2016 Annual Accounts/EDF Annual Accounts/DC - Pre financing (xlsx)&quot; dsname=&quot;Disclosure Management - Production&quot;&gt;&lt;VARIABLES /&gt;&lt;/BBOOK&gt;&lt;BBOOK bbname=&quot;9561&quot; bbdesc=&quot;2016 Annual Accounts/EDF Annual Accounts/DC - Current Pre financing (xlsx)&quot; dsname=&quot;SAP Disclosure Management - Production&quot;&gt;&lt;VARIABLES /&gt;&lt;/BBOOK&gt;&lt;BBOOK bbname=&quot;10749&quot; bbdesc=&quot;2016 Annual Accounts/EDF Annual Accounts/DC - Trust fund contributions (xlsx)&quot; dsname=&quot;Disclosure Management - Production&quot;&gt;&lt;VARIABLES /&gt;&lt;/BBOOK&gt;&lt;BBOOK bbname=&quot;9551&quot; bbdesc=&quot;2016 Annual Accounts/EDF Annual Accounts/DC - Accrued charges (xlsx)&quot; dsname=&quot;SAP Disclosure Management - Production&quot;&gt;&lt;VARIABLES /&gt;&lt;/BBOOK&gt;&lt;BBOOK bbname=&quot;9569&quot; bbdesc=&quot;2016 Annual Accounts/EDF Annual Accounts/DC - Exchange receivables and Non-exchange recoverables (xlsx)&quot; dsname=&quot;SAP Disclosure Management - Production&quot;&gt;&lt;VARIABLES /&gt;&lt;/BBOOK&gt;&lt;BBOOK bbname=&quot;9474&quot; bbdesc=&quot;2016 Annual Accounts/EDF Annual Accounts/DC - Non-exchange receivables-detail (xlsx)&quot; dsname=&quot;SAP Disclosure Management - Production&quot;&gt;&lt;VARIABLES /&gt;&lt;/BBOOK&gt;&lt;BBOOK bbname=&quot;9477&quot; bbdesc=&quot;2016 Annual Accounts/EDF Annual Accounts/DC - Receivable from Member States (xls)&quot; dsname=&quot;SAP Disclosure Management - Production&quot;&gt;&lt;VARIABLES /&gt;&lt;/BBOOK&gt;&lt;BBOOK bbname=&quot;10435&quot; bbdesc=&quot;2016 Annual Accounts/EDF Annual Accounts/DC - Exchange receivables-detail (xlsx)&quot; dsname=&quot;SAP Disclosure Management - Production&quot;&gt;&lt;VARIABLES /&gt;&lt;/BBOOK&gt;&lt;BBOOK bbname=&quot;9510&quot; bbdesc=&quot;2016 Annual Accounts/EDF Annual Accounts/DC - Cash and cash equivalents current assets (xlsx)&quot; dsname=&quot;SAP Disclosure Management - Production&quot;&gt;&lt;VARIABLES /&gt;&lt;/BBOOK&gt;&lt;BBOOK bbname=&quot;9575&quot; bbdesc=&quot;2016 Annual Accounts/EDF Annual Accounts/DC Non current provisions (xlsx)&quot; dsname=&quot;SAP Disclosure Management - Production&quot;&gt;&lt;VARIABLES /&gt;&lt;/BBOOK&gt;&lt;BBOOK bbname=&quot;2237&quot; bbdesc=&quot;2014 Annual Accounts/EDF Annual Accounts/DC - Payables (xlsx)&quot; dsname=&quot;SAP Disclosure Management - Production&quot;&gt;&lt;VARIABLES /&gt;&lt;/BBOOK&gt;&lt;BBOOK bbname=&quot;9436&quot; bbdesc=&quot;2016 Annual Accounts/EDF Annual Accounts/DC - NC Financial liabilities (xlsx)&quot; dsname=&quot;SAP Disclosure Management - Production&quot;&gt;&lt;VARIABLES /&gt;&lt;/BBOOK&gt;&lt;BBOOK bbname=&quot;9542&quot; bbdesc=&quot;2016 Annual Accounts/EDF Annual Accounts/DC - Payables (xlsx)&quot; dsname=&quot;SAP Disclosure Management - Production&quot;&gt;&lt;VARIABLES /&gt;&lt;/BBOOK&gt;&lt;BBOOK bbname=&quot;9509&quot; bbdesc=&quot;2016 Annual Accounts/EDF Annual Accounts/DC - Current payables (xlsx)&quot; dsname=&quot;SAP Disclosure Management - Production&quot;&gt;&lt;VARIABLES /&gt;&lt;/BBOOK&gt;&lt;BBOOK bbname=&quot;10438&quot; bbdesc=&quot;2016 Annual Accounts/EDF Annual Accounts/DC - Sundry payables (xlsx)&quot; dsname=&quot;SAP Disclosure Management - Production&quot;&gt;&lt;VARIABLES /&gt;&lt;/BBOOK&gt;&lt;BBOOK bbname=&quot;9546&quot; bbdesc=&quot;2016 Annual Accounts/EDF Annual Accounts/DC - Deferred capital contribution detail (xlsx)&quot; dsname=&quot;SAP Disclosure Management - Production&quot;&gt;&lt;VARIABLES /&gt;&lt;/BBOOK&gt;&lt;BBOOK bbname=&quot;10639&quot; bbdesc=&quot;2016 Annual Accounts/EDF Annual Accounts/DC - Cofinancing payables (xlsx)&quot; dsname=&quot;Disclosure Management - Production&quot;&gt;&lt;VARIABLES /&gt;&lt;/BBOOK&gt;&lt;BBOOK bbname=&quot;9461&quot; bbdesc=&quot;2016 Annual Accounts/EDF Annual Accounts/DC - Called fund capital (xlsx)&quot; dsname=&quot;SAP Disclosure Management - Production&quot;&gt;&lt;VARIABLES /&gt;&lt;/BBOOK&gt;&lt;BBOOK bbname=&quot;5609&quot; bbdesc=&quot;2015 Annual Accounts/EDF Annual Accounts 2015/DC - Accrued charges (xlsx)&quot; dsname=&quot;SAP Disclosure Management - Production&quot;&gt;&lt;VARIABLES /&gt;&lt;/BBOOK&gt;&lt;BBOOK bbname=&quot;5630&quot; bbdesc=&quot;2015 Annual Accounts/EDF Annual Accounts 2015/DC - Other reserves (xlsx)&quot; dsname=&quot;SAP Disclosure Management - Production&quot;&gt;&lt;VARIABLES /&gt;&lt;/BBOOK&gt;&lt;BBOOK bbname=&quot;9576&quot; bbdesc=&quot;2016 Annual Accounts/EDF Annual Accounts/DC - Transfers between Active EDFs (xlsx)&quot; dsname=&quot;SAP Disclosure Management - Production&quot;&gt;&lt;VARIABLES /&gt;&lt;/BBOOK&gt;&lt;BBOOK bbname=&quot;9555&quot; bbdesc=&quot;2016 Annual Accounts/EDF Annual Accounts/DC - Called fund capital from closed EDFs carried forward (xlsx)&quot; dsname=&quot;Disclosure Management - Production&quot;&gt;&lt;VARIABLES /&gt;&lt;/BBOOK&gt;&lt;BBOOK bbname=&quot;9468&quot; bbdesc=&quot;2016 Annual Accounts/EDF Annual Accounts/DC - Revenue non-ex transactions (xlsx)&quot; dsname=&quot;SAP Disclosure Management - Production&quot;&gt;&lt;VARIABLES /&gt;&lt;/BBOOK&gt;&lt;BBOOK bbname=&quot;9490&quot; bbdesc=&quot;2016 Annual Accounts/EDF Annual Accounts/DC - Exchange and non-exchange revenue (xlsx)&quot; dsname=&quot;SAP Disclosure Management - Production&quot;&gt;&lt;VARIABLES /&gt;&lt;/BBOOK&gt;&lt;BBOOK bbname=&quot;3412&quot; bbdesc=&quot;2014 Annual Accounts/EDF Annual Accounts/DC - Exchange receivables and Non-exchange recoverables (xlsx)&quot; dsname=&quot;SAP Disclosure Management - Production&quot;&gt;&lt;VARIABLES /&gt;&lt;/BBOOK&gt;&lt;BBOOK bbname=&quot;10440&quot; bbdesc=&quot;2016 Annual Accounts/EDF Annual Accounts/DC - Exchange revenue (xlsx)&quot; dsname=&quot;SAP Disclosure Management - Production&quot;&gt;&lt;VARIABLES /&gt;&lt;/BBOOK&gt;&lt;BBOOK bbname=&quot;9524&quot; bbdesc=&quot;2016 Annual Accounts/EDF Annual Accounts/DC - Aid_cofinancing by mng type (xlsx)&quot; dsname=&quot;SAP Disclosure Management - Production&quot;&gt;&lt;VARIABLES /&gt;&lt;/BBOOK&gt;&lt;BBOOK bbname=&quot;9454&quot; bbdesc=&quot;2016 Annual Accounts/EDF Annual Accounts/DC - Aid instruments (xlsx)&quot; dsname=&quot;SAP Disclosure Management - Production&quot;&gt;&lt;VARIABLES /&gt;&lt;/BBOOK&gt;&lt;BBOOK bbname=&quot;10441&quot; bbdesc=&quot;2016 Annual Accounts/EDF Annual Accounts/DC - Finance costs (xlsx)&quot; dsname=&quot;SAP Disclosure Management - Production&quot;&gt;&lt;VARIABLES /&gt;&lt;/BBOOK&gt;&lt;BBOOK bbname=&quot;10442&quot; bbdesc=&quot;2016 Annual Accounts/EDF Annual Accounts/DC - Other Expenses (xlsx)&quot; dsname=&quot;SAP Disclosure Management - Production&quot;&gt;&lt;VARIABLES /&gt;&lt;/BBOOK&gt;&lt;BBOOK bbname=&quot;10443&quot; bbdesc=&quot;2016 Annual Accounts/EDF Annual Accounts/DC - Co-financing (xlsx)&quot; dsname=&quot;SAP Disclosure Management - Production&quot;&gt;&lt;VARIABLES /&gt;&lt;/BBOOK&gt;&lt;BBOOK bbname=&quot;9511&quot; bbdesc=&quot;2016 Annual Accounts/EDF Annual Accounts/DC - Contingent assets (xlsx)&quot; dsname=&quot;SAP Disclosure Management - Production&quot;&gt;&lt;VARIABLES /&gt;&lt;/BBOOK&gt;&lt;BBOOK bbname=&quot;9439&quot; bbdesc=&quot;2016 Annual Accounts/EDF Annual Accounts/DC - Outstanding commitments not yet expensed (xlsx)&quot; dsname=&quot;SAP Disclosure Management - Production&quot;&gt;&lt;VARIABLES /&gt;&lt;/BBOOK&gt;&lt;BBOOK bbname=&quot;9570&quot; bbdesc=&quot;2016 Annual Accounts/EDF Annual Accounts/DC - Exposure of the EDF to currency risk at year end (xlsx)&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9571&quot; bbdesc=&quot;2016 Annual Accounts/EDF Annual Accounts/DC - Credit risk (xlsx)&quot; dsname=&quot;SAP Disclosure Management - Production&quot;&gt;&lt;VARIABLES /&gt;&lt;/BBOOK&gt;&lt;BBOOK bbname=&quot;9572&quot; bbdesc=&quot;2016 Annual Accounts/EDF Annual Accounts/DC - Maturity analysis of financial liabilities (xlsx)&quot; dsname=&quot;SAP Disclosure Management - Production&quot;&gt;&lt;VARIABLES /&gt;&lt;/BBOOK&gt;&lt;BBOOK bbname=&quot;9442&quot; bbdesc=&quot;2016 Annual Accounts/EDF Annual Accounts/DC - Economic result and Budget result (xlsx)&quot; dsname=&quot;SAP Disclosure Management - Production&quot;&gt;&lt;VARIABLES /&gt;&lt;/BBOOK&gt;&lt;BBOOK bbname=&quot;2517&quot; bbdesc=&quot;2014 Annual Accounts/EC Annual Accounts/DC - Balance Sheet (xlsx)&quot; dsname=&quot;SAP Disclosure Management - Production&quot;&gt;&lt;VARIABLES /&gt;&lt;/BBOOK&gt;&lt;BBOOK bbname=&quot;2875&quot; bbdesc=&quot;2014 Annual Accounts/EEAS Annual Accounts 2014/DC - Balance Sheet (xlsx)&quot; dsname=&quot;SAP Disclosure Management - Production&quot;&gt;&lt;VARIABLES /&gt;&lt;/BBOOK&gt;&lt;BBOOK bbname=&quot;3074&quot; bbdesc=&quot;2014 Annual Accounts/EEAS Annual Accounts 2014/DC - Balance Sheet (xlsx)&quot; dsname=&quot;SAP Disclosure Management - Production&quot;&gt;&lt;VARIABLES /&gt;&lt;/BBOOK&gt;&lt;BBOOK bbname=&quot;8796&quot; bbdesc=&quot;2016 Annual Accounts/BEKOU Annual accounts/DC - Balance Sheet (xlsx)&quot; dsname=&quot;SAP Disclosure Management - Production&quot;&gt;&lt;VARIABLES /&gt;&lt;/BBOOK&gt;&lt;BBOOK bbname=&quot;2339&quot; bbdesc=&quot;2014 Annual Accounts/EDF Annual Accounts/DC - Cash flow statement of the Bêkou trust fund (xlsx)&quot; dsname=&quot;SAP Disclosure Management - Production&quot;&gt;&lt;VARIABLES /&gt;&lt;/BBOOK&gt;&lt;BBOOK bbname=&quot;4954&quot; bbdesc=&quot;2015 Annual Accounts/2015 BEKOU Annual accounts/DC - Cash flow statement of the Bêkou trust fund (xlsx)&quot; dsname=&quot;SAP Disclosure Management - Production&quot;&gt;&lt;VARIABLES /&gt;&lt;/BBOOK&gt;&lt;BBOOK bbname=&quot;8798&quot; bbdesc=&quot;2016 Annual Accounts/BEKOU Annual accounts/DC - Statement of Financial Performance (xlsx)&quot; dsname=&quot;SAP Disclosure Management - Production&quot;&gt;&lt;VARIABLES /&gt;&lt;/BBOOK&gt;&lt;BBOOK bbname=&quot;8791&quot; bbdesc=&quot;2016 Annual Accounts/BEKOU Annual accounts/DC - Cash flow statement of the Bêkou trust fund (xlsx)&quot; dsname=&quot;SAP Disclosure Management - Production&quot;&gt;&lt;VARIABLES /&gt;&lt;/BBOOK&gt;&lt;BBOOK bbname=&quot;8776&quot; bbdesc=&quot;2016 Annual Accounts/BEKOU Annual accounts/Manage periods (xlsx)&quot; dsname=&quot;SAP Disclosure Management - Production&quot;&gt;&lt;VARIABLES /&gt;&lt;/BBOOK&gt;&lt;BBOOK bbname=&quot;10546&quot; bbdesc=&quot;2016 Annual Accounts/BEKOU Annual accounts/DC Cashflow statement Bekou (xlsx)&quot; dsname=&quot;SAP Disclosure Management - Production&quot;&gt;&lt;VARIABLES /&gt;&lt;/BBOOK&gt;&lt;BBOOK bbname=&quot;1043&quot; bbdesc=&quot;2013 Annual Accounts/EEAS Annual Accounts/DC - Statement of changes in net assets (xlsx)&quot; dsname=&quot;SAP Disclosure Management - Production&quot;&gt;&lt;VARIABLES /&gt;&lt;/BBOOK&gt;&lt;BBOOK bbname=&quot;3169&quot; bbdesc=&quot;2014 Annual Accounts/FCH JU Annual accounts 2014/DC - Statement of changes in net assets (xlsx)&quot; dsname=&quot;SAP Disclosure Management - Production&quot;&gt;&lt;VARIABLES /&gt;&lt;/BBOOK&gt;&lt;BBOOK bbname=&quot;3493&quot; bbdesc=&quot;2014 Annual Accounts/BÊKOU Annual accounts 2014/DC - Statement of changes in net assets of the Bêkou trust fund (xlsx)&quot; dsname=&quot;SAP Disclosure Management - Production&quot;&gt;&lt;VARIABLES /&gt;&lt;/BBOOK&gt;&lt;BBOOK bbname=&quot;8800&quot; bbdesc=&quot;2016 Annual Accounts/BEKOU Annual accounts/DC - Statement of changes in net assets (xlsx)&quot; dsname=&quot;SAP Disclosure Management - Production&quot;&gt;&lt;VARIABLES /&gt;&lt;/BBOOK&gt;&lt;BBOOK bbname=&quot;10410&quot; bbdesc=&quot;2016 Annual Accounts/AFRICA EU Annual Accounts/DC - Balance Sheet (xlsx)&quot; dsname=&quot;SAP Disclosure Management - Production&quot;&gt;&lt;VARIABLES /&gt;&lt;/BBOOK&gt;&lt;BBOOK bbname=&quot;10412&quot; bbdesc=&quot;2016 Annual Accounts/AFRICA EU Annual Accounts/DC - Statement of Financial Performance (xlsx)&quot; dsname=&quot;SAP Disclosure Management - Production&quot;&gt;&lt;VARIABLES /&gt;&lt;/BBOOK&gt;&lt;BBOOK bbname=&quot;10405&quot; bbdesc=&quot;2016 Annual Accounts/BEKOU Annual accounts/DC - Cash flow statement of the Bêkou trust fund (xlsx)&quot; dsname=&quot;SAP Disclosure Management - Production&quot;&gt;&lt;VARIABLES /&gt;&lt;/BBOOK&gt;&lt;BBOOK bbname=&quot;10548&quot; bbdesc=&quot;2016 Annual Accounts/AFRICA EU Annual Accounts/DC Cashflow statement Africa (xlsx)&quot; dsname=&quot;SAP Disclosure Management - Production&quot;&gt;&lt;VARIABLES /&gt;&lt;/BBOOK&gt;&lt;BBOOK bbname=&quot;10414&quot; bbdesc=&quot;2016 Annual Accounts/BEKOU Annual accounts/DC - Statement of changes in net assets (xlsx)&quot; dsname=&quot;SAP Disclosure Management - Production&quot;&gt;&lt;VARIABLES /&gt;&lt;/BBOOK&gt;&lt;BBOOK bbname=&quot;9484&quot; bbdesc=&quot;2015 Annual Accounts/EDF Annual Accounts 2015/DC - Consolidated Balance sheet EDF-Bêkou (xlsx)&quot; dsname=&quot;SAP Disclosure Management - Production&quot;&gt;&lt;VARIABLES /&gt;&lt;/BBOOK&gt;&lt;BBOOK bbname=&quot;9462&quot; bbdesc=&quot;2015 Annual Accounts/EDF Annual Accounts 2015/DC - Consolidated Statement of financial performance EDF-Bêkou (xlsx)&quot; dsname=&quot;SAP Disclosure Management - Production&quot;&gt;&lt;VARIABLES /&gt;&lt;/BBOOK&gt;&lt;BBOOK bbname=&quot;10447&quot; bbdesc=&quot;2016 Annual Accounts/EDF Annual Accounts/DC-Conso PL (xlsx)&quot; dsname=&quot;SAP Disclosure Management - Production&quot;&gt;&lt;VARIABLES /&gt;&lt;/BBOOK&gt;&lt;BBOOK bbname=&quot;9495&quot; bbdesc=&quot;2015 Annual Accounts/EDF Annual Accounts 2015/DC - Consolidated Cash flow statement EDF-Bêkou (xlsx)&quot; dsname=&quot;SAP Disclosure Management - Production&quot;&gt;&lt;VARIABLES /&gt;&lt;/BBOOK&gt;&lt;BBOOK bbname=&quot;10637&quot; bbdesc=&quot;2016 Annual Accounts/EDF Annual Accounts/DC - consolidated CF EDF-TFs (xlsx)&quot; dsname=&quot;Disclosure Management - Production&quot;&gt;&lt;VARIABLES /&gt;&lt;/BBOOK&gt;&lt;BBOOK bbname=&quot;9483&quot; bbdesc=&quot;2015 Annual Accounts/EDF Annual Accounts 2015/DC - Consolidated Statement of changes in net assets EDF-Bêkou (xlsx)&quot; dsname=&quot;SAP Disclosure Management - Production&quot;&gt;&lt;VARIABLES /&gt;&lt;/BBOOK&gt;&lt;BBOOK bbname=&quot;10638&quot; bbdesc=&quot;2016 Annual Accounts/EDF Annual Accounts/DC - Conso statement net assets EDF-TFs (xlsx)&quot; dsname=&quot;Disclosure Management - Production&quot;&gt;&lt;VARIABLES /&gt;&lt;/BBOOK&gt;&lt;/BBOOKS&gt;"/>
    <w:docVar w:name="COVERPAGE_EXISTS" w:val="True"/>
    <w:docVar w:name="DM_WB_C10448_METADATA" w:val="&lt;ChapterMetadata&gt;&lt;ChapterId&gt;10448&lt;/ChapterId&gt;&lt;ChapterName&gt;Background information TF Bekou&lt;/ChapterName&gt;&lt;ChapterNoOfPages&gt;-1&lt;/ChapterNoOfPages&gt;&lt;ChapterVersion&gt;7&lt;/ChapterVersion&gt;&lt;/ChapterMetadata&gt;"/>
    <w:docVar w:name="DM_WB_C10449_METADATA" w:val="&lt;ChapterMetadata&gt;&lt;ChapterId&gt;10449&lt;/ChapterId&gt;&lt;ChapterName&gt;Balance sheet TF Bekou&lt;/ChapterName&gt;&lt;ChapterNoOfPages&gt;-1&lt;/ChapterNoOfPages&gt;&lt;ChapterVersion&gt;12&lt;/ChapterVersion&gt;&lt;/ChapterMetadata&gt;"/>
    <w:docVar w:name="DM_WB_C10450_METADATA" w:val="&lt;ChapterMetadata&gt;&lt;ChapterId&gt;10450&lt;/ChapterId&gt;&lt;ChapterName&gt;Statement of financial performance TF Bekou&lt;/ChapterName&gt;&lt;ChapterNoOfPages&gt;-1&lt;/ChapterNoOfPages&gt;&lt;ChapterVersion&gt;13&lt;/ChapterVersion&gt;&lt;/ChapterMetadata&gt;"/>
    <w:docVar w:name="DM_WB_C10451_METADATA" w:val="&lt;ChapterMetadata&gt;&lt;ChapterId&gt;10451&lt;/ChapterId&gt;&lt;ChapterName&gt;Cashflow statement TF Bekou&lt;/ChapterName&gt;&lt;ChapterNoOfPages&gt;-1&lt;/ChapterNoOfPages&gt;&lt;ChapterVersion&gt;11&lt;/ChapterVersion&gt;&lt;/ChapterMetadata&gt;"/>
    <w:docVar w:name="DM_WB_C10452_METADATA" w:val="&lt;ChapterMetadata&gt;&lt;ChapterId&gt;10452&lt;/ChapterId&gt;&lt;ChapterName&gt;Statemement of changes in net assets TF Bekou&lt;/ChapterName&gt;&lt;ChapterNoOfPages&gt;-1&lt;/ChapterNoOfPages&gt;&lt;ChapterVersion&gt;13&lt;/ChapterVersion&gt;&lt;/ChapterMetadata&gt;"/>
    <w:docVar w:name="DM_WB_C10453_METADATA" w:val="&lt;ChapterMetadata&gt;&lt;ChapterId&gt;10453&lt;/ChapterId&gt;&lt;ChapterName&gt;Final annual accounts of the EUTF for Africa&lt;/ChapterName&gt;&lt;ChapterNoOfPages&gt;-1&lt;/ChapterNoOfPages&gt;&lt;ChapterVersion&gt;4&lt;/ChapterVersion&gt;&lt;/ChapterMetadata&gt;"/>
    <w:docVar w:name="DM_WB_C10454_METADATA" w:val="&lt;ChapterMetadata&gt;&lt;ChapterId&gt;10454&lt;/ChapterId&gt;&lt;ChapterName&gt;Background information TF Africa&lt;/ChapterName&gt;&lt;ChapterNoOfPages&gt;-1&lt;/ChapterNoOfPages&gt;&lt;ChapterVersion&gt;5&lt;/ChapterVersion&gt;&lt;/ChapterMetadata&gt;"/>
    <w:docVar w:name="DM_WB_C10455_METADATA" w:val="&lt;ChapterMetadata&gt;&lt;ChapterId&gt;10455&lt;/ChapterId&gt;&lt;ChapterName&gt;Statement of financial performance TF Africa&lt;/ChapterName&gt;&lt;ChapterNoOfPages&gt;-1&lt;/ChapterNoOfPages&gt;&lt;ChapterVersion&gt;13&lt;/ChapterVersion&gt;&lt;/ChapterMetadata&gt;"/>
    <w:docVar w:name="DM_WB_C10456_METADATA" w:val="&lt;ChapterMetadata&gt;&lt;ChapterId&gt;10456&lt;/ChapterId&gt;&lt;ChapterName&gt;Balance sheet TF Africa&lt;/ChapterName&gt;&lt;ChapterNoOfPages&gt;-1&lt;/ChapterNoOfPages&gt;&lt;ChapterVersion&gt;13&lt;/ChapterVersion&gt;&lt;/ChapterMetadata&gt;"/>
    <w:docVar w:name="DM_WB_C10457_METADATA" w:val="&lt;ChapterMetadata&gt;&lt;ChapterId&gt;10457&lt;/ChapterId&gt;&lt;ChapterName&gt;CF statement TF Africa&lt;/ChapterName&gt;&lt;ChapterNoOfPages&gt;-1&lt;/ChapterNoOfPages&gt;&lt;ChapterVersion&gt;11&lt;/ChapterVersion&gt;&lt;/ChapterMetadata&gt;"/>
    <w:docVar w:name="DM_WB_C10458_METADATA" w:val="&lt;ChapterMetadata&gt;&lt;ChapterId&gt;10458&lt;/ChapterId&gt;&lt;ChapterName&gt;Statement of changes in net asets TF Africa&lt;/ChapterName&gt;&lt;ChapterNoOfPages&gt;-1&lt;/ChapterNoOfPages&gt;&lt;ChapterVersion&gt;13&lt;/ChapterVersion&gt;&lt;/ChapterMetadata&gt;"/>
    <w:docVar w:name="DM_WB_C10640_METADATA" w:val="&lt;ChapterMetadata&gt;&lt;ChapterId&gt;10640&lt;/ChapterId&gt;&lt;ChapterName&gt;Financial statements - EDF TFs&lt;/ChapterName&gt;&lt;ChapterNoOfPages&gt;-1&lt;/ChapterNoOfPages&gt;&lt;ChapterVersion&gt;4&lt;/ChapterVersion&gt;&lt;/ChapterMetadata&gt;"/>
    <w:docVar w:name="DM_WB_C10673_METADATA" w:val="&lt;ChapterMetadata&gt;&lt;ChapterId&gt;10673&lt;/ChapterId&gt;&lt;ChapterName&gt;Trust fund contributions&lt;/ChapterName&gt;&lt;ChapterNoOfPages&gt;-1&lt;/ChapterNoOfPages&gt;&lt;ChapterVersion&gt;8&lt;/ChapterVersion&gt;&lt;/ChapterMetadata&gt;"/>
    <w:docVar w:name="DM_WB_C10674_METADATA" w:val="&lt;ChapterMetadata&gt;&lt;ChapterId&gt;10674&lt;/ChapterId&gt;&lt;ChapterName&gt;Pre Financing&lt;/ChapterName&gt;&lt;ChapterNoOfPages&gt;-1&lt;/ChapterNoOfPages&gt;&lt;ChapterVersion&gt;9&lt;/ChapterVersion&gt;&lt;/ChapterMetadata&gt;"/>
    <w:docVar w:name="DM_WB_C9430_METADATA" w:val="&lt;ChapterMetadata&gt;&lt;ChapterId&gt;9430&lt;/ChapterId&gt;&lt;ChapterName&gt;Non current Pre financing&lt;/ChapterName&gt;&lt;ChapterNoOfPages&gt;-1&lt;/ChapterNoOfPages&gt;&lt;ChapterVersion&gt;23&lt;/ChapterVersion&gt;&lt;/ChapterMetadata&gt;"/>
    <w:docVar w:name="DM_WB_C9435_METADATA" w:val="&lt;ChapterMetadata&gt;&lt;ChapterId&gt;9435&lt;/ChapterId&gt;&lt;ChapterName&gt;Report on financial implementation (DEVCO Part)&lt;/ChapterName&gt;&lt;ChapterNoOfPages&gt;-1&lt;/ChapterNoOfPages&gt;&lt;ChapterVersion&gt;1&lt;/ChapterVersion&gt;&lt;/ChapterMetadata&gt;"/>
    <w:docVar w:name="DM_WB_C9441_METADATA" w:val="&lt;ChapterMetadata&gt;&lt;ChapterId&gt;9441&lt;/ChapterId&gt;&lt;ChapterName&gt;Called fund capital from closed EDFs carried forward&lt;/ChapterName&gt;&lt;ChapterNoOfPages&gt;-1&lt;/ChapterNoOfPages&gt;&lt;ChapterVersion&gt;16&lt;/ChapterVersion&gt;&lt;/ChapterMetadata&gt;"/>
    <w:docVar w:name="DM_WB_C9444_METADATA" w:val="&lt;ChapterMetadata&gt;&lt;ChapterId&gt;9444&lt;/ChapterId&gt;&lt;ChapterName&gt;Current liabilities&lt;/ChapterName&gt;&lt;ChapterNoOfPages&gt;-1&lt;/ChapterNoOfPages&gt;&lt;ChapterVersion&gt;3&lt;/ChapterVersion&gt;&lt;/ChapterMetadata&gt;"/>
    <w:docVar w:name="DM_WB_C9446_METADATA" w:val="&lt;ChapterMetadata&gt;&lt;ChapterId&gt;9446&lt;/ChapterId&gt;&lt;ChapterName&gt;Financial statements of the EDF&lt;/ChapterName&gt;&lt;ChapterNoOfPages&gt;-1&lt;/ChapterNoOfPages&gt;&lt;ChapterVersion&gt;2&lt;/ChapterVersion&gt;&lt;/ChapterMetadata&gt;"/>
    <w:docVar w:name="DM_WB_C9447_METADATA" w:val="&lt;ChapterMetadata&gt;&lt;ChapterId&gt;9447&lt;/ChapterId&gt;&lt;ChapterName&gt;Table of contents 1&lt;/ChapterName&gt;&lt;ChapterNoOfPages&gt;-1&lt;/ChapterNoOfPages&gt;&lt;ChapterVersion&gt;1&lt;/ChapterVersion&gt;&lt;/ChapterMetadata&gt;"/>
    <w:docVar w:name="DM_WB_C9448_METADATA" w:val="&lt;ChapterMetadata&gt;&lt;ChapterId&gt;9448&lt;/ChapterId&gt;&lt;ChapterName&gt;Assets&lt;/ChapterName&gt;&lt;ChapterNoOfPages&gt;-1&lt;/ChapterNoOfPages&gt;&lt;ChapterVersion&gt;2&lt;/ChapterVersion&gt;&lt;/ChapterMetadata&gt;"/>
    <w:docVar w:name="DM_WB_C9450_METADATA" w:val="&lt;ChapterMetadata&gt;&lt;ChapterId&gt;9450&lt;/ChapterId&gt;&lt;ChapterName&gt;EDF Statement of changes in net assets&lt;/ChapterName&gt;&lt;ChapterNoOfPages&gt;-1&lt;/ChapterNoOfPages&gt;&lt;ChapterVersion&gt;14&lt;/ChapterVersion&gt;&lt;/ChapterMetadata&gt;"/>
    <w:docVar w:name="DM_WB_C9455_METADATA" w:val="&lt;ChapterMetadata&gt;&lt;ChapterId&gt;9455&lt;/ChapterId&gt;&lt;ChapterName&gt;Contingent assets and liabilities and other significant disclosures&lt;/ChapterName&gt;&lt;ChapterNoOfPages&gt;-1&lt;/ChapterNoOfPages&gt;&lt;ChapterVersion&gt;1&lt;/ChapterVersion&gt;&lt;/ChapterMetadata&gt;"/>
    <w:docVar w:name="DM_WB_C9456_METADATA" w:val="&lt;ChapterMetadata&gt;&lt;ChapterId&gt;9456&lt;/ChapterId&gt;&lt;ChapterName&gt;Financial statements and explanatory notes - Funds managed by the European Investment Bank&lt;/ChapterName&gt;&lt;ChapterNoOfPages&gt;-1&lt;/ChapterNoOfPages&gt;&lt;ChapterVersion&gt;2&lt;/ChapterVersion&gt;&lt;/ChapterMetadata&gt;"/>
    <w:docVar w:name="DM_WB_C9458_METADATA" w:val="&lt;ChapterMetadata&gt;&lt;ChapterId&gt;9458&lt;/ChapterId&gt;&lt;ChapterName&gt;Non-exchange recoverables and exchange receivables&lt;/ChapterName&gt;&lt;ChapterNoOfPages&gt;-1&lt;/ChapterNoOfPages&gt;&lt;ChapterVersion&gt;23&lt;/ChapterVersion&gt;&lt;/ChapterMetadata&gt;"/>
    <w:docVar w:name="DM_WB_C9460_METADATA" w:val="&lt;ChapterMetadata&gt;&lt;ChapterId&gt;9460&lt;/ChapterId&gt;&lt;ChapterName&gt;Consolidated Statement of financial performance EDF-TFs&lt;/ChapterName&gt;&lt;ChapterNoOfPages&gt;-1&lt;/ChapterNoOfPages&gt;&lt;ChapterVersion&gt;11&lt;/ChapterVersion&gt;&lt;/ChapterMetadata&gt;"/>
    <w:docVar w:name="DM_WB_C9463_METADATA" w:val="&lt;ChapterMetadata&gt;&lt;ChapterId&gt;9463&lt;/ChapterId&gt;&lt;ChapterName&gt;EDF Statement of financial performance&lt;/ChapterName&gt;&lt;ChapterNoOfPages&gt;-1&lt;/ChapterNoOfPages&gt;&lt;ChapterVersion&gt;25&lt;/ChapterVersion&gt;&lt;/ChapterMetadata&gt;"/>
    <w:docVar w:name="DM_WB_C9464_METADATA" w:val="&lt;ChapterMetadata&gt;&lt;ChapterId&gt;9464&lt;/ChapterId&gt;&lt;ChapterName&gt;Non current liabilities&lt;/ChapterName&gt;&lt;ChapterNoOfPages&gt;-1&lt;/ChapterNoOfPages&gt;&lt;ChapterVersion&gt;2&lt;/ChapterVersion&gt;&lt;/ChapterMetadata&gt;"/>
    <w:docVar w:name="DM_WB_C9467_METADATA" w:val="&lt;ChapterMetadata&gt;&lt;ChapterId&gt;9467&lt;/ChapterId&gt;&lt;ChapterName&gt;Expenses&lt;/ChapterName&gt;&lt;ChapterNoOfPages&gt;-1&lt;/ChapterNoOfPages&gt;&lt;ChapterVersion&gt;19&lt;/ChapterVersion&gt;&lt;/ChapterMetadata&gt;"/>
    <w:docVar w:name="DM_WB_C9470_METADATA" w:val="&lt;ChapterMetadata&gt;&lt;ChapterId&gt;9470&lt;/ChapterId&gt;&lt;ChapterName&gt;Statement of financial performance by EDF&lt;/ChapterName&gt;&lt;ChapterNoOfPages&gt;-1&lt;/ChapterNoOfPages&gt;&lt;ChapterVersion&gt;20&lt;/ChapterVersion&gt;&lt;/ChapterMetadata&gt;"/>
    <w:docVar w:name="DM_WB_C9471_METADATA" w:val="&lt;ChapterMetadata&gt;&lt;ChapterId&gt;9471&lt;/ChapterId&gt;&lt;ChapterName&gt;Cover and first page&lt;/ChapterName&gt;&lt;ChapterNoOfPages&gt;-1&lt;/ChapterNoOfPages&gt;&lt;ChapterVersion&gt;4&lt;/ChapterVersion&gt;&lt;/ChapterMetadata&gt;"/>
    <w:docVar w:name="DM_WB_C9472_METADATA" w:val="&lt;ChapterMetadata&gt;&lt;ChapterId&gt;9472&lt;/ChapterId&gt;&lt;ChapterName&gt;Report on financial implementation Devco file - 3&lt;/ChapterName&gt;&lt;ChapterNoOfPages&gt;-1&lt;/ChapterNoOfPages&gt;&lt;ChapterVersion&gt;1&lt;/ChapterVersion&gt;&lt;/ChapterMetadata&gt;"/>
    <w:docVar w:name="DM_WB_C9475_METADATA" w:val="&lt;ChapterMetadata&gt;&lt;ChapterId&gt;9475&lt;/ChapterId&gt;&lt;ChapterName&gt;Consolidated Cash flow statement EDF-TFs&lt;/ChapterName&gt;&lt;ChapterNoOfPages&gt;-1&lt;/ChapterNoOfPages&gt;&lt;ChapterVersion&gt;8&lt;/ChapterVersion&gt;&lt;/ChapterMetadata&gt;"/>
    <w:docVar w:name="DM_WB_C9479_METADATA" w:val="&lt;ChapterMetadata&gt;&lt;ChapterId&gt;9479&lt;/ChapterId&gt;&lt;ChapterName&gt;EDF Balance sheet&lt;/ChapterName&gt;&lt;ChapterNoOfPages&gt;-1&lt;/ChapterNoOfPages&gt;&lt;ChapterVersion&gt;19&lt;/ChapterVersion&gt;&lt;/ChapterMetadata&gt;"/>
    <w:docVar w:name="DM_WB_C9481_METADATA" w:val="&lt;ChapterMetadata&gt;&lt;ChapterId&gt;9481&lt;/ChapterId&gt;&lt;ChapterName&gt;FS and explanatory notes&lt;/ChapterName&gt;&lt;ChapterNoOfPages&gt;-1&lt;/ChapterNoOfPages&gt;&lt;ChapterVersion&gt;2&lt;/ChapterVersion&gt;&lt;/ChapterMetadata&gt;"/>
    <w:docVar w:name="DM_WB_C9482_METADATA" w:val="&lt;ChapterMetadata&gt;&lt;ChapterId&gt;9482&lt;/ChapterId&gt;&lt;ChapterName&gt;Consolidated Statement of changes in net assets EDF-TFs&lt;/ChapterName&gt;&lt;ChapterNoOfPages&gt;-1&lt;/ChapterNoOfPages&gt;&lt;ChapterVersion&gt;7&lt;/ChapterVersion&gt;&lt;/ChapterMetadata&gt;"/>
    <w:docVar w:name="DM_WB_C9487_METADATA" w:val="&lt;ChapterMetadata&gt;&lt;ChapterId&gt;9487&lt;/ChapterId&gt;&lt;ChapterName&gt;Contingent liabilities and Other significant disclosures&lt;/ChapterName&gt;&lt;ChapterNoOfPages&gt;-1&lt;/ChapterNoOfPages&gt;&lt;ChapterVersion&gt;20&lt;/ChapterVersion&gt;&lt;/ChapterMetadata&gt;"/>
    <w:docVar w:name="DM_WB_C9488_METADATA" w:val="&lt;ChapterMetadata&gt;&lt;ChapterId&gt;9488&lt;/ChapterId&gt;&lt;ChapterName&gt;Financial risk management&lt;/ChapterName&gt;&lt;ChapterNoOfPages&gt;-1&lt;/ChapterNoOfPages&gt;&lt;ChapterVersion&gt;2&lt;/ChapterVersion&gt;&lt;/ChapterMetadata&gt;"/>
    <w:docVar w:name="DM_WB_C9493_METADATA" w:val="&lt;ChapterMetadata&gt;&lt;ChapterId&gt;9493&lt;/ChapterId&gt;&lt;ChapterName&gt;Implementing and accounting for the EDF resources&lt;/ChapterName&gt;&lt;ChapterNoOfPages&gt;-1&lt;/ChapterNoOfPages&gt;&lt;ChapterVersion&gt;10&lt;/ChapterVersion&gt;&lt;/ChapterMetadata&gt;"/>
    <w:docVar w:name="DM_WB_C9494_METADATA" w:val="&lt;ChapterMetadata&gt;&lt;ChapterId&gt;9494&lt;/ChapterId&gt;&lt;ChapterName&gt;Table of contents 2&lt;/ChapterName&gt;&lt;ChapterNoOfPages&gt;-1&lt;/ChapterNoOfPages&gt;&lt;ChapterVersion&gt;1&lt;/ChapterVersion&gt;&lt;/ChapterMetadata&gt;"/>
    <w:docVar w:name="DM_WB_C9497_METADATA" w:val="&lt;ChapterMetadata&gt;&lt;ChapterId&gt;9497&lt;/ChapterId&gt;&lt;ChapterName&gt;Consolidated financial statements - EDF and Trust Funds&lt;/ChapterName&gt;&lt;ChapterNoOfPages&gt;-1&lt;/ChapterNoOfPages&gt;&lt;ChapterVersion&gt;2&lt;/ChapterVersion&gt;&lt;/ChapterMetadata&gt;"/>
    <w:docVar w:name="DM_WB_C9499_METADATA" w:val="&lt;ChapterMetadata&gt;&lt;ChapterId&gt;9499&lt;/ChapterId&gt;&lt;ChapterName&gt;Non current provisions&lt;/ChapterName&gt;&lt;ChapterNoOfPages&gt;-1&lt;/ChapterNoOfPages&gt;&lt;ChapterVersion&gt;17&lt;/ChapterVersion&gt;&lt;/ChapterMetadata&gt;"/>
    <w:docVar w:name="DM_WB_C9500_METADATA" w:val="&lt;ChapterMetadata&gt;&lt;ChapterId&gt;9500&lt;/ChapterId&gt;&lt;ChapterName&gt;EDF Cashflow statement&lt;/ChapterName&gt;&lt;ChapterNoOfPages&gt;-1&lt;/ChapterNoOfPages&gt;&lt;ChapterVersion&gt;14&lt;/ChapterVersion&gt;&lt;/ChapterMetadata&gt;"/>
    <w:docVar w:name="DM_WB_C9501_METADATA" w:val="&lt;ChapterMetadata&gt;&lt;ChapterId&gt;9501&lt;/ChapterId&gt;&lt;ChapterName&gt;Called fund capital&lt;/ChapterName&gt;&lt;ChapterNoOfPages&gt;-1&lt;/ChapterNoOfPages&gt;&lt;ChapterVersion&gt;20&lt;/ChapterVersion&gt;&lt;/ChapterMetadata&gt;"/>
    <w:docVar w:name="DM_WB_C9505_METADATA" w:val="&lt;ChapterMetadata&gt;&lt;ChapterId&gt;9505&lt;/ChapterId&gt;&lt;ChapterName&gt;Financial statements by EDF&lt;/ChapterName&gt;&lt;ChapterNoOfPages&gt;-1&lt;/ChapterNoOfPages&gt;&lt;ChapterVersion&gt;1&lt;/ChapterVersion&gt;&lt;/ChapterMetadata&gt;"/>
    <w:docVar w:name="DM_WB_C9506_METADATA" w:val="&lt;ChapterMetadata&gt;&lt;ChapterId&gt;9506&lt;/ChapterId&gt;&lt;ChapterName&gt;Contingent  assets&lt;/ChapterName&gt;&lt;ChapterNoOfPages&gt;-1&lt;/ChapterNoOfPages&gt;&lt;ChapterVersion&gt;19&lt;/ChapterVersion&gt;&lt;/ChapterMetadata&gt;"/>
    <w:docVar w:name="DM_WB_C9507_METADATA" w:val="&lt;ChapterMetadata&gt;&lt;ChapterId&gt;9507&lt;/ChapterId&gt;&lt;ChapterName&gt;Statement of changes in net assets by EDF&lt;/ChapterName&gt;&lt;ChapterNoOfPages&gt;-1&lt;/ChapterNoOfPages&gt;&lt;ChapterVersion&gt;19&lt;/ChapterVersion&gt;&lt;/ChapterMetadata&gt;"/>
    <w:docVar w:name="DM_WB_C9512_METADATA" w:val="&lt;ChapterMetadata&gt;&lt;ChapterId&gt;9512&lt;/ChapterId&gt;&lt;ChapterName&gt;Report on financial implementation Devco file - 1&lt;/ChapterName&gt;&lt;ChapterNoOfPages&gt;-1&lt;/ChapterNoOfPages&gt;&lt;ChapterVersion&gt;3&lt;/ChapterVersion&gt;&lt;/ChapterMetadata&gt;"/>
    <w:docVar w:name="DM_WB_C9514_METADATA" w:val="&lt;ChapterMetadata&gt;&lt;ChapterId&gt;9514&lt;/ChapterId&gt;&lt;ChapterName&gt;Notes to the balance sheet&lt;/ChapterName&gt;&lt;ChapterNoOfPages&gt;-1&lt;/ChapterNoOfPages&gt;&lt;ChapterVersion&gt;1&lt;/ChapterVersion&gt;&lt;/ChapterMetadata&gt;"/>
    <w:docVar w:name="DM_WB_C9515_METADATA" w:val="&lt;ChapterMetadata&gt;&lt;ChapterId&gt;9515&lt;/ChapterId&gt;&lt;ChapterName&gt;Certification of the accounts&lt;/ChapterName&gt;&lt;ChapterNoOfPages&gt;-1&lt;/ChapterNoOfPages&gt;&lt;ChapterVersion&gt;2&lt;/ChapterVersion&gt;&lt;/ChapterMetadata&gt;"/>
    <w:docVar w:name="DM_WB_C9521_METADATA" w:val="&lt;ChapterMetadata&gt;&lt;ChapterId&gt;9521&lt;/ChapterId&gt;&lt;ChapterName&gt;Report on financial implementation Devco file - 2&lt;/ChapterName&gt;&lt;ChapterNoOfPages&gt;-1&lt;/ChapterNoOfPages&gt;&lt;ChapterVersion&gt;1&lt;/ChapterVersion&gt;&lt;/ChapterMetadata&gt;"/>
    <w:docVar w:name="DM_WB_C9522_METADATA" w:val="&lt;ChapterMetadata&gt;&lt;ChapterId&gt;9522&lt;/ChapterId&gt;&lt;ChapterName&gt;Consolidated Balance sheet EDF-TFs&lt;/ChapterName&gt;&lt;ChapterNoOfPages&gt;-1&lt;/ChapterNoOfPages&gt;&lt;ChapterVersion&gt;12&lt;/ChapterVersion&gt;&lt;/ChapterMetadata&gt;"/>
    <w:docVar w:name="DM_WB_C9523_METADATA" w:val="&lt;ChapterMetadata&gt;&lt;ChapterId&gt;9523&lt;/ChapterId&gt;&lt;ChapterName&gt;Net assets&lt;/ChapterName&gt;&lt;ChapterNoOfPages&gt;-1&lt;/ChapterNoOfPages&gt;&lt;ChapterVersion&gt;1&lt;/ChapterVersion&gt;&lt;/ChapterMetadata&gt;"/>
    <w:docVar w:name="DM_WB_C9525_METADATA" w:val="&lt;ChapterMetadata&gt;&lt;ChapterId&gt;9525&lt;/ChapterId&gt;&lt;ChapterName&gt;Balance sheet by EDF&lt;/ChapterName&gt;&lt;ChapterNoOfPages&gt;-1&lt;/ChapterNoOfPages&gt;&lt;ChapterVersion&gt;17&lt;/ChapterVersion&gt;&lt;/ChapterMetadata&gt;"/>
    <w:docVar w:name="DM_WB_C9526_METADATA" w:val="&lt;ChapterMetadata&gt;&lt;ChapterId&gt;9526&lt;/ChapterId&gt;&lt;ChapterName&gt;Notes to the cashflow statement&lt;/ChapterName&gt;&lt;ChapterNoOfPages&gt;-1&lt;/ChapterNoOfPages&gt;&lt;ChapterVersion&gt;1&lt;/ChapterVersion&gt;&lt;/ChapterMetadata&gt;"/>
    <w:docVar w:name="DM_WB_C9531_METADATA" w:val="&lt;ChapterMetadata&gt;&lt;ChapterId&gt;9531&lt;/ChapterId&gt;&lt;ChapterName&gt;Financial statements and explanatory notes - Funds managed by the European Commission&lt;/ChapterName&gt;&lt;ChapterNoOfPages&gt;-1&lt;/ChapterNoOfPages&gt;&lt;ChapterVersion&gt;3&lt;/ChapterVersion&gt;&lt;/ChapterMetadata&gt;"/>
    <w:docVar w:name="DM_WB_C9533_METADATA" w:val="&lt;ChapterMetadata&gt;&lt;ChapterId&gt;9533&lt;/ChapterId&gt;&lt;ChapterName&gt;Current Pre financing&lt;/ChapterName&gt;&lt;ChapterNoOfPages&gt;-1&lt;/ChapterNoOfPages&gt;&lt;ChapterVersion&gt;19&lt;/ChapterVersion&gt;&lt;/ChapterMetadata&gt;"/>
    <w:docVar w:name="DM_WB_C9534_METADATA" w:val="&lt;ChapterMetadata&gt;&lt;ChapterId&gt;9534&lt;/ChapterId&gt;&lt;ChapterName&gt;Guarantees received in respect of pre financing&lt;/ChapterName&gt;&lt;ChapterNoOfPages&gt;-1&lt;/ChapterNoOfPages&gt;&lt;ChapterVersion&gt;6&lt;/ChapterVersion&gt;&lt;/ChapterMetadata&gt;"/>
    <w:docVar w:name="DM_WB_C9536_METADATA" w:val="&lt;ChapterMetadata&gt;&lt;ChapterId&gt;9536&lt;/ChapterId&gt;&lt;ChapterName&gt;Events after the balance sheet date&lt;/ChapterName&gt;&lt;ChapterNoOfPages&gt;-1&lt;/ChapterNoOfPages&gt;&lt;ChapterVersion&gt;3&lt;/ChapterVersion&gt;&lt;/ChapterMetadata&gt;"/>
    <w:docVar w:name="DM_WB_C9537_METADATA" w:val="&lt;ChapterMetadata&gt;&lt;ChapterId&gt;9537&lt;/ChapterId&gt;&lt;ChapterName&gt;Cash and cash equivalents current assets&lt;/ChapterName&gt;&lt;ChapterNoOfPages&gt;-1&lt;/ChapterNoOfPages&gt;&lt;ChapterVersion&gt;16&lt;/ChapterVersion&gt;&lt;/ChapterMetadata&gt;"/>
    <w:docVar w:name="DM_WB_C9538_METADATA" w:val="&lt;ChapterMetadata&gt;&lt;ChapterId&gt;9538&lt;/ChapterId&gt;&lt;ChapterName&gt;NC Financial liabilities&lt;/ChapterName&gt;&lt;ChapterNoOfPages&gt;-1&lt;/ChapterNoOfPages&gt;&lt;ChapterVersion&gt;17&lt;/ChapterVersion&gt;&lt;/ChapterMetadata&gt;"/>
    <w:docVar w:name="DM_WB_C9539_METADATA" w:val="&lt;ChapterMetadata&gt;&lt;ChapterId&gt;9539&lt;/ChapterId&gt;&lt;ChapterName&gt;Related party disclosures&lt;/ChapterName&gt;&lt;ChapterNoOfPages&gt;-1&lt;/ChapterNoOfPages&gt;&lt;ChapterVersion&gt;5&lt;/ChapterVersion&gt;&lt;/ChapterMetadata&gt;"/>
    <w:docVar w:name="DM_WB_C9543_METADATA" w:val="&lt;ChapterMetadata&gt;&lt;ChapterId&gt;9543&lt;/ChapterId&gt;&lt;ChapterName&gt;Revenue&lt;/ChapterName&gt;&lt;ChapterNoOfPages&gt;-1&lt;/ChapterNoOfPages&gt;&lt;ChapterVersion&gt;32&lt;/ChapterVersion&gt;&lt;/ChapterMetadata&gt;"/>
    <w:docVar w:name="DM_WB_C9545_METADATA" w:val="&lt;ChapterMetadata&gt;&lt;ChapterId&gt;9545&lt;/ChapterId&gt;&lt;ChapterName&gt;Report on financial implementation Devco file - 4&lt;/ChapterName&gt;&lt;ChapterNoOfPages&gt;-1&lt;/ChapterNoOfPages&gt;&lt;ChapterVersion&gt;1&lt;/ChapterVersion&gt;&lt;/ChapterMetadata&gt;"/>
    <w:docVar w:name="DM_WB_C9549_METADATA" w:val="&lt;ChapterMetadata&gt;&lt;ChapterId&gt;9549&lt;/ChapterId&gt;&lt;ChapterName&gt;Notes to the financial statements of the EDF&lt;/ChapterName&gt;&lt;ChapterNoOfPages&gt;-1&lt;/ChapterNoOfPages&gt;&lt;ChapterVersion&gt;2&lt;/ChapterVersion&gt;&lt;/ChapterMetadata&gt;"/>
    <w:docVar w:name="DM_WB_C9550_METADATA" w:val="&lt;ChapterMetadata&gt;&lt;ChapterId&gt;9550&lt;/ChapterId&gt;&lt;ChapterName&gt;Payables&lt;/ChapterName&gt;&lt;ChapterNoOfPages&gt;-1&lt;/ChapterNoOfPages&gt;&lt;ChapterVersion&gt;26&lt;/ChapterVersion&gt;&lt;/ChapterMetadata&gt;"/>
    <w:docVar w:name="DM_WB_C9553_METADATA" w:val="&lt;ChapterMetadata&gt;&lt;ChapterId&gt;9553&lt;/ChapterId&gt;&lt;ChapterName&gt;Notes to the Statement of financial performance&lt;/ChapterName&gt;&lt;ChapterNoOfPages&gt;-1&lt;/ChapterNoOfPages&gt;&lt;ChapterVersion&gt;2&lt;/ChapterVersion&gt;&lt;/ChapterMetadata&gt;"/>
    <w:docVar w:name="DM_WB_C9554_METADATA" w:val="&lt;ChapterMetadata&gt;&lt;ChapterId&gt;9554&lt;/ChapterId&gt;&lt;ChapterName&gt;Reconciliation economic result Budget result&lt;/ChapterName&gt;&lt;ChapterNoOfPages&gt;-1&lt;/ChapterNoOfPages&gt;&lt;ChapterVersion&gt;9&lt;/ChapterVersion&gt;&lt;/ChapterMetadata&gt;"/>
    <w:docVar w:name="DM_WB_C9562_METADATA" w:val="&lt;ChapterMetadata&gt;&lt;ChapterId&gt;9562&lt;/ChapterId&gt;&lt;ChapterName&gt;Final annual accounts of the Bêkou EU trust fund&lt;/ChapterName&gt;&lt;ChapterNoOfPages&gt;-1&lt;/ChapterNoOfPages&gt;&lt;ChapterVersion&gt;4&lt;/ChapterVersion&gt;&lt;/ChapterMetadata&gt;"/>
    <w:docVar w:name="DM_WB_C9564_METADATA" w:val="&lt;ChapterMetadata&gt;&lt;ChapterId&gt;9564&lt;/ChapterId&gt;&lt;ChapterName&gt;Accrued charges_deferred income&lt;/ChapterName&gt;&lt;ChapterNoOfPages&gt;-1&lt;/ChapterNoOfPages&gt;&lt;ChapterVersion&gt;16&lt;/ChapterVersion&gt;&lt;/ChapterMetadata&gt;"/>
    <w:docVar w:name="DM_WB_C9565_METADATA" w:val="&lt;ChapterMetadata&gt;&lt;ChapterId&gt;9565&lt;/ChapterId&gt;&lt;ChapterName&gt;Market risk - Currency risks&lt;/ChapterName&gt;&lt;ChapterNoOfPages&gt;-1&lt;/ChapterNoOfPages&gt;&lt;ChapterVersion&gt;14&lt;/ChapterVersion&gt;&lt;/ChapterMetadata&gt;"/>
    <w:docVar w:name="DM_WB_C9566_METADATA" w:val="&lt;ChapterMetadata&gt;&lt;ChapterId&gt;9566&lt;/ChapterId&gt;&lt;ChapterName&gt;Interest rate risk&lt;/ChapterName&gt;&lt;ChapterNoOfPages&gt;-1&lt;/ChapterNoOfPages&gt;&lt;ChapterVersion&gt;3&lt;/ChapterVersion&gt;&lt;/ChapterMetadata&gt;"/>
    <w:docVar w:name="DM_WB_C9567_METADATA" w:val="&lt;ChapterMetadata&gt;&lt;ChapterId&gt;9567&lt;/ChapterId&gt;&lt;ChapterName&gt;Credit risk&lt;/ChapterName&gt;&lt;ChapterNoOfPages&gt;-1&lt;/ChapterNoOfPages&gt;&lt;ChapterVersion&gt;10&lt;/ChapterVersion&gt;&lt;/ChapterMetadata&gt;"/>
    <w:docVar w:name="DM_WB_C9568_METADATA" w:val="&lt;ChapterMetadata&gt;&lt;ChapterId&gt;9568&lt;/ChapterId&gt;&lt;ChapterName&gt;Liquidity risk&lt;/ChapterName&gt;&lt;ChapterNoOfPages&gt;-1&lt;/ChapterNoOfPages&gt;&lt;ChapterVersion&gt;10&lt;/ChapterVersion&gt;&lt;/ChapterMetadata&gt;"/>
    <w:docVar w:name="DM_WB_C9577_METADATA" w:val="&lt;ChapterMetadata&gt;&lt;ChapterId&gt;9577&lt;/ChapterId&gt;&lt;ChapterName&gt;Called fund capital transfers between active EDFs&lt;/ChapterName&gt;&lt;ChapterNoOfPages&gt;-1&lt;/ChapterNoOfPages&gt;&lt;ChapterVersion&gt;11&lt;/ChapterVersion&gt;&lt;/ChapterMetadata&gt;"/>
    <w:docVar w:name="DM_WB_C9578_METADATA" w:val="&lt;ChapterMetadata&gt;&lt;ChapterId&gt;9578&lt;/ChapterId&gt;&lt;ChapterName&gt;Significant accounting policies (master ext. entities)&lt;/ChapterName&gt;&lt;ChapterNoOfPages&gt;-1&lt;/ChapterNoOfPages&gt;&lt;ChapterVersion&gt;7&lt;/ChapterVersion&gt;&lt;/ChapterMetadata&gt;"/>
    <w:docVar w:name="DM_WB_C9579_METADATA" w:val="&lt;ChapterMetadata&gt;&lt;ChapterId&gt;9579&lt;/ChapterId&gt;&lt;ChapterName&gt;Significant accounting policies (PART II)&lt;/ChapterName&gt;&lt;ChapterNoOfPages&gt;-1&lt;/ChapterNoOfPages&gt;&lt;ChapterVersion&gt;1&lt;/ChapterVersion&gt;&lt;/ChapterMetadata&gt;"/>
    <w:docVar w:name="DOC_TBL00001_1_1" w:val="|@|1|2057"/>
    <w:docVar w:name="DOC_TBL00001_1_2" w:val="|@|1|2057"/>
    <w:docVar w:name="DOC_TBL00001_1_3" w:val="|@|1|2057"/>
    <w:docVar w:name="DOC_TBL00001_1_4" w:val=" EUR millions|@|1|2057"/>
    <w:docVar w:name="DOC_TBL00001_10_1" w:val="Cash and cash equivalents |@|1|2057"/>
    <w:docVar w:name="DOC_TBL00001_10_2" w:val="2.4|@|1|2057"/>
    <w:docVar w:name="DOC_TBL00001_10_3" w:val="680.35649723|#\ ##0;\ \(#\ ##0\);\-|1|2057"/>
    <w:docVar w:name="DOC_TBL00001_10_4" w:val="503.78859781|#\ ##0;\ \(#\ ##0\);\-|1|2057"/>
    <w:docVar w:name="DOC_TBL00001_11_1" w:val="|@|1|2057"/>
    <w:docVar w:name="DOC_TBL00001_11_2" w:val="|@|1|2057"/>
    <w:docVar w:name="DOC_TBL00001_11_3" w:val="2184.25156371|#\ ##0;\ \(#\ ##0\);\-|1|2057"/>
    <w:docVar w:name="DOC_TBL00001_11_4" w:val="1819.52242685|#\ ##0;\ \(#\ ##0\);\-|1|2057"/>
    <w:docVar w:name="DOC_TBL00001_12_1" w:val="TOTAL ASSETS|@|1|2057"/>
    <w:docVar w:name="DOC_TBL00001_12_2" w:val="|@|1|2057"/>
    <w:docVar w:name="DOC_TBL00001_12_3" w:val="2690.91224868|#\ ##0;\ \(#\ ##0\);\-|1|2057"/>
    <w:docVar w:name="DOC_TBL00001_12_4" w:val="2369.73087648|#\ ##0;\ \(#\ ##0\);\-|1|2057"/>
    <w:docVar w:name="DOC_TBL00001_13_1" w:val="|@|1|2057"/>
    <w:docVar w:name="DOC_TBL00001_13_2" w:val="|@|1|2057"/>
    <w:docVar w:name="DOC_TBL00001_13_3" w:val="|#\ ##0;\ \(#\ ##0\);\-|1|2057"/>
    <w:docVar w:name="DOC_TBL00001_13_4" w:val="|#\ ##0;\ \(#\ ##0\);\-|1|2057"/>
    <w:docVar w:name="DOC_TBL00001_14_1" w:val="NON-CURRENT LIABILITIES|@|1|2057"/>
    <w:docVar w:name="DOC_TBL00001_14_2" w:val="|@|1|2057"/>
    <w:docVar w:name="DOC_TBL00001_14_3" w:val="|#\ ##0;\ \(#\ ##0\);\-|1|2057"/>
    <w:docVar w:name="DOC_TBL00001_14_4" w:val="|#\ ##0;\ \(#\ ##0\);\-|1|2057"/>
    <w:docVar w:name="DOC_TBL00001_15_1" w:val="Provisions|@|1|2057"/>
    <w:docVar w:name="DOC_TBL00001_15_2" w:val="2.5|@|1|2057"/>
    <w:docVar w:name="DOC_TBL00001_15_3" w:val="-3.88945|#\ ##0;\ \(#\ ##0\);\-|1|2057"/>
    <w:docVar w:name="DOC_TBL00001_15_4" w:val="-3.88945|#\ ##0;\ \(#\ ##0\);\-|1|2057"/>
    <w:docVar w:name="DOC_TBL00001_16_1" w:val="Financial liabilities|@|1|2057"/>
    <w:docVar w:name="DOC_TBL00001_16_2" w:val="2.6|@|1|2057"/>
    <w:docVar w:name="DOC_TBL00001_16_3" w:val="-5.91767917|#\ ##0;\ \(#\ ##0\);\-|1|2057"/>
    <w:docVar w:name="DOC_TBL00001_16_4" w:val="-10.32606165|#\ ##0;\ \(#\ ##0\);\-|1|2057"/>
    <w:docVar w:name="DOC_TBL00001_17_1" w:val="|@|1|2057"/>
    <w:docVar w:name="DOC_TBL00001_17_2" w:val="|@|1|2057"/>
    <w:docVar w:name="DOC_TBL00001_17_3" w:val="-9.80712917|#\ ##0;\ \(#\ ##0\);\-|1|2057"/>
    <w:docVar w:name="DOC_TBL00001_17_4" w:val="-14.21551165|#\ ##0;\ \(#\ ##0\);\-|1|2057"/>
    <w:docVar w:name="DOC_TBL00001_18_1" w:val="CURRENT LIABILITIES|@|1|2057"/>
    <w:docVar w:name="DOC_TBL00001_18_2" w:val="|@|1|2057"/>
    <w:docVar w:name="DOC_TBL00001_18_3" w:val="|#\ ##0;\ \(#\ ##0\);\-|1|2057"/>
    <w:docVar w:name="DOC_TBL00001_18_4" w:val="|#\ ##0;\ \(#\ ##0\);\-|1|2057"/>
    <w:docVar w:name="DOC_TBL00001_19_1" w:val="Payables|@|1|2057"/>
    <w:docVar w:name="DOC_TBL00001_19_2" w:val="2.7|@|1|2057"/>
    <w:docVar w:name="DOC_TBL00001_19_3" w:val="-548.70253132|#\ ##0;\ \(#\ ##0\);\-|1|2057"/>
    <w:docVar w:name="DOC_TBL00001_19_4" w:val="-520.22340666|#\ ##0;\ \(#\ ##0\);\-|1|2057"/>
    <w:docVar w:name="DOC_TBL00001_2_1" w:val="|@|1|2057"/>
    <w:docVar w:name="DOC_TBL00001_2_2" w:val="Note|@|1|2057"/>
    <w:docVar w:name="DOC_TBL00001_2_3" w:val="31.12.2016|@|1|2057"/>
    <w:docVar w:name="DOC_TBL00001_2_4" w:val="31.12.2015|@|1|2057"/>
    <w:docVar w:name="DOC_TBL00001_20_1" w:val="Accrued charges and deferred income|@|1|2057"/>
    <w:docVar w:name="DOC_TBL00001_20_2" w:val="2.8|@|1|2057"/>
    <w:docVar w:name="DOC_TBL00001_20_3" w:val="-775.65920623|#\ ##0;\ \(#\ ##0\);\-|1|2057"/>
    <w:docVar w:name="DOC_TBL00001_20_4" w:val="-855.29299879|#\ ##0;\ \(#\ ##0\);\-|1|2057"/>
    <w:docVar w:name="DOC_TBL00001_21_1" w:val="|@|1|2057"/>
    <w:docVar w:name="DOC_TBL00001_21_2" w:val="|@|1|2057"/>
    <w:docVar w:name="DOC_TBL00001_21_3" w:val="-1324.36173755|#\ ##0;\ \(#\ ##0\);\-|1|2057"/>
    <w:docVar w:name="DOC_TBL00001_21_4" w:val="-1375.51640545|#\ ##0;\ \(#\ ##0\);\-|1|2057"/>
    <w:docVar w:name="DOC_TBL00001_22_1" w:val="TOTAL LIABILITIES|@|1|2057"/>
    <w:docVar w:name="DOC_TBL00001_22_2" w:val="|@|1|2057"/>
    <w:docVar w:name="DOC_TBL00001_22_3" w:val="-1334.16886672|#\ ##0;\ \(#\ ##0\);\-|1|2057"/>
    <w:docVar w:name="DOC_TBL00001_22_4" w:val="-1389.2319171|#\ ##0;\ \(#\ ##0\);\-|1|2057"/>
    <w:docVar w:name="DOC_TBL00001_23_1" w:val="|@|1|2057"/>
    <w:docVar w:name="DOC_TBL00001_23_2" w:val="|@|1|2057"/>
    <w:docVar w:name="DOC_TBL00001_23_3" w:val="|#\ ##0;\ \(#\ ##0\);\-|1|2057"/>
    <w:docVar w:name="DOC_TBL00001_23_4" w:val="|#\ ##0;\ \(#\ ##0\);\-|1|2057"/>
    <w:docVar w:name="DOC_TBL00001_24_1" w:val="NET ASSETS|@|1|2057"/>
    <w:docVar w:name="DOC_TBL00001_24_2" w:val="|@|1|2057"/>
    <w:docVar w:name="DOC_TBL00001_24_3" w:val="1356.74338196|#\ ##0;\ \(#\ ##0\);\-|1|2057"/>
    <w:docVar w:name="DOC_TBL00001_24_4" w:val="980.49895938|#\ ##0;\ \(#\ ##0\);\-|1|2057"/>
    <w:docVar w:name="DOC_TBL00001_25_1" w:val="|@|1|2057"/>
    <w:docVar w:name="DOC_TBL00001_25_2" w:val="|@|1|2057"/>
    <w:docVar w:name="DOC_TBL00001_25_3" w:val="|#\ ##0;\ \(#\ ##0\);\-|1|2057"/>
    <w:docVar w:name="DOC_TBL00001_25_4" w:val="|#\ ##0;\ \(#\ ##0\);\-|1|2057"/>
    <w:docVar w:name="DOC_TBL00001_26_1" w:val="FUNDS &amp; RESERVES|@|1|2057"/>
    <w:docVar w:name="DOC_TBL00001_26_2" w:val="|@|1|2057"/>
    <w:docVar w:name="DOC_TBL00001_26_3" w:val="|#\ ##0;\ \(#\ ##0\);\-|1|2057"/>
    <w:docVar w:name="DOC_TBL00001_26_4" w:val="|#\ ##0;\ \(#\ ##0\);\-|1|2057"/>
    <w:docVar w:name="DOC_TBL00001_27_1" w:val="Called fund capital - active EDFs|@|1|2057"/>
    <w:docVar w:name="DOC_TBL00001_27_2" w:val="2.9|@|1|2057"/>
    <w:docVar w:name="DOC_TBL00001_27_3" w:val="42323.47421151|#\ ##0;\ \(#\ ##0\);\-|1|2057"/>
    <w:docVar w:name="DOC_TBL00001_27_4" w:val="38873.4742115|#\ ##0;\ \(#\ ##0\);\-|1|2057"/>
    <w:docVar w:name="DOC_TBL00001_28_1" w:val="Called fund capital from closed EDFs carried forward|@|1|2057"/>
    <w:docVar w:name="DOC_TBL00001_28_2" w:val="2.9|@|1|2057"/>
    <w:docVar w:name="DOC_TBL00001_28_3" w:val="2252.24974965|#\ ##0;\ \(#\ ##0\);\-|1|2057"/>
    <w:docVar w:name="DOC_TBL00001_28_4" w:val="2252.24974965|#\ ##0;\ \(#\ ##0\);\-|1|2057"/>
    <w:docVar w:name="DOC_TBL00001_29_1" w:val="Called fund capital transfers between active EDFs|@|1|2057"/>
    <w:docVar w:name="DOC_TBL00001_29_2" w:val="2.9|@|1|2057"/>
    <w:docVar w:name="DOC_TBL00001_29_3" w:val="0|#\ ##0;\ \(#\ ##0\);\-|1|2057"/>
    <w:docVar w:name="DOC_TBL00001_29_4" w:val="0|#\ ##0;\ \(#\ ##0\);\-|1|2057"/>
    <w:docVar w:name="DOC_TBL00001_3_1" w:val="NON-CURRENT ASSETS|@|1|2057"/>
    <w:docVar w:name="DOC_TBL00001_3_2" w:val="|@|1|2057"/>
    <w:docVar w:name="DOC_TBL00001_3_3" w:val="|@|1|2057"/>
    <w:docVar w:name="DOC_TBL00001_3_4" w:val="|@|1|2057"/>
    <w:docVar w:name="DOC_TBL00001_30_1" w:val="Economic result carried forward from previous years|@|1|2057"/>
    <w:docVar w:name="DOC_TBL00001_30_2" w:val="|@|1|2057"/>
    <w:docVar w:name="DOC_TBL00001_30_3" w:val="-40145.98219905|#\ ##0;\ \(#\ ##0\);\-|1|2057"/>
    <w:docVar w:name="DOC_TBL00001_30_4" w:val="-36994.19748085|#\ ##0;\ \(#\ ##0\);\-|1|2057"/>
    <w:docVar w:name="DOC_TBL00001_31_1" w:val="Economic result of the year|@|1|2057"/>
    <w:docVar w:name="DOC_TBL00001_31_2" w:val="|@|1|2057"/>
    <w:docVar w:name="DOC_TBL00001_31_3" w:val="-3072.99838015|#\ ##0;\ \(#\ ##0\);\-|1|2057"/>
    <w:docVar w:name="DOC_TBL00001_31_4" w:val="-3151.52752092|#\ ##0;\ \(#\ ##0\);\-|1|2057"/>
    <w:docVar w:name="DOC_TBL00001_32_1" w:val="NET ASSETS|@|1|2057"/>
    <w:docVar w:name="DOC_TBL00001_32_2" w:val="|@|1|2057"/>
    <w:docVar w:name="DOC_TBL00001_32_3" w:val="1356.74338196|#\ ##0;\ \(#\ ##0\);\-|1|2057"/>
    <w:docVar w:name="DOC_TBL00001_32_4" w:val="979.998959379996|#\ ##0;\ \(#\ ##0\);\-|1|2057"/>
    <w:docVar w:name="DOC_TBL00001_4_1" w:val="Pre-financing|@|1|2057"/>
    <w:docVar w:name="DOC_TBL00001_4_2" w:val="2.1|@|1|2057"/>
    <w:docVar w:name="DOC_TBL00001_4_3" w:val="408.80740749|#\ ##0;\ \(#\ ##0\);\-|1|2057"/>
    <w:docVar w:name="DOC_TBL00001_4_4" w:val="516.24189509|#\ ##0;\ \(#\ ##0\);\-|1|2057"/>
    <w:docVar w:name="DOC_TBL00001_5_1" w:val="Trust Fund contributions|@|1|2057"/>
    <w:docVar w:name="DOC_TBL00001_5_2" w:val="2.2|@|1|2057"/>
    <w:docVar w:name="DOC_TBL00001_5_3" w:val="97.85327748|#\ ##0;\ \(#\ ##0\);\-|1|2057"/>
    <w:docVar w:name="DOC_TBL00001_5_4" w:val="33.96655454|#\ ##0;\ \(#\ ##0\);\-|1|2057"/>
    <w:docVar w:name="DOC_TBL00001_6_1" w:val="|@|1|2057"/>
    <w:docVar w:name="DOC_TBL00001_6_2" w:val="|@|1|2057"/>
    <w:docVar w:name="DOC_TBL00001_6_3" w:val="506.66068497|#\ ##0;\ \(#\ ##0\);\-|1|2057"/>
    <w:docVar w:name="DOC_TBL00001_6_4" w:val="550.20844963|#\ ##0;\ \(#\ ##0\);\-|1|2057"/>
    <w:docVar w:name="DOC_TBL00001_7_1" w:val="CURRENT ASSETS|@|1|2057"/>
    <w:docVar w:name="DOC_TBL00001_7_2" w:val="|@|1|2057"/>
    <w:docVar w:name="DOC_TBL00001_7_3" w:val="|#\ ##0;\ \(#\ ##0\);\-|1|2057"/>
    <w:docVar w:name="DOC_TBL00001_7_4" w:val="|#\ ##0;\ \(#\ ##0\);\-|1|2057"/>
    <w:docVar w:name="DOC_TBL00001_8_1" w:val="Pre-financing|@|1|2057"/>
    <w:docVar w:name="DOC_TBL00001_8_2" w:val="2.1|@|1|2057"/>
    <w:docVar w:name="DOC_TBL00001_8_3" w:val="1371.73238715|#\ ##0;\ \(#\ ##0\);\-|1|2057"/>
    <w:docVar w:name="DOC_TBL00001_8_4" w:val="1144.74213936|#\ ##0;\ \(#\ ##0\);\-|1|2057"/>
    <w:docVar w:name="DOC_TBL00001_9_1" w:val="Exchange receivables and non-exchange recoverables|@|1|2057"/>
    <w:docVar w:name="DOC_TBL00001_9_2" w:val="2.3|@|1|2057"/>
    <w:docVar w:name="DOC_TBL00001_9_3" w:val="132.16267933|#\ ##0;\ \(#\ ##0\);\-|1|2057"/>
    <w:docVar w:name="DOC_TBL00001_9_4" w:val="170.99168968|#\ ##0;\ \(#\ ##0\);\-|1|2057"/>
    <w:docVar w:name="doc_tbl00003_1_1" w:val="|@|1|2057"/>
    <w:docVar w:name="doc_tbl00011_1_1" w:val="Currency|@|1|2057"/>
    <w:docVar w:name="doc_tbl00011_1_2" w:val="31.12.2016|@|1|2057"/>
    <w:docVar w:name="doc_tbl00011_1_3" w:val="31.12.2015|@|1|2057"/>
    <w:docVar w:name="doc_tbl00011_1_4" w:val="Currency|@|1|2057"/>
    <w:docVar w:name="doc_tbl00011_1_5" w:val="31.12.2016|@|1|2057"/>
    <w:docVar w:name="doc_tbl00011_1_6" w:val="31.12.2015|@|1|2057"/>
    <w:docVar w:name="doc_tbl00011_2_1" w:val="BGN|@|1|2057"/>
    <w:docVar w:name="doc_tbl00011_2_2" w:val="1.9558|@|1|2057"/>
    <w:docVar w:name="doc_tbl00011_2_3" w:val="1.9558|0.0000|1|2057"/>
    <w:docVar w:name="doc_tbl00011_2_4" w:val="PLN|@|1|2057"/>
    <w:docVar w:name="doc_tbl00011_2_5" w:val="4.4103|@|1|2057"/>
    <w:docVar w:name="doc_tbl00011_2_6" w:val="4.2639|0.0000|1|2057"/>
    <w:docVar w:name="doc_tbl00011_3_1" w:val="CZK|@|1|2057"/>
    <w:docVar w:name="doc_tbl00011_3_2" w:val="27.0210|@|1|2057"/>
    <w:docVar w:name="doc_tbl00011_3_3" w:val="27.023|0.0000|1|2057"/>
    <w:docVar w:name="doc_tbl00011_3_4" w:val="RON|@|1|2057"/>
    <w:docVar w:name="doc_tbl00011_3_5" w:val="4.5390|@|1|2057"/>
    <w:docVar w:name="doc_tbl00011_3_6" w:val="4.524|0.0000|1|2057"/>
    <w:docVar w:name="doc_tbl00011_4_1" w:val="DKK|@|1|2057"/>
    <w:docVar w:name="doc_tbl00011_4_2" w:val="7.4344|@|1|2057"/>
    <w:docVar w:name="doc_tbl00011_4_3" w:val="7.4626|0.0000|1|2057"/>
    <w:docVar w:name="doc_tbl00011_4_4" w:val="SEK|@|1|2057"/>
    <w:docVar w:name="doc_tbl00011_4_5" w:val="9.5525|@|1|2057"/>
    <w:docVar w:name="doc_tbl00011_4_6" w:val="9.1895|0.0000|1|2057"/>
    <w:docVar w:name="doc_tbl00011_5_1" w:val="GBP|@|1|2057"/>
    <w:docVar w:name="doc_tbl00011_5_2" w:val="0.8562|@|1|2057"/>
    <w:docVar w:name="doc_tbl00011_5_3" w:val="0.73395|0.0000|1|2057"/>
    <w:docVar w:name="doc_tbl00011_5_4" w:val="CHF|@|1|2057"/>
    <w:docVar w:name="doc_tbl00011_5_5" w:val="1.0739|@|1|2057"/>
    <w:docVar w:name="doc_tbl00011_5_6" w:val="1.0835|0.0000|1|2057"/>
    <w:docVar w:name="doc_tbl00011_6_1" w:val="HRK|@|1|2057"/>
    <w:docVar w:name="doc_tbl00011_6_2" w:val="7.5597|@|1|2057"/>
    <w:docVar w:name="doc_tbl00011_6_3" w:val="7.638|0.0000|1|2057"/>
    <w:docVar w:name="doc_tbl00011_6_4" w:val="JPY|@|1|2057"/>
    <w:docVar w:name="doc_tbl00011_6_5" w:val="123.4000|@|1|2057"/>
    <w:docVar w:name="doc_tbl00011_6_6" w:val="131.07|0.0000|1|2057"/>
    <w:docVar w:name="doc_tbl00011_7_1" w:val="HUF|@|1|2057"/>
    <w:docVar w:name="doc_tbl00011_7_2" w:val="309.8300|@|1|2057"/>
    <w:docVar w:name="doc_tbl00011_7_3" w:val="315.98|0.0000|1|2057"/>
    <w:docVar w:name="doc_tbl00011_7_4" w:val="USD|@|1|2057"/>
    <w:docVar w:name="doc_tbl00011_7_5" w:val="1.0541|@|1|2057"/>
    <w:docVar w:name="doc_tbl00011_7_6" w:val="1.0887|0.0000|1|2057"/>
    <w:docVar w:name="doc_tbl00022_1_1" w:val="|@|1|2057"/>
    <w:docVar w:name="doc_tbl00026_1_1" w:val="|@|1|2057"/>
    <w:docVar w:name="doc_tbl00028_1_1" w:val="|@|1|2057"/>
    <w:docVar w:name="doc_tbl00031_1_1" w:val="|@|1|2057"/>
    <w:docVar w:name="doc_tbl00039_1_1" w:val="|@|1|2057"/>
    <w:docVar w:name="doc_tbl00046_1_1" w:val="|@|1|2057"/>
    <w:docVar w:name="doc_tbl00047_1_1" w:val="|@|1|2057"/>
    <w:docVar w:name="doc_tbl00051_1_1" w:val="|@|1|2057"/>
    <w:docVar w:name="doc_tbl00052_1_1" w:val="|@|1|2057"/>
    <w:docVar w:name="doc_tbl00053_1_1" w:val="|@|1|2057"/>
    <w:docVar w:name="doc_tbl00054_1_1" w:val="|@|1|2057"/>
    <w:docVar w:name="doc_tbl00055_1_1" w:val="|@|1|2057"/>
    <w:docVar w:name="doc_tbl00056_1_1" w:val="|@|1|2057"/>
    <w:docVar w:name="doc_tbl00057_1_1" w:val="|@|1|2057"/>
    <w:docVar w:name="doc_tbl00058_1_1" w:val="|@|1|2057"/>
    <w:docVar w:name="DocStatus" w:val="Green"/>
    <w:docVar w:name="LW_CONFIDENCE" w:val=" "/>
    <w:docVar w:name="LW_CONST_RESTREINT_UE" w:val="RESTREINT UE/EU RESTRICTED"/>
    <w:docVar w:name="LW_CORRIGENDUM" w:val="CORRIGENDUM_x000b_This document corrects document COM(2017) 364 final of 26.6.2017._x000b_Concerns the DE language version._x000b_[Two omissions in line headings of the STATEMENT OF CASH FLOWS and of table 4.1 were added, one typo in line heading of table 4.1 corrected, plus dates in the table under section 3.3.2 corrected twice]._x000b_The text shall read as follows:"/>
    <w:docVar w:name="LW_COVERPAGE_GUID" w:val="5EC9EB2C828148F7BD91741413E44922"/>
    <w:docVar w:name="LW_CROSSREFERENCE" w:val="&lt;UNUSED&gt;"/>
    <w:docVar w:name="LW_DocType" w:val="TEMPLATE_EDF_2014_VERTICAL"/>
    <w:docVar w:name="LW_EMISSION" w:val="27.9.2017"/>
    <w:docVar w:name="LW_EMISSION_ISODATE" w:val="2017-09-27"/>
    <w:docVar w:name="LW_EMISSION_LOCATION" w:val="BRX"/>
    <w:docVar w:name="LW_EMISSION_PREFIX" w:val="Brüssel, den "/>
    <w:docVar w:name="LW_EMISSION_SUFFIX" w:val=" "/>
    <w:docVar w:name="LW_ID_DOCTYPE_NONLW" w:val="CP-009"/>
    <w:docVar w:name="LW_LANGUE" w:val="DE"/>
    <w:docVar w:name="LW_MARKING" w:val="&lt;UNUSED&gt;"/>
    <w:docVar w:name="LW_NOM.INST" w:val="EUROPÄISCHE KOMMISSION"/>
    <w:docVar w:name="LW_NOM.INST_JOINTDOC" w:val="&lt;EMPTY&gt;"/>
    <w:docVar w:name="LW_PART_NBR" w:val="1"/>
    <w:docVar w:name="LW_PART_NBR_TOTAL" w:val="1"/>
    <w:docVar w:name="LW_REF.INST.NEW" w:val="COM"/>
    <w:docVar w:name="LW_REF.INST.NEW_ADOPTED" w:val="final/2"/>
    <w:docVar w:name="LW_REF.INST.NEW_TEXT" w:val="(2017) 364"/>
    <w:docVar w:name="LW_REF.INTERNE" w:val="&lt;UNUSED&gt;"/>
    <w:docVar w:name="LW_SOUS.TITRE.OBJ.CP" w:val="&lt;UNUSED&gt;"/>
    <w:docVar w:name="LW_SUPERTITRE" w:val="&lt;UNUSED&gt;"/>
    <w:docVar w:name="LW_TITRE.OBJ.CP" w:val="JAHRESRECHNUNGEN DES EUROPÄISCHEN ENTWICKLULNGSFONDS 2016"/>
    <w:docVar w:name="LW_TYPE.DOC.CP" w:val="MITTEILUNG DER KOMMISSION"/>
    <w:docVar w:name="LW_TYPE.DOC.CP.USERTEXT" w:val="AN DAS EUROPÄISCHE PARLAMENT, DEN RAT UND DEN RECHNUNGSHOF_x000b_"/>
  </w:docVars>
  <w:rsids>
    <w:rsidRoot w:val="001609E3"/>
    <w:rsid w:val="001609E3"/>
    <w:rsid w:val="00E45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de-DE"/>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de-DE"/>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de-DE"/>
    </w:rPr>
  </w:style>
  <w:style w:type="character" w:customStyle="1" w:styleId="Heading1Char">
    <w:name w:val="Heading 1 Char"/>
    <w:link w:val="Heading1"/>
    <w:rPr>
      <w:rFonts w:ascii="Cambria" w:eastAsia="Times New Roman" w:hAnsi="Cambria" w:cs="Times New Roman"/>
      <w:b/>
      <w:bCs/>
      <w:color w:val="365F91"/>
      <w:sz w:val="28"/>
      <w:szCs w:val="28"/>
      <w:lang w:eastAsia="de-DE"/>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styleId="FootnoteText">
    <w:name w:val="footnote text"/>
    <w:basedOn w:val="Normal"/>
    <w:link w:val="FootnoteTextChar"/>
    <w:semiHidden/>
    <w:pPr>
      <w:ind w:left="720" w:hanging="720"/>
      <w:jc w:val="both"/>
    </w:pPr>
    <w:rPr>
      <w:sz w:val="20"/>
      <w:szCs w:val="20"/>
    </w:rPr>
  </w:style>
  <w:style w:type="character" w:customStyle="1" w:styleId="FootnoteTextChar">
    <w:name w:val="Footnote Text Char"/>
    <w:link w:val="FootnoteText"/>
    <w:semiHidden/>
    <w:rPr>
      <w:rFonts w:ascii="Times New Roman" w:hAnsi="Times New Roman"/>
    </w:rPr>
  </w:style>
  <w:style w:type="paragraph" w:styleId="TOC3">
    <w:name w:val="toc 3"/>
    <w:basedOn w:val="Normal"/>
    <w:next w:val="Normal"/>
    <w:autoRedefine/>
    <w:uiPriority w:val="39"/>
    <w:unhideWhenUsed/>
    <w:pPr>
      <w:spacing w:after="100"/>
      <w:ind w:left="480"/>
    </w:p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BoldLeft">
    <w:name w:val="Text_9p_ItalicBold_Left"/>
    <w:qFormat/>
    <w:rPr>
      <w:rFonts w:ascii="Verdana" w:eastAsia="Calibri" w:hAnsi="Verdana"/>
      <w:b/>
      <w:i/>
      <w:noProof/>
      <w:sz w:val="18"/>
      <w:szCs w:val="18"/>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Heading7pNormalRight01">
    <w:name w:val="Heading_7p_Normal_Right_0.1"/>
    <w:qFormat/>
    <w:pPr>
      <w:ind w:right="57"/>
      <w:jc w:val="right"/>
    </w:pPr>
    <w:rPr>
      <w:rFonts w:ascii="Verdana" w:hAnsi="Verdana" w:cs="Calibri"/>
      <w:bCs/>
      <w:color w:val="FFFFFF"/>
      <w:sz w:val="14"/>
      <w:szCs w:val="22"/>
    </w:rPr>
  </w:style>
  <w:style w:type="paragraph" w:customStyle="1" w:styleId="Text7pBoldLeft">
    <w:name w:val="Text_7p_Bold_Left"/>
    <w:qFormat/>
    <w:rPr>
      <w:rFonts w:ascii="Verdana" w:eastAsia="Calibri" w:hAnsi="Verdana"/>
      <w:b/>
      <w:noProof/>
      <w:sz w:val="14"/>
      <w:szCs w:val="18"/>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Text7pItalicLeft">
    <w:name w:val="Text_7p_Italic_Left"/>
    <w:qFormat/>
    <w:rPr>
      <w:rFonts w:ascii="Verdana" w:eastAsia="Calibri" w:hAnsi="Verdana"/>
      <w:bCs/>
      <w:i/>
      <w:noProof/>
      <w:sz w:val="14"/>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9pItalicLeft025">
    <w:name w:val="Text_9p_Italic_Left_0.25"/>
    <w:basedOn w:val="Text9pItalicLeft"/>
    <w:qFormat/>
    <w:pPr>
      <w:ind w:left="142"/>
    </w:p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Heading10pNormalCentered">
    <w:name w:val="Heading_10p_Normal_Centered"/>
    <w:qFormat/>
    <w:pPr>
      <w:jc w:val="center"/>
    </w:pPr>
    <w:rPr>
      <w:rFonts w:ascii="Verdana" w:eastAsia="Calibri" w:hAnsi="Verdana"/>
      <w:noProof/>
      <w:color w:val="FFFFFF"/>
      <w:szCs w:val="30"/>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BoldLeft025">
    <w:name w:val="Text_9p_Bold_Left_0.25"/>
    <w:qFormat/>
    <w:pPr>
      <w:ind w:left="142"/>
    </w:pPr>
    <w:rPr>
      <w:rFonts w:ascii="Verdana" w:eastAsia="Calibri" w:hAnsi="Verdana"/>
      <w:b/>
      <w:noProof/>
      <w:sz w:val="18"/>
      <w:szCs w:val="18"/>
    </w:rPr>
  </w:style>
  <w:style w:type="paragraph" w:customStyle="1" w:styleId="Figures9pItalicCentered">
    <w:name w:val="Figures_9p_Italic_Centered"/>
    <w:qFormat/>
    <w:pPr>
      <w:jc w:val="center"/>
    </w:pPr>
    <w:rPr>
      <w:rFonts w:ascii="Verdana" w:eastAsia="Calibri" w:hAnsi="Verdana"/>
      <w:i/>
      <w:noProof/>
      <w:sz w:val="18"/>
      <w:szCs w:val="18"/>
    </w:rPr>
  </w:style>
  <w:style w:type="paragraph" w:customStyle="1" w:styleId="DGTextstand-alone">
    <w:name w:val="DG_Text_stand-alone"/>
    <w:link w:val="DGTextstand-aloneChar"/>
    <w:pPr>
      <w:spacing w:before="240" w:after="240"/>
      <w:jc w:val="both"/>
    </w:pPr>
    <w:rPr>
      <w:rFonts w:ascii="Verdana" w:eastAsia="Calibri" w:hAnsi="Verdana"/>
      <w:noProof/>
      <w:sz w:val="18"/>
      <w:szCs w:val="18"/>
    </w:rPr>
  </w:style>
  <w:style w:type="character" w:customStyle="1" w:styleId="DGTextstand-aloneChar">
    <w:name w:val="DG_Text_stand-alone Char"/>
    <w:link w:val="DGTextstand-alone"/>
    <w:locked/>
    <w:rPr>
      <w:rFonts w:ascii="Verdana" w:eastAsia="Calibri" w:hAnsi="Verdana"/>
      <w:noProof/>
      <w:sz w:val="18"/>
      <w:szCs w:val="18"/>
      <w:lang w:eastAsia="de-DE"/>
    </w:rPr>
  </w:style>
  <w:style w:type="paragraph" w:customStyle="1" w:styleId="Heading9pNormalLeft">
    <w:name w:val="Heading_9p_Normal_Left"/>
    <w:basedOn w:val="Heading9pNormalCentered"/>
    <w:qFormat/>
    <w:pPr>
      <w:jc w:val="left"/>
    </w:pPr>
  </w:style>
  <w:style w:type="paragraph" w:customStyle="1" w:styleId="Text9pItalicLeftIndented">
    <w:name w:val="Text_9p_Italic_LeftIndented"/>
    <w:qFormat/>
    <w:pPr>
      <w:ind w:left="720"/>
    </w:pPr>
    <w:rPr>
      <w:rFonts w:ascii="Verdana" w:eastAsia="Calibri" w:hAnsi="Verdana"/>
      <w:i/>
      <w:noProof/>
      <w:sz w:val="18"/>
      <w:szCs w:val="18"/>
    </w:rPr>
  </w:style>
  <w:style w:type="paragraph" w:customStyle="1" w:styleId="Text7pItalicRight025">
    <w:name w:val="Text_7p_Italic_Right_0.25"/>
    <w:basedOn w:val="Text8pItalicRight025EUR"/>
    <w:qFormat/>
    <w:rPr>
      <w:sz w:val="14"/>
    </w:rPr>
  </w:style>
  <w:style w:type="paragraph" w:customStyle="1" w:styleId="Heading-9pNormalCentered">
    <w:name w:val="Heading-9p_Normal_Centered"/>
    <w:basedOn w:val="Heading10pNormalCentered"/>
    <w:qFormat/>
    <w:rPr>
      <w:sz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jc w:val="center"/>
    </w:pPr>
    <w:rPr>
      <w:rFonts w:ascii="Verdana" w:eastAsia="Calibri" w:hAnsi="Verdana"/>
      <w:b/>
      <w:noProof/>
      <w:sz w:val="18"/>
      <w:szCs w:val="18"/>
    </w:rPr>
  </w:style>
  <w:style w:type="paragraph" w:customStyle="1" w:styleId="Text8pNormalLeft">
    <w:name w:val="Text_8p_Normal_Left"/>
    <w:qFormat/>
    <w:pPr>
      <w:ind w:left="34"/>
    </w:pPr>
    <w:rPr>
      <w:rFonts w:ascii="Verdana" w:eastAsia="Calibri" w:hAnsi="Verdana"/>
      <w:bCs/>
      <w:sz w:val="16"/>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rPr>
      <w:rFonts w:ascii="Verdana" w:eastAsia="Calibri" w:hAnsi="Verdana"/>
      <w:b/>
      <w:noProof/>
      <w:sz w:val="14"/>
      <w:szCs w:val="18"/>
    </w:rPr>
  </w:style>
  <w:style w:type="paragraph" w:customStyle="1" w:styleId="ListBullet1">
    <w:name w:val="List Bullet 1"/>
    <w:basedOn w:val="Normal"/>
    <w:pPr>
      <w:numPr>
        <w:numId w:val="21"/>
      </w:numPr>
      <w:spacing w:before="120" w:after="120"/>
      <w:jc w:val="both"/>
    </w:pPr>
  </w:style>
  <w:style w:type="paragraph" w:customStyle="1" w:styleId="Text1">
    <w:name w:val="Text 1"/>
    <w:basedOn w:val="Normal"/>
    <w:pPr>
      <w:spacing w:before="120" w:after="120"/>
      <w:jc w:val="both"/>
    </w:p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rPr>
  </w:style>
  <w:style w:type="character" w:customStyle="1" w:styleId="HeaderChar0">
    <w:name w:val="Header Char_0"/>
    <w:link w:val="Header0"/>
    <w:rPr>
      <w:sz w:val="24"/>
      <w:szCs w:val="24"/>
      <w:lang w:val="de-DE" w:eastAsia="de-DE" w:bidi="de-DE"/>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szCs w:val="20"/>
    </w:rPr>
  </w:style>
  <w:style w:type="character" w:customStyle="1" w:styleId="NotesChar0">
    <w:name w:val="Notes Char_0"/>
    <w:link w:val="Notes0"/>
    <w:rPr>
      <w:rFonts w:ascii="Arial" w:hAnsi="Arial"/>
      <w:b/>
      <w:szCs w:val="24"/>
      <w:lang w:val="de-DE" w:eastAsia="de-DE"/>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rPr>
  </w:style>
  <w:style w:type="character" w:customStyle="1" w:styleId="HeaderChar1">
    <w:name w:val="Header Char_1"/>
    <w:link w:val="Header1"/>
    <w:rPr>
      <w:sz w:val="24"/>
      <w:szCs w:val="24"/>
      <w:lang w:val="de-DE" w:eastAsia="de-DE" w:bidi="de-DE"/>
    </w:rPr>
  </w:style>
  <w:style w:type="character" w:customStyle="1" w:styleId="NotesChar1">
    <w:name w:val="Notes Char_1"/>
    <w:link w:val="Notes1"/>
    <w:rPr>
      <w:rFonts w:ascii="Arial" w:hAnsi="Arial"/>
      <w:b/>
      <w:szCs w:val="24"/>
      <w:lang w:val="de-DE" w:eastAsia="de-DE"/>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ListParagraph0">
    <w:name w:val="List Paragraph_0"/>
    <w:basedOn w:val="Normal2"/>
    <w:uiPriority w:val="34"/>
    <w:qFormat/>
    <w:pPr>
      <w:ind w:left="720"/>
      <w:contextualSpacing/>
    </w:pPr>
  </w:style>
  <w:style w:type="paragraph" w:customStyle="1" w:styleId="Title1110">
    <w:name w:val="Title 1.1.1_0"/>
    <w:basedOn w:val="Notes1"/>
    <w:link w:val="Title111Char0"/>
    <w:pPr>
      <w:numPr>
        <w:ilvl w:val="2"/>
        <w:numId w:val="32"/>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de-DE"/>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rPr>
  </w:style>
  <w:style w:type="character" w:customStyle="1" w:styleId="HeaderChar2">
    <w:name w:val="Header Char_2"/>
    <w:link w:val="Header2"/>
    <w:rPr>
      <w:sz w:val="24"/>
      <w:szCs w:val="24"/>
      <w:lang w:val="de-DE" w:eastAsia="de-DE" w:bidi="de-DE"/>
    </w:rPr>
  </w:style>
  <w:style w:type="character" w:customStyle="1" w:styleId="NotesChar2">
    <w:name w:val="Notes Char_2"/>
    <w:link w:val="Notes2"/>
    <w:rPr>
      <w:rFonts w:ascii="Arial" w:hAnsi="Arial"/>
      <w:b/>
      <w:szCs w:val="24"/>
      <w:lang w:val="de-DE" w:eastAsia="de-DE"/>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sz w:val="24"/>
      <w:szCs w:val="24"/>
    </w:rPr>
  </w:style>
  <w:style w:type="character" w:customStyle="1" w:styleId="HeaderChar3">
    <w:name w:val="Header Char_3"/>
    <w:link w:val="Header3"/>
    <w:rPr>
      <w:sz w:val="24"/>
      <w:szCs w:val="24"/>
      <w:lang w:val="de-DE" w:eastAsia="de-DE" w:bidi="de-DE"/>
    </w:rPr>
  </w:style>
  <w:style w:type="character" w:customStyle="1" w:styleId="NotesChar3">
    <w:name w:val="Notes Char_3"/>
    <w:link w:val="Notes3"/>
    <w:rPr>
      <w:rFonts w:ascii="Arial" w:hAnsi="Arial"/>
      <w:b/>
      <w:szCs w:val="24"/>
      <w:lang w:val="de-DE" w:eastAsia="de-DE"/>
    </w:rPr>
  </w:style>
  <w:style w:type="character" w:customStyle="1" w:styleId="Title111Char1">
    <w:name w:val="Title 1.1.1 Char_1"/>
    <w:link w:val="Title1111"/>
    <w:rPr>
      <w:rFonts w:ascii="Arial" w:hAnsi="Arial"/>
      <w:lang w:eastAsia="de-DE"/>
    </w:rPr>
  </w:style>
  <w:style w:type="paragraph" w:customStyle="1" w:styleId="Title1111">
    <w:name w:val="Title 1.1.1_1"/>
    <w:basedOn w:val="Notes3"/>
    <w:link w:val="Title111Char1"/>
    <w:pPr>
      <w:numPr>
        <w:ilvl w:val="2"/>
        <w:numId w:val="42"/>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44"/>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4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szCs w:val="20"/>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rPr>
  </w:style>
  <w:style w:type="character" w:customStyle="1" w:styleId="HeaderChar4">
    <w:name w:val="Header Char_4"/>
    <w:link w:val="Header4"/>
    <w:rPr>
      <w:sz w:val="24"/>
      <w:szCs w:val="24"/>
      <w:lang w:val="de-DE" w:eastAsia="de-DE" w:bidi="de-DE"/>
    </w:rPr>
  </w:style>
  <w:style w:type="character" w:customStyle="1" w:styleId="NotesChar4">
    <w:name w:val="Notes Char_4"/>
    <w:link w:val="Notes4"/>
    <w:rPr>
      <w:rFonts w:ascii="Arial" w:hAnsi="Arial"/>
      <w:b/>
      <w:szCs w:val="24"/>
      <w:lang w:val="de-DE" w:eastAsia="de-DE"/>
    </w:rPr>
  </w:style>
  <w:style w:type="paragraph" w:customStyle="1" w:styleId="Normal6">
    <w:name w:val="Normal_6"/>
    <w:qFormat/>
    <w:pPr>
      <w:suppressAutoHyphens/>
    </w:pPr>
    <w:rPr>
      <w:sz w:val="24"/>
      <w:szCs w:val="24"/>
    </w:rPr>
  </w:style>
  <w:style w:type="paragraph" w:customStyle="1" w:styleId="Title3211">
    <w:name w:val="Title 3.2.1._1"/>
    <w:basedOn w:val="Notes5"/>
    <w:pPr>
      <w:numPr>
        <w:ilvl w:val="2"/>
        <w:numId w:val="46"/>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4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Pr>
      <w:sz w:val="24"/>
      <w:szCs w:val="24"/>
      <w:lang w:val="de-DE" w:eastAsia="de-DE" w:bidi="de-DE"/>
    </w:rPr>
  </w:style>
  <w:style w:type="character" w:customStyle="1" w:styleId="NotesChar5">
    <w:name w:val="Notes Char_5"/>
    <w:link w:val="Notes5"/>
    <w:rPr>
      <w:rFonts w:ascii="Arial" w:hAnsi="Arial"/>
      <w:b/>
      <w:szCs w:val="24"/>
      <w:lang w:val="de-DE" w:eastAsia="de-DE"/>
    </w:rPr>
  </w:style>
  <w:style w:type="paragraph" w:customStyle="1" w:styleId="Listi0">
    <w:name w:val="List i)_0"/>
    <w:basedOn w:val="Normal6"/>
    <w:next w:val="Normal6"/>
    <w:pPr>
      <w:keepNext/>
      <w:numPr>
        <w:numId w:val="50"/>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numPr>
        <w:ilvl w:val="1"/>
      </w:numPr>
      <w:tabs>
        <w:tab w:val="clear" w:pos="4320"/>
        <w:tab w:val="clear" w:pos="8640"/>
        <w:tab w:val="right" w:pos="-2700"/>
        <w:tab w:val="right" w:pos="720"/>
      </w:tabs>
      <w:spacing w:before="0" w:after="0"/>
    </w:pPr>
    <w:rPr>
      <w:b w:val="0"/>
      <w:szCs w:val="2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rPr>
  </w:style>
  <w:style w:type="character" w:customStyle="1" w:styleId="HeaderChar6">
    <w:name w:val="Header Char_6"/>
    <w:link w:val="Header6"/>
    <w:rPr>
      <w:sz w:val="24"/>
      <w:szCs w:val="24"/>
      <w:lang w:val="de-DE" w:eastAsia="de-DE" w:bidi="de-DE"/>
    </w:rPr>
  </w:style>
  <w:style w:type="character" w:customStyle="1" w:styleId="NotesChar6">
    <w:name w:val="Notes Char_6"/>
    <w:link w:val="Notes6"/>
    <w:rPr>
      <w:rFonts w:ascii="Arial" w:hAnsi="Arial"/>
      <w:b/>
      <w:szCs w:val="24"/>
      <w:lang w:val="de-DE" w:eastAsia="de-DE"/>
    </w:rPr>
  </w:style>
  <w:style w:type="paragraph" w:customStyle="1" w:styleId="Notes7">
    <w:name w:val="Notes_7"/>
    <w:basedOn w:val="Header7"/>
    <w:link w:val="NotesChar7"/>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rPr>
  </w:style>
  <w:style w:type="character" w:customStyle="1" w:styleId="HeaderChar7">
    <w:name w:val="Header Char_7"/>
    <w:link w:val="Header7"/>
    <w:rPr>
      <w:sz w:val="24"/>
      <w:szCs w:val="24"/>
      <w:lang w:val="de-DE" w:eastAsia="de-DE" w:bidi="de-DE"/>
    </w:rPr>
  </w:style>
  <w:style w:type="character" w:customStyle="1" w:styleId="NotesChar7">
    <w:name w:val="Notes Char_7"/>
    <w:link w:val="Notes7"/>
    <w:rPr>
      <w:rFonts w:ascii="Arial" w:hAnsi="Arial"/>
      <w:b/>
      <w:szCs w:val="24"/>
      <w:lang w:val="de-DE" w:eastAsia="de-DE"/>
    </w:rPr>
  </w:style>
  <w:style w:type="paragraph" w:customStyle="1" w:styleId="Notes8">
    <w:name w:val="Notes_8"/>
    <w:basedOn w:val="Header8"/>
    <w:link w:val="NotesChar8"/>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szCs w:val="20"/>
    </w:rPr>
  </w:style>
  <w:style w:type="paragraph" w:customStyle="1" w:styleId="Header8">
    <w:name w:val="Header_8"/>
    <w:basedOn w:val="Normal10"/>
    <w:link w:val="HeaderChar8"/>
    <w:pPr>
      <w:tabs>
        <w:tab w:val="center" w:pos="4153"/>
        <w:tab w:val="right" w:pos="8306"/>
      </w:tabs>
    </w:pPr>
  </w:style>
  <w:style w:type="paragraph" w:customStyle="1" w:styleId="Normal10">
    <w:name w:val="Normal_10"/>
    <w:qFormat/>
    <w:pPr>
      <w:suppressAutoHyphens/>
    </w:pPr>
    <w:rPr>
      <w:sz w:val="24"/>
      <w:szCs w:val="24"/>
    </w:rPr>
  </w:style>
  <w:style w:type="character" w:customStyle="1" w:styleId="HeaderChar8">
    <w:name w:val="Header Char_8"/>
    <w:link w:val="Header8"/>
    <w:rPr>
      <w:sz w:val="24"/>
      <w:szCs w:val="24"/>
      <w:lang w:val="de-DE" w:eastAsia="de-DE" w:bidi="de-DE"/>
    </w:rPr>
  </w:style>
  <w:style w:type="character" w:customStyle="1" w:styleId="NotesChar8">
    <w:name w:val="Notes Char_8"/>
    <w:link w:val="Notes8"/>
    <w:rPr>
      <w:rFonts w:ascii="Arial" w:hAnsi="Arial"/>
      <w:b/>
      <w:szCs w:val="24"/>
      <w:lang w:val="de-DE" w:eastAsia="de-DE"/>
    </w:rPr>
  </w:style>
  <w:style w:type="paragraph" w:customStyle="1" w:styleId="Notes9">
    <w:name w:val="Notes_9"/>
    <w:basedOn w:val="Header9"/>
    <w:link w:val="NotesChar9"/>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rPr>
  </w:style>
  <w:style w:type="character" w:customStyle="1" w:styleId="HeaderChar9">
    <w:name w:val="Header Char_9"/>
    <w:link w:val="Header9"/>
    <w:rPr>
      <w:sz w:val="24"/>
      <w:szCs w:val="24"/>
      <w:lang w:val="de-DE" w:eastAsia="de-DE" w:bidi="de-DE"/>
    </w:rPr>
  </w:style>
  <w:style w:type="character" w:customStyle="1" w:styleId="NotesChar9">
    <w:name w:val="Notes Char_9"/>
    <w:link w:val="Notes9"/>
    <w:rPr>
      <w:rFonts w:ascii="Arial" w:hAnsi="Arial"/>
      <w:b/>
      <w:szCs w:val="24"/>
      <w:lang w:val="de-DE" w:eastAsia="de-DE"/>
    </w:rPr>
  </w:style>
  <w:style w:type="paragraph" w:customStyle="1" w:styleId="Notes10">
    <w:name w:val="Notes_10"/>
    <w:basedOn w:val="Header10"/>
    <w:link w:val="NotesChar10"/>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rPr>
  </w:style>
  <w:style w:type="character" w:customStyle="1" w:styleId="HeaderChar10">
    <w:name w:val="Header Char_10"/>
    <w:link w:val="Header10"/>
    <w:rPr>
      <w:sz w:val="24"/>
      <w:szCs w:val="24"/>
      <w:lang w:val="de-DE" w:eastAsia="de-DE" w:bidi="de-DE"/>
    </w:rPr>
  </w:style>
  <w:style w:type="character" w:customStyle="1" w:styleId="NotesChar10">
    <w:name w:val="Notes Char_10"/>
    <w:link w:val="Notes10"/>
    <w:rPr>
      <w:rFonts w:ascii="Arial" w:hAnsi="Arial"/>
      <w:b/>
      <w:szCs w:val="24"/>
      <w:lang w:val="de-DE" w:eastAsia="de-DE"/>
    </w:rPr>
  </w:style>
  <w:style w:type="paragraph" w:customStyle="1" w:styleId="Notes11">
    <w:name w:val="Notes_11"/>
    <w:basedOn w:val="Header11"/>
    <w:link w:val="NotesChar11"/>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rPr>
  </w:style>
  <w:style w:type="character" w:customStyle="1" w:styleId="HeaderChar11">
    <w:name w:val="Header Char_11"/>
    <w:link w:val="Header11"/>
    <w:rPr>
      <w:sz w:val="24"/>
      <w:szCs w:val="24"/>
      <w:lang w:val="de-DE" w:eastAsia="de-DE" w:bidi="de-DE"/>
    </w:rPr>
  </w:style>
  <w:style w:type="character" w:customStyle="1" w:styleId="NotesChar11">
    <w:name w:val="Notes Char_11"/>
    <w:link w:val="Notes11"/>
    <w:rPr>
      <w:rFonts w:ascii="Arial" w:hAnsi="Arial"/>
      <w:b/>
      <w:szCs w:val="24"/>
      <w:lang w:val="de-DE" w:eastAsia="de-DE"/>
    </w:rPr>
  </w:style>
  <w:style w:type="paragraph" w:customStyle="1" w:styleId="Title3212">
    <w:name w:val="Title 3.2.1._2"/>
    <w:basedOn w:val="Notes12"/>
    <w:pPr>
      <w:numPr>
        <w:ilvl w:val="2"/>
        <w:numId w:val="63"/>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6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2700"/>
        <w:tab w:val="right" w:pos="720"/>
      </w:tabs>
      <w:spacing w:before="0" w:after="0"/>
    </w:pPr>
    <w:rPr>
      <w:b w:val="0"/>
      <w:szCs w:val="2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sz w:val="24"/>
      <w:szCs w:val="24"/>
    </w:rPr>
  </w:style>
  <w:style w:type="character" w:customStyle="1" w:styleId="HeaderChar12">
    <w:name w:val="Header Char_12"/>
    <w:link w:val="Header12"/>
    <w:rPr>
      <w:sz w:val="24"/>
      <w:szCs w:val="24"/>
      <w:lang w:val="de-DE" w:eastAsia="de-DE" w:bidi="de-DE"/>
    </w:rPr>
  </w:style>
  <w:style w:type="character" w:customStyle="1" w:styleId="NotesChar12">
    <w:name w:val="Notes Char_12"/>
    <w:link w:val="Notes12"/>
    <w:rPr>
      <w:rFonts w:ascii="Arial" w:hAnsi="Arial"/>
      <w:b/>
      <w:szCs w:val="24"/>
      <w:lang w:val="de-DE" w:eastAsia="de-DE"/>
    </w:rPr>
  </w:style>
  <w:style w:type="paragraph" w:customStyle="1" w:styleId="Normal15">
    <w:name w:val="Normal_15"/>
    <w:qFormat/>
    <w:pPr>
      <w:suppressAutoHyphens/>
    </w:pPr>
    <w:rPr>
      <w:sz w:val="24"/>
      <w:szCs w:val="24"/>
    </w:rPr>
  </w:style>
  <w:style w:type="paragraph" w:customStyle="1" w:styleId="Notes13">
    <w:name w:val="Notes_13"/>
    <w:basedOn w:val="Header13"/>
    <w:link w:val="NotesChar13"/>
    <w:pPr>
      <w:numPr>
        <w:numId w:val="6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sz w:val="24"/>
      <w:szCs w:val="24"/>
      <w:lang w:val="de-DE" w:eastAsia="de-DE" w:bidi="de-DE"/>
    </w:rPr>
  </w:style>
  <w:style w:type="character" w:customStyle="1" w:styleId="NotesChar13">
    <w:name w:val="Notes Char_13"/>
    <w:link w:val="Notes13"/>
    <w:rPr>
      <w:rFonts w:ascii="Arial" w:hAnsi="Arial"/>
      <w:b/>
      <w:szCs w:val="24"/>
      <w:lang w:val="de-DE" w:eastAsia="de-DE"/>
    </w:rPr>
  </w:style>
  <w:style w:type="paragraph" w:customStyle="1" w:styleId="Notes14">
    <w:name w:val="Notes_14"/>
    <w:basedOn w:val="Header14"/>
    <w:link w:val="NotesChar14"/>
    <w:pPr>
      <w:numPr>
        <w:numId w:val="6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sz w:val="24"/>
      <w:szCs w:val="24"/>
    </w:rPr>
  </w:style>
  <w:style w:type="character" w:customStyle="1" w:styleId="HeaderChar14">
    <w:name w:val="Header Char_14"/>
    <w:link w:val="Header14"/>
    <w:rPr>
      <w:sz w:val="24"/>
      <w:szCs w:val="24"/>
      <w:lang w:val="de-DE" w:eastAsia="de-DE" w:bidi="de-DE"/>
    </w:rPr>
  </w:style>
  <w:style w:type="character" w:customStyle="1" w:styleId="NotesChar14">
    <w:name w:val="Notes Char_14"/>
    <w:link w:val="Notes14"/>
    <w:rPr>
      <w:rFonts w:ascii="Arial" w:hAnsi="Arial"/>
      <w:b/>
      <w:szCs w:val="24"/>
      <w:lang w:val="de-DE" w:eastAsia="de-DE"/>
    </w:rPr>
  </w:style>
  <w:style w:type="paragraph" w:customStyle="1" w:styleId="Normal17">
    <w:name w:val="Normal_17"/>
    <w:qFormat/>
    <w:pPr>
      <w:suppressAutoHyphens/>
    </w:pPr>
    <w:rPr>
      <w:sz w:val="24"/>
      <w:szCs w:val="24"/>
    </w:rPr>
  </w:style>
  <w:style w:type="paragraph" w:customStyle="1" w:styleId="Notes15">
    <w:name w:val="Notes_15"/>
    <w:basedOn w:val="Header15"/>
    <w:link w:val="NotesChar15"/>
    <w:pPr>
      <w:numPr>
        <w:numId w:val="6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sz w:val="24"/>
      <w:szCs w:val="24"/>
      <w:lang w:val="de-DE" w:eastAsia="de-DE" w:bidi="de-DE"/>
    </w:rPr>
  </w:style>
  <w:style w:type="character" w:customStyle="1" w:styleId="NotesChar15">
    <w:name w:val="Notes Char_15"/>
    <w:link w:val="Notes15"/>
    <w:rPr>
      <w:rFonts w:ascii="Arial" w:hAnsi="Arial"/>
      <w:b/>
      <w:szCs w:val="24"/>
      <w:lang w:val="de-DE" w:eastAsia="de-DE"/>
    </w:rPr>
  </w:style>
  <w:style w:type="paragraph" w:customStyle="1" w:styleId="Title3213">
    <w:name w:val="Title 3.2.1._3"/>
    <w:basedOn w:val="Notes16"/>
    <w:pPr>
      <w:numPr>
        <w:ilvl w:val="2"/>
        <w:numId w:val="71"/>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sz w:val="24"/>
      <w:szCs w:val="24"/>
    </w:rPr>
  </w:style>
  <w:style w:type="character" w:customStyle="1" w:styleId="HeaderChar16">
    <w:name w:val="Header Char_16"/>
    <w:link w:val="Header16"/>
    <w:rPr>
      <w:sz w:val="24"/>
      <w:szCs w:val="24"/>
      <w:lang w:val="de-DE" w:eastAsia="de-DE" w:bidi="de-DE"/>
    </w:rPr>
  </w:style>
  <w:style w:type="character" w:customStyle="1" w:styleId="NotesChar16">
    <w:name w:val="Notes Char_16"/>
    <w:link w:val="Notes16"/>
    <w:rPr>
      <w:rFonts w:ascii="Arial" w:hAnsi="Arial"/>
      <w:b/>
      <w:szCs w:val="24"/>
      <w:lang w:val="de-DE" w:eastAsia="de-DE"/>
    </w:rPr>
  </w:style>
  <w:style w:type="paragraph" w:customStyle="1" w:styleId="Normal19">
    <w:name w:val="Normal_19"/>
    <w:qFormat/>
    <w:pPr>
      <w:suppressAutoHyphens/>
    </w:pPr>
    <w:rPr>
      <w:sz w:val="24"/>
      <w:szCs w:val="24"/>
    </w:rPr>
  </w:style>
  <w:style w:type="paragraph" w:customStyle="1" w:styleId="ListParagraph1">
    <w:name w:val="List Paragraph_1"/>
    <w:basedOn w:val="Normal19"/>
    <w:uiPriority w:val="34"/>
    <w:qFormat/>
    <w:pPr>
      <w:ind w:left="720"/>
      <w:contextualSpacing/>
    </w:pPr>
  </w:style>
  <w:style w:type="paragraph" w:customStyle="1" w:styleId="Notes17">
    <w:name w:val="Notes_17"/>
    <w:basedOn w:val="Header17"/>
    <w:link w:val="NotesChar17"/>
    <w:pPr>
      <w:numPr>
        <w:numId w:val="73"/>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sz w:val="24"/>
      <w:szCs w:val="24"/>
      <w:lang w:val="de-DE" w:eastAsia="de-DE" w:bidi="de-DE"/>
    </w:rPr>
  </w:style>
  <w:style w:type="character" w:customStyle="1" w:styleId="NotesChar17">
    <w:name w:val="Notes Char_17"/>
    <w:link w:val="Notes17"/>
    <w:rPr>
      <w:rFonts w:ascii="Arial" w:hAnsi="Arial"/>
      <w:b/>
      <w:szCs w:val="24"/>
      <w:lang w:val="de-DE" w:eastAsia="de-DE"/>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rmal20">
    <w:name w:val="Normal_20"/>
    <w:qFormat/>
    <w:pPr>
      <w:suppressAutoHyphens/>
    </w:pPr>
    <w:rPr>
      <w:sz w:val="24"/>
      <w:szCs w:val="24"/>
    </w:rPr>
  </w:style>
  <w:style w:type="paragraph" w:customStyle="1" w:styleId="ListParagraph2">
    <w:name w:val="List Paragraph_2"/>
    <w:basedOn w:val="Normal20"/>
    <w:uiPriority w:val="34"/>
    <w:qFormat/>
    <w:pPr>
      <w:ind w:left="720"/>
      <w:contextualSpacing/>
    </w:pPr>
  </w:style>
  <w:style w:type="paragraph" w:customStyle="1" w:styleId="Notes18">
    <w:name w:val="Notes_18"/>
    <w:basedOn w:val="Header18"/>
    <w:link w:val="NotesChar18"/>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character" w:customStyle="1" w:styleId="HeaderChar18">
    <w:name w:val="Header Char_18"/>
    <w:link w:val="Header18"/>
    <w:rPr>
      <w:sz w:val="24"/>
      <w:szCs w:val="24"/>
      <w:lang w:val="de-DE" w:eastAsia="de-DE" w:bidi="de-DE"/>
    </w:rPr>
  </w:style>
  <w:style w:type="character" w:customStyle="1" w:styleId="NotesChar18">
    <w:name w:val="Notes Char_18"/>
    <w:link w:val="Notes18"/>
    <w:rPr>
      <w:rFonts w:ascii="Arial" w:hAnsi="Arial"/>
      <w:b/>
      <w:szCs w:val="24"/>
      <w:lang w:val="de-DE" w:eastAsia="de-DE"/>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rmal21">
    <w:name w:val="Normal_21"/>
    <w:qFormat/>
    <w:pPr>
      <w:suppressAutoHyphens/>
    </w:pPr>
    <w:rPr>
      <w:sz w:val="24"/>
      <w:szCs w:val="24"/>
    </w:rPr>
  </w:style>
  <w:style w:type="paragraph" w:customStyle="1" w:styleId="ListParagraph3">
    <w:name w:val="List Paragraph_3"/>
    <w:basedOn w:val="Normal21"/>
    <w:uiPriority w:val="34"/>
    <w:qFormat/>
    <w:pPr>
      <w:ind w:left="720"/>
      <w:contextualSpacing/>
    </w:pPr>
  </w:style>
  <w:style w:type="paragraph" w:customStyle="1" w:styleId="Notes19">
    <w:name w:val="Notes_19"/>
    <w:basedOn w:val="Header19"/>
    <w:link w:val="NotesChar19"/>
    <w:pPr>
      <w:numPr>
        <w:numId w:val="75"/>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sz w:val="24"/>
      <w:szCs w:val="24"/>
      <w:lang w:val="de-DE" w:eastAsia="de-DE" w:bidi="de-DE"/>
    </w:rPr>
  </w:style>
  <w:style w:type="character" w:customStyle="1" w:styleId="NotesChar19">
    <w:name w:val="Notes Char_19"/>
    <w:link w:val="Notes19"/>
    <w:rPr>
      <w:rFonts w:ascii="Arial" w:hAnsi="Arial"/>
      <w:b/>
      <w:szCs w:val="24"/>
      <w:lang w:val="de-DE" w:eastAsia="de-DE"/>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rmal170">
    <w:name w:val="Normal_17_0"/>
    <w:qFormat/>
    <w:pPr>
      <w:suppressAutoHyphens/>
    </w:pPr>
    <w:rPr>
      <w:sz w:val="24"/>
      <w:szCs w:val="24"/>
    </w:rPr>
  </w:style>
  <w:style w:type="paragraph" w:customStyle="1" w:styleId="Normal22">
    <w:name w:val="Normal_22"/>
    <w:qFormat/>
    <w:pPr>
      <w:suppressAutoHyphens/>
    </w:pPr>
    <w:rPr>
      <w:sz w:val="24"/>
      <w:szCs w:val="24"/>
    </w:rPr>
  </w:style>
  <w:style w:type="paragraph" w:customStyle="1" w:styleId="Notes20">
    <w:name w:val="Notes_20"/>
    <w:basedOn w:val="Header20"/>
    <w:link w:val="NotesChar20"/>
    <w:pPr>
      <w:numPr>
        <w:numId w:val="7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sz w:val="24"/>
      <w:szCs w:val="24"/>
      <w:lang w:val="de-DE" w:eastAsia="de-DE" w:bidi="de-DE"/>
    </w:rPr>
  </w:style>
  <w:style w:type="character" w:customStyle="1" w:styleId="NotesChar20">
    <w:name w:val="Notes Char_20"/>
    <w:link w:val="Notes20"/>
    <w:rPr>
      <w:rFonts w:ascii="Arial" w:hAnsi="Arial"/>
      <w:b/>
      <w:szCs w:val="24"/>
      <w:lang w:val="de-DE" w:eastAsia="de-DE"/>
    </w:rPr>
  </w:style>
  <w:style w:type="paragraph" w:customStyle="1" w:styleId="Normal180">
    <w:name w:val="Normal_18_0"/>
    <w:qFormat/>
    <w:pPr>
      <w:suppressAutoHyphens/>
    </w:pPr>
    <w:rPr>
      <w:sz w:val="24"/>
      <w:szCs w:val="24"/>
    </w:rPr>
  </w:style>
  <w:style w:type="paragraph" w:customStyle="1" w:styleId="Normal1800">
    <w:name w:val="Normal_18_0_0"/>
    <w:qFormat/>
    <w:pPr>
      <w:suppressAutoHyphens/>
    </w:pPr>
    <w:rPr>
      <w:sz w:val="24"/>
      <w:szCs w:val="24"/>
    </w:rPr>
  </w:style>
  <w:style w:type="paragraph" w:customStyle="1" w:styleId="Normal23">
    <w:name w:val="Normal_23"/>
    <w:qFormat/>
    <w:pPr>
      <w:suppressAutoHyphens/>
    </w:pPr>
    <w:rPr>
      <w:sz w:val="24"/>
      <w:szCs w:val="24"/>
    </w:rPr>
  </w:style>
  <w:style w:type="paragraph" w:customStyle="1" w:styleId="Notes21">
    <w:name w:val="Notes_21"/>
    <w:basedOn w:val="Header21"/>
    <w:link w:val="NotesChar21"/>
    <w:pPr>
      <w:numPr>
        <w:numId w:val="8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character" w:customStyle="1" w:styleId="HeaderChar21">
    <w:name w:val="Header Char_21"/>
    <w:link w:val="Header21"/>
    <w:rPr>
      <w:sz w:val="24"/>
      <w:szCs w:val="24"/>
      <w:lang w:val="de-DE" w:eastAsia="de-DE" w:bidi="de-DE"/>
    </w:rPr>
  </w:style>
  <w:style w:type="character" w:customStyle="1" w:styleId="NotesChar21">
    <w:name w:val="Notes Char_21"/>
    <w:link w:val="Notes21"/>
    <w:rPr>
      <w:rFonts w:ascii="Arial" w:hAnsi="Arial"/>
      <w:b/>
      <w:szCs w:val="24"/>
      <w:lang w:val="de-DE" w:eastAsia="de-DE"/>
    </w:rPr>
  </w:style>
  <w:style w:type="paragraph" w:customStyle="1" w:styleId="Normal181">
    <w:name w:val="Normal_18_1"/>
    <w:qFormat/>
    <w:pPr>
      <w:suppressAutoHyphens/>
    </w:pPr>
    <w:rPr>
      <w:sz w:val="24"/>
      <w:szCs w:val="24"/>
    </w:rPr>
  </w:style>
  <w:style w:type="paragraph" w:customStyle="1" w:styleId="Normal24">
    <w:name w:val="Normal_24"/>
    <w:qFormat/>
    <w:pPr>
      <w:suppressAutoHyphens/>
    </w:pPr>
    <w:rPr>
      <w:sz w:val="24"/>
      <w:szCs w:val="24"/>
    </w:rPr>
  </w:style>
  <w:style w:type="paragraph" w:customStyle="1" w:styleId="ListParagraph4">
    <w:name w:val="List Paragraph_4"/>
    <w:basedOn w:val="Normal24"/>
    <w:uiPriority w:val="34"/>
    <w:qFormat/>
    <w:pPr>
      <w:ind w:left="720"/>
      <w:contextualSpacing/>
    </w:pPr>
  </w:style>
  <w:style w:type="paragraph" w:customStyle="1" w:styleId="ListParagraph5">
    <w:name w:val="List Paragraph_5"/>
    <w:basedOn w:val="Normal25"/>
    <w:uiPriority w:val="34"/>
    <w:qFormat/>
    <w:pPr>
      <w:ind w:left="720"/>
      <w:contextualSpacing/>
    </w:pPr>
  </w:style>
  <w:style w:type="paragraph" w:customStyle="1" w:styleId="Normal25">
    <w:name w:val="Normal_25"/>
    <w:qFormat/>
    <w:pPr>
      <w:suppressAutoHyphens/>
    </w:pPr>
    <w:rPr>
      <w:sz w:val="24"/>
      <w:szCs w:val="24"/>
    </w:rPr>
  </w:style>
  <w:style w:type="paragraph" w:customStyle="1" w:styleId="Notes22">
    <w:name w:val="Notes_22"/>
    <w:basedOn w:val="Header24"/>
    <w:link w:val="NotesChar22"/>
    <w:pPr>
      <w:numPr>
        <w:numId w:val="8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rPr>
  </w:style>
  <w:style w:type="character" w:customStyle="1" w:styleId="HeaderChar24">
    <w:name w:val="Header Char_24"/>
    <w:link w:val="Header24"/>
    <w:rPr>
      <w:sz w:val="24"/>
      <w:szCs w:val="24"/>
      <w:lang w:val="de-DE" w:eastAsia="de-DE" w:bidi="de-DE"/>
    </w:rPr>
  </w:style>
  <w:style w:type="character" w:customStyle="1" w:styleId="NotesChar22">
    <w:name w:val="Notes Char_22"/>
    <w:link w:val="Notes22"/>
    <w:rPr>
      <w:rFonts w:ascii="Arial" w:hAnsi="Arial"/>
      <w:b/>
      <w:szCs w:val="24"/>
      <w:lang w:val="de-DE" w:eastAsia="de-DE"/>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sz w:val="24"/>
      <w:szCs w:val="24"/>
    </w:rPr>
  </w:style>
  <w:style w:type="character" w:customStyle="1" w:styleId="HeaderChar25">
    <w:name w:val="Header Char_25"/>
    <w:link w:val="Header25"/>
    <w:rPr>
      <w:sz w:val="24"/>
      <w:szCs w:val="24"/>
      <w:lang w:val="de-DE" w:eastAsia="de-DE" w:bidi="de-DE"/>
    </w:rPr>
  </w:style>
  <w:style w:type="paragraph" w:customStyle="1" w:styleId="Notes23">
    <w:name w:val="Notes_23"/>
    <w:basedOn w:val="Header25"/>
    <w:link w:val="NotesChar23"/>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de-DE" w:eastAsia="de-DE"/>
    </w:rPr>
  </w:style>
  <w:style w:type="paragraph" w:customStyle="1" w:styleId="Notes24">
    <w:name w:val="Notes_24"/>
    <w:basedOn w:val="Header26"/>
    <w:link w:val="NotesChar24"/>
    <w:pPr>
      <w:numPr>
        <w:numId w:val="8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sz w:val="24"/>
      <w:szCs w:val="24"/>
    </w:rPr>
  </w:style>
  <w:style w:type="character" w:customStyle="1" w:styleId="HeaderChar26">
    <w:name w:val="Header Char_26"/>
    <w:link w:val="Header26"/>
    <w:rPr>
      <w:sz w:val="24"/>
      <w:szCs w:val="24"/>
      <w:lang w:val="de-DE" w:eastAsia="de-DE" w:bidi="de-DE"/>
    </w:rPr>
  </w:style>
  <w:style w:type="character" w:customStyle="1" w:styleId="NotesChar24">
    <w:name w:val="Notes Char_24"/>
    <w:link w:val="Notes24"/>
    <w:rPr>
      <w:rFonts w:ascii="Arial" w:hAnsi="Arial"/>
      <w:b/>
      <w:szCs w:val="24"/>
      <w:lang w:val="de-DE" w:eastAsia="de-DE"/>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sz w:val="24"/>
      <w:szCs w:val="24"/>
    </w:rPr>
  </w:style>
  <w:style w:type="character" w:customStyle="1" w:styleId="HeaderChar27">
    <w:name w:val="Header Char_27"/>
    <w:link w:val="Header27"/>
    <w:rPr>
      <w:sz w:val="24"/>
      <w:szCs w:val="24"/>
      <w:lang w:val="de-DE" w:eastAsia="de-DE" w:bidi="de-DE"/>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89"/>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de-DE" w:eastAsia="de-DE"/>
    </w:rPr>
  </w:style>
  <w:style w:type="paragraph" w:customStyle="1" w:styleId="ListParagraph6">
    <w:name w:val="List Paragraph_6"/>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sz w:val="24"/>
      <w:szCs w:val="24"/>
    </w:rPr>
  </w:style>
  <w:style w:type="character" w:customStyle="1" w:styleId="HeaderChar28">
    <w:name w:val="Header Char_28"/>
    <w:link w:val="Header28"/>
    <w:rPr>
      <w:sz w:val="24"/>
      <w:szCs w:val="24"/>
      <w:lang w:val="de-DE" w:eastAsia="de-DE" w:bidi="de-DE"/>
    </w:rPr>
  </w:style>
  <w:style w:type="character" w:customStyle="1" w:styleId="NotesChar26">
    <w:name w:val="Notes Char_26"/>
    <w:link w:val="Notes26"/>
    <w:rPr>
      <w:rFonts w:ascii="Arial" w:hAnsi="Arial"/>
      <w:b/>
      <w:szCs w:val="24"/>
      <w:lang w:val="de-DE" w:eastAsia="de-DE"/>
    </w:rPr>
  </w:style>
  <w:style w:type="paragraph" w:customStyle="1" w:styleId="Notes">
    <w:name w:val="Notes"/>
    <w:basedOn w:val="Header"/>
    <w:link w:val="NotesChar"/>
    <w:pPr>
      <w:numPr>
        <w:numId w:val="92"/>
      </w:numPr>
      <w:tabs>
        <w:tab w:val="center" w:pos="4320"/>
        <w:tab w:val="right" w:pos="8640"/>
      </w:tabs>
      <w:spacing w:before="120" w:after="120"/>
      <w:jc w:val="both"/>
    </w:pPr>
    <w:rPr>
      <w:rFonts w:ascii="Arial" w:hAnsi="Arial"/>
      <w:b/>
      <w:sz w:val="20"/>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Pr>
      <w:rFonts w:ascii="Arial" w:hAnsi="Arial"/>
      <w:b/>
      <w:szCs w:val="24"/>
      <w:lang w:val="de-DE"/>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9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sz w:val="24"/>
      <w:szCs w:val="24"/>
    </w:rPr>
  </w:style>
  <w:style w:type="character" w:customStyle="1" w:styleId="HeaderChar29">
    <w:name w:val="Header Char_29"/>
    <w:link w:val="Header29"/>
    <w:rPr>
      <w:sz w:val="24"/>
      <w:szCs w:val="24"/>
      <w:lang w:val="de-DE" w:eastAsia="de-DE" w:bidi="de-DE"/>
    </w:rPr>
  </w:style>
  <w:style w:type="character" w:customStyle="1" w:styleId="NotesChar27">
    <w:name w:val="Notes Char_27"/>
    <w:link w:val="Notes27"/>
    <w:rPr>
      <w:rFonts w:ascii="Arial" w:hAnsi="Arial"/>
      <w:b/>
      <w:szCs w:val="24"/>
      <w:lang w:val="de-DE" w:eastAsia="de-DE"/>
    </w:rPr>
  </w:style>
  <w:style w:type="paragraph" w:customStyle="1" w:styleId="ListParagraph7">
    <w:name w:val="List Paragraph_7"/>
    <w:basedOn w:val="Normal31"/>
    <w:uiPriority w:val="34"/>
    <w:qFormat/>
    <w:pPr>
      <w:ind w:left="720"/>
      <w:contextualSpacing/>
    </w:pPr>
  </w:style>
  <w:style w:type="paragraph" w:customStyle="1" w:styleId="Notes28">
    <w:name w:val="Notes_28"/>
    <w:basedOn w:val="Header30"/>
    <w:link w:val="NotesChar28"/>
    <w:pPr>
      <w:numPr>
        <w:numId w:val="95"/>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rPr>
  </w:style>
  <w:style w:type="character" w:customStyle="1" w:styleId="HeaderChar30">
    <w:name w:val="Header Char_30"/>
    <w:basedOn w:val="DefaultParagraphFont"/>
    <w:link w:val="Header30"/>
    <w:uiPriority w:val="99"/>
    <w:semiHidden/>
  </w:style>
  <w:style w:type="character" w:customStyle="1" w:styleId="NotesChar28">
    <w:name w:val="Notes Char_28"/>
    <w:link w:val="Notes28"/>
    <w:locked/>
    <w:rPr>
      <w:rFonts w:ascii="Arial" w:eastAsia="Calibri" w:hAnsi="Arial" w:cs="Arial"/>
      <w:b/>
      <w:szCs w:val="24"/>
      <w:lang w:val="de-DE" w:eastAsia="de-DE"/>
    </w:rPr>
  </w:style>
  <w:style w:type="table" w:styleId="TableGrid">
    <w:name w:val="Table Grid"/>
    <w:basedOn w:val="TableNormal"/>
    <w:uiPriority w:val="59"/>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Times New Roman" w:hAnsi="Times New Roman"/>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de-DE"/>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de-DE"/>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de-DE"/>
    </w:rPr>
  </w:style>
  <w:style w:type="character" w:customStyle="1" w:styleId="Heading1Char">
    <w:name w:val="Heading 1 Char"/>
    <w:link w:val="Heading1"/>
    <w:rPr>
      <w:rFonts w:ascii="Cambria" w:eastAsia="Times New Roman" w:hAnsi="Cambria" w:cs="Times New Roman"/>
      <w:b/>
      <w:bCs/>
      <w:color w:val="365F91"/>
      <w:sz w:val="28"/>
      <w:szCs w:val="28"/>
      <w:lang w:eastAsia="de-DE"/>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styleId="FootnoteText">
    <w:name w:val="footnote text"/>
    <w:basedOn w:val="Normal"/>
    <w:link w:val="FootnoteTextChar"/>
    <w:semiHidden/>
    <w:pPr>
      <w:ind w:left="720" w:hanging="720"/>
      <w:jc w:val="both"/>
    </w:pPr>
    <w:rPr>
      <w:sz w:val="20"/>
      <w:szCs w:val="20"/>
    </w:rPr>
  </w:style>
  <w:style w:type="character" w:customStyle="1" w:styleId="FootnoteTextChar">
    <w:name w:val="Footnote Text Char"/>
    <w:link w:val="FootnoteText"/>
    <w:semiHidden/>
    <w:rPr>
      <w:rFonts w:ascii="Times New Roman" w:hAnsi="Times New Roman"/>
    </w:rPr>
  </w:style>
  <w:style w:type="paragraph" w:styleId="TOC3">
    <w:name w:val="toc 3"/>
    <w:basedOn w:val="Normal"/>
    <w:next w:val="Normal"/>
    <w:autoRedefine/>
    <w:uiPriority w:val="39"/>
    <w:unhideWhenUsed/>
    <w:pPr>
      <w:spacing w:after="100"/>
      <w:ind w:left="480"/>
    </w:p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BoldLeft">
    <w:name w:val="Text_9p_ItalicBold_Left"/>
    <w:qFormat/>
    <w:rPr>
      <w:rFonts w:ascii="Verdana" w:eastAsia="Calibri" w:hAnsi="Verdana"/>
      <w:b/>
      <w:i/>
      <w:noProof/>
      <w:sz w:val="18"/>
      <w:szCs w:val="18"/>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Heading7pNormalRight01">
    <w:name w:val="Heading_7p_Normal_Right_0.1"/>
    <w:qFormat/>
    <w:pPr>
      <w:ind w:right="57"/>
      <w:jc w:val="right"/>
    </w:pPr>
    <w:rPr>
      <w:rFonts w:ascii="Verdana" w:hAnsi="Verdana" w:cs="Calibri"/>
      <w:bCs/>
      <w:color w:val="FFFFFF"/>
      <w:sz w:val="14"/>
      <w:szCs w:val="22"/>
    </w:rPr>
  </w:style>
  <w:style w:type="paragraph" w:customStyle="1" w:styleId="Text7pBoldLeft">
    <w:name w:val="Text_7p_Bold_Left"/>
    <w:qFormat/>
    <w:rPr>
      <w:rFonts w:ascii="Verdana" w:eastAsia="Calibri" w:hAnsi="Verdana"/>
      <w:b/>
      <w:noProof/>
      <w:sz w:val="14"/>
      <w:szCs w:val="18"/>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Text7pItalicLeft">
    <w:name w:val="Text_7p_Italic_Left"/>
    <w:qFormat/>
    <w:rPr>
      <w:rFonts w:ascii="Verdana" w:eastAsia="Calibri" w:hAnsi="Verdana"/>
      <w:bCs/>
      <w:i/>
      <w:noProof/>
      <w:sz w:val="14"/>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9pItalicLeft025">
    <w:name w:val="Text_9p_Italic_Left_0.25"/>
    <w:basedOn w:val="Text9pItalicLeft"/>
    <w:qFormat/>
    <w:pPr>
      <w:ind w:left="142"/>
    </w:p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Heading10pNormalCentered">
    <w:name w:val="Heading_10p_Normal_Centered"/>
    <w:qFormat/>
    <w:pPr>
      <w:jc w:val="center"/>
    </w:pPr>
    <w:rPr>
      <w:rFonts w:ascii="Verdana" w:eastAsia="Calibri" w:hAnsi="Verdana"/>
      <w:noProof/>
      <w:color w:val="FFFFFF"/>
      <w:szCs w:val="30"/>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BoldLeft025">
    <w:name w:val="Text_9p_Bold_Left_0.25"/>
    <w:qFormat/>
    <w:pPr>
      <w:ind w:left="142"/>
    </w:pPr>
    <w:rPr>
      <w:rFonts w:ascii="Verdana" w:eastAsia="Calibri" w:hAnsi="Verdana"/>
      <w:b/>
      <w:noProof/>
      <w:sz w:val="18"/>
      <w:szCs w:val="18"/>
    </w:rPr>
  </w:style>
  <w:style w:type="paragraph" w:customStyle="1" w:styleId="Figures9pItalicCentered">
    <w:name w:val="Figures_9p_Italic_Centered"/>
    <w:qFormat/>
    <w:pPr>
      <w:jc w:val="center"/>
    </w:pPr>
    <w:rPr>
      <w:rFonts w:ascii="Verdana" w:eastAsia="Calibri" w:hAnsi="Verdana"/>
      <w:i/>
      <w:noProof/>
      <w:sz w:val="18"/>
      <w:szCs w:val="18"/>
    </w:rPr>
  </w:style>
  <w:style w:type="paragraph" w:customStyle="1" w:styleId="DGTextstand-alone">
    <w:name w:val="DG_Text_stand-alone"/>
    <w:link w:val="DGTextstand-aloneChar"/>
    <w:pPr>
      <w:spacing w:before="240" w:after="240"/>
      <w:jc w:val="both"/>
    </w:pPr>
    <w:rPr>
      <w:rFonts w:ascii="Verdana" w:eastAsia="Calibri" w:hAnsi="Verdana"/>
      <w:noProof/>
      <w:sz w:val="18"/>
      <w:szCs w:val="18"/>
    </w:rPr>
  </w:style>
  <w:style w:type="character" w:customStyle="1" w:styleId="DGTextstand-aloneChar">
    <w:name w:val="DG_Text_stand-alone Char"/>
    <w:link w:val="DGTextstand-alone"/>
    <w:locked/>
    <w:rPr>
      <w:rFonts w:ascii="Verdana" w:eastAsia="Calibri" w:hAnsi="Verdana"/>
      <w:noProof/>
      <w:sz w:val="18"/>
      <w:szCs w:val="18"/>
      <w:lang w:eastAsia="de-DE"/>
    </w:rPr>
  </w:style>
  <w:style w:type="paragraph" w:customStyle="1" w:styleId="Heading9pNormalLeft">
    <w:name w:val="Heading_9p_Normal_Left"/>
    <w:basedOn w:val="Heading9pNormalCentered"/>
    <w:qFormat/>
    <w:pPr>
      <w:jc w:val="left"/>
    </w:pPr>
  </w:style>
  <w:style w:type="paragraph" w:customStyle="1" w:styleId="Text9pItalicLeftIndented">
    <w:name w:val="Text_9p_Italic_LeftIndented"/>
    <w:qFormat/>
    <w:pPr>
      <w:ind w:left="720"/>
    </w:pPr>
    <w:rPr>
      <w:rFonts w:ascii="Verdana" w:eastAsia="Calibri" w:hAnsi="Verdana"/>
      <w:i/>
      <w:noProof/>
      <w:sz w:val="18"/>
      <w:szCs w:val="18"/>
    </w:rPr>
  </w:style>
  <w:style w:type="paragraph" w:customStyle="1" w:styleId="Text7pItalicRight025">
    <w:name w:val="Text_7p_Italic_Right_0.25"/>
    <w:basedOn w:val="Text8pItalicRight025EUR"/>
    <w:qFormat/>
    <w:rPr>
      <w:sz w:val="14"/>
    </w:rPr>
  </w:style>
  <w:style w:type="paragraph" w:customStyle="1" w:styleId="Heading-9pNormalCentered">
    <w:name w:val="Heading-9p_Normal_Centered"/>
    <w:basedOn w:val="Heading10pNormalCentered"/>
    <w:qFormat/>
    <w:rPr>
      <w:sz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jc w:val="center"/>
    </w:pPr>
    <w:rPr>
      <w:rFonts w:ascii="Verdana" w:eastAsia="Calibri" w:hAnsi="Verdana"/>
      <w:b/>
      <w:noProof/>
      <w:sz w:val="18"/>
      <w:szCs w:val="18"/>
    </w:rPr>
  </w:style>
  <w:style w:type="paragraph" w:customStyle="1" w:styleId="Text8pNormalLeft">
    <w:name w:val="Text_8p_Normal_Left"/>
    <w:qFormat/>
    <w:pPr>
      <w:ind w:left="34"/>
    </w:pPr>
    <w:rPr>
      <w:rFonts w:ascii="Verdana" w:eastAsia="Calibri" w:hAnsi="Verdana"/>
      <w:bCs/>
      <w:sz w:val="16"/>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rPr>
      <w:rFonts w:ascii="Verdana" w:eastAsia="Calibri" w:hAnsi="Verdana"/>
      <w:b/>
      <w:noProof/>
      <w:sz w:val="14"/>
      <w:szCs w:val="18"/>
    </w:rPr>
  </w:style>
  <w:style w:type="paragraph" w:customStyle="1" w:styleId="ListBullet1">
    <w:name w:val="List Bullet 1"/>
    <w:basedOn w:val="Normal"/>
    <w:pPr>
      <w:numPr>
        <w:numId w:val="21"/>
      </w:numPr>
      <w:spacing w:before="120" w:after="120"/>
      <w:jc w:val="both"/>
    </w:pPr>
  </w:style>
  <w:style w:type="paragraph" w:customStyle="1" w:styleId="Text1">
    <w:name w:val="Text 1"/>
    <w:basedOn w:val="Normal"/>
    <w:pPr>
      <w:spacing w:before="120" w:after="120"/>
      <w:jc w:val="both"/>
    </w:p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rPr>
  </w:style>
  <w:style w:type="character" w:customStyle="1" w:styleId="HeaderChar0">
    <w:name w:val="Header Char_0"/>
    <w:link w:val="Header0"/>
    <w:rPr>
      <w:sz w:val="24"/>
      <w:szCs w:val="24"/>
      <w:lang w:val="de-DE" w:eastAsia="de-DE" w:bidi="de-DE"/>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szCs w:val="20"/>
    </w:rPr>
  </w:style>
  <w:style w:type="character" w:customStyle="1" w:styleId="NotesChar0">
    <w:name w:val="Notes Char_0"/>
    <w:link w:val="Notes0"/>
    <w:rPr>
      <w:rFonts w:ascii="Arial" w:hAnsi="Arial"/>
      <w:b/>
      <w:szCs w:val="24"/>
      <w:lang w:val="de-DE" w:eastAsia="de-DE"/>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rPr>
  </w:style>
  <w:style w:type="character" w:customStyle="1" w:styleId="HeaderChar1">
    <w:name w:val="Header Char_1"/>
    <w:link w:val="Header1"/>
    <w:rPr>
      <w:sz w:val="24"/>
      <w:szCs w:val="24"/>
      <w:lang w:val="de-DE" w:eastAsia="de-DE" w:bidi="de-DE"/>
    </w:rPr>
  </w:style>
  <w:style w:type="character" w:customStyle="1" w:styleId="NotesChar1">
    <w:name w:val="Notes Char_1"/>
    <w:link w:val="Notes1"/>
    <w:rPr>
      <w:rFonts w:ascii="Arial" w:hAnsi="Arial"/>
      <w:b/>
      <w:szCs w:val="24"/>
      <w:lang w:val="de-DE" w:eastAsia="de-DE"/>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ListParagraph0">
    <w:name w:val="List Paragraph_0"/>
    <w:basedOn w:val="Normal2"/>
    <w:uiPriority w:val="34"/>
    <w:qFormat/>
    <w:pPr>
      <w:ind w:left="720"/>
      <w:contextualSpacing/>
    </w:pPr>
  </w:style>
  <w:style w:type="paragraph" w:customStyle="1" w:styleId="Title1110">
    <w:name w:val="Title 1.1.1_0"/>
    <w:basedOn w:val="Notes1"/>
    <w:link w:val="Title111Char0"/>
    <w:pPr>
      <w:numPr>
        <w:ilvl w:val="2"/>
        <w:numId w:val="32"/>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de-DE"/>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rPr>
  </w:style>
  <w:style w:type="character" w:customStyle="1" w:styleId="HeaderChar2">
    <w:name w:val="Header Char_2"/>
    <w:link w:val="Header2"/>
    <w:rPr>
      <w:sz w:val="24"/>
      <w:szCs w:val="24"/>
      <w:lang w:val="de-DE" w:eastAsia="de-DE" w:bidi="de-DE"/>
    </w:rPr>
  </w:style>
  <w:style w:type="character" w:customStyle="1" w:styleId="NotesChar2">
    <w:name w:val="Notes Char_2"/>
    <w:link w:val="Notes2"/>
    <w:rPr>
      <w:rFonts w:ascii="Arial" w:hAnsi="Arial"/>
      <w:b/>
      <w:szCs w:val="24"/>
      <w:lang w:val="de-DE" w:eastAsia="de-DE"/>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sz w:val="24"/>
      <w:szCs w:val="24"/>
    </w:rPr>
  </w:style>
  <w:style w:type="character" w:customStyle="1" w:styleId="HeaderChar3">
    <w:name w:val="Header Char_3"/>
    <w:link w:val="Header3"/>
    <w:rPr>
      <w:sz w:val="24"/>
      <w:szCs w:val="24"/>
      <w:lang w:val="de-DE" w:eastAsia="de-DE" w:bidi="de-DE"/>
    </w:rPr>
  </w:style>
  <w:style w:type="character" w:customStyle="1" w:styleId="NotesChar3">
    <w:name w:val="Notes Char_3"/>
    <w:link w:val="Notes3"/>
    <w:rPr>
      <w:rFonts w:ascii="Arial" w:hAnsi="Arial"/>
      <w:b/>
      <w:szCs w:val="24"/>
      <w:lang w:val="de-DE" w:eastAsia="de-DE"/>
    </w:rPr>
  </w:style>
  <w:style w:type="character" w:customStyle="1" w:styleId="Title111Char1">
    <w:name w:val="Title 1.1.1 Char_1"/>
    <w:link w:val="Title1111"/>
    <w:rPr>
      <w:rFonts w:ascii="Arial" w:hAnsi="Arial"/>
      <w:lang w:eastAsia="de-DE"/>
    </w:rPr>
  </w:style>
  <w:style w:type="paragraph" w:customStyle="1" w:styleId="Title1111">
    <w:name w:val="Title 1.1.1_1"/>
    <w:basedOn w:val="Notes3"/>
    <w:link w:val="Title111Char1"/>
    <w:pPr>
      <w:numPr>
        <w:ilvl w:val="2"/>
        <w:numId w:val="42"/>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44"/>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4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szCs w:val="20"/>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rPr>
  </w:style>
  <w:style w:type="character" w:customStyle="1" w:styleId="HeaderChar4">
    <w:name w:val="Header Char_4"/>
    <w:link w:val="Header4"/>
    <w:rPr>
      <w:sz w:val="24"/>
      <w:szCs w:val="24"/>
      <w:lang w:val="de-DE" w:eastAsia="de-DE" w:bidi="de-DE"/>
    </w:rPr>
  </w:style>
  <w:style w:type="character" w:customStyle="1" w:styleId="NotesChar4">
    <w:name w:val="Notes Char_4"/>
    <w:link w:val="Notes4"/>
    <w:rPr>
      <w:rFonts w:ascii="Arial" w:hAnsi="Arial"/>
      <w:b/>
      <w:szCs w:val="24"/>
      <w:lang w:val="de-DE" w:eastAsia="de-DE"/>
    </w:rPr>
  </w:style>
  <w:style w:type="paragraph" w:customStyle="1" w:styleId="Normal6">
    <w:name w:val="Normal_6"/>
    <w:qFormat/>
    <w:pPr>
      <w:suppressAutoHyphens/>
    </w:pPr>
    <w:rPr>
      <w:sz w:val="24"/>
      <w:szCs w:val="24"/>
    </w:rPr>
  </w:style>
  <w:style w:type="paragraph" w:customStyle="1" w:styleId="Title3211">
    <w:name w:val="Title 3.2.1._1"/>
    <w:basedOn w:val="Notes5"/>
    <w:pPr>
      <w:numPr>
        <w:ilvl w:val="2"/>
        <w:numId w:val="46"/>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4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Pr>
      <w:sz w:val="24"/>
      <w:szCs w:val="24"/>
      <w:lang w:val="de-DE" w:eastAsia="de-DE" w:bidi="de-DE"/>
    </w:rPr>
  </w:style>
  <w:style w:type="character" w:customStyle="1" w:styleId="NotesChar5">
    <w:name w:val="Notes Char_5"/>
    <w:link w:val="Notes5"/>
    <w:rPr>
      <w:rFonts w:ascii="Arial" w:hAnsi="Arial"/>
      <w:b/>
      <w:szCs w:val="24"/>
      <w:lang w:val="de-DE" w:eastAsia="de-DE"/>
    </w:rPr>
  </w:style>
  <w:style w:type="paragraph" w:customStyle="1" w:styleId="Listi0">
    <w:name w:val="List i)_0"/>
    <w:basedOn w:val="Normal6"/>
    <w:next w:val="Normal6"/>
    <w:pPr>
      <w:keepNext/>
      <w:numPr>
        <w:numId w:val="50"/>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numPr>
        <w:ilvl w:val="1"/>
      </w:numPr>
      <w:tabs>
        <w:tab w:val="clear" w:pos="4320"/>
        <w:tab w:val="clear" w:pos="8640"/>
        <w:tab w:val="right" w:pos="-2700"/>
        <w:tab w:val="right" w:pos="720"/>
      </w:tabs>
      <w:spacing w:before="0" w:after="0"/>
    </w:pPr>
    <w:rPr>
      <w:b w:val="0"/>
      <w:szCs w:val="2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rPr>
  </w:style>
  <w:style w:type="character" w:customStyle="1" w:styleId="HeaderChar6">
    <w:name w:val="Header Char_6"/>
    <w:link w:val="Header6"/>
    <w:rPr>
      <w:sz w:val="24"/>
      <w:szCs w:val="24"/>
      <w:lang w:val="de-DE" w:eastAsia="de-DE" w:bidi="de-DE"/>
    </w:rPr>
  </w:style>
  <w:style w:type="character" w:customStyle="1" w:styleId="NotesChar6">
    <w:name w:val="Notes Char_6"/>
    <w:link w:val="Notes6"/>
    <w:rPr>
      <w:rFonts w:ascii="Arial" w:hAnsi="Arial"/>
      <w:b/>
      <w:szCs w:val="24"/>
      <w:lang w:val="de-DE" w:eastAsia="de-DE"/>
    </w:rPr>
  </w:style>
  <w:style w:type="paragraph" w:customStyle="1" w:styleId="Notes7">
    <w:name w:val="Notes_7"/>
    <w:basedOn w:val="Header7"/>
    <w:link w:val="NotesChar7"/>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rPr>
  </w:style>
  <w:style w:type="character" w:customStyle="1" w:styleId="HeaderChar7">
    <w:name w:val="Header Char_7"/>
    <w:link w:val="Header7"/>
    <w:rPr>
      <w:sz w:val="24"/>
      <w:szCs w:val="24"/>
      <w:lang w:val="de-DE" w:eastAsia="de-DE" w:bidi="de-DE"/>
    </w:rPr>
  </w:style>
  <w:style w:type="character" w:customStyle="1" w:styleId="NotesChar7">
    <w:name w:val="Notes Char_7"/>
    <w:link w:val="Notes7"/>
    <w:rPr>
      <w:rFonts w:ascii="Arial" w:hAnsi="Arial"/>
      <w:b/>
      <w:szCs w:val="24"/>
      <w:lang w:val="de-DE" w:eastAsia="de-DE"/>
    </w:rPr>
  </w:style>
  <w:style w:type="paragraph" w:customStyle="1" w:styleId="Notes8">
    <w:name w:val="Notes_8"/>
    <w:basedOn w:val="Header8"/>
    <w:link w:val="NotesChar8"/>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szCs w:val="20"/>
    </w:rPr>
  </w:style>
  <w:style w:type="paragraph" w:customStyle="1" w:styleId="Header8">
    <w:name w:val="Header_8"/>
    <w:basedOn w:val="Normal10"/>
    <w:link w:val="HeaderChar8"/>
    <w:pPr>
      <w:tabs>
        <w:tab w:val="center" w:pos="4153"/>
        <w:tab w:val="right" w:pos="8306"/>
      </w:tabs>
    </w:pPr>
  </w:style>
  <w:style w:type="paragraph" w:customStyle="1" w:styleId="Normal10">
    <w:name w:val="Normal_10"/>
    <w:qFormat/>
    <w:pPr>
      <w:suppressAutoHyphens/>
    </w:pPr>
    <w:rPr>
      <w:sz w:val="24"/>
      <w:szCs w:val="24"/>
    </w:rPr>
  </w:style>
  <w:style w:type="character" w:customStyle="1" w:styleId="HeaderChar8">
    <w:name w:val="Header Char_8"/>
    <w:link w:val="Header8"/>
    <w:rPr>
      <w:sz w:val="24"/>
      <w:szCs w:val="24"/>
      <w:lang w:val="de-DE" w:eastAsia="de-DE" w:bidi="de-DE"/>
    </w:rPr>
  </w:style>
  <w:style w:type="character" w:customStyle="1" w:styleId="NotesChar8">
    <w:name w:val="Notes Char_8"/>
    <w:link w:val="Notes8"/>
    <w:rPr>
      <w:rFonts w:ascii="Arial" w:hAnsi="Arial"/>
      <w:b/>
      <w:szCs w:val="24"/>
      <w:lang w:val="de-DE" w:eastAsia="de-DE"/>
    </w:rPr>
  </w:style>
  <w:style w:type="paragraph" w:customStyle="1" w:styleId="Notes9">
    <w:name w:val="Notes_9"/>
    <w:basedOn w:val="Header9"/>
    <w:link w:val="NotesChar9"/>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rPr>
  </w:style>
  <w:style w:type="character" w:customStyle="1" w:styleId="HeaderChar9">
    <w:name w:val="Header Char_9"/>
    <w:link w:val="Header9"/>
    <w:rPr>
      <w:sz w:val="24"/>
      <w:szCs w:val="24"/>
      <w:lang w:val="de-DE" w:eastAsia="de-DE" w:bidi="de-DE"/>
    </w:rPr>
  </w:style>
  <w:style w:type="character" w:customStyle="1" w:styleId="NotesChar9">
    <w:name w:val="Notes Char_9"/>
    <w:link w:val="Notes9"/>
    <w:rPr>
      <w:rFonts w:ascii="Arial" w:hAnsi="Arial"/>
      <w:b/>
      <w:szCs w:val="24"/>
      <w:lang w:val="de-DE" w:eastAsia="de-DE"/>
    </w:rPr>
  </w:style>
  <w:style w:type="paragraph" w:customStyle="1" w:styleId="Notes10">
    <w:name w:val="Notes_10"/>
    <w:basedOn w:val="Header10"/>
    <w:link w:val="NotesChar10"/>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rPr>
  </w:style>
  <w:style w:type="character" w:customStyle="1" w:styleId="HeaderChar10">
    <w:name w:val="Header Char_10"/>
    <w:link w:val="Header10"/>
    <w:rPr>
      <w:sz w:val="24"/>
      <w:szCs w:val="24"/>
      <w:lang w:val="de-DE" w:eastAsia="de-DE" w:bidi="de-DE"/>
    </w:rPr>
  </w:style>
  <w:style w:type="character" w:customStyle="1" w:styleId="NotesChar10">
    <w:name w:val="Notes Char_10"/>
    <w:link w:val="Notes10"/>
    <w:rPr>
      <w:rFonts w:ascii="Arial" w:hAnsi="Arial"/>
      <w:b/>
      <w:szCs w:val="24"/>
      <w:lang w:val="de-DE" w:eastAsia="de-DE"/>
    </w:rPr>
  </w:style>
  <w:style w:type="paragraph" w:customStyle="1" w:styleId="Notes11">
    <w:name w:val="Notes_11"/>
    <w:basedOn w:val="Header11"/>
    <w:link w:val="NotesChar11"/>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rPr>
  </w:style>
  <w:style w:type="character" w:customStyle="1" w:styleId="HeaderChar11">
    <w:name w:val="Header Char_11"/>
    <w:link w:val="Header11"/>
    <w:rPr>
      <w:sz w:val="24"/>
      <w:szCs w:val="24"/>
      <w:lang w:val="de-DE" w:eastAsia="de-DE" w:bidi="de-DE"/>
    </w:rPr>
  </w:style>
  <w:style w:type="character" w:customStyle="1" w:styleId="NotesChar11">
    <w:name w:val="Notes Char_11"/>
    <w:link w:val="Notes11"/>
    <w:rPr>
      <w:rFonts w:ascii="Arial" w:hAnsi="Arial"/>
      <w:b/>
      <w:szCs w:val="24"/>
      <w:lang w:val="de-DE" w:eastAsia="de-DE"/>
    </w:rPr>
  </w:style>
  <w:style w:type="paragraph" w:customStyle="1" w:styleId="Title3212">
    <w:name w:val="Title 3.2.1._2"/>
    <w:basedOn w:val="Notes12"/>
    <w:pPr>
      <w:numPr>
        <w:ilvl w:val="2"/>
        <w:numId w:val="63"/>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6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2700"/>
        <w:tab w:val="right" w:pos="720"/>
      </w:tabs>
      <w:spacing w:before="0" w:after="0"/>
    </w:pPr>
    <w:rPr>
      <w:b w:val="0"/>
      <w:szCs w:val="2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sz w:val="24"/>
      <w:szCs w:val="24"/>
    </w:rPr>
  </w:style>
  <w:style w:type="character" w:customStyle="1" w:styleId="HeaderChar12">
    <w:name w:val="Header Char_12"/>
    <w:link w:val="Header12"/>
    <w:rPr>
      <w:sz w:val="24"/>
      <w:szCs w:val="24"/>
      <w:lang w:val="de-DE" w:eastAsia="de-DE" w:bidi="de-DE"/>
    </w:rPr>
  </w:style>
  <w:style w:type="character" w:customStyle="1" w:styleId="NotesChar12">
    <w:name w:val="Notes Char_12"/>
    <w:link w:val="Notes12"/>
    <w:rPr>
      <w:rFonts w:ascii="Arial" w:hAnsi="Arial"/>
      <w:b/>
      <w:szCs w:val="24"/>
      <w:lang w:val="de-DE" w:eastAsia="de-DE"/>
    </w:rPr>
  </w:style>
  <w:style w:type="paragraph" w:customStyle="1" w:styleId="Normal15">
    <w:name w:val="Normal_15"/>
    <w:qFormat/>
    <w:pPr>
      <w:suppressAutoHyphens/>
    </w:pPr>
    <w:rPr>
      <w:sz w:val="24"/>
      <w:szCs w:val="24"/>
    </w:rPr>
  </w:style>
  <w:style w:type="paragraph" w:customStyle="1" w:styleId="Notes13">
    <w:name w:val="Notes_13"/>
    <w:basedOn w:val="Header13"/>
    <w:link w:val="NotesChar13"/>
    <w:pPr>
      <w:numPr>
        <w:numId w:val="6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sz w:val="24"/>
      <w:szCs w:val="24"/>
      <w:lang w:val="de-DE" w:eastAsia="de-DE" w:bidi="de-DE"/>
    </w:rPr>
  </w:style>
  <w:style w:type="character" w:customStyle="1" w:styleId="NotesChar13">
    <w:name w:val="Notes Char_13"/>
    <w:link w:val="Notes13"/>
    <w:rPr>
      <w:rFonts w:ascii="Arial" w:hAnsi="Arial"/>
      <w:b/>
      <w:szCs w:val="24"/>
      <w:lang w:val="de-DE" w:eastAsia="de-DE"/>
    </w:rPr>
  </w:style>
  <w:style w:type="paragraph" w:customStyle="1" w:styleId="Notes14">
    <w:name w:val="Notes_14"/>
    <w:basedOn w:val="Header14"/>
    <w:link w:val="NotesChar14"/>
    <w:pPr>
      <w:numPr>
        <w:numId w:val="6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sz w:val="24"/>
      <w:szCs w:val="24"/>
    </w:rPr>
  </w:style>
  <w:style w:type="character" w:customStyle="1" w:styleId="HeaderChar14">
    <w:name w:val="Header Char_14"/>
    <w:link w:val="Header14"/>
    <w:rPr>
      <w:sz w:val="24"/>
      <w:szCs w:val="24"/>
      <w:lang w:val="de-DE" w:eastAsia="de-DE" w:bidi="de-DE"/>
    </w:rPr>
  </w:style>
  <w:style w:type="character" w:customStyle="1" w:styleId="NotesChar14">
    <w:name w:val="Notes Char_14"/>
    <w:link w:val="Notes14"/>
    <w:rPr>
      <w:rFonts w:ascii="Arial" w:hAnsi="Arial"/>
      <w:b/>
      <w:szCs w:val="24"/>
      <w:lang w:val="de-DE" w:eastAsia="de-DE"/>
    </w:rPr>
  </w:style>
  <w:style w:type="paragraph" w:customStyle="1" w:styleId="Normal17">
    <w:name w:val="Normal_17"/>
    <w:qFormat/>
    <w:pPr>
      <w:suppressAutoHyphens/>
    </w:pPr>
    <w:rPr>
      <w:sz w:val="24"/>
      <w:szCs w:val="24"/>
    </w:rPr>
  </w:style>
  <w:style w:type="paragraph" w:customStyle="1" w:styleId="Notes15">
    <w:name w:val="Notes_15"/>
    <w:basedOn w:val="Header15"/>
    <w:link w:val="NotesChar15"/>
    <w:pPr>
      <w:numPr>
        <w:numId w:val="6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sz w:val="24"/>
      <w:szCs w:val="24"/>
      <w:lang w:val="de-DE" w:eastAsia="de-DE" w:bidi="de-DE"/>
    </w:rPr>
  </w:style>
  <w:style w:type="character" w:customStyle="1" w:styleId="NotesChar15">
    <w:name w:val="Notes Char_15"/>
    <w:link w:val="Notes15"/>
    <w:rPr>
      <w:rFonts w:ascii="Arial" w:hAnsi="Arial"/>
      <w:b/>
      <w:szCs w:val="24"/>
      <w:lang w:val="de-DE" w:eastAsia="de-DE"/>
    </w:rPr>
  </w:style>
  <w:style w:type="paragraph" w:customStyle="1" w:styleId="Title3213">
    <w:name w:val="Title 3.2.1._3"/>
    <w:basedOn w:val="Notes16"/>
    <w:pPr>
      <w:numPr>
        <w:ilvl w:val="2"/>
        <w:numId w:val="71"/>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sz w:val="24"/>
      <w:szCs w:val="24"/>
    </w:rPr>
  </w:style>
  <w:style w:type="character" w:customStyle="1" w:styleId="HeaderChar16">
    <w:name w:val="Header Char_16"/>
    <w:link w:val="Header16"/>
    <w:rPr>
      <w:sz w:val="24"/>
      <w:szCs w:val="24"/>
      <w:lang w:val="de-DE" w:eastAsia="de-DE" w:bidi="de-DE"/>
    </w:rPr>
  </w:style>
  <w:style w:type="character" w:customStyle="1" w:styleId="NotesChar16">
    <w:name w:val="Notes Char_16"/>
    <w:link w:val="Notes16"/>
    <w:rPr>
      <w:rFonts w:ascii="Arial" w:hAnsi="Arial"/>
      <w:b/>
      <w:szCs w:val="24"/>
      <w:lang w:val="de-DE" w:eastAsia="de-DE"/>
    </w:rPr>
  </w:style>
  <w:style w:type="paragraph" w:customStyle="1" w:styleId="Normal19">
    <w:name w:val="Normal_19"/>
    <w:qFormat/>
    <w:pPr>
      <w:suppressAutoHyphens/>
    </w:pPr>
    <w:rPr>
      <w:sz w:val="24"/>
      <w:szCs w:val="24"/>
    </w:rPr>
  </w:style>
  <w:style w:type="paragraph" w:customStyle="1" w:styleId="ListParagraph1">
    <w:name w:val="List Paragraph_1"/>
    <w:basedOn w:val="Normal19"/>
    <w:uiPriority w:val="34"/>
    <w:qFormat/>
    <w:pPr>
      <w:ind w:left="720"/>
      <w:contextualSpacing/>
    </w:pPr>
  </w:style>
  <w:style w:type="paragraph" w:customStyle="1" w:styleId="Notes17">
    <w:name w:val="Notes_17"/>
    <w:basedOn w:val="Header17"/>
    <w:link w:val="NotesChar17"/>
    <w:pPr>
      <w:numPr>
        <w:numId w:val="73"/>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sz w:val="24"/>
      <w:szCs w:val="24"/>
      <w:lang w:val="de-DE" w:eastAsia="de-DE" w:bidi="de-DE"/>
    </w:rPr>
  </w:style>
  <w:style w:type="character" w:customStyle="1" w:styleId="NotesChar17">
    <w:name w:val="Notes Char_17"/>
    <w:link w:val="Notes17"/>
    <w:rPr>
      <w:rFonts w:ascii="Arial" w:hAnsi="Arial"/>
      <w:b/>
      <w:szCs w:val="24"/>
      <w:lang w:val="de-DE" w:eastAsia="de-DE"/>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rmal20">
    <w:name w:val="Normal_20"/>
    <w:qFormat/>
    <w:pPr>
      <w:suppressAutoHyphens/>
    </w:pPr>
    <w:rPr>
      <w:sz w:val="24"/>
      <w:szCs w:val="24"/>
    </w:rPr>
  </w:style>
  <w:style w:type="paragraph" w:customStyle="1" w:styleId="ListParagraph2">
    <w:name w:val="List Paragraph_2"/>
    <w:basedOn w:val="Normal20"/>
    <w:uiPriority w:val="34"/>
    <w:qFormat/>
    <w:pPr>
      <w:ind w:left="720"/>
      <w:contextualSpacing/>
    </w:pPr>
  </w:style>
  <w:style w:type="paragraph" w:customStyle="1" w:styleId="Notes18">
    <w:name w:val="Notes_18"/>
    <w:basedOn w:val="Header18"/>
    <w:link w:val="NotesChar18"/>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character" w:customStyle="1" w:styleId="HeaderChar18">
    <w:name w:val="Header Char_18"/>
    <w:link w:val="Header18"/>
    <w:rPr>
      <w:sz w:val="24"/>
      <w:szCs w:val="24"/>
      <w:lang w:val="de-DE" w:eastAsia="de-DE" w:bidi="de-DE"/>
    </w:rPr>
  </w:style>
  <w:style w:type="character" w:customStyle="1" w:styleId="NotesChar18">
    <w:name w:val="Notes Char_18"/>
    <w:link w:val="Notes18"/>
    <w:rPr>
      <w:rFonts w:ascii="Arial" w:hAnsi="Arial"/>
      <w:b/>
      <w:szCs w:val="24"/>
      <w:lang w:val="de-DE" w:eastAsia="de-DE"/>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rmal21">
    <w:name w:val="Normal_21"/>
    <w:qFormat/>
    <w:pPr>
      <w:suppressAutoHyphens/>
    </w:pPr>
    <w:rPr>
      <w:sz w:val="24"/>
      <w:szCs w:val="24"/>
    </w:rPr>
  </w:style>
  <w:style w:type="paragraph" w:customStyle="1" w:styleId="ListParagraph3">
    <w:name w:val="List Paragraph_3"/>
    <w:basedOn w:val="Normal21"/>
    <w:uiPriority w:val="34"/>
    <w:qFormat/>
    <w:pPr>
      <w:ind w:left="720"/>
      <w:contextualSpacing/>
    </w:pPr>
  </w:style>
  <w:style w:type="paragraph" w:customStyle="1" w:styleId="Notes19">
    <w:name w:val="Notes_19"/>
    <w:basedOn w:val="Header19"/>
    <w:link w:val="NotesChar19"/>
    <w:pPr>
      <w:numPr>
        <w:numId w:val="75"/>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sz w:val="24"/>
      <w:szCs w:val="24"/>
      <w:lang w:val="de-DE" w:eastAsia="de-DE" w:bidi="de-DE"/>
    </w:rPr>
  </w:style>
  <w:style w:type="character" w:customStyle="1" w:styleId="NotesChar19">
    <w:name w:val="Notes Char_19"/>
    <w:link w:val="Notes19"/>
    <w:rPr>
      <w:rFonts w:ascii="Arial" w:hAnsi="Arial"/>
      <w:b/>
      <w:szCs w:val="24"/>
      <w:lang w:val="de-DE" w:eastAsia="de-DE"/>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rmal170">
    <w:name w:val="Normal_17_0"/>
    <w:qFormat/>
    <w:pPr>
      <w:suppressAutoHyphens/>
    </w:pPr>
    <w:rPr>
      <w:sz w:val="24"/>
      <w:szCs w:val="24"/>
    </w:rPr>
  </w:style>
  <w:style w:type="paragraph" w:customStyle="1" w:styleId="Normal22">
    <w:name w:val="Normal_22"/>
    <w:qFormat/>
    <w:pPr>
      <w:suppressAutoHyphens/>
    </w:pPr>
    <w:rPr>
      <w:sz w:val="24"/>
      <w:szCs w:val="24"/>
    </w:rPr>
  </w:style>
  <w:style w:type="paragraph" w:customStyle="1" w:styleId="Notes20">
    <w:name w:val="Notes_20"/>
    <w:basedOn w:val="Header20"/>
    <w:link w:val="NotesChar20"/>
    <w:pPr>
      <w:numPr>
        <w:numId w:val="7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sz w:val="24"/>
      <w:szCs w:val="24"/>
      <w:lang w:val="de-DE" w:eastAsia="de-DE" w:bidi="de-DE"/>
    </w:rPr>
  </w:style>
  <w:style w:type="character" w:customStyle="1" w:styleId="NotesChar20">
    <w:name w:val="Notes Char_20"/>
    <w:link w:val="Notes20"/>
    <w:rPr>
      <w:rFonts w:ascii="Arial" w:hAnsi="Arial"/>
      <w:b/>
      <w:szCs w:val="24"/>
      <w:lang w:val="de-DE" w:eastAsia="de-DE"/>
    </w:rPr>
  </w:style>
  <w:style w:type="paragraph" w:customStyle="1" w:styleId="Normal180">
    <w:name w:val="Normal_18_0"/>
    <w:qFormat/>
    <w:pPr>
      <w:suppressAutoHyphens/>
    </w:pPr>
    <w:rPr>
      <w:sz w:val="24"/>
      <w:szCs w:val="24"/>
    </w:rPr>
  </w:style>
  <w:style w:type="paragraph" w:customStyle="1" w:styleId="Normal1800">
    <w:name w:val="Normal_18_0_0"/>
    <w:qFormat/>
    <w:pPr>
      <w:suppressAutoHyphens/>
    </w:pPr>
    <w:rPr>
      <w:sz w:val="24"/>
      <w:szCs w:val="24"/>
    </w:rPr>
  </w:style>
  <w:style w:type="paragraph" w:customStyle="1" w:styleId="Normal23">
    <w:name w:val="Normal_23"/>
    <w:qFormat/>
    <w:pPr>
      <w:suppressAutoHyphens/>
    </w:pPr>
    <w:rPr>
      <w:sz w:val="24"/>
      <w:szCs w:val="24"/>
    </w:rPr>
  </w:style>
  <w:style w:type="paragraph" w:customStyle="1" w:styleId="Notes21">
    <w:name w:val="Notes_21"/>
    <w:basedOn w:val="Header21"/>
    <w:link w:val="NotesChar21"/>
    <w:pPr>
      <w:numPr>
        <w:numId w:val="8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character" w:customStyle="1" w:styleId="HeaderChar21">
    <w:name w:val="Header Char_21"/>
    <w:link w:val="Header21"/>
    <w:rPr>
      <w:sz w:val="24"/>
      <w:szCs w:val="24"/>
      <w:lang w:val="de-DE" w:eastAsia="de-DE" w:bidi="de-DE"/>
    </w:rPr>
  </w:style>
  <w:style w:type="character" w:customStyle="1" w:styleId="NotesChar21">
    <w:name w:val="Notes Char_21"/>
    <w:link w:val="Notes21"/>
    <w:rPr>
      <w:rFonts w:ascii="Arial" w:hAnsi="Arial"/>
      <w:b/>
      <w:szCs w:val="24"/>
      <w:lang w:val="de-DE" w:eastAsia="de-DE"/>
    </w:rPr>
  </w:style>
  <w:style w:type="paragraph" w:customStyle="1" w:styleId="Normal181">
    <w:name w:val="Normal_18_1"/>
    <w:qFormat/>
    <w:pPr>
      <w:suppressAutoHyphens/>
    </w:pPr>
    <w:rPr>
      <w:sz w:val="24"/>
      <w:szCs w:val="24"/>
    </w:rPr>
  </w:style>
  <w:style w:type="paragraph" w:customStyle="1" w:styleId="Normal24">
    <w:name w:val="Normal_24"/>
    <w:qFormat/>
    <w:pPr>
      <w:suppressAutoHyphens/>
    </w:pPr>
    <w:rPr>
      <w:sz w:val="24"/>
      <w:szCs w:val="24"/>
    </w:rPr>
  </w:style>
  <w:style w:type="paragraph" w:customStyle="1" w:styleId="ListParagraph4">
    <w:name w:val="List Paragraph_4"/>
    <w:basedOn w:val="Normal24"/>
    <w:uiPriority w:val="34"/>
    <w:qFormat/>
    <w:pPr>
      <w:ind w:left="720"/>
      <w:contextualSpacing/>
    </w:pPr>
  </w:style>
  <w:style w:type="paragraph" w:customStyle="1" w:styleId="ListParagraph5">
    <w:name w:val="List Paragraph_5"/>
    <w:basedOn w:val="Normal25"/>
    <w:uiPriority w:val="34"/>
    <w:qFormat/>
    <w:pPr>
      <w:ind w:left="720"/>
      <w:contextualSpacing/>
    </w:pPr>
  </w:style>
  <w:style w:type="paragraph" w:customStyle="1" w:styleId="Normal25">
    <w:name w:val="Normal_25"/>
    <w:qFormat/>
    <w:pPr>
      <w:suppressAutoHyphens/>
    </w:pPr>
    <w:rPr>
      <w:sz w:val="24"/>
      <w:szCs w:val="24"/>
    </w:rPr>
  </w:style>
  <w:style w:type="paragraph" w:customStyle="1" w:styleId="Notes22">
    <w:name w:val="Notes_22"/>
    <w:basedOn w:val="Header24"/>
    <w:link w:val="NotesChar22"/>
    <w:pPr>
      <w:numPr>
        <w:numId w:val="8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rPr>
  </w:style>
  <w:style w:type="character" w:customStyle="1" w:styleId="HeaderChar24">
    <w:name w:val="Header Char_24"/>
    <w:link w:val="Header24"/>
    <w:rPr>
      <w:sz w:val="24"/>
      <w:szCs w:val="24"/>
      <w:lang w:val="de-DE" w:eastAsia="de-DE" w:bidi="de-DE"/>
    </w:rPr>
  </w:style>
  <w:style w:type="character" w:customStyle="1" w:styleId="NotesChar22">
    <w:name w:val="Notes Char_22"/>
    <w:link w:val="Notes22"/>
    <w:rPr>
      <w:rFonts w:ascii="Arial" w:hAnsi="Arial"/>
      <w:b/>
      <w:szCs w:val="24"/>
      <w:lang w:val="de-DE" w:eastAsia="de-DE"/>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sz w:val="24"/>
      <w:szCs w:val="24"/>
    </w:rPr>
  </w:style>
  <w:style w:type="character" w:customStyle="1" w:styleId="HeaderChar25">
    <w:name w:val="Header Char_25"/>
    <w:link w:val="Header25"/>
    <w:rPr>
      <w:sz w:val="24"/>
      <w:szCs w:val="24"/>
      <w:lang w:val="de-DE" w:eastAsia="de-DE" w:bidi="de-DE"/>
    </w:rPr>
  </w:style>
  <w:style w:type="paragraph" w:customStyle="1" w:styleId="Notes23">
    <w:name w:val="Notes_23"/>
    <w:basedOn w:val="Header25"/>
    <w:link w:val="NotesChar23"/>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de-DE" w:eastAsia="de-DE"/>
    </w:rPr>
  </w:style>
  <w:style w:type="paragraph" w:customStyle="1" w:styleId="Notes24">
    <w:name w:val="Notes_24"/>
    <w:basedOn w:val="Header26"/>
    <w:link w:val="NotesChar24"/>
    <w:pPr>
      <w:numPr>
        <w:numId w:val="8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sz w:val="24"/>
      <w:szCs w:val="24"/>
    </w:rPr>
  </w:style>
  <w:style w:type="character" w:customStyle="1" w:styleId="HeaderChar26">
    <w:name w:val="Header Char_26"/>
    <w:link w:val="Header26"/>
    <w:rPr>
      <w:sz w:val="24"/>
      <w:szCs w:val="24"/>
      <w:lang w:val="de-DE" w:eastAsia="de-DE" w:bidi="de-DE"/>
    </w:rPr>
  </w:style>
  <w:style w:type="character" w:customStyle="1" w:styleId="NotesChar24">
    <w:name w:val="Notes Char_24"/>
    <w:link w:val="Notes24"/>
    <w:rPr>
      <w:rFonts w:ascii="Arial" w:hAnsi="Arial"/>
      <w:b/>
      <w:szCs w:val="24"/>
      <w:lang w:val="de-DE" w:eastAsia="de-DE"/>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sz w:val="24"/>
      <w:szCs w:val="24"/>
    </w:rPr>
  </w:style>
  <w:style w:type="character" w:customStyle="1" w:styleId="HeaderChar27">
    <w:name w:val="Header Char_27"/>
    <w:link w:val="Header27"/>
    <w:rPr>
      <w:sz w:val="24"/>
      <w:szCs w:val="24"/>
      <w:lang w:val="de-DE" w:eastAsia="de-DE" w:bidi="de-DE"/>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89"/>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de-DE" w:eastAsia="de-DE"/>
    </w:rPr>
  </w:style>
  <w:style w:type="paragraph" w:customStyle="1" w:styleId="ListParagraph6">
    <w:name w:val="List Paragraph_6"/>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sz w:val="24"/>
      <w:szCs w:val="24"/>
    </w:rPr>
  </w:style>
  <w:style w:type="character" w:customStyle="1" w:styleId="HeaderChar28">
    <w:name w:val="Header Char_28"/>
    <w:link w:val="Header28"/>
    <w:rPr>
      <w:sz w:val="24"/>
      <w:szCs w:val="24"/>
      <w:lang w:val="de-DE" w:eastAsia="de-DE" w:bidi="de-DE"/>
    </w:rPr>
  </w:style>
  <w:style w:type="character" w:customStyle="1" w:styleId="NotesChar26">
    <w:name w:val="Notes Char_26"/>
    <w:link w:val="Notes26"/>
    <w:rPr>
      <w:rFonts w:ascii="Arial" w:hAnsi="Arial"/>
      <w:b/>
      <w:szCs w:val="24"/>
      <w:lang w:val="de-DE" w:eastAsia="de-DE"/>
    </w:rPr>
  </w:style>
  <w:style w:type="paragraph" w:customStyle="1" w:styleId="Notes">
    <w:name w:val="Notes"/>
    <w:basedOn w:val="Header"/>
    <w:link w:val="NotesChar"/>
    <w:pPr>
      <w:numPr>
        <w:numId w:val="92"/>
      </w:numPr>
      <w:tabs>
        <w:tab w:val="center" w:pos="4320"/>
        <w:tab w:val="right" w:pos="8640"/>
      </w:tabs>
      <w:spacing w:before="120" w:after="120"/>
      <w:jc w:val="both"/>
    </w:pPr>
    <w:rPr>
      <w:rFonts w:ascii="Arial" w:hAnsi="Arial"/>
      <w:b/>
      <w:sz w:val="20"/>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Pr>
      <w:rFonts w:ascii="Arial" w:hAnsi="Arial"/>
      <w:b/>
      <w:szCs w:val="24"/>
      <w:lang w:val="de-DE"/>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9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sz w:val="24"/>
      <w:szCs w:val="24"/>
    </w:rPr>
  </w:style>
  <w:style w:type="character" w:customStyle="1" w:styleId="HeaderChar29">
    <w:name w:val="Header Char_29"/>
    <w:link w:val="Header29"/>
    <w:rPr>
      <w:sz w:val="24"/>
      <w:szCs w:val="24"/>
      <w:lang w:val="de-DE" w:eastAsia="de-DE" w:bidi="de-DE"/>
    </w:rPr>
  </w:style>
  <w:style w:type="character" w:customStyle="1" w:styleId="NotesChar27">
    <w:name w:val="Notes Char_27"/>
    <w:link w:val="Notes27"/>
    <w:rPr>
      <w:rFonts w:ascii="Arial" w:hAnsi="Arial"/>
      <w:b/>
      <w:szCs w:val="24"/>
      <w:lang w:val="de-DE" w:eastAsia="de-DE"/>
    </w:rPr>
  </w:style>
  <w:style w:type="paragraph" w:customStyle="1" w:styleId="ListParagraph7">
    <w:name w:val="List Paragraph_7"/>
    <w:basedOn w:val="Normal31"/>
    <w:uiPriority w:val="34"/>
    <w:qFormat/>
    <w:pPr>
      <w:ind w:left="720"/>
      <w:contextualSpacing/>
    </w:pPr>
  </w:style>
  <w:style w:type="paragraph" w:customStyle="1" w:styleId="Notes28">
    <w:name w:val="Notes_28"/>
    <w:basedOn w:val="Header30"/>
    <w:link w:val="NotesChar28"/>
    <w:pPr>
      <w:numPr>
        <w:numId w:val="95"/>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rPr>
  </w:style>
  <w:style w:type="character" w:customStyle="1" w:styleId="HeaderChar30">
    <w:name w:val="Header Char_30"/>
    <w:basedOn w:val="DefaultParagraphFont"/>
    <w:link w:val="Header30"/>
    <w:uiPriority w:val="99"/>
    <w:semiHidden/>
  </w:style>
  <w:style w:type="character" w:customStyle="1" w:styleId="NotesChar28">
    <w:name w:val="Notes Char_28"/>
    <w:link w:val="Notes28"/>
    <w:locked/>
    <w:rPr>
      <w:rFonts w:ascii="Arial" w:eastAsia="Calibri" w:hAnsi="Arial" w:cs="Arial"/>
      <w:b/>
      <w:szCs w:val="24"/>
      <w:lang w:val="de-DE" w:eastAsia="de-DE"/>
    </w:rPr>
  </w:style>
  <w:style w:type="table" w:styleId="TableGrid">
    <w:name w:val="Table Grid"/>
    <w:basedOn w:val="TableNormal"/>
    <w:uiPriority w:val="59"/>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Times New Roman" w:hAnsi="Times New Roman"/>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09496">
      <w:bodyDiv w:val="1"/>
      <w:marLeft w:val="0"/>
      <w:marRight w:val="0"/>
      <w:marTop w:val="0"/>
      <w:marBottom w:val="0"/>
      <w:divBdr>
        <w:top w:val="none" w:sz="0" w:space="0" w:color="auto"/>
        <w:left w:val="none" w:sz="0" w:space="0" w:color="auto"/>
        <w:bottom w:val="none" w:sz="0" w:space="0" w:color="auto"/>
        <w:right w:val="none" w:sz="0" w:space="0" w:color="auto"/>
      </w:divBdr>
    </w:div>
    <w:div w:id="289828563">
      <w:bodyDiv w:val="1"/>
      <w:marLeft w:val="0"/>
      <w:marRight w:val="0"/>
      <w:marTop w:val="0"/>
      <w:marBottom w:val="0"/>
      <w:divBdr>
        <w:top w:val="none" w:sz="0" w:space="0" w:color="auto"/>
        <w:left w:val="none" w:sz="0" w:space="0" w:color="auto"/>
        <w:bottom w:val="none" w:sz="0" w:space="0" w:color="auto"/>
        <w:right w:val="none" w:sz="0" w:space="0" w:color="auto"/>
      </w:divBdr>
    </w:div>
    <w:div w:id="1120108052">
      <w:bodyDiv w:val="1"/>
      <w:marLeft w:val="0"/>
      <w:marRight w:val="0"/>
      <w:marTop w:val="0"/>
      <w:marBottom w:val="0"/>
      <w:divBdr>
        <w:top w:val="none" w:sz="0" w:space="0" w:color="auto"/>
        <w:left w:val="none" w:sz="0" w:space="0" w:color="auto"/>
        <w:bottom w:val="none" w:sz="0" w:space="0" w:color="auto"/>
        <w:right w:val="none" w:sz="0" w:space="0" w:color="auto"/>
      </w:divBdr>
    </w:div>
    <w:div w:id="1125806516">
      <w:bodyDiv w:val="1"/>
      <w:marLeft w:val="0"/>
      <w:marRight w:val="0"/>
      <w:marTop w:val="0"/>
      <w:marBottom w:val="0"/>
      <w:divBdr>
        <w:top w:val="none" w:sz="0" w:space="0" w:color="auto"/>
        <w:left w:val="none" w:sz="0" w:space="0" w:color="auto"/>
        <w:bottom w:val="none" w:sz="0" w:space="0" w:color="auto"/>
        <w:right w:val="none" w:sz="0" w:space="0" w:color="auto"/>
      </w:divBdr>
    </w:div>
    <w:div w:id="1234967527">
      <w:bodyDiv w:val="1"/>
      <w:marLeft w:val="0"/>
      <w:marRight w:val="0"/>
      <w:marTop w:val="0"/>
      <w:marBottom w:val="0"/>
      <w:divBdr>
        <w:top w:val="none" w:sz="0" w:space="0" w:color="auto"/>
        <w:left w:val="none" w:sz="0" w:space="0" w:color="auto"/>
        <w:bottom w:val="none" w:sz="0" w:space="0" w:color="auto"/>
        <w:right w:val="none" w:sz="0" w:space="0" w:color="auto"/>
      </w:divBdr>
    </w:div>
    <w:div w:id="1415860060">
      <w:bodyDiv w:val="1"/>
      <w:marLeft w:val="0"/>
      <w:marRight w:val="0"/>
      <w:marTop w:val="0"/>
      <w:marBottom w:val="0"/>
      <w:divBdr>
        <w:top w:val="none" w:sz="0" w:space="0" w:color="auto"/>
        <w:left w:val="none" w:sz="0" w:space="0" w:color="auto"/>
        <w:bottom w:val="none" w:sz="0" w:space="0" w:color="auto"/>
        <w:right w:val="none" w:sz="0" w:space="0" w:color="auto"/>
      </w:divBdr>
    </w:div>
    <w:div w:id="173843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1.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3.xml"/><Relationship Id="rId366" Type="http://schemas.openxmlformats.org/officeDocument/2006/relationships/header" Target="header174.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01.xml"/><Relationship Id="rId268" Type="http://schemas.openxmlformats.org/officeDocument/2006/relationships/header" Target="header128.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59.xml"/><Relationship Id="rId377" Type="http://schemas.openxmlformats.org/officeDocument/2006/relationships/header" Target="header179.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image" Target="media/image13.emf"/><Relationship Id="rId279" Type="http://schemas.openxmlformats.org/officeDocument/2006/relationships/header" Target="header133.xml"/><Relationship Id="rId444" Type="http://schemas.openxmlformats.org/officeDocument/2006/relationships/header" Target="header207.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38.xml"/><Relationship Id="rId304" Type="http://schemas.openxmlformats.org/officeDocument/2006/relationships/footer" Target="footer143.xml"/><Relationship Id="rId346" Type="http://schemas.openxmlformats.org/officeDocument/2006/relationships/footer" Target="footer164.xml"/><Relationship Id="rId388" Type="http://schemas.openxmlformats.org/officeDocument/2006/relationships/footer" Target="footer183.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footer" Target="footer191.xml"/><Relationship Id="rId248" Type="http://schemas.openxmlformats.org/officeDocument/2006/relationships/footer" Target="footer119.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footer" Target="footer148.xml"/><Relationship Id="rId357" Type="http://schemas.openxmlformats.org/officeDocument/2006/relationships/footer" Target="footer169.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footer" Target="footer178.xml"/><Relationship Id="rId399" Type="http://schemas.openxmlformats.org/officeDocument/2006/relationships/image" Target="media/image10.png"/><Relationship Id="rId403" Type="http://schemas.openxmlformats.org/officeDocument/2006/relationships/image" Target="media/image14.emf"/><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header" Target="header123.xml"/><Relationship Id="rId424" Type="http://schemas.openxmlformats.org/officeDocument/2006/relationships/footer" Target="footer196.xml"/><Relationship Id="rId445" Type="http://schemas.openxmlformats.org/officeDocument/2006/relationships/footer" Target="footer207.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footer" Target="footer128.xml"/><Relationship Id="rId291" Type="http://schemas.openxmlformats.org/officeDocument/2006/relationships/hyperlink" Target="http://europa.eu/rapid/press-release_IP-15-6055_en.htm%20(auf%20Englisch)." TargetMode="External"/><Relationship Id="rId305" Type="http://schemas.openxmlformats.org/officeDocument/2006/relationships/header" Target="header144.xml"/><Relationship Id="rId326" Type="http://schemas.openxmlformats.org/officeDocument/2006/relationships/header" Target="header155.xml"/><Relationship Id="rId347" Type="http://schemas.openxmlformats.org/officeDocument/2006/relationships/header" Target="header165.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image" Target="media/image3.emf"/><Relationship Id="rId389" Type="http://schemas.openxmlformats.org/officeDocument/2006/relationships/image" Target="media/image6.emf"/><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192.xml"/><Relationship Id="rId435" Type="http://schemas.openxmlformats.org/officeDocument/2006/relationships/header" Target="header203.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3.xml"/><Relationship Id="rId281" Type="http://schemas.openxmlformats.org/officeDocument/2006/relationships/footer" Target="footer133.xml"/><Relationship Id="rId316" Type="http://schemas.openxmlformats.org/officeDocument/2006/relationships/footer" Target="footer149.xml"/><Relationship Id="rId337" Type="http://schemas.openxmlformats.org/officeDocument/2006/relationships/header" Target="header160.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0.xml"/><Relationship Id="rId379" Type="http://schemas.openxmlformats.org/officeDocument/2006/relationships/footer" Target="footer179.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image" Target="media/image7.emf"/><Relationship Id="rId404" Type="http://schemas.openxmlformats.org/officeDocument/2006/relationships/header" Target="header187.xml"/><Relationship Id="rId425" Type="http://schemas.openxmlformats.org/officeDocument/2006/relationships/footer" Target="footer197.xml"/><Relationship Id="rId446" Type="http://schemas.openxmlformats.org/officeDocument/2006/relationships/fontTable" Target="fontTable.xml"/><Relationship Id="rId250" Type="http://schemas.openxmlformats.org/officeDocument/2006/relationships/footer" Target="footer120.xml"/><Relationship Id="rId271" Type="http://schemas.openxmlformats.org/officeDocument/2006/relationships/header" Target="header129.xml"/><Relationship Id="rId292" Type="http://schemas.openxmlformats.org/officeDocument/2006/relationships/hyperlink" Target="http://ec.europa.eu/europeaid/node/104594" TargetMode="External"/><Relationship Id="rId306" Type="http://schemas.openxmlformats.org/officeDocument/2006/relationships/footer" Target="footer144.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footer" Target="footer154.xml"/><Relationship Id="rId348" Type="http://schemas.openxmlformats.org/officeDocument/2006/relationships/footer" Target="footer165.xml"/><Relationship Id="rId369" Type="http://schemas.openxmlformats.org/officeDocument/2006/relationships/header" Target="header175.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header" Target="header180.xml"/><Relationship Id="rId415" Type="http://schemas.openxmlformats.org/officeDocument/2006/relationships/footer" Target="footer192.xml"/><Relationship Id="rId436" Type="http://schemas.openxmlformats.org/officeDocument/2006/relationships/footer" Target="footer202.xml"/><Relationship Id="rId240" Type="http://schemas.openxmlformats.org/officeDocument/2006/relationships/header" Target="header116.xml"/><Relationship Id="rId261" Type="http://schemas.openxmlformats.org/officeDocument/2006/relationships/header" Target="header124.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footer" Target="footer134.xml"/><Relationship Id="rId317" Type="http://schemas.openxmlformats.org/officeDocument/2006/relationships/header" Target="header150.xml"/><Relationship Id="rId338" Type="http://schemas.openxmlformats.org/officeDocument/2006/relationships/header" Target="header161.xml"/><Relationship Id="rId359" Type="http://schemas.openxmlformats.org/officeDocument/2006/relationships/header" Target="header171.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header" Target="header176.xml"/><Relationship Id="rId391" Type="http://schemas.openxmlformats.org/officeDocument/2006/relationships/header" Target="header184.xml"/><Relationship Id="rId405" Type="http://schemas.openxmlformats.org/officeDocument/2006/relationships/header" Target="header188.xml"/><Relationship Id="rId426" Type="http://schemas.openxmlformats.org/officeDocument/2006/relationships/header" Target="header198.xml"/><Relationship Id="rId447" Type="http://schemas.openxmlformats.org/officeDocument/2006/relationships/theme" Target="theme/theme1.xml"/><Relationship Id="rId230" Type="http://schemas.openxmlformats.org/officeDocument/2006/relationships/footer" Target="footer110.xml"/><Relationship Id="rId251" Type="http://schemas.openxmlformats.org/officeDocument/2006/relationships/hyperlink" Target="http://ec.europa.eu/echo/" TargetMode="Externa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29.xml"/><Relationship Id="rId293" Type="http://schemas.openxmlformats.org/officeDocument/2006/relationships/hyperlink" Target="https://ec.europa.eu/europeaid/regions/africa/eu-emergency-trust-fund/horn-africa_en%20(auf%20Englisch)." TargetMode="External"/><Relationship Id="rId307" Type="http://schemas.openxmlformats.org/officeDocument/2006/relationships/header" Target="header145.xml"/><Relationship Id="rId328" Type="http://schemas.openxmlformats.org/officeDocument/2006/relationships/footer" Target="footer155.xml"/><Relationship Id="rId349" Type="http://schemas.openxmlformats.org/officeDocument/2006/relationships/header" Target="header166.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1.xml"/><Relationship Id="rId381" Type="http://schemas.openxmlformats.org/officeDocument/2006/relationships/footer" Target="footer180.xml"/><Relationship Id="rId416" Type="http://schemas.openxmlformats.org/officeDocument/2006/relationships/header" Target="header193.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footer" Target="footer203.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header" Target="header125.xml"/><Relationship Id="rId283" Type="http://schemas.openxmlformats.org/officeDocument/2006/relationships/header" Target="header135.xml"/><Relationship Id="rId318" Type="http://schemas.openxmlformats.org/officeDocument/2006/relationships/footer" Target="footer150.xml"/><Relationship Id="rId339" Type="http://schemas.openxmlformats.org/officeDocument/2006/relationships/footer" Target="footer160.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header" Target="header167.xml"/><Relationship Id="rId371" Type="http://schemas.openxmlformats.org/officeDocument/2006/relationships/footer" Target="footer175.xml"/><Relationship Id="rId406" Type="http://schemas.openxmlformats.org/officeDocument/2006/relationships/footer" Target="footer187.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header" Target="header185.xml"/><Relationship Id="rId427" Type="http://schemas.openxmlformats.org/officeDocument/2006/relationships/footer" Target="footer198.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yperlink" Target="http://www.eeas.europa.eu/index_en.htm" TargetMode="External"/><Relationship Id="rId273" Type="http://schemas.openxmlformats.org/officeDocument/2006/relationships/header" Target="header130.xml"/><Relationship Id="rId294" Type="http://schemas.openxmlformats.org/officeDocument/2006/relationships/hyperlink" Target="http://ec.europa.eu/europeaid/regions/africa/eu-emergency-trust-fund/north-africa_en%20(auf%20Englisch)." TargetMode="External"/><Relationship Id="rId308" Type="http://schemas.openxmlformats.org/officeDocument/2006/relationships/header" Target="header146.xml"/><Relationship Id="rId329" Type="http://schemas.openxmlformats.org/officeDocument/2006/relationships/header" Target="header156.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1.xml"/><Relationship Id="rId361" Type="http://schemas.openxmlformats.org/officeDocument/2006/relationships/image" Target="media/image2.emf"/><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image" Target="media/image5.emf"/><Relationship Id="rId417" Type="http://schemas.openxmlformats.org/officeDocument/2006/relationships/header" Target="header194.xml"/><Relationship Id="rId438" Type="http://schemas.openxmlformats.org/officeDocument/2006/relationships/header" Target="header204.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footer" Target="footer124.xml"/><Relationship Id="rId284" Type="http://schemas.openxmlformats.org/officeDocument/2006/relationships/footer" Target="footer135.xml"/><Relationship Id="rId319" Type="http://schemas.openxmlformats.org/officeDocument/2006/relationships/header" Target="header151.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6.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footer" Target="footer166.xml"/><Relationship Id="rId372" Type="http://schemas.openxmlformats.org/officeDocument/2006/relationships/footer" Target="footer176.xml"/><Relationship Id="rId393" Type="http://schemas.openxmlformats.org/officeDocument/2006/relationships/footer" Target="footer184.xml"/><Relationship Id="rId407" Type="http://schemas.openxmlformats.org/officeDocument/2006/relationships/footer" Target="footer188.xml"/><Relationship Id="rId428" Type="http://schemas.openxmlformats.org/officeDocument/2006/relationships/header" Target="header19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hyperlink" Target="http://www.afd.fr/lang/en/home" TargetMode="External"/><Relationship Id="rId274" Type="http://schemas.openxmlformats.org/officeDocument/2006/relationships/header" Target="header131.xml"/><Relationship Id="rId295" Type="http://schemas.openxmlformats.org/officeDocument/2006/relationships/header" Target="header139.xml"/><Relationship Id="rId309" Type="http://schemas.openxmlformats.org/officeDocument/2006/relationships/footer" Target="footer145.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header" Target="header152.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2.xml"/><Relationship Id="rId362" Type="http://schemas.openxmlformats.org/officeDocument/2006/relationships/header" Target="header172.xml"/><Relationship Id="rId383" Type="http://schemas.openxmlformats.org/officeDocument/2006/relationships/header" Target="header181.xml"/><Relationship Id="rId418" Type="http://schemas.openxmlformats.org/officeDocument/2006/relationships/footer" Target="footer193.xml"/><Relationship Id="rId439" Type="http://schemas.openxmlformats.org/officeDocument/2006/relationships/footer" Target="footer20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footer" Target="footer125.xml"/><Relationship Id="rId285" Type="http://schemas.openxmlformats.org/officeDocument/2006/relationships/header" Target="header136.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46.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header" Target="header157.xml"/><Relationship Id="rId352" Type="http://schemas.openxmlformats.org/officeDocument/2006/relationships/footer" Target="footer167.xml"/><Relationship Id="rId373" Type="http://schemas.openxmlformats.org/officeDocument/2006/relationships/header" Target="header177.xml"/><Relationship Id="rId394" Type="http://schemas.openxmlformats.org/officeDocument/2006/relationships/footer" Target="footer185.xml"/><Relationship Id="rId408" Type="http://schemas.openxmlformats.org/officeDocument/2006/relationships/header" Target="header189.xml"/><Relationship Id="rId429" Type="http://schemas.openxmlformats.org/officeDocument/2006/relationships/header" Target="header200.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hyperlink" Target="http://www.government.nl/issues/development-cooperation" TargetMode="External"/><Relationship Id="rId440" Type="http://schemas.openxmlformats.org/officeDocument/2006/relationships/header" Target="header205.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footer" Target="footer130.xml"/><Relationship Id="rId296" Type="http://schemas.openxmlformats.org/officeDocument/2006/relationships/header" Target="header140.xml"/><Relationship Id="rId300" Type="http://schemas.openxmlformats.org/officeDocument/2006/relationships/footer" Target="footer141.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footer" Target="footer151.xml"/><Relationship Id="rId342" Type="http://schemas.openxmlformats.org/officeDocument/2006/relationships/footer" Target="footer162.xml"/><Relationship Id="rId363" Type="http://schemas.openxmlformats.org/officeDocument/2006/relationships/header" Target="header173.xml"/><Relationship Id="rId384" Type="http://schemas.openxmlformats.org/officeDocument/2006/relationships/header" Target="header182.xml"/><Relationship Id="rId419" Type="http://schemas.openxmlformats.org/officeDocument/2006/relationships/footer" Target="footer194.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199.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6.xml"/><Relationship Id="rId286" Type="http://schemas.openxmlformats.org/officeDocument/2006/relationships/header" Target="header137.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47.xml"/><Relationship Id="rId332" Type="http://schemas.openxmlformats.org/officeDocument/2006/relationships/header" Target="header158.xml"/><Relationship Id="rId353" Type="http://schemas.openxmlformats.org/officeDocument/2006/relationships/header" Target="header168.xml"/><Relationship Id="rId374" Type="http://schemas.openxmlformats.org/officeDocument/2006/relationships/footer" Target="footer177.xml"/><Relationship Id="rId395" Type="http://schemas.openxmlformats.org/officeDocument/2006/relationships/header" Target="header186.xml"/><Relationship Id="rId409" Type="http://schemas.openxmlformats.org/officeDocument/2006/relationships/footer" Target="footer18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195.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1.xml"/><Relationship Id="rId276" Type="http://schemas.openxmlformats.org/officeDocument/2006/relationships/footer" Target="footer131.xml"/><Relationship Id="rId297" Type="http://schemas.openxmlformats.org/officeDocument/2006/relationships/footer" Target="footer139.xml"/><Relationship Id="rId441" Type="http://schemas.openxmlformats.org/officeDocument/2006/relationships/header" Target="header206.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header" Target="header142.xml"/><Relationship Id="rId322" Type="http://schemas.openxmlformats.org/officeDocument/2006/relationships/footer" Target="footer152.xml"/><Relationship Id="rId343" Type="http://schemas.openxmlformats.org/officeDocument/2006/relationships/header" Target="header163.xml"/><Relationship Id="rId364" Type="http://schemas.openxmlformats.org/officeDocument/2006/relationships/footer" Target="footer172.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1.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6.xml"/><Relationship Id="rId287" Type="http://schemas.openxmlformats.org/officeDocument/2006/relationships/footer" Target="footer136.xml"/><Relationship Id="rId410" Type="http://schemas.openxmlformats.org/officeDocument/2006/relationships/header" Target="header190.xml"/><Relationship Id="rId431" Type="http://schemas.openxmlformats.org/officeDocument/2006/relationships/footer" Target="footer20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footer" Target="footer147.xml"/><Relationship Id="rId333" Type="http://schemas.openxmlformats.org/officeDocument/2006/relationships/footer" Target="footer157.xml"/><Relationship Id="rId354" Type="http://schemas.openxmlformats.org/officeDocument/2006/relationships/footer" Target="footer168.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image" Target="media/image4.emf"/><Relationship Id="rId396" Type="http://schemas.openxmlformats.org/officeDocument/2006/relationships/footer" Target="footer186.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header" Target="header122.xml"/><Relationship Id="rId277" Type="http://schemas.openxmlformats.org/officeDocument/2006/relationships/header" Target="header132.xml"/><Relationship Id="rId298" Type="http://schemas.openxmlformats.org/officeDocument/2006/relationships/footer" Target="footer140.xml"/><Relationship Id="rId400" Type="http://schemas.openxmlformats.org/officeDocument/2006/relationships/image" Target="media/image11.emf"/><Relationship Id="rId421" Type="http://schemas.openxmlformats.org/officeDocument/2006/relationships/footer" Target="footer195.xml"/><Relationship Id="rId442" Type="http://schemas.openxmlformats.org/officeDocument/2006/relationships/footer" Target="footer205.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header" Target="header143.xml"/><Relationship Id="rId323" Type="http://schemas.openxmlformats.org/officeDocument/2006/relationships/header" Target="header153.xml"/><Relationship Id="rId344" Type="http://schemas.openxmlformats.org/officeDocument/2006/relationships/header" Target="header164.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footer" Target="footer173.xml"/><Relationship Id="rId386" Type="http://schemas.openxmlformats.org/officeDocument/2006/relationships/footer" Target="footer182.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7.xml"/><Relationship Id="rId288" Type="http://schemas.openxmlformats.org/officeDocument/2006/relationships/footer" Target="footer137.xml"/><Relationship Id="rId411" Type="http://schemas.openxmlformats.org/officeDocument/2006/relationships/header" Target="header191.xml"/><Relationship Id="rId432" Type="http://schemas.openxmlformats.org/officeDocument/2006/relationships/header" Target="header201.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header" Target="header148.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58.xml"/><Relationship Id="rId355" Type="http://schemas.openxmlformats.org/officeDocument/2006/relationships/header" Target="header169.xml"/><Relationship Id="rId376" Type="http://schemas.openxmlformats.org/officeDocument/2006/relationships/header" Target="header178.xml"/><Relationship Id="rId397" Type="http://schemas.openxmlformats.org/officeDocument/2006/relationships/image" Target="media/image8.png"/><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footer" Target="footer121.xml"/><Relationship Id="rId278" Type="http://schemas.openxmlformats.org/officeDocument/2006/relationships/footer" Target="footer132.xml"/><Relationship Id="rId401" Type="http://schemas.openxmlformats.org/officeDocument/2006/relationships/image" Target="media/image12.emf"/><Relationship Id="rId422" Type="http://schemas.openxmlformats.org/officeDocument/2006/relationships/header" Target="header196.xml"/><Relationship Id="rId443" Type="http://schemas.openxmlformats.org/officeDocument/2006/relationships/footer" Target="footer206.xml"/><Relationship Id="rId303" Type="http://schemas.openxmlformats.org/officeDocument/2006/relationships/footer" Target="footer142.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footer" Target="footer163.xml"/><Relationship Id="rId387" Type="http://schemas.openxmlformats.org/officeDocument/2006/relationships/header" Target="header183.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190.xml"/><Relationship Id="rId107" Type="http://schemas.openxmlformats.org/officeDocument/2006/relationships/header" Target="header49.xml"/><Relationship Id="rId289" Type="http://schemas.openxmlformats.org/officeDocument/2006/relationships/header" Target="header138.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header" Target="header149.xml"/><Relationship Id="rId356" Type="http://schemas.openxmlformats.org/officeDocument/2006/relationships/header" Target="header170.xml"/><Relationship Id="rId398" Type="http://schemas.openxmlformats.org/officeDocument/2006/relationships/image" Target="media/image9.png"/><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197.xml"/><Relationship Id="rId258" Type="http://schemas.openxmlformats.org/officeDocument/2006/relationships/footer" Target="footer122.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4.xml"/><Relationship Id="rId367" Type="http://schemas.openxmlformats.org/officeDocument/2006/relationships/footer" Target="footer174.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footer" Target="footer127.xml"/><Relationship Id="rId434" Type="http://schemas.openxmlformats.org/officeDocument/2006/relationships/header" Target="header202.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header" Target="header134.xml"/><Relationship Id="rId336" Type="http://schemas.openxmlformats.org/officeDocument/2006/relationships/footer" Target="footer15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25BBF-5091-4C73-BDC9-6D672C9D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70</Pages>
  <Words>34539</Words>
  <Characters>226698</Characters>
  <Application>Microsoft Office Word</Application>
  <DocSecurity>0</DocSecurity>
  <Lines>11427</Lines>
  <Paragraphs>6144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WOJCIECHOWSKA Eliza (SG)</cp:lastModifiedBy>
  <cp:revision>18</cp:revision>
  <cp:lastPrinted>2017-08-21T10:16:00Z</cp:lastPrinted>
  <dcterms:created xsi:type="dcterms:W3CDTF">2017-09-26T15:55:00Z</dcterms:created>
  <dcterms:modified xsi:type="dcterms:W3CDTF">2017-09-27T09:27:00Z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wwUAAB+LCAAAAAAABAA9lIuNxEAIQ1sKzL8e+u/hns3qpItySxiwjZkYo27WOXVe5an5KnZlRsX9Kj7exCMJfbxvnVm5Rq1bcbLurHPrLj4RJ3tNDp6i6l5FratyMWdRjcjetZKyxDgaO+qSlEOJ6rB2PQoBJOagINFJ3xH1woXjZS0XzPXV2LVHHdqTHR8oqX7AnTSZ3ehGCTqYc9KuAkJ79glgxj58JKqWoDtFALDvM23oRvAZBEIR+5brihr</vt:lpwstr>
  </property>
  <property fmtid="{D5CDD505-2E9C-101B-9397-08002B2CF9AE}" pid="9" name="frecMETA01">
    <vt:lpwstr>hJXLQBReP6iiKiAJCrhNpP9C3uQ6+fyAEwhElGLwCC42DfgF9aQtUZXIuJZYe/g4kEk2+6SYxBFLIXuvJSb2oOyW8hxB3/IspatsfOSkpU2To9bb1zEk+SgOiQSp5uW7s/OlFTB3OctlpL1xz8ASlzjS0rZkMF80V8pjcAYbgTRelH0vgE/GTmryQAXJ37NMQ6KwaIaDfaoNqJiDRiDDvMy8p+GSj9tBWnz2aZ9hfmr/mlmjLd/3JVmKZbQ50oL</vt:lpwstr>
  </property>
  <property fmtid="{D5CDD505-2E9C-101B-9397-08002B2CF9AE}" pid="10" name="frecMETA02">
    <vt:lpwstr>d8J80pJ9ow1BK81pP2+F7uRm8UeacdZkkC1fMTzbp2diAtCAVep6WAHh3K42a2Bduwok+ShTtyabE+74DmqlDQZXtm8vnWowVoAmD04Ffbeqq4yM8elyrLSa8dZRGx0f4566nJ3HbA0nYA2Rv45F/tlPYGlVKbhvIyb88W56csNds0+rVsPiatTO0B10WTDiQRNMoDHvdIZw3hyO1fec7p/jASa80is+8Crb5aaVly9tC5B0RAt87UpeAbhQ8AZ</vt:lpwstr>
  </property>
  <property fmtid="{D5CDD505-2E9C-101B-9397-08002B2CF9AE}" pid="11" name="frecMETA03">
    <vt:lpwstr>ExPXvcgtVziR+D4a4jnakippD0t33u+IKzc6Ef3I/9c8dDdmD0xfj1v7OuTZvqaiwwllrqN4M3MrAcS62rRzG0o3LF7821xwNnQVlqX77Jj4C47pK+mz1PRys7zBwVpC/HDBQAA</vt:lpwstr>
  </property>
  <property fmtid="{D5CDD505-2E9C-101B-9397-08002B2CF9AE}" pid="12" name="PeriodId">
    <vt:i4>6</vt:i4>
  </property>
  <property fmtid="{D5CDD505-2E9C-101B-9397-08002B2CF9AE}" pid="13" name="PeriodName">
    <vt:lpwstr>2016 Annual Accounts</vt:lpwstr>
  </property>
  <property fmtid="{D5CDD505-2E9C-101B-9397-08002B2CF9AE}" pid="14" name="ReportId">
    <vt:i4>88</vt:i4>
  </property>
  <property fmtid="{D5CDD505-2E9C-101B-9397-08002B2CF9AE}" pid="15" name="ReportName">
    <vt:lpwstr>EDF Annual Accounts</vt:lpwstr>
  </property>
  <property fmtid="{D5CDD505-2E9C-101B-9397-08002B2CF9AE}" pid="16" name="UseLegacyExcelTemplate">
    <vt:bool>true</vt:bool>
  </property>
  <property fmtid="{D5CDD505-2E9C-101B-9397-08002B2CF9AE}" pid="17" name="Part">
    <vt:lpwstr>1</vt:lpwstr>
  </property>
  <property fmtid="{D5CDD505-2E9C-101B-9397-08002B2CF9AE}" pid="18" name="Total parts">
    <vt:lpwstr>1</vt:lpwstr>
  </property>
  <property fmtid="{D5CDD505-2E9C-101B-9397-08002B2CF9AE}" pid="19" name="Classification">
    <vt:lpwstr> </vt:lpwstr>
  </property>
  <property fmtid="{D5CDD505-2E9C-101B-9397-08002B2CF9AE}" pid="20" name="DocStatus">
    <vt:lpwstr>Green</vt:lpwstr>
  </property>
</Properties>
</file>