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DAD05A4F39084B458EFE4DB7A261DD66"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Under henvisning til:</w:t>
      </w:r>
    </w:p>
    <w:p>
      <w:pPr>
        <w:pStyle w:val="Tiret0"/>
        <w:tabs>
          <w:tab w:val="clear" w:pos="850"/>
          <w:tab w:val="num" w:pos="1004"/>
        </w:tabs>
        <w:rPr>
          <w:noProof/>
        </w:rPr>
      </w:pPr>
      <w:r>
        <w:rPr>
          <w:noProof/>
        </w:rPr>
        <w:t>traktaten om Den Europæiske Unions funktionsmåde, særlig artikel 314, sammenholdt med traktaten om oprettelse af Det Europæiske Atomenergifællesskab, særlig artikel 106a</w:t>
      </w:r>
    </w:p>
    <w:p>
      <w:pPr>
        <w:pStyle w:val="Tiret0"/>
        <w:tabs>
          <w:tab w:val="clear" w:pos="850"/>
          <w:tab w:val="num" w:pos="927"/>
        </w:tabs>
        <w:rPr>
          <w:rFonts w:cs="Arial"/>
          <w:noProof/>
          <w:szCs w:val="18"/>
        </w:rPr>
      </w:pPr>
      <w:r>
        <w:rPr>
          <w:noProof/>
        </w:rPr>
        <w:t>Europa-Parlamentets og Rådets forordning (EU, Euratom) nr. 966/2012 af 25. oktober 2012 om de finansielle regler vedrørende Unionens almindelige budget</w:t>
      </w:r>
      <w:r>
        <w:rPr>
          <w:rStyle w:val="FootnoteReference"/>
          <w:noProof/>
        </w:rPr>
        <w:footnoteReference w:id="2"/>
      </w:r>
      <w:r>
        <w:rPr>
          <w:noProof/>
        </w:rPr>
        <w:t>, særlig artikel 41</w:t>
      </w:r>
    </w:p>
    <w:p>
      <w:pPr>
        <w:pStyle w:val="Tiret0"/>
        <w:tabs>
          <w:tab w:val="clear" w:pos="850"/>
          <w:tab w:val="num" w:pos="927"/>
        </w:tabs>
        <w:rPr>
          <w:noProof/>
        </w:rPr>
      </w:pPr>
      <w:r>
        <w:rPr>
          <w:noProof/>
        </w:rPr>
        <w:t>Den Europæiske Unions almindelige budget for regnskabsåret 2017, der blev vedtaget den 1. december 2016</w:t>
      </w:r>
      <w:r>
        <w:rPr>
          <w:rStyle w:val="FootnoteReference"/>
          <w:noProof/>
        </w:rPr>
        <w:footnoteReference w:id="3"/>
      </w:r>
    </w:p>
    <w:p>
      <w:pPr>
        <w:pStyle w:val="Tiret0"/>
        <w:rPr>
          <w:noProof/>
        </w:rPr>
      </w:pPr>
      <w:r>
        <w:rPr>
          <w:noProof/>
        </w:rPr>
        <w:t>ændringsbudget nr. 1/2017</w:t>
      </w:r>
      <w:r>
        <w:rPr>
          <w:rStyle w:val="FootnoteReference"/>
          <w:noProof/>
        </w:rPr>
        <w:footnoteReference w:id="4"/>
      </w:r>
      <w:r>
        <w:rPr>
          <w:noProof/>
        </w:rPr>
        <w:t>, der blev vedtaget den 5. april 2017</w:t>
      </w:r>
    </w:p>
    <w:p>
      <w:pPr>
        <w:pStyle w:val="Tiret0"/>
        <w:rPr>
          <w:noProof/>
        </w:rPr>
      </w:pPr>
      <w:r>
        <w:rPr>
          <w:noProof/>
        </w:rPr>
        <w:t>ændringsbudget nr. 2/2017</w:t>
      </w:r>
      <w:r>
        <w:rPr>
          <w:rStyle w:val="FootnoteReference"/>
          <w:noProof/>
        </w:rPr>
        <w:footnoteReference w:id="5"/>
      </w:r>
      <w:r>
        <w:rPr>
          <w:noProof/>
        </w:rPr>
        <w:t>, der blev vedtaget den 4. juli 2017</w:t>
      </w:r>
    </w:p>
    <w:p>
      <w:pPr>
        <w:pStyle w:val="Tiret0"/>
        <w:rPr>
          <w:noProof/>
        </w:rPr>
      </w:pPr>
      <w:r>
        <w:rPr>
          <w:noProof/>
        </w:rPr>
        <w:t>ændringsbudget nr. 3/2017</w:t>
      </w:r>
      <w:r>
        <w:rPr>
          <w:rStyle w:val="FootnoteReference"/>
          <w:noProof/>
        </w:rPr>
        <w:footnoteReference w:id="6"/>
      </w:r>
      <w:r>
        <w:rPr>
          <w:noProof/>
        </w:rPr>
        <w:t>, der blev vedtaget den 13. september 2017</w:t>
      </w:r>
    </w:p>
    <w:p>
      <w:pPr>
        <w:pStyle w:val="Tiret0"/>
        <w:rPr>
          <w:noProof/>
        </w:rPr>
      </w:pPr>
      <w:r>
        <w:rPr>
          <w:noProof/>
        </w:rPr>
        <w:t>ændringsbudget nr. 4/2017</w:t>
      </w:r>
      <w:r>
        <w:rPr>
          <w:rStyle w:val="FootnoteReference"/>
          <w:noProof/>
        </w:rPr>
        <w:footnoteReference w:id="7"/>
      </w:r>
      <w:r>
        <w:rPr>
          <w:noProof/>
        </w:rPr>
        <w:t>, der blev vedtaget den 13. september 2017</w:t>
      </w:r>
    </w:p>
    <w:p>
      <w:pPr>
        <w:pStyle w:val="Tiret0"/>
        <w:rPr>
          <w:noProof/>
        </w:rPr>
      </w:pPr>
      <w:r>
        <w:rPr>
          <w:noProof/>
        </w:rPr>
        <w:t>forslag til ændringsbudget nr. 5/2017</w:t>
      </w:r>
      <w:r>
        <w:rPr>
          <w:rStyle w:val="FootnoteReference"/>
          <w:noProof/>
        </w:rPr>
        <w:footnoteReference w:id="8"/>
      </w:r>
      <w:r>
        <w:rPr>
          <w:noProof/>
        </w:rPr>
        <w:t>, der blev fremlagt den 28. juli 2017</w:t>
      </w:r>
    </w:p>
    <w:p>
      <w:pPr>
        <w:pStyle w:val="Tiret0"/>
        <w:numPr>
          <w:ilvl w:val="0"/>
          <w:numId w:val="0"/>
        </w:numPr>
        <w:spacing w:after="600"/>
        <w:rPr>
          <w:noProof/>
        </w:rPr>
      </w:pPr>
      <w:r>
        <w:rPr>
          <w:noProof/>
        </w:rPr>
        <w:t>forelægger Europa-Kommissionen hermed forslag til ændringsbudget nr. 6 til budgettet for 2017 for Europa-Parlamentet og Rådet.</w:t>
      </w:r>
    </w:p>
    <w:p>
      <w:pPr>
        <w:spacing w:after="240"/>
        <w:jc w:val="both"/>
        <w:rPr>
          <w:b/>
          <w:noProof/>
          <w:u w:val="single"/>
        </w:rPr>
      </w:pPr>
      <w:r>
        <w:rPr>
          <w:b/>
          <w:noProof/>
          <w:u w:val="single"/>
        </w:rPr>
        <w:t>ÆNDRINGER I OVERSIGTEN OVER INDTÆGTER OG UDGIFTER EFTER SEKTION</w:t>
      </w:r>
    </w:p>
    <w:p>
      <w:pPr>
        <w:jc w:val="both"/>
        <w:rPr>
          <w:noProof/>
        </w:rPr>
      </w:pPr>
      <w:r>
        <w:rPr>
          <w:noProof/>
        </w:rPr>
        <w:t>Ændringerne i oversigten over indtægter og udgifter efter sektion kan ses på EUR-Lex (</w:t>
      </w:r>
      <w:hyperlink r:id="rId16">
        <w:r>
          <w:rPr>
            <w:rStyle w:val="Hyperlink"/>
            <w:noProof/>
            <w:color w:val="auto"/>
          </w:rPr>
          <w:t>http://eur-lex.europa.eu/budget/www/index-da.htm</w:t>
        </w:r>
      </w:hyperlink>
      <w:r>
        <w:rPr>
          <w:noProof/>
        </w:rPr>
        <w:t>). En engelsk udgave af ændringerne i oversigten vedlægges til orientering som et budgetbilag.</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2"/>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INDHOLDSFORTEGNELSE</w:t>
      </w:r>
    </w:p>
    <w:sdt>
      <w:sdtPr>
        <w:rPr>
          <w:b w:val="0"/>
          <w:noProof/>
          <w:sz w:val="24"/>
        </w:rPr>
        <w:id w:val="2029912794"/>
        <w:docPartObj>
          <w:docPartGallery w:val="Table of Contents"/>
          <w:docPartUnique/>
        </w:docPartObj>
      </w:sdtPr>
      <w:sdtEndPr>
        <w:rPr>
          <w:bCs/>
        </w:rPr>
      </w:sdtEndPr>
      <w:sdtContent>
        <w:p>
          <w:pPr>
            <w:pStyle w:val="TOCHeading"/>
            <w:spacing w:before="0" w:after="0"/>
            <w:jc w:val="left"/>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96272625"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Indledning</w:t>
            </w:r>
            <w:r>
              <w:rPr>
                <w:noProof/>
                <w:webHidden/>
              </w:rPr>
              <w:tab/>
            </w:r>
            <w:r>
              <w:rPr>
                <w:noProof/>
                <w:webHidden/>
              </w:rPr>
              <w:fldChar w:fldCharType="begin"/>
            </w:r>
            <w:r>
              <w:rPr>
                <w:noProof/>
                <w:webHidden/>
              </w:rPr>
              <w:instrText xml:space="preserve"> PAGEREF _Toc496272625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96272626"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Nedsættelse af betalings- og forpligtelsesbevillinger</w:t>
            </w:r>
            <w:r>
              <w:rPr>
                <w:noProof/>
                <w:webHidden/>
              </w:rPr>
              <w:tab/>
            </w:r>
            <w:r>
              <w:rPr>
                <w:noProof/>
                <w:webHidden/>
              </w:rPr>
              <w:fldChar w:fldCharType="begin"/>
            </w:r>
            <w:r>
              <w:rPr>
                <w:noProof/>
                <w:webHidden/>
              </w:rPr>
              <w:instrText xml:space="preserve"> PAGEREF _Toc496272626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72627" w:history="1">
            <w:r>
              <w:rPr>
                <w:rStyle w:val="Hyperlink"/>
                <w:b/>
                <w:noProof/>
              </w:rPr>
              <w:t>2.1</w:t>
            </w:r>
            <w:r>
              <w:rPr>
                <w:rFonts w:asciiTheme="minorHAnsi" w:eastAsiaTheme="minorEastAsia" w:hAnsiTheme="minorHAnsi" w:cstheme="minorBidi"/>
                <w:smallCaps w:val="0"/>
                <w:noProof/>
                <w:sz w:val="22"/>
                <w:szCs w:val="22"/>
                <w:lang w:val="en-GB" w:eastAsia="en-GB" w:bidi="ar-SA"/>
              </w:rPr>
              <w:tab/>
            </w:r>
            <w:r>
              <w:rPr>
                <w:rStyle w:val="Hyperlink"/>
                <w:b/>
                <w:noProof/>
              </w:rPr>
              <w:t>Udgiftsområde 1b – Økonomisk, social og territorial samhørighed</w:t>
            </w:r>
            <w:r>
              <w:rPr>
                <w:noProof/>
                <w:webHidden/>
              </w:rPr>
              <w:tab/>
            </w:r>
            <w:r>
              <w:rPr>
                <w:noProof/>
                <w:webHidden/>
              </w:rPr>
              <w:fldChar w:fldCharType="begin"/>
            </w:r>
            <w:r>
              <w:rPr>
                <w:noProof/>
                <w:webHidden/>
              </w:rPr>
              <w:instrText xml:space="preserve"> PAGEREF _Toc496272627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72628" w:history="1">
            <w:r>
              <w:rPr>
                <w:rStyle w:val="Hyperlink"/>
                <w:b/>
                <w:noProof/>
              </w:rPr>
              <w:t>2.2</w:t>
            </w:r>
            <w:r>
              <w:rPr>
                <w:rFonts w:asciiTheme="minorHAnsi" w:eastAsiaTheme="minorEastAsia" w:hAnsiTheme="minorHAnsi" w:cstheme="minorBidi"/>
                <w:smallCaps w:val="0"/>
                <w:noProof/>
                <w:sz w:val="22"/>
                <w:szCs w:val="22"/>
                <w:lang w:val="en-GB" w:eastAsia="en-GB" w:bidi="ar-SA"/>
              </w:rPr>
              <w:tab/>
            </w:r>
            <w:r>
              <w:rPr>
                <w:rStyle w:val="Hyperlink"/>
                <w:b/>
                <w:noProof/>
              </w:rPr>
              <w:t>Udgiftsområde 2 – Bæredygtig vækst: Naturressourcer</w:t>
            </w:r>
            <w:r>
              <w:rPr>
                <w:noProof/>
                <w:webHidden/>
              </w:rPr>
              <w:tab/>
            </w:r>
            <w:r>
              <w:rPr>
                <w:noProof/>
                <w:webHidden/>
              </w:rPr>
              <w:fldChar w:fldCharType="begin"/>
            </w:r>
            <w:r>
              <w:rPr>
                <w:noProof/>
                <w:webHidden/>
              </w:rPr>
              <w:instrText xml:space="preserve"> PAGEREF _Toc496272628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72629" w:history="1">
            <w:r>
              <w:rPr>
                <w:rStyle w:val="Hyperlink"/>
                <w:b/>
                <w:noProof/>
              </w:rPr>
              <w:t>2.3</w:t>
            </w:r>
            <w:r>
              <w:rPr>
                <w:rFonts w:asciiTheme="minorHAnsi" w:eastAsiaTheme="minorEastAsia" w:hAnsiTheme="minorHAnsi" w:cstheme="minorBidi"/>
                <w:smallCaps w:val="0"/>
                <w:noProof/>
                <w:sz w:val="22"/>
                <w:szCs w:val="22"/>
                <w:lang w:val="en-GB" w:eastAsia="en-GB" w:bidi="ar-SA"/>
              </w:rPr>
              <w:tab/>
            </w:r>
            <w:r>
              <w:rPr>
                <w:rStyle w:val="Hyperlink"/>
                <w:b/>
                <w:noProof/>
              </w:rPr>
              <w:t>Udgiftsområde 3 – Sikkerhed og medborgerskab</w:t>
            </w:r>
            <w:r>
              <w:rPr>
                <w:noProof/>
                <w:webHidden/>
              </w:rPr>
              <w:tab/>
            </w:r>
            <w:r>
              <w:rPr>
                <w:noProof/>
                <w:webHidden/>
              </w:rPr>
              <w:fldChar w:fldCharType="begin"/>
            </w:r>
            <w:r>
              <w:rPr>
                <w:noProof/>
                <w:webHidden/>
              </w:rPr>
              <w:instrText xml:space="preserve"> PAGEREF _Toc496272629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72630" w:history="1">
            <w:r>
              <w:rPr>
                <w:rStyle w:val="Hyperlink"/>
                <w:b/>
                <w:noProof/>
              </w:rPr>
              <w:t>2.4</w:t>
            </w:r>
            <w:r>
              <w:rPr>
                <w:rFonts w:asciiTheme="minorHAnsi" w:eastAsiaTheme="minorEastAsia" w:hAnsiTheme="minorHAnsi" w:cstheme="minorBidi"/>
                <w:smallCaps w:val="0"/>
                <w:noProof/>
                <w:sz w:val="22"/>
                <w:szCs w:val="22"/>
                <w:lang w:val="en-GB" w:eastAsia="en-GB" w:bidi="ar-SA"/>
              </w:rPr>
              <w:tab/>
            </w:r>
            <w:r>
              <w:rPr>
                <w:rStyle w:val="Hyperlink"/>
                <w:b/>
                <w:noProof/>
              </w:rPr>
              <w:t>Udgiftsområde 4 – Et globalt Europa</w:t>
            </w:r>
            <w:r>
              <w:rPr>
                <w:noProof/>
                <w:webHidden/>
              </w:rPr>
              <w:tab/>
            </w:r>
            <w:r>
              <w:rPr>
                <w:noProof/>
                <w:webHidden/>
              </w:rPr>
              <w:fldChar w:fldCharType="begin"/>
            </w:r>
            <w:r>
              <w:rPr>
                <w:noProof/>
                <w:webHidden/>
              </w:rPr>
              <w:instrText xml:space="preserve"> PAGEREF _Toc496272630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72631" w:history="1">
            <w:r>
              <w:rPr>
                <w:rStyle w:val="Hyperlink"/>
                <w:b/>
                <w:noProof/>
              </w:rPr>
              <w:t>2.5</w:t>
            </w:r>
            <w:r>
              <w:rPr>
                <w:rFonts w:asciiTheme="minorHAnsi" w:eastAsiaTheme="minorEastAsia" w:hAnsiTheme="minorHAnsi" w:cstheme="minorBidi"/>
                <w:smallCaps w:val="0"/>
                <w:noProof/>
                <w:sz w:val="22"/>
                <w:szCs w:val="22"/>
                <w:lang w:val="en-GB" w:eastAsia="en-GB" w:bidi="ar-SA"/>
              </w:rPr>
              <w:tab/>
            </w:r>
            <w:r>
              <w:rPr>
                <w:rStyle w:val="Hyperlink"/>
                <w:b/>
                <w:noProof/>
              </w:rPr>
              <w:t>Den Europæiske Unions Solidaritetsfond</w:t>
            </w:r>
            <w:r>
              <w:rPr>
                <w:noProof/>
                <w:webHidden/>
              </w:rPr>
              <w:tab/>
            </w:r>
            <w:r>
              <w:rPr>
                <w:noProof/>
                <w:webHidden/>
              </w:rPr>
              <w:fldChar w:fldCharType="begin"/>
            </w:r>
            <w:r>
              <w:rPr>
                <w:noProof/>
                <w:webHidden/>
              </w:rPr>
              <w:instrText xml:space="preserve"> PAGEREF _Toc496272631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96272632" w:history="1">
            <w:r>
              <w:rPr>
                <w:rStyle w:val="Hyperlink"/>
                <w:smallCaps/>
                <w:noProof/>
              </w:rPr>
              <w:t>3.</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Ajourføring af indtægter</w:t>
            </w:r>
            <w:r>
              <w:rPr>
                <w:noProof/>
                <w:webHidden/>
              </w:rPr>
              <w:tab/>
            </w:r>
            <w:r>
              <w:rPr>
                <w:noProof/>
                <w:webHidden/>
              </w:rPr>
              <w:fldChar w:fldCharType="begin"/>
            </w:r>
            <w:r>
              <w:rPr>
                <w:noProof/>
                <w:webHidden/>
              </w:rPr>
              <w:instrText xml:space="preserve"> PAGEREF _Toc496272632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72633" w:history="1">
            <w:r>
              <w:rPr>
                <w:rStyle w:val="Hyperlink"/>
                <w:b/>
                <w:noProof/>
              </w:rPr>
              <w:t>3.1</w:t>
            </w:r>
            <w:r>
              <w:rPr>
                <w:rFonts w:asciiTheme="minorHAnsi" w:eastAsiaTheme="minorEastAsia" w:hAnsiTheme="minorHAnsi" w:cstheme="minorBidi"/>
                <w:smallCaps w:val="0"/>
                <w:noProof/>
                <w:sz w:val="22"/>
                <w:szCs w:val="22"/>
                <w:lang w:val="en-GB" w:eastAsia="en-GB" w:bidi="ar-SA"/>
              </w:rPr>
              <w:tab/>
            </w:r>
            <w:r>
              <w:rPr>
                <w:rStyle w:val="Hyperlink"/>
                <w:b/>
                <w:noProof/>
              </w:rPr>
              <w:t>Den samlede virkning af FÆB nr. 6/2017 på fordelingen mellem medlemsstaterne af de samlede betalinger af egne indtægter</w:t>
            </w:r>
            <w:r>
              <w:rPr>
                <w:noProof/>
                <w:webHidden/>
              </w:rPr>
              <w:tab/>
            </w:r>
            <w:r>
              <w:rPr>
                <w:noProof/>
                <w:webHidden/>
              </w:rPr>
              <w:fldChar w:fldCharType="begin"/>
            </w:r>
            <w:r>
              <w:rPr>
                <w:noProof/>
                <w:webHidden/>
              </w:rPr>
              <w:instrText xml:space="preserve"> PAGEREF _Toc496272633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72634" w:history="1">
            <w:r>
              <w:rPr>
                <w:rStyle w:val="Hyperlink"/>
                <w:b/>
                <w:noProof/>
              </w:rPr>
              <w:t>3.2</w:t>
            </w:r>
            <w:r>
              <w:rPr>
                <w:rFonts w:asciiTheme="minorHAnsi" w:eastAsiaTheme="minorEastAsia" w:hAnsiTheme="minorHAnsi" w:cstheme="minorBidi"/>
                <w:smallCaps w:val="0"/>
                <w:noProof/>
                <w:sz w:val="22"/>
                <w:szCs w:val="22"/>
                <w:lang w:val="en-GB" w:eastAsia="en-GB" w:bidi="ar-SA"/>
              </w:rPr>
              <w:tab/>
            </w:r>
            <w:r>
              <w:rPr>
                <w:rStyle w:val="Hyperlink"/>
                <w:b/>
                <w:noProof/>
              </w:rPr>
              <w:t>Revision af overslagene over traditionelle egne indtægter og moms- og BNI-grundlagene</w:t>
            </w:r>
            <w:r>
              <w:rPr>
                <w:noProof/>
                <w:webHidden/>
              </w:rPr>
              <w:tab/>
            </w:r>
            <w:r>
              <w:rPr>
                <w:noProof/>
                <w:webHidden/>
              </w:rPr>
              <w:fldChar w:fldCharType="begin"/>
            </w:r>
            <w:r>
              <w:rPr>
                <w:noProof/>
                <w:webHidden/>
              </w:rPr>
              <w:instrText xml:space="preserve"> PAGEREF _Toc496272634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72635" w:history="1">
            <w:r>
              <w:rPr>
                <w:rStyle w:val="Hyperlink"/>
                <w:b/>
                <w:noProof/>
              </w:rPr>
              <w:t>3.3</w:t>
            </w:r>
            <w:r>
              <w:rPr>
                <w:rFonts w:asciiTheme="minorHAnsi" w:eastAsiaTheme="minorEastAsia" w:hAnsiTheme="minorHAnsi" w:cstheme="minorBidi"/>
                <w:smallCaps w:val="0"/>
                <w:noProof/>
                <w:sz w:val="22"/>
                <w:szCs w:val="22"/>
                <w:lang w:val="en-GB" w:eastAsia="en-GB" w:bidi="ar-SA"/>
              </w:rPr>
              <w:tab/>
            </w:r>
            <w:r>
              <w:rPr>
                <w:rStyle w:val="Hyperlink"/>
                <w:b/>
                <w:noProof/>
              </w:rPr>
              <w:t>Korrektion til fordel for Det Forenede Kongerige for 2016 og 2013</w:t>
            </w:r>
            <w:r>
              <w:rPr>
                <w:noProof/>
                <w:webHidden/>
              </w:rPr>
              <w:tab/>
            </w:r>
            <w:r>
              <w:rPr>
                <w:noProof/>
                <w:webHidden/>
              </w:rPr>
              <w:fldChar w:fldCharType="begin"/>
            </w:r>
            <w:r>
              <w:rPr>
                <w:noProof/>
                <w:webHidden/>
              </w:rPr>
              <w:instrText xml:space="preserve"> PAGEREF _Toc496272635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496272636" w:history="1">
            <w:r>
              <w:rPr>
                <w:rStyle w:val="Hyperlink"/>
                <w:b/>
                <w:noProof/>
              </w:rPr>
              <w:t>3.4</w:t>
            </w:r>
            <w:r>
              <w:rPr>
                <w:rFonts w:asciiTheme="minorHAnsi" w:eastAsiaTheme="minorEastAsia" w:hAnsiTheme="minorHAnsi" w:cstheme="minorBidi"/>
                <w:smallCaps w:val="0"/>
                <w:noProof/>
                <w:sz w:val="22"/>
                <w:szCs w:val="22"/>
                <w:lang w:val="en-GB" w:eastAsia="en-GB" w:bidi="ar-SA"/>
              </w:rPr>
              <w:tab/>
            </w:r>
            <w:r>
              <w:rPr>
                <w:rStyle w:val="Hyperlink"/>
                <w:b/>
                <w:noProof/>
              </w:rPr>
              <w:t>Bøder</w:t>
            </w:r>
            <w:r>
              <w:rPr>
                <w:noProof/>
                <w:webHidden/>
              </w:rPr>
              <w:tab/>
            </w:r>
            <w:r>
              <w:rPr>
                <w:noProof/>
                <w:webHidden/>
              </w:rPr>
              <w:fldChar w:fldCharType="begin"/>
            </w:r>
            <w:r>
              <w:rPr>
                <w:noProof/>
                <w:webHidden/>
              </w:rPr>
              <w:instrText xml:space="preserve"> PAGEREF _Toc496272636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96272637" w:history="1">
            <w:r>
              <w:rPr>
                <w:rStyle w:val="Hyperlink"/>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Sammenfattende oversigt opdelt efter FFR-udgiftsområde</w:t>
            </w:r>
            <w:r>
              <w:rPr>
                <w:noProof/>
                <w:webHidden/>
              </w:rPr>
              <w:tab/>
            </w:r>
            <w:r>
              <w:rPr>
                <w:noProof/>
                <w:webHidden/>
              </w:rPr>
              <w:fldChar w:fldCharType="begin"/>
            </w:r>
            <w:r>
              <w:rPr>
                <w:noProof/>
                <w:webHidden/>
              </w:rPr>
              <w:instrText xml:space="preserve"> PAGEREF _Toc496272637 \h </w:instrText>
            </w:r>
            <w:r>
              <w:rPr>
                <w:noProof/>
                <w:webHidden/>
              </w:rPr>
            </w:r>
            <w:r>
              <w:rPr>
                <w:noProof/>
                <w:webHidden/>
              </w:rPr>
              <w:fldChar w:fldCharType="separate"/>
            </w:r>
            <w:r>
              <w:rPr>
                <w:noProof/>
                <w:webHidden/>
              </w:rPr>
              <w:t>18</w:t>
            </w:r>
            <w:r>
              <w:rPr>
                <w:noProof/>
                <w:webHidden/>
              </w:rPr>
              <w:fldChar w:fldCharType="end"/>
            </w:r>
          </w:hyperlink>
        </w:p>
        <w:p>
          <w:pPr>
            <w:rPr>
              <w:rFonts w:asciiTheme="minorHAnsi" w:eastAsiaTheme="minorEastAsia" w:hAnsiTheme="minorHAnsi" w:cstheme="minorBid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pgNumType w:start="3"/>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494994370"/>
      <w:bookmarkStart w:id="12" w:name="_Toc496272625"/>
      <w:bookmarkStart w:id="13" w:name="_Toc351469332"/>
      <w:bookmarkStart w:id="14" w:name="_Toc361649879"/>
      <w:r>
        <w:t>1.</w:t>
      </w:r>
      <w:r>
        <w:tab/>
        <w:t>Indledning</w:t>
      </w:r>
      <w:bookmarkEnd w:id="8"/>
      <w:bookmarkEnd w:id="9"/>
      <w:bookmarkEnd w:id="10"/>
      <w:bookmarkEnd w:id="11"/>
      <w:bookmarkEnd w:id="12"/>
    </w:p>
    <w:p>
      <w:pPr>
        <w:pStyle w:val="ListDash"/>
        <w:rPr>
          <w:noProof/>
        </w:rPr>
      </w:pPr>
      <w:bookmarkStart w:id="15" w:name="_Toc430865947"/>
      <w:bookmarkStart w:id="16" w:name="_Toc430867525"/>
      <w:r>
        <w:rPr>
          <w:noProof/>
        </w:rPr>
        <w:t>Formålet med forslaget til ændringsbudget (FÆB) nr. 6 for 2017 er at ajourføre både udgifts- og indtægtssiden af budgettet for at tage hensyn til den seneste udvikling:</w:t>
      </w:r>
    </w:p>
    <w:p>
      <w:pPr>
        <w:pStyle w:val="Tiret0"/>
        <w:rPr>
          <w:noProof/>
        </w:rPr>
      </w:pPr>
      <w:r>
        <w:rPr>
          <w:noProof/>
        </w:rPr>
        <w:t xml:space="preserve">På udgiftssiden: </w:t>
      </w:r>
    </w:p>
    <w:p>
      <w:pPr>
        <w:pStyle w:val="Tiret0"/>
        <w:tabs>
          <w:tab w:val="clear" w:pos="850"/>
          <w:tab w:val="num" w:pos="1570"/>
        </w:tabs>
        <w:ind w:left="1570"/>
        <w:rPr>
          <w:noProof/>
        </w:rPr>
      </w:pPr>
      <w:r>
        <w:rPr>
          <w:noProof/>
        </w:rPr>
        <w:t xml:space="preserve">efter at der er taget hensyn til de omfordelinger, der er foreslået i den såkaldte "samlede overførsel" (DEC 20/2017), at nedsætte betalingsbevillingerne til visse budgetposter, hovedsagelig under udgiftsområde 1b </w:t>
      </w:r>
      <w:r>
        <w:rPr>
          <w:i/>
          <w:noProof/>
        </w:rPr>
        <w:t>"Økonomisk, social og territorial samhørighed"</w:t>
      </w:r>
      <w:r>
        <w:rPr>
          <w:noProof/>
        </w:rPr>
        <w:t xml:space="preserve">, 2 </w:t>
      </w:r>
      <w:r>
        <w:rPr>
          <w:i/>
          <w:noProof/>
        </w:rPr>
        <w:t>"Bæredygtig vækst – naturressourcer"</w:t>
      </w:r>
      <w:r>
        <w:rPr>
          <w:noProof/>
        </w:rPr>
        <w:t xml:space="preserve">, 3 </w:t>
      </w:r>
      <w:r>
        <w:rPr>
          <w:i/>
          <w:noProof/>
        </w:rPr>
        <w:t>"Sikkerhed og medborgerskab"</w:t>
      </w:r>
      <w:r>
        <w:rPr>
          <w:noProof/>
        </w:rPr>
        <w:t xml:space="preserve"> samt 4 </w:t>
      </w:r>
      <w:r>
        <w:rPr>
          <w:i/>
          <w:noProof/>
        </w:rPr>
        <w:t>"Et globalt Europa"</w:t>
      </w:r>
      <w:r>
        <w:rPr>
          <w:noProof/>
        </w:rPr>
        <w:t xml:space="preserve"> </w:t>
      </w:r>
    </w:p>
    <w:p>
      <w:pPr>
        <w:pStyle w:val="Tiret0"/>
        <w:tabs>
          <w:tab w:val="clear" w:pos="850"/>
          <w:tab w:val="num" w:pos="1570"/>
        </w:tabs>
        <w:ind w:left="1570"/>
        <w:rPr>
          <w:noProof/>
        </w:rPr>
      </w:pPr>
      <w:r>
        <w:rPr>
          <w:noProof/>
        </w:rPr>
        <w:t xml:space="preserve">at frigøre forpligtelsesbevillinger til budgetposter under udgiftsområde 2 </w:t>
      </w:r>
      <w:r>
        <w:rPr>
          <w:i/>
          <w:noProof/>
        </w:rPr>
        <w:t>"Bæredygtig vækst – naturressourcer"</w:t>
      </w:r>
    </w:p>
    <w:p>
      <w:pPr>
        <w:pStyle w:val="Tiret0"/>
        <w:tabs>
          <w:tab w:val="clear" w:pos="850"/>
          <w:tab w:val="num" w:pos="1570"/>
        </w:tabs>
        <w:ind w:left="1570"/>
        <w:rPr>
          <w:noProof/>
        </w:rPr>
      </w:pPr>
      <w:r>
        <w:rPr>
          <w:noProof/>
        </w:rPr>
        <w:t>at frigøre forpligtelses- og betalingsbevillinger til betaling af forskud til Den Europæiske Unions Solidaritetsfond, som ikke længere vil være nødvendige i 2017.</w:t>
      </w:r>
    </w:p>
    <w:p>
      <w:pPr>
        <w:pStyle w:val="Tiret0"/>
        <w:rPr>
          <w:noProof/>
        </w:rPr>
      </w:pPr>
      <w:r>
        <w:rPr>
          <w:noProof/>
        </w:rPr>
        <w:t>På indtægtssiden:</w:t>
      </w:r>
    </w:p>
    <w:p>
      <w:pPr>
        <w:pStyle w:val="Tiret0"/>
        <w:tabs>
          <w:tab w:val="clear" w:pos="850"/>
          <w:tab w:val="num" w:pos="1570"/>
        </w:tabs>
        <w:ind w:left="1570"/>
        <w:rPr>
          <w:noProof/>
        </w:rPr>
      </w:pPr>
      <w:r>
        <w:rPr>
          <w:noProof/>
        </w:rPr>
        <w:t>at revidere overslaget over traditionelle egne indtægter (dvs. toldafgifter og sukkerafgifter) samt moms- og BNI-grundlagene og at opføre de relevante korrektioner til fordel for Det Forenede Kongerige og finansieringen heraf i budgettet, hvilket påvirker fordelingen af medlemsstaternes bidrag til EU-budgettets egne indtægter</w:t>
      </w:r>
    </w:p>
    <w:p>
      <w:pPr>
        <w:pStyle w:val="Tiret0"/>
        <w:tabs>
          <w:tab w:val="clear" w:pos="850"/>
          <w:tab w:val="num" w:pos="1570"/>
        </w:tabs>
        <w:ind w:left="1570"/>
        <w:rPr>
          <w:noProof/>
        </w:rPr>
      </w:pPr>
      <w:r>
        <w:rPr>
          <w:noProof/>
        </w:rPr>
        <w:t>at opføre de af Kommissionen pålagte bøder på EU-budgettet, for hvilke alle retsmidler var udtømt, og som derfor er blevet endelige i løbet af 2017, og tilsvarende reducere medlemsstaternes bidrag til EU-budgettets egne indtægter.</w:t>
      </w:r>
    </w:p>
    <w:p>
      <w:pPr>
        <w:keepNext/>
        <w:tabs>
          <w:tab w:val="left" w:pos="850"/>
        </w:tabs>
        <w:spacing w:before="240" w:after="120"/>
        <w:ind w:left="851" w:hanging="851"/>
        <w:jc w:val="both"/>
        <w:outlineLvl w:val="0"/>
        <w:rPr>
          <w:b/>
          <w:smallCaps/>
          <w:noProof/>
        </w:rPr>
      </w:pPr>
      <w:bookmarkStart w:id="17" w:name="_Toc494994371"/>
      <w:bookmarkStart w:id="18" w:name="_Toc496272626"/>
      <w:bookmarkStart w:id="19" w:name="_Toc462410050"/>
      <w:r>
        <w:rPr>
          <w:b/>
          <w:smallCaps/>
          <w:noProof/>
        </w:rPr>
        <w:t>2.</w:t>
      </w:r>
      <w:r>
        <w:rPr>
          <w:noProof/>
        </w:rPr>
        <w:tab/>
      </w:r>
      <w:r>
        <w:rPr>
          <w:b/>
          <w:smallCaps/>
          <w:noProof/>
        </w:rPr>
        <w:t>Nedsættelse af betalings- og forpligtelsesbevillinger</w:t>
      </w:r>
      <w:bookmarkEnd w:id="17"/>
      <w:bookmarkEnd w:id="18"/>
    </w:p>
    <w:bookmarkEnd w:id="19"/>
    <w:p>
      <w:pPr>
        <w:spacing w:before="120" w:after="120"/>
        <w:jc w:val="both"/>
        <w:rPr>
          <w:noProof/>
        </w:rPr>
      </w:pPr>
      <w:r>
        <w:rPr>
          <w:noProof/>
        </w:rPr>
        <w:t xml:space="preserve">Kommissionen foreslår at justere betalingsbevillingerne under visse budgetposter for at bringe dem i bedre overensstemmelse med de seneste skøn over behovene og ud fra den antagelse, at den omfordeling af betalingsbevillingerne mellem budgetposterne, som Kommissionen særskilt har anmodet om i den såkaldte "samlede overførsel" (DEC 20/2017), accepteres af Europa-Parlamentet og Rådet. </w:t>
      </w:r>
    </w:p>
    <w:p>
      <w:pPr>
        <w:spacing w:before="120" w:after="120"/>
        <w:jc w:val="both"/>
        <w:rPr>
          <w:noProof/>
        </w:rPr>
      </w:pPr>
      <w:r>
        <w:rPr>
          <w:noProof/>
        </w:rPr>
        <w:t>Den samlede reduktion (7 719,7 mio. EUR) i betalingsbevillingerne, der anmodes om i dette FÆB, vedrører primært udgiftsområde 1b og i mindre grad udgiftsområde 2, 3 og 4 samt Den Europæiske Unions Solidaritetsfond.</w:t>
      </w:r>
    </w:p>
    <w:p>
      <w:pPr>
        <w:keepNext/>
        <w:tabs>
          <w:tab w:val="left" w:pos="850"/>
        </w:tabs>
        <w:spacing w:before="360" w:after="120"/>
        <w:ind w:left="850" w:hanging="850"/>
        <w:jc w:val="both"/>
        <w:outlineLvl w:val="1"/>
        <w:rPr>
          <w:rFonts w:eastAsia="Calibri"/>
          <w:b/>
          <w:noProof/>
        </w:rPr>
      </w:pPr>
      <w:bookmarkStart w:id="20" w:name="_Toc462410051"/>
      <w:bookmarkStart w:id="21" w:name="_Toc494994372"/>
      <w:bookmarkStart w:id="22" w:name="_Toc496272627"/>
      <w:bookmarkStart w:id="23" w:name="_Toc460335328"/>
      <w:bookmarkStart w:id="24" w:name="_Toc430865948"/>
      <w:bookmarkStart w:id="25" w:name="_Toc430867526"/>
      <w:r>
        <w:rPr>
          <w:b/>
          <w:noProof/>
        </w:rPr>
        <w:t>2.1</w:t>
      </w:r>
      <w:r>
        <w:rPr>
          <w:noProof/>
        </w:rPr>
        <w:tab/>
      </w:r>
      <w:r>
        <w:rPr>
          <w:b/>
          <w:noProof/>
        </w:rPr>
        <w:t>Udgiftsområde 1b – Økonomisk, social og territorial samhørighed</w:t>
      </w:r>
      <w:bookmarkEnd w:id="20"/>
      <w:bookmarkEnd w:id="21"/>
      <w:bookmarkEnd w:id="22"/>
    </w:p>
    <w:p>
      <w:pPr>
        <w:spacing w:before="120" w:after="120"/>
        <w:jc w:val="both"/>
        <w:rPr>
          <w:noProof/>
        </w:rPr>
      </w:pPr>
      <w:r>
        <w:rPr>
          <w:noProof/>
        </w:rPr>
        <w:t>Kommissionen foreslår en nedsættelse på 5,9 mia. EUR</w:t>
      </w:r>
      <w:r>
        <w:rPr>
          <w:noProof/>
          <w:vertAlign w:val="superscript"/>
        </w:rPr>
        <w:footnoteReference w:id="9"/>
      </w:r>
      <w:r>
        <w:rPr>
          <w:noProof/>
        </w:rPr>
        <w:t xml:space="preserve"> i betalingsbevillinger til de europæiske struktur- og investeringsfonde under udgiftsområde 1b. Denne reduktion skyldes de ajourførte overslag, der angiver, at betalingsbehovene for programmeringsperioden 2014-2020 er lavere end oprindeligt anslået i budgettet for 2017.</w:t>
      </w:r>
    </w:p>
    <w:p>
      <w:pPr>
        <w:rPr>
          <w:noProof/>
        </w:rPr>
      </w:pPr>
      <w:r>
        <w:rPr>
          <w:noProof/>
        </w:rPr>
        <w:br w:type="page"/>
      </w:r>
    </w:p>
    <w:p>
      <w:pPr>
        <w:spacing w:before="120" w:after="120"/>
        <w:jc w:val="both"/>
        <w:rPr>
          <w:noProof/>
        </w:rPr>
      </w:pPr>
      <w:r>
        <w:rPr>
          <w:noProof/>
        </w:rPr>
        <w:t>Alle operationelle programmer for denne periode var blevet vedtaget inden udgangen af 2015. Det overordnede niveau for mellemliggende betalinger i 2017 for disse programmer vil imidlertid være lavere end oprindeligt budgetteret, hvilket bekræftes af de seneste overslag fra medlemsstaterne (fra juli 2017), som er ca. 6 mia. EUR (-16 %) lavere end overslagene fra januar 2017. Kommissionens analyse af medlemsstaternes overslag omfatter også justeringer i lyset af tilbagevendende historiske overvurderinger.</w:t>
      </w:r>
    </w:p>
    <w:p>
      <w:pPr>
        <w:jc w:val="both"/>
        <w:rPr>
          <w:noProof/>
        </w:rPr>
      </w:pPr>
      <w:r>
        <w:rPr>
          <w:noProof/>
        </w:rPr>
        <w:t>Der blev anvendt en forsigtig tilgang ved disse justeringer og taget hensyn til den vedvarende fejlprocent i medlemsstaternes overslag, der er konstateret i de seneste år. Desuden er der taget hensyn til yderligere elementer som f.eks. manglende lovgivningsmæssige incitamenter til at fremskynde indgivelsen af anmodninger på grund af mere lempelige regler om automatisk frigørelse (mindre "n + 3"-pres) og et tilbagevendende "normalt" efterslæb af betalingsanmodninger, der modtages for sent til at kunne blive betalt i indeværende år.</w:t>
      </w:r>
    </w:p>
    <w:p>
      <w:pPr>
        <w:pStyle w:val="ListDash"/>
        <w:rPr>
          <w:noProof/>
        </w:rPr>
      </w:pPr>
      <w:r>
        <w:rPr>
          <w:noProof/>
        </w:rPr>
        <w:t>Der er fortsat forsinkelser i gennemførelsen af de operationelle programmer for 2014-2020. Forsinkelserne kan hovedsagelig tilskrives den langvarige udpegelsesprocedure hos de nationale myndigheder (udpegelse af 62 operationelle programmer – svarende til 11 % af alle programmer – er endnu ikke blevet meddelt Kommissionen), som på trods af fremskridt i udvælgelsen af projekter på stedet har givet sig udslag i en langsommere gennemførelse end forventet, hvad angår modtagne anmodninger om mellemliggende betalinger.</w:t>
      </w:r>
    </w:p>
    <w:p>
      <w:pPr>
        <w:pStyle w:val="ListDash"/>
        <w:spacing w:after="240"/>
        <w:rPr>
          <w:noProof/>
        </w:rPr>
      </w:pPr>
      <w:r>
        <w:rPr>
          <w:noProof/>
        </w:rPr>
        <w:t>Der foreslås nedsættelse af betalingsbevillingerne for følgende artikler og konti.</w:t>
      </w:r>
    </w:p>
    <w:tbl>
      <w:tblPr>
        <w:tblW w:w="9513" w:type="dxa"/>
        <w:tblInd w:w="93" w:type="dxa"/>
        <w:tblLayout w:type="fixed"/>
        <w:tblLook w:val="04A0" w:firstRow="1" w:lastRow="0" w:firstColumn="1" w:lastColumn="0" w:noHBand="0" w:noVBand="1"/>
      </w:tblPr>
      <w:tblGrid>
        <w:gridCol w:w="1291"/>
        <w:gridCol w:w="6521"/>
        <w:gridCol w:w="1701"/>
      </w:tblGrid>
      <w:tr>
        <w:trPr>
          <w:trHeight w:val="525"/>
          <w:tblHeader/>
        </w:trPr>
        <w:tc>
          <w:tcPr>
            <w:tcW w:w="1291" w:type="dxa"/>
            <w:tcBorders>
              <w:top w:val="single" w:sz="8" w:space="0" w:color="auto"/>
              <w:left w:val="single" w:sz="8" w:space="0" w:color="auto"/>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noProof/>
                <w:color w:val="000000"/>
                <w:sz w:val="20"/>
              </w:rPr>
              <w:t>Budgetpost</w:t>
            </w:r>
          </w:p>
        </w:tc>
        <w:tc>
          <w:tcPr>
            <w:tcW w:w="6521" w:type="dxa"/>
            <w:tcBorders>
              <w:top w:val="single" w:sz="8" w:space="0" w:color="auto"/>
              <w:left w:val="nil"/>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noProof/>
                <w:color w:val="000000"/>
                <w:sz w:val="20"/>
              </w:rPr>
              <w:t>Betegnelse</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noProof/>
                <w:color w:val="000000"/>
                <w:sz w:val="20"/>
              </w:rPr>
              <w:t>Betalingsbevillinger</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04 02 60</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Den Europæiske Socialfond – mindre udviklede regioner – målet om investeringer i vækst og beskæftigelse</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-667 462 307</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04 02 61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Den Europæiske Socialfond – overgangsregioner – målet om investeringer i vækst og beskæftigelse</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-148 720 085</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04 02 62</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Den Europæiske Socialfond – mere udviklede regioner – målet om investeringer i vækst og beskæftigelse</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-333 817 608</w:t>
            </w:r>
          </w:p>
        </w:tc>
      </w:tr>
      <w:tr>
        <w:trPr>
          <w:trHeight w:val="46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13 03 60</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Den Europæiske Fond for Regionaludvikling (EFRU) – mindre udviklede regioner – målet om investeringer i vækst og beskæftigelse</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-3 441 410 203</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13 03 61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Den Europæiske Fond for Regionaludvikling (EFRU) – overgangsregioner – målet om investeringer i vækst og beskæftigelse</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-491 788 711</w:t>
            </w:r>
          </w:p>
        </w:tc>
      </w:tr>
      <w:tr>
        <w:trPr>
          <w:trHeight w:val="46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13 03 62</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Den Europæiske Fond for Regionaludvikling (EFRU) – mere udviklede regioner – målet om investeringer i vækst og beskæftigelse</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-510 253 467</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13 03 64 01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Den Europæiske Fond for Regionaludvikling (EFRU) – europæisk territorialt samarbejde</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-257 368 301</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13 05 03 01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Afslutning af grænseoverskridende samarbejde – bidrag fra underudgiftsområde 1b</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-15 422 489</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13 05 63 01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Grænseoverskridende samarbejde – bidrag fra underudgiftsområde 1b</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-21 988 054</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22 04 52</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Grænseoverskridende samarbejde (CBC) – bidrag fra udgiftsområde 1b (regionalpolitik)</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-2 512 986</w:t>
            </w:r>
          </w:p>
        </w:tc>
      </w:tr>
      <w:tr>
        <w:trPr>
          <w:trHeight w:val="315"/>
        </w:trPr>
        <w:tc>
          <w:tcPr>
            <w:tcW w:w="7812"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pPr>
              <w:jc w:val="both"/>
              <w:rPr>
                <w:b/>
                <w:bCs/>
                <w:noProof/>
                <w:color w:val="000000"/>
                <w:sz w:val="20"/>
                <w:szCs w:val="20"/>
              </w:rPr>
            </w:pPr>
            <w:r>
              <w:rPr>
                <w:b/>
                <w:noProof/>
                <w:color w:val="000000"/>
                <w:sz w:val="20"/>
              </w:rPr>
              <w:t xml:space="preserve">I alt </w:t>
            </w:r>
          </w:p>
        </w:tc>
        <w:tc>
          <w:tcPr>
            <w:tcW w:w="1701" w:type="dxa"/>
            <w:tcBorders>
              <w:top w:val="nil"/>
              <w:left w:val="nil"/>
              <w:bottom w:val="single" w:sz="8" w:space="0" w:color="auto"/>
              <w:right w:val="single" w:sz="8" w:space="0" w:color="auto"/>
            </w:tcBorders>
            <w:shd w:val="clear" w:color="auto" w:fill="D9D9D9" w:themeFill="background1" w:themeFillShade="D9"/>
            <w:vAlign w:val="center"/>
            <w:hideMark/>
          </w:tcPr>
          <w:p>
            <w:pPr>
              <w:jc w:val="right"/>
              <w:rPr>
                <w:b/>
                <w:bCs/>
                <w:noProof/>
                <w:color w:val="000000"/>
                <w:sz w:val="20"/>
                <w:szCs w:val="20"/>
              </w:rPr>
            </w:pPr>
            <w:r>
              <w:rPr>
                <w:b/>
                <w:noProof/>
                <w:color w:val="000000"/>
                <w:sz w:val="20"/>
              </w:rPr>
              <w:t>-5 890 744 211</w:t>
            </w:r>
          </w:p>
        </w:tc>
      </w:tr>
    </w:tbl>
    <w:p>
      <w:pPr>
        <w:pStyle w:val="ListDash"/>
        <w:rPr>
          <w:noProof/>
        </w:rPr>
      </w:pPr>
      <w:bookmarkStart w:id="26" w:name="_Toc462410052"/>
      <w:bookmarkStart w:id="27" w:name="_Toc461100990"/>
      <w:bookmarkEnd w:id="23"/>
      <w:r>
        <w:rPr>
          <w:noProof/>
        </w:rPr>
        <w:t>Kommissionen har gentagne gange fremhævet dette spørgsmål og erklæret sig rede til at yde bistand til medlemsstaterne for at sikre, at gennemførelsen fremskyndes. I juli blev der sendt breve, som var medunderskrevet af fire medlemmer af Kommissionen</w:t>
      </w:r>
      <w:r>
        <w:rPr>
          <w:rStyle w:val="FootnoteReference"/>
          <w:noProof/>
        </w:rPr>
        <w:footnoteReference w:id="10"/>
      </w:r>
      <w:r>
        <w:rPr>
          <w:noProof/>
        </w:rPr>
        <w:t xml:space="preserve">, til medlemsstaterne, hvori de gøres opmærksomme på den bekymrende lave gennemførelsesgrad og kraftigt opfordres til uden yderligere forsinkelse at fjerne flaskehalse. </w:t>
      </w:r>
    </w:p>
    <w:p>
      <w:pPr>
        <w:keepNext/>
        <w:tabs>
          <w:tab w:val="left" w:pos="850"/>
        </w:tabs>
        <w:spacing w:before="360" w:after="120"/>
        <w:ind w:left="850" w:hanging="850"/>
        <w:jc w:val="both"/>
        <w:outlineLvl w:val="1"/>
        <w:rPr>
          <w:rFonts w:eastAsia="Calibri"/>
          <w:b/>
          <w:noProof/>
        </w:rPr>
      </w:pPr>
      <w:bookmarkStart w:id="28" w:name="_Toc494994373"/>
      <w:bookmarkStart w:id="29" w:name="_Toc496272628"/>
      <w:r>
        <w:rPr>
          <w:b/>
          <w:noProof/>
        </w:rPr>
        <w:t>2.2</w:t>
      </w:r>
      <w:r>
        <w:rPr>
          <w:noProof/>
        </w:rPr>
        <w:tab/>
      </w:r>
      <w:r>
        <w:rPr>
          <w:b/>
          <w:noProof/>
        </w:rPr>
        <w:t>Udgiftsområde 2 – Bæredygtig vækst: Naturressourcer</w:t>
      </w:r>
      <w:bookmarkEnd w:id="26"/>
      <w:bookmarkEnd w:id="28"/>
      <w:bookmarkEnd w:id="29"/>
    </w:p>
    <w:p>
      <w:pPr>
        <w:tabs>
          <w:tab w:val="left" w:pos="851"/>
        </w:tabs>
        <w:spacing w:before="240"/>
        <w:rPr>
          <w:bCs/>
          <w:i/>
          <w:noProof/>
        </w:rPr>
      </w:pPr>
      <w:bookmarkStart w:id="30" w:name="_Toc399926625"/>
      <w:bookmarkStart w:id="31" w:name="_Toc461100991"/>
      <w:bookmarkEnd w:id="27"/>
      <w:r>
        <w:rPr>
          <w:i/>
          <w:noProof/>
        </w:rPr>
        <w:t xml:space="preserve">2.2.1. </w:t>
      </w:r>
      <w:r>
        <w:rPr>
          <w:noProof/>
        </w:rPr>
        <w:tab/>
      </w:r>
      <w:r>
        <w:rPr>
          <w:i/>
          <w:noProof/>
        </w:rPr>
        <w:t>Den Europæiske Landbrugsfond for Udvikling af Landdistrikterne (ELFUL)</w:t>
      </w:r>
    </w:p>
    <w:p>
      <w:pPr>
        <w:autoSpaceDE w:val="0"/>
        <w:autoSpaceDN w:val="0"/>
        <w:adjustRightInd w:val="0"/>
        <w:spacing w:before="120" w:after="120"/>
        <w:jc w:val="both"/>
        <w:rPr>
          <w:noProof/>
        </w:rPr>
      </w:pPr>
      <w:r>
        <w:rPr>
          <w:noProof/>
        </w:rPr>
        <w:t>De disponible betalingsbevillinger på budgetkonto 05 04 05 01 var oprindeligt bestemt til afsluttende betalinger af ELFUL's programmer for 2007-2013. De fleste af disse programmer var imidlertid afsluttet og betalt ved udgangen af 2016, da der var stillet supplerende betalingsbevillinger til rådighed til dette formål i 2016 fra overførslen ved årets udgang og fra budgetposten for ELFUL 2014-2020. Som følge heraf er behovene for endelige betalinger i 2017 lavere, og et beløb på 780 mio. EUR kan frigøres.</w:t>
      </w:r>
    </w:p>
    <w:p>
      <w:pPr>
        <w:autoSpaceDE w:val="0"/>
        <w:autoSpaceDN w:val="0"/>
        <w:adjustRightInd w:val="0"/>
        <w:spacing w:before="120" w:after="240"/>
        <w:jc w:val="both"/>
        <w:rPr>
          <w:noProof/>
        </w:rPr>
      </w:pPr>
      <w:r>
        <w:rPr>
          <w:noProof/>
        </w:rPr>
        <w:t>I forbindelse med annulleringen af visse foranstaltninger foreslås det endvidere at reducere forpligtelsesbevillingerne på budgetkonto 05 04 60 02 med 1,5 mio. EUR.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rPr>
          <w:tblHeader/>
        </w:trPr>
        <w:tc>
          <w:tcPr>
            <w:tcW w:w="1276" w:type="dxa"/>
            <w:shd w:val="clear" w:color="auto" w:fill="D9D9D9"/>
            <w:vAlign w:val="center"/>
          </w:tcPr>
          <w:p>
            <w:pPr>
              <w:widowControl w:val="0"/>
              <w:spacing w:before="15" w:after="15"/>
              <w:jc w:val="center"/>
              <w:rPr>
                <w:b/>
                <w:noProof/>
                <w:sz w:val="20"/>
                <w:szCs w:val="20"/>
              </w:rPr>
            </w:pPr>
            <w:r>
              <w:rPr>
                <w:b/>
                <w:noProof/>
                <w:sz w:val="20"/>
              </w:rPr>
              <w:t>Budgetpost</w:t>
            </w:r>
          </w:p>
        </w:tc>
        <w:tc>
          <w:tcPr>
            <w:tcW w:w="4961" w:type="dxa"/>
            <w:shd w:val="clear" w:color="auto" w:fill="D9D9D9"/>
            <w:vAlign w:val="center"/>
          </w:tcPr>
          <w:p>
            <w:pPr>
              <w:widowControl w:val="0"/>
              <w:spacing w:before="15" w:after="15"/>
              <w:jc w:val="center"/>
              <w:rPr>
                <w:b/>
                <w:noProof/>
                <w:sz w:val="20"/>
                <w:szCs w:val="20"/>
              </w:rPr>
            </w:pPr>
            <w:r>
              <w:rPr>
                <w:b/>
                <w:noProof/>
                <w:sz w:val="20"/>
              </w:rPr>
              <w:t>Betegnelse</w:t>
            </w:r>
          </w:p>
        </w:tc>
        <w:tc>
          <w:tcPr>
            <w:tcW w:w="1701" w:type="dxa"/>
            <w:shd w:val="clear" w:color="auto" w:fill="D9D9D9"/>
            <w:vAlign w:val="center"/>
          </w:tcPr>
          <w:p>
            <w:pPr>
              <w:widowControl w:val="0"/>
              <w:spacing w:before="15" w:after="15"/>
              <w:jc w:val="center"/>
              <w:rPr>
                <w:b/>
                <w:noProof/>
                <w:sz w:val="20"/>
                <w:szCs w:val="20"/>
              </w:rPr>
            </w:pPr>
            <w:r>
              <w:rPr>
                <w:b/>
                <w:noProof/>
                <w:sz w:val="20"/>
              </w:rPr>
              <w:t>Forpligtelsesbevillinger</w:t>
            </w:r>
          </w:p>
        </w:tc>
        <w:tc>
          <w:tcPr>
            <w:tcW w:w="1701" w:type="dxa"/>
            <w:shd w:val="clear" w:color="auto" w:fill="D9D9D9"/>
            <w:vAlign w:val="center"/>
          </w:tcPr>
          <w:p>
            <w:pPr>
              <w:widowControl w:val="0"/>
              <w:spacing w:before="15" w:after="15"/>
              <w:jc w:val="center"/>
              <w:rPr>
                <w:b/>
                <w:noProof/>
                <w:sz w:val="20"/>
                <w:szCs w:val="20"/>
              </w:rPr>
            </w:pPr>
            <w:r>
              <w:rPr>
                <w:b/>
                <w:noProof/>
                <w:sz w:val="20"/>
              </w:rPr>
              <w:t>Betalingsbevillinger</w:t>
            </w:r>
          </w:p>
        </w:tc>
      </w:tr>
      <w:tr>
        <w:tc>
          <w:tcPr>
            <w:tcW w:w="1276" w:type="dxa"/>
            <w:vAlign w:val="center"/>
          </w:tcPr>
          <w:p>
            <w:pPr>
              <w:widowControl w:val="0"/>
              <w:spacing w:before="15" w:after="15"/>
              <w:ind w:right="-113"/>
              <w:jc w:val="both"/>
              <w:rPr>
                <w:noProof/>
                <w:sz w:val="20"/>
                <w:szCs w:val="20"/>
              </w:rPr>
            </w:pPr>
            <w:r>
              <w:rPr>
                <w:noProof/>
                <w:sz w:val="20"/>
              </w:rPr>
              <w:t>05 04 05 01</w:t>
            </w:r>
          </w:p>
        </w:tc>
        <w:tc>
          <w:tcPr>
            <w:tcW w:w="4961" w:type="dxa"/>
            <w:vAlign w:val="center"/>
          </w:tcPr>
          <w:p>
            <w:pPr>
              <w:widowControl w:val="0"/>
              <w:tabs>
                <w:tab w:val="left" w:pos="1350"/>
              </w:tabs>
              <w:spacing w:before="15" w:after="15"/>
              <w:jc w:val="both"/>
              <w:rPr>
                <w:noProof/>
                <w:sz w:val="16"/>
                <w:szCs w:val="16"/>
                <w:highlight w:val="yellow"/>
              </w:rPr>
            </w:pPr>
            <w:r>
              <w:rPr>
                <w:noProof/>
                <w:sz w:val="16"/>
              </w:rPr>
              <w:t>Programmer for udvikling af landdistrikter</w:t>
            </w:r>
          </w:p>
        </w:tc>
        <w:tc>
          <w:tcPr>
            <w:tcW w:w="1701" w:type="dxa"/>
            <w:vAlign w:val="center"/>
          </w:tcPr>
          <w:p>
            <w:pPr>
              <w:widowControl w:val="0"/>
              <w:spacing w:before="15" w:after="15"/>
              <w:jc w:val="right"/>
              <w:rPr>
                <w:noProof/>
                <w:sz w:val="20"/>
                <w:szCs w:val="20"/>
              </w:rPr>
            </w:pPr>
            <w:r>
              <w:rPr>
                <w:noProof/>
                <w:sz w:val="20"/>
              </w:rPr>
              <w:t>-</w:t>
            </w:r>
          </w:p>
        </w:tc>
        <w:tc>
          <w:tcPr>
            <w:tcW w:w="1701" w:type="dxa"/>
            <w:vAlign w:val="center"/>
          </w:tcPr>
          <w:p>
            <w:pPr>
              <w:widowControl w:val="0"/>
              <w:spacing w:before="15" w:after="15"/>
              <w:jc w:val="right"/>
              <w:rPr>
                <w:noProof/>
                <w:sz w:val="20"/>
                <w:szCs w:val="20"/>
              </w:rPr>
            </w:pPr>
            <w:r>
              <w:rPr>
                <w:noProof/>
                <w:sz w:val="20"/>
              </w:rPr>
              <w:t>-780 000 000</w:t>
            </w:r>
          </w:p>
        </w:tc>
      </w:tr>
      <w:tr>
        <w:tc>
          <w:tcPr>
            <w:tcW w:w="1276" w:type="dxa"/>
            <w:vAlign w:val="center"/>
          </w:tcPr>
          <w:p>
            <w:pPr>
              <w:widowControl w:val="0"/>
              <w:spacing w:before="15" w:after="15"/>
              <w:ind w:right="-113"/>
              <w:jc w:val="both"/>
              <w:rPr>
                <w:noProof/>
                <w:sz w:val="20"/>
                <w:szCs w:val="20"/>
              </w:rPr>
            </w:pPr>
            <w:r>
              <w:rPr>
                <w:noProof/>
                <w:sz w:val="20"/>
              </w:rPr>
              <w:t>05 04 60 02</w:t>
            </w:r>
          </w:p>
        </w:tc>
        <w:tc>
          <w:tcPr>
            <w:tcW w:w="4961" w:type="dxa"/>
            <w:vAlign w:val="center"/>
          </w:tcPr>
          <w:p>
            <w:pPr>
              <w:widowControl w:val="0"/>
              <w:tabs>
                <w:tab w:val="left" w:pos="1350"/>
              </w:tabs>
              <w:spacing w:before="15" w:after="15"/>
              <w:rPr>
                <w:noProof/>
                <w:sz w:val="16"/>
                <w:szCs w:val="16"/>
              </w:rPr>
            </w:pPr>
            <w:r>
              <w:rPr>
                <w:noProof/>
                <w:sz w:val="16"/>
              </w:rPr>
              <w:t>Operationel teknisk bistand</w:t>
            </w:r>
          </w:p>
        </w:tc>
        <w:tc>
          <w:tcPr>
            <w:tcW w:w="1701" w:type="dxa"/>
            <w:vAlign w:val="center"/>
          </w:tcPr>
          <w:p>
            <w:pPr>
              <w:widowControl w:val="0"/>
              <w:spacing w:before="15" w:after="15"/>
              <w:jc w:val="right"/>
              <w:rPr>
                <w:noProof/>
                <w:sz w:val="20"/>
                <w:szCs w:val="20"/>
              </w:rPr>
            </w:pPr>
            <w:r>
              <w:rPr>
                <w:noProof/>
                <w:sz w:val="20"/>
              </w:rPr>
              <w:t>-1 500 000</w:t>
            </w:r>
          </w:p>
        </w:tc>
        <w:tc>
          <w:tcPr>
            <w:tcW w:w="1701" w:type="dxa"/>
            <w:vAlign w:val="center"/>
          </w:tcPr>
          <w:p>
            <w:pPr>
              <w:widowControl w:val="0"/>
              <w:spacing w:before="15" w:after="15"/>
              <w:jc w:val="right"/>
              <w:rPr>
                <w:noProof/>
                <w:sz w:val="20"/>
                <w:szCs w:val="20"/>
              </w:rPr>
            </w:pPr>
            <w:r>
              <w:rPr>
                <w:noProof/>
                <w:sz w:val="20"/>
              </w:rPr>
              <w:t>-</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I alt</w:t>
            </w:r>
            <w:r>
              <w:rPr>
                <w:noProof/>
              </w:rPr>
              <w:tab/>
            </w:r>
          </w:p>
        </w:tc>
        <w:tc>
          <w:tcPr>
            <w:tcW w:w="1701" w:type="dxa"/>
            <w:shd w:val="clear" w:color="auto" w:fill="D9D9D9"/>
          </w:tcPr>
          <w:p>
            <w:pPr>
              <w:widowControl w:val="0"/>
              <w:spacing w:before="15" w:after="15"/>
              <w:jc w:val="right"/>
              <w:rPr>
                <w:b/>
                <w:noProof/>
                <w:sz w:val="20"/>
                <w:szCs w:val="20"/>
              </w:rPr>
            </w:pPr>
            <w:r>
              <w:rPr>
                <w:b/>
                <w:noProof/>
                <w:sz w:val="20"/>
              </w:rPr>
              <w:t>-1 500 000</w:t>
            </w:r>
          </w:p>
        </w:tc>
        <w:tc>
          <w:tcPr>
            <w:tcW w:w="1701" w:type="dxa"/>
            <w:shd w:val="clear" w:color="auto" w:fill="D9D9D9"/>
          </w:tcPr>
          <w:p>
            <w:pPr>
              <w:widowControl w:val="0"/>
              <w:spacing w:before="15" w:after="15"/>
              <w:jc w:val="right"/>
              <w:rPr>
                <w:b/>
                <w:noProof/>
                <w:sz w:val="20"/>
                <w:szCs w:val="20"/>
              </w:rPr>
            </w:pPr>
            <w:r>
              <w:rPr>
                <w:b/>
                <w:noProof/>
                <w:sz w:val="20"/>
              </w:rPr>
              <w:t>-780 000 000</w:t>
            </w:r>
          </w:p>
        </w:tc>
      </w:tr>
    </w:tbl>
    <w:p>
      <w:pPr>
        <w:tabs>
          <w:tab w:val="left" w:pos="851"/>
        </w:tabs>
        <w:spacing w:before="240"/>
        <w:rPr>
          <w:bCs/>
          <w:i/>
          <w:noProof/>
        </w:rPr>
      </w:pPr>
      <w:bookmarkStart w:id="32" w:name="_Toc399926626"/>
      <w:bookmarkStart w:id="33" w:name="_Toc461100992"/>
      <w:bookmarkEnd w:id="30"/>
      <w:bookmarkEnd w:id="31"/>
      <w:r>
        <w:rPr>
          <w:i/>
          <w:noProof/>
        </w:rPr>
        <w:t xml:space="preserve">2.2.2. </w:t>
      </w:r>
      <w:r>
        <w:rPr>
          <w:noProof/>
        </w:rPr>
        <w:tab/>
      </w:r>
      <w:bookmarkEnd w:id="32"/>
      <w:bookmarkEnd w:id="33"/>
      <w:r>
        <w:rPr>
          <w:i/>
          <w:noProof/>
        </w:rPr>
        <w:t>Obligatoriske bidrag til regionale fiskeriorganisationer og andre internationale organisationer og aftaler om bæredygtigt fiskeri</w:t>
      </w:r>
    </w:p>
    <w:p>
      <w:pPr>
        <w:autoSpaceDE w:val="0"/>
        <w:autoSpaceDN w:val="0"/>
        <w:adjustRightInd w:val="0"/>
        <w:spacing w:before="120" w:after="240"/>
        <w:jc w:val="both"/>
        <w:rPr>
          <w:noProof/>
        </w:rPr>
      </w:pPr>
      <w:r>
        <w:rPr>
          <w:noProof/>
        </w:rPr>
        <w:t>På grundlag af en opdateret analyse af status for forhandlingerne i forbindelse med partnerskabsaftalerne om bæredygtigt fiskeri kan 11,2 mio. EUR i forpligtelsesbevillinger og 10,4 mio. EUR i betalingsbevillinger frigøres fra reserveposten (artikel 40 02 41). Endvidere kan 0,2 mio. EUR i både forpligtelses- og betalingsbevillinger frigøres fra de obligatoriske bidrag til internationale organer, der beskæftiger sig med maritime anliggender og fiskeri (budgetartikel 11 03 02).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Budgetpost</w:t>
            </w:r>
          </w:p>
        </w:tc>
        <w:tc>
          <w:tcPr>
            <w:tcW w:w="4961" w:type="dxa"/>
            <w:shd w:val="clear" w:color="auto" w:fill="D9D9D9"/>
            <w:vAlign w:val="center"/>
          </w:tcPr>
          <w:p>
            <w:pPr>
              <w:widowControl w:val="0"/>
              <w:spacing w:before="15" w:after="15"/>
              <w:jc w:val="center"/>
              <w:rPr>
                <w:b/>
                <w:noProof/>
                <w:sz w:val="20"/>
                <w:szCs w:val="20"/>
              </w:rPr>
            </w:pPr>
            <w:r>
              <w:rPr>
                <w:b/>
                <w:noProof/>
                <w:sz w:val="20"/>
              </w:rPr>
              <w:t>Betegnelse</w:t>
            </w:r>
          </w:p>
        </w:tc>
        <w:tc>
          <w:tcPr>
            <w:tcW w:w="1701" w:type="dxa"/>
            <w:shd w:val="clear" w:color="auto" w:fill="D9D9D9"/>
            <w:vAlign w:val="center"/>
          </w:tcPr>
          <w:p>
            <w:pPr>
              <w:widowControl w:val="0"/>
              <w:spacing w:before="15" w:after="15"/>
              <w:jc w:val="center"/>
              <w:rPr>
                <w:b/>
                <w:noProof/>
                <w:sz w:val="20"/>
                <w:szCs w:val="20"/>
              </w:rPr>
            </w:pPr>
            <w:r>
              <w:rPr>
                <w:b/>
                <w:noProof/>
                <w:sz w:val="20"/>
              </w:rPr>
              <w:t>Forpligtelsesbevillinger</w:t>
            </w:r>
          </w:p>
        </w:tc>
        <w:tc>
          <w:tcPr>
            <w:tcW w:w="1701" w:type="dxa"/>
            <w:shd w:val="clear" w:color="auto" w:fill="D9D9D9"/>
            <w:vAlign w:val="center"/>
          </w:tcPr>
          <w:p>
            <w:pPr>
              <w:widowControl w:val="0"/>
              <w:spacing w:before="15" w:after="15"/>
              <w:jc w:val="center"/>
              <w:rPr>
                <w:b/>
                <w:noProof/>
                <w:sz w:val="20"/>
                <w:szCs w:val="20"/>
              </w:rPr>
            </w:pPr>
            <w:r>
              <w:rPr>
                <w:b/>
                <w:noProof/>
                <w:sz w:val="20"/>
              </w:rPr>
              <w:t>Betalingsbevillinger</w:t>
            </w:r>
          </w:p>
        </w:tc>
      </w:tr>
      <w:tr>
        <w:tc>
          <w:tcPr>
            <w:tcW w:w="1276" w:type="dxa"/>
          </w:tcPr>
          <w:p>
            <w:pPr>
              <w:widowControl w:val="0"/>
              <w:spacing w:before="15" w:after="15"/>
              <w:ind w:right="-113"/>
              <w:jc w:val="both"/>
              <w:rPr>
                <w:noProof/>
                <w:sz w:val="20"/>
                <w:szCs w:val="20"/>
              </w:rPr>
            </w:pPr>
            <w:r>
              <w:rPr>
                <w:noProof/>
                <w:sz w:val="20"/>
              </w:rPr>
              <w:t>11 03 02</w:t>
            </w:r>
          </w:p>
        </w:tc>
        <w:tc>
          <w:tcPr>
            <w:tcW w:w="4961" w:type="dxa"/>
          </w:tcPr>
          <w:p>
            <w:pPr>
              <w:widowControl w:val="0"/>
              <w:tabs>
                <w:tab w:val="left" w:pos="1350"/>
              </w:tabs>
              <w:spacing w:before="15" w:after="15"/>
              <w:jc w:val="both"/>
              <w:rPr>
                <w:noProof/>
                <w:sz w:val="16"/>
                <w:szCs w:val="16"/>
              </w:rPr>
            </w:pPr>
            <w:r>
              <w:rPr>
                <w:noProof/>
                <w:sz w:val="16"/>
              </w:rPr>
              <w:t>Fremme bæredygtig udvikling gennem fiskeristyring og forvaltning af havene i overensstemmelse med den fælles fiskeripolitiks mål (obligatoriske bidrag til internationale organer)</w:t>
            </w:r>
          </w:p>
        </w:tc>
        <w:tc>
          <w:tcPr>
            <w:tcW w:w="1701" w:type="dxa"/>
          </w:tcPr>
          <w:p>
            <w:pPr>
              <w:widowControl w:val="0"/>
              <w:spacing w:before="15" w:after="15"/>
              <w:jc w:val="right"/>
              <w:rPr>
                <w:noProof/>
                <w:sz w:val="20"/>
                <w:szCs w:val="20"/>
              </w:rPr>
            </w:pPr>
            <w:r>
              <w:rPr>
                <w:noProof/>
                <w:sz w:val="20"/>
              </w:rPr>
              <w:t>-207 268</w:t>
            </w:r>
          </w:p>
        </w:tc>
        <w:tc>
          <w:tcPr>
            <w:tcW w:w="1701" w:type="dxa"/>
          </w:tcPr>
          <w:p>
            <w:pPr>
              <w:widowControl w:val="0"/>
              <w:spacing w:before="15" w:after="15"/>
              <w:jc w:val="right"/>
              <w:rPr>
                <w:noProof/>
                <w:sz w:val="20"/>
                <w:szCs w:val="20"/>
              </w:rPr>
            </w:pPr>
            <w:r>
              <w:rPr>
                <w:noProof/>
                <w:sz w:val="20"/>
              </w:rPr>
              <w:t>-207 268</w:t>
            </w:r>
          </w:p>
        </w:tc>
      </w:tr>
      <w:tr>
        <w:tc>
          <w:tcPr>
            <w:tcW w:w="1276" w:type="dxa"/>
          </w:tcPr>
          <w:p>
            <w:pPr>
              <w:widowControl w:val="0"/>
              <w:spacing w:before="15" w:after="15"/>
              <w:ind w:right="-113"/>
              <w:jc w:val="both"/>
              <w:rPr>
                <w:noProof/>
                <w:sz w:val="20"/>
                <w:szCs w:val="20"/>
              </w:rPr>
            </w:pPr>
            <w:r>
              <w:rPr>
                <w:noProof/>
                <w:sz w:val="20"/>
              </w:rPr>
              <w:t>40 02 41</w:t>
            </w:r>
          </w:p>
        </w:tc>
        <w:tc>
          <w:tcPr>
            <w:tcW w:w="4961" w:type="dxa"/>
          </w:tcPr>
          <w:p>
            <w:pPr>
              <w:widowControl w:val="0"/>
              <w:tabs>
                <w:tab w:val="left" w:pos="1350"/>
              </w:tabs>
              <w:spacing w:before="15" w:after="15"/>
              <w:jc w:val="both"/>
              <w:rPr>
                <w:noProof/>
                <w:sz w:val="16"/>
                <w:szCs w:val="16"/>
              </w:rPr>
            </w:pPr>
            <w:r>
              <w:rPr>
                <w:noProof/>
                <w:sz w:val="16"/>
              </w:rPr>
              <w:t>Opdelte bevillinger (</w:t>
            </w:r>
            <w:r>
              <w:rPr>
                <w:i/>
                <w:noProof/>
                <w:sz w:val="16"/>
              </w:rPr>
              <w:t>reserve til artikel 11 03 01 – Fastsættelse af en reguleringsramme for EU-fiskerfartøjers fiskeri i tredjelandsfarvande</w:t>
            </w:r>
            <w:r>
              <w:rPr>
                <w:noProof/>
                <w:sz w:val="16"/>
              </w:rPr>
              <w:t>)</w:t>
            </w:r>
          </w:p>
        </w:tc>
        <w:tc>
          <w:tcPr>
            <w:tcW w:w="1701" w:type="dxa"/>
          </w:tcPr>
          <w:p>
            <w:pPr>
              <w:widowControl w:val="0"/>
              <w:spacing w:before="15" w:after="15"/>
              <w:jc w:val="right"/>
              <w:rPr>
                <w:noProof/>
                <w:sz w:val="20"/>
                <w:szCs w:val="20"/>
              </w:rPr>
            </w:pPr>
            <w:r>
              <w:rPr>
                <w:noProof/>
                <w:sz w:val="20"/>
              </w:rPr>
              <w:t>-11 166 522</w:t>
            </w:r>
          </w:p>
        </w:tc>
        <w:tc>
          <w:tcPr>
            <w:tcW w:w="1701" w:type="dxa"/>
          </w:tcPr>
          <w:p>
            <w:pPr>
              <w:widowControl w:val="0"/>
              <w:spacing w:before="15" w:after="15"/>
              <w:jc w:val="right"/>
              <w:rPr>
                <w:noProof/>
                <w:sz w:val="20"/>
                <w:szCs w:val="20"/>
              </w:rPr>
            </w:pPr>
            <w:r>
              <w:rPr>
                <w:noProof/>
                <w:sz w:val="20"/>
              </w:rPr>
              <w:t>-10 361 522</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I alt</w:t>
            </w:r>
            <w:r>
              <w:rPr>
                <w:noProof/>
              </w:rPr>
              <w:tab/>
            </w:r>
          </w:p>
        </w:tc>
        <w:tc>
          <w:tcPr>
            <w:tcW w:w="1701" w:type="dxa"/>
            <w:shd w:val="clear" w:color="auto" w:fill="D9D9D9"/>
          </w:tcPr>
          <w:p>
            <w:pPr>
              <w:widowControl w:val="0"/>
              <w:spacing w:before="15" w:after="15"/>
              <w:jc w:val="right"/>
              <w:rPr>
                <w:b/>
                <w:noProof/>
                <w:sz w:val="20"/>
                <w:szCs w:val="20"/>
              </w:rPr>
            </w:pPr>
            <w:r>
              <w:rPr>
                <w:b/>
                <w:noProof/>
                <w:sz w:val="20"/>
              </w:rPr>
              <w:t>-11 373 790</w:t>
            </w:r>
          </w:p>
        </w:tc>
        <w:tc>
          <w:tcPr>
            <w:tcW w:w="1701" w:type="dxa"/>
            <w:shd w:val="clear" w:color="auto" w:fill="D9D9D9"/>
          </w:tcPr>
          <w:p>
            <w:pPr>
              <w:widowControl w:val="0"/>
              <w:spacing w:before="15" w:after="15"/>
              <w:jc w:val="right"/>
              <w:rPr>
                <w:b/>
                <w:noProof/>
                <w:sz w:val="20"/>
                <w:szCs w:val="20"/>
              </w:rPr>
            </w:pPr>
            <w:r>
              <w:rPr>
                <w:b/>
                <w:noProof/>
                <w:sz w:val="20"/>
              </w:rPr>
              <w:t>-10 568 790</w:t>
            </w:r>
          </w:p>
        </w:tc>
      </w:tr>
    </w:tbl>
    <w:p>
      <w:pPr>
        <w:tabs>
          <w:tab w:val="left" w:pos="851"/>
        </w:tabs>
        <w:spacing w:before="240"/>
        <w:rPr>
          <w:bCs/>
          <w:i/>
          <w:noProof/>
        </w:rPr>
      </w:pPr>
      <w:bookmarkStart w:id="34" w:name="_Toc461100993"/>
      <w:bookmarkStart w:id="35" w:name="_Toc462410053"/>
      <w:bookmarkEnd w:id="34"/>
      <w:r>
        <w:rPr>
          <w:i/>
          <w:noProof/>
        </w:rPr>
        <w:t xml:space="preserve">2.2.3. </w:t>
      </w:r>
      <w:r>
        <w:rPr>
          <w:noProof/>
        </w:rPr>
        <w:tab/>
      </w:r>
      <w:r>
        <w:rPr>
          <w:i/>
          <w:noProof/>
        </w:rPr>
        <w:t>Den Europæiske Garantifond for Landbruget (EGFL)</w:t>
      </w:r>
    </w:p>
    <w:p>
      <w:pPr>
        <w:autoSpaceDE w:val="0"/>
        <w:autoSpaceDN w:val="0"/>
        <w:adjustRightInd w:val="0"/>
        <w:spacing w:before="120" w:after="240"/>
        <w:jc w:val="both"/>
        <w:rPr>
          <w:noProof/>
        </w:rPr>
      </w:pPr>
      <w:r>
        <w:rPr>
          <w:noProof/>
        </w:rPr>
        <w:t>I forbindelse med annulleringen af visse foranstaltninger foreslås det at nedsætte forpligtelses- og betalingsbevillingerne på budgetkonto 05 01 04 01 og artikel 05 08 09.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Budgetpost</w:t>
            </w:r>
          </w:p>
        </w:tc>
        <w:tc>
          <w:tcPr>
            <w:tcW w:w="4961" w:type="dxa"/>
            <w:shd w:val="clear" w:color="auto" w:fill="D9D9D9"/>
            <w:vAlign w:val="center"/>
          </w:tcPr>
          <w:p>
            <w:pPr>
              <w:widowControl w:val="0"/>
              <w:spacing w:before="15" w:after="15"/>
              <w:jc w:val="center"/>
              <w:rPr>
                <w:b/>
                <w:noProof/>
                <w:sz w:val="20"/>
                <w:szCs w:val="20"/>
              </w:rPr>
            </w:pPr>
            <w:r>
              <w:rPr>
                <w:b/>
                <w:noProof/>
                <w:sz w:val="20"/>
              </w:rPr>
              <w:t>Betegnelse</w:t>
            </w:r>
          </w:p>
        </w:tc>
        <w:tc>
          <w:tcPr>
            <w:tcW w:w="1701" w:type="dxa"/>
            <w:shd w:val="clear" w:color="auto" w:fill="D9D9D9"/>
            <w:vAlign w:val="center"/>
          </w:tcPr>
          <w:p>
            <w:pPr>
              <w:widowControl w:val="0"/>
              <w:spacing w:before="15" w:after="15"/>
              <w:jc w:val="center"/>
              <w:rPr>
                <w:b/>
                <w:noProof/>
                <w:sz w:val="20"/>
                <w:szCs w:val="20"/>
              </w:rPr>
            </w:pPr>
            <w:r>
              <w:rPr>
                <w:b/>
                <w:noProof/>
                <w:sz w:val="20"/>
              </w:rPr>
              <w:t>Forpligtelsesbevillinger</w:t>
            </w:r>
          </w:p>
        </w:tc>
        <w:tc>
          <w:tcPr>
            <w:tcW w:w="1701" w:type="dxa"/>
            <w:shd w:val="clear" w:color="auto" w:fill="D9D9D9"/>
            <w:vAlign w:val="center"/>
          </w:tcPr>
          <w:p>
            <w:pPr>
              <w:widowControl w:val="0"/>
              <w:spacing w:before="15" w:after="15"/>
              <w:jc w:val="center"/>
              <w:rPr>
                <w:b/>
                <w:noProof/>
                <w:sz w:val="20"/>
                <w:szCs w:val="20"/>
              </w:rPr>
            </w:pPr>
            <w:r>
              <w:rPr>
                <w:b/>
                <w:noProof/>
                <w:sz w:val="20"/>
              </w:rPr>
              <w:t>Betalingsbevillinger</w:t>
            </w:r>
          </w:p>
        </w:tc>
      </w:tr>
      <w:tr>
        <w:tc>
          <w:tcPr>
            <w:tcW w:w="1276" w:type="dxa"/>
          </w:tcPr>
          <w:p>
            <w:pPr>
              <w:widowControl w:val="0"/>
              <w:spacing w:before="15" w:after="15"/>
              <w:ind w:right="-113"/>
              <w:jc w:val="both"/>
              <w:rPr>
                <w:noProof/>
                <w:sz w:val="20"/>
                <w:szCs w:val="20"/>
              </w:rPr>
            </w:pPr>
            <w:r>
              <w:rPr>
                <w:noProof/>
                <w:sz w:val="20"/>
              </w:rPr>
              <w:t>05 01 04 01</w:t>
            </w:r>
          </w:p>
        </w:tc>
        <w:tc>
          <w:tcPr>
            <w:tcW w:w="4961" w:type="dxa"/>
            <w:vAlign w:val="center"/>
          </w:tcPr>
          <w:p>
            <w:pPr>
              <w:widowControl w:val="0"/>
              <w:tabs>
                <w:tab w:val="left" w:pos="1350"/>
              </w:tabs>
              <w:spacing w:before="15" w:after="15"/>
              <w:rPr>
                <w:noProof/>
                <w:sz w:val="16"/>
                <w:szCs w:val="16"/>
              </w:rPr>
            </w:pPr>
            <w:r>
              <w:rPr>
                <w:noProof/>
                <w:sz w:val="16"/>
              </w:rPr>
              <w:t>Udgifter til støttefunktioner i forbindelse med Den Europæiske Garantifond for Landbruget (EGFL) – ikke-operationel teknisk bistand</w:t>
            </w:r>
          </w:p>
        </w:tc>
        <w:tc>
          <w:tcPr>
            <w:tcW w:w="1701" w:type="dxa"/>
          </w:tcPr>
          <w:p>
            <w:pPr>
              <w:widowControl w:val="0"/>
              <w:spacing w:before="15" w:after="15"/>
              <w:jc w:val="right"/>
              <w:rPr>
                <w:noProof/>
                <w:sz w:val="20"/>
                <w:szCs w:val="20"/>
              </w:rPr>
            </w:pPr>
            <w:r>
              <w:rPr>
                <w:noProof/>
                <w:sz w:val="20"/>
              </w:rPr>
              <w:t>-900 000</w:t>
            </w:r>
          </w:p>
        </w:tc>
        <w:tc>
          <w:tcPr>
            <w:tcW w:w="1701" w:type="dxa"/>
          </w:tcPr>
          <w:p>
            <w:pPr>
              <w:widowControl w:val="0"/>
              <w:spacing w:before="15" w:after="15"/>
              <w:jc w:val="right"/>
              <w:rPr>
                <w:noProof/>
                <w:sz w:val="20"/>
                <w:szCs w:val="20"/>
              </w:rPr>
            </w:pPr>
            <w:r>
              <w:rPr>
                <w:noProof/>
                <w:sz w:val="20"/>
              </w:rPr>
              <w:t>-900 000</w:t>
            </w:r>
          </w:p>
        </w:tc>
      </w:tr>
      <w:tr>
        <w:tc>
          <w:tcPr>
            <w:tcW w:w="1276" w:type="dxa"/>
          </w:tcPr>
          <w:p>
            <w:pPr>
              <w:widowControl w:val="0"/>
              <w:spacing w:before="15" w:after="15"/>
              <w:ind w:right="-113"/>
              <w:jc w:val="both"/>
              <w:rPr>
                <w:noProof/>
                <w:sz w:val="20"/>
                <w:szCs w:val="20"/>
              </w:rPr>
            </w:pPr>
            <w:r>
              <w:rPr>
                <w:noProof/>
                <w:sz w:val="20"/>
              </w:rPr>
              <w:t>05 08 09</w:t>
            </w:r>
          </w:p>
        </w:tc>
        <w:tc>
          <w:tcPr>
            <w:tcW w:w="4961" w:type="dxa"/>
            <w:vAlign w:val="center"/>
          </w:tcPr>
          <w:p>
            <w:pPr>
              <w:widowControl w:val="0"/>
              <w:tabs>
                <w:tab w:val="left" w:pos="1350"/>
              </w:tabs>
              <w:spacing w:before="15" w:after="15"/>
              <w:rPr>
                <w:noProof/>
                <w:sz w:val="16"/>
                <w:szCs w:val="16"/>
              </w:rPr>
            </w:pPr>
            <w:r>
              <w:rPr>
                <w:noProof/>
                <w:sz w:val="16"/>
              </w:rPr>
              <w:t>Den Europæiske Garantifond for Landbruget (EGFL) – operationel teknisk bistand</w:t>
            </w:r>
          </w:p>
        </w:tc>
        <w:tc>
          <w:tcPr>
            <w:tcW w:w="1701" w:type="dxa"/>
          </w:tcPr>
          <w:p>
            <w:pPr>
              <w:widowControl w:val="0"/>
              <w:spacing w:before="15" w:after="15"/>
              <w:jc w:val="right"/>
              <w:rPr>
                <w:noProof/>
                <w:sz w:val="20"/>
                <w:szCs w:val="20"/>
              </w:rPr>
            </w:pPr>
            <w:r>
              <w:rPr>
                <w:noProof/>
                <w:sz w:val="20"/>
              </w:rPr>
              <w:t>-1 000 000</w:t>
            </w:r>
          </w:p>
        </w:tc>
        <w:tc>
          <w:tcPr>
            <w:tcW w:w="1701" w:type="dxa"/>
          </w:tcPr>
          <w:p>
            <w:pPr>
              <w:widowControl w:val="0"/>
              <w:spacing w:before="15" w:after="15"/>
              <w:jc w:val="right"/>
              <w:rPr>
                <w:noProof/>
                <w:sz w:val="20"/>
                <w:szCs w:val="20"/>
              </w:rPr>
            </w:pPr>
            <w:r>
              <w:rPr>
                <w:noProof/>
                <w:sz w:val="20"/>
              </w:rPr>
              <w:t>-1 000 000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I alt</w:t>
            </w:r>
            <w:r>
              <w:rPr>
                <w:noProof/>
              </w:rPr>
              <w:tab/>
            </w:r>
          </w:p>
        </w:tc>
        <w:tc>
          <w:tcPr>
            <w:tcW w:w="1701" w:type="dxa"/>
            <w:shd w:val="clear" w:color="auto" w:fill="D9D9D9"/>
          </w:tcPr>
          <w:p>
            <w:pPr>
              <w:widowControl w:val="0"/>
              <w:spacing w:before="15" w:after="15"/>
              <w:jc w:val="right"/>
              <w:rPr>
                <w:b/>
                <w:noProof/>
                <w:sz w:val="20"/>
                <w:szCs w:val="20"/>
              </w:rPr>
            </w:pPr>
            <w:r>
              <w:rPr>
                <w:b/>
                <w:noProof/>
                <w:sz w:val="20"/>
              </w:rPr>
              <w:t>-1 900 000</w:t>
            </w:r>
          </w:p>
        </w:tc>
        <w:tc>
          <w:tcPr>
            <w:tcW w:w="1701" w:type="dxa"/>
            <w:shd w:val="clear" w:color="auto" w:fill="D9D9D9"/>
          </w:tcPr>
          <w:p>
            <w:pPr>
              <w:widowControl w:val="0"/>
              <w:spacing w:before="15" w:after="15"/>
              <w:jc w:val="right"/>
              <w:rPr>
                <w:b/>
                <w:noProof/>
                <w:sz w:val="20"/>
                <w:szCs w:val="20"/>
              </w:rPr>
            </w:pPr>
            <w:r>
              <w:rPr>
                <w:b/>
                <w:noProof/>
                <w:sz w:val="20"/>
              </w:rPr>
              <w:t>-1 900 000</w:t>
            </w:r>
          </w:p>
        </w:tc>
      </w:tr>
    </w:tbl>
    <w:p>
      <w:pPr>
        <w:tabs>
          <w:tab w:val="left" w:pos="851"/>
        </w:tabs>
        <w:spacing w:before="240"/>
        <w:rPr>
          <w:bCs/>
          <w:i/>
          <w:noProof/>
        </w:rPr>
      </w:pPr>
      <w:r>
        <w:rPr>
          <w:i/>
          <w:noProof/>
        </w:rPr>
        <w:t xml:space="preserve">2.2.4. </w:t>
      </w:r>
      <w:r>
        <w:rPr>
          <w:noProof/>
        </w:rPr>
        <w:tab/>
      </w:r>
      <w:r>
        <w:rPr>
          <w:i/>
          <w:noProof/>
        </w:rPr>
        <w:t>Decentrale agenturer (ECHA-biocider)</w:t>
      </w:r>
    </w:p>
    <w:p>
      <w:pPr>
        <w:autoSpaceDE w:val="0"/>
        <w:autoSpaceDN w:val="0"/>
        <w:adjustRightInd w:val="0"/>
        <w:spacing w:before="120" w:after="240"/>
        <w:jc w:val="both"/>
        <w:rPr>
          <w:noProof/>
        </w:rPr>
      </w:pPr>
      <w:r>
        <w:rPr>
          <w:noProof/>
        </w:rPr>
        <w:t>Gebyrindtægterne fra industrien for aktiviteter vedrørende biocider i Det Europæiske Kemikalieagentur (ECHA) i Helsingfors forventes at være 0,6 mio. EUR højere end oprindeligt anslået. Som følge heraf kan bidraget fra EU-budgettet reduceres tilsvarende, både hvad angår forpligtelses- og betalingsbevillinger.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Budgetpost</w:t>
            </w:r>
          </w:p>
        </w:tc>
        <w:tc>
          <w:tcPr>
            <w:tcW w:w="4961" w:type="dxa"/>
            <w:shd w:val="clear" w:color="auto" w:fill="D9D9D9"/>
            <w:vAlign w:val="center"/>
          </w:tcPr>
          <w:p>
            <w:pPr>
              <w:widowControl w:val="0"/>
              <w:spacing w:before="15" w:after="15"/>
              <w:jc w:val="center"/>
              <w:rPr>
                <w:b/>
                <w:noProof/>
                <w:sz w:val="20"/>
                <w:szCs w:val="20"/>
              </w:rPr>
            </w:pPr>
            <w:r>
              <w:rPr>
                <w:b/>
                <w:noProof/>
                <w:sz w:val="20"/>
              </w:rPr>
              <w:t>Betegnelse</w:t>
            </w:r>
          </w:p>
        </w:tc>
        <w:tc>
          <w:tcPr>
            <w:tcW w:w="1701" w:type="dxa"/>
            <w:shd w:val="clear" w:color="auto" w:fill="D9D9D9"/>
            <w:vAlign w:val="center"/>
          </w:tcPr>
          <w:p>
            <w:pPr>
              <w:widowControl w:val="0"/>
              <w:spacing w:before="15" w:after="15"/>
              <w:jc w:val="center"/>
              <w:rPr>
                <w:b/>
                <w:noProof/>
                <w:sz w:val="20"/>
                <w:szCs w:val="20"/>
              </w:rPr>
            </w:pPr>
            <w:r>
              <w:rPr>
                <w:b/>
                <w:noProof/>
                <w:sz w:val="20"/>
              </w:rPr>
              <w:t>Forpligtelsesbevillinger</w:t>
            </w:r>
          </w:p>
        </w:tc>
        <w:tc>
          <w:tcPr>
            <w:tcW w:w="1701" w:type="dxa"/>
            <w:shd w:val="clear" w:color="auto" w:fill="D9D9D9"/>
            <w:vAlign w:val="center"/>
          </w:tcPr>
          <w:p>
            <w:pPr>
              <w:widowControl w:val="0"/>
              <w:spacing w:before="15" w:after="15"/>
              <w:jc w:val="center"/>
              <w:rPr>
                <w:b/>
                <w:noProof/>
                <w:sz w:val="20"/>
                <w:szCs w:val="20"/>
              </w:rPr>
            </w:pPr>
            <w:r>
              <w:rPr>
                <w:b/>
                <w:noProof/>
                <w:sz w:val="20"/>
              </w:rPr>
              <w:t>Betalingsbevillinger</w:t>
            </w:r>
          </w:p>
        </w:tc>
      </w:tr>
      <w:tr>
        <w:tc>
          <w:tcPr>
            <w:tcW w:w="1276" w:type="dxa"/>
          </w:tcPr>
          <w:p>
            <w:pPr>
              <w:widowControl w:val="0"/>
              <w:spacing w:before="15" w:after="15"/>
              <w:ind w:right="-113"/>
              <w:jc w:val="both"/>
              <w:rPr>
                <w:noProof/>
                <w:sz w:val="20"/>
                <w:szCs w:val="20"/>
              </w:rPr>
            </w:pPr>
            <w:r>
              <w:rPr>
                <w:noProof/>
                <w:sz w:val="20"/>
              </w:rPr>
              <w:t>17 04 07</w:t>
            </w:r>
          </w:p>
        </w:tc>
        <w:tc>
          <w:tcPr>
            <w:tcW w:w="4961" w:type="dxa"/>
          </w:tcPr>
          <w:p>
            <w:pPr>
              <w:widowControl w:val="0"/>
              <w:tabs>
                <w:tab w:val="left" w:pos="1350"/>
              </w:tabs>
              <w:spacing w:before="15" w:after="15"/>
              <w:jc w:val="both"/>
              <w:rPr>
                <w:noProof/>
                <w:sz w:val="16"/>
                <w:szCs w:val="16"/>
              </w:rPr>
            </w:pPr>
            <w:r>
              <w:rPr>
                <w:noProof/>
                <w:sz w:val="16"/>
              </w:rPr>
              <w:t>Det Europæiske Kemikalieagentur – aktiviteter inden for biocidlovgivning</w:t>
            </w:r>
          </w:p>
        </w:tc>
        <w:tc>
          <w:tcPr>
            <w:tcW w:w="1701" w:type="dxa"/>
          </w:tcPr>
          <w:p>
            <w:pPr>
              <w:widowControl w:val="0"/>
              <w:spacing w:before="15" w:after="15"/>
              <w:jc w:val="right"/>
              <w:rPr>
                <w:noProof/>
                <w:sz w:val="20"/>
                <w:szCs w:val="20"/>
                <w:highlight w:val="yellow"/>
              </w:rPr>
            </w:pPr>
            <w:r>
              <w:rPr>
                <w:noProof/>
                <w:sz w:val="20"/>
              </w:rPr>
              <w:t>-560 000</w:t>
            </w:r>
          </w:p>
        </w:tc>
        <w:tc>
          <w:tcPr>
            <w:tcW w:w="1701" w:type="dxa"/>
          </w:tcPr>
          <w:p>
            <w:pPr>
              <w:widowControl w:val="0"/>
              <w:spacing w:before="15" w:after="15"/>
              <w:jc w:val="right"/>
              <w:rPr>
                <w:noProof/>
                <w:sz w:val="20"/>
                <w:szCs w:val="20"/>
                <w:highlight w:val="yellow"/>
              </w:rPr>
            </w:pPr>
            <w:r>
              <w:rPr>
                <w:noProof/>
                <w:sz w:val="20"/>
              </w:rPr>
              <w:t>-560 000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I alt</w:t>
            </w:r>
            <w:r>
              <w:rPr>
                <w:noProof/>
              </w:rPr>
              <w:tab/>
            </w:r>
          </w:p>
        </w:tc>
        <w:tc>
          <w:tcPr>
            <w:tcW w:w="1701" w:type="dxa"/>
            <w:shd w:val="clear" w:color="auto" w:fill="D9D9D9"/>
          </w:tcPr>
          <w:p>
            <w:pPr>
              <w:widowControl w:val="0"/>
              <w:spacing w:before="15" w:after="15"/>
              <w:jc w:val="right"/>
              <w:rPr>
                <w:b/>
                <w:noProof/>
                <w:sz w:val="20"/>
                <w:szCs w:val="20"/>
              </w:rPr>
            </w:pPr>
            <w:r>
              <w:rPr>
                <w:b/>
                <w:noProof/>
                <w:sz w:val="20"/>
              </w:rPr>
              <w:t>-560 000</w:t>
            </w:r>
          </w:p>
        </w:tc>
        <w:tc>
          <w:tcPr>
            <w:tcW w:w="1701" w:type="dxa"/>
            <w:shd w:val="clear" w:color="auto" w:fill="D9D9D9"/>
          </w:tcPr>
          <w:p>
            <w:pPr>
              <w:widowControl w:val="0"/>
              <w:spacing w:before="15" w:after="15"/>
              <w:jc w:val="right"/>
              <w:rPr>
                <w:b/>
                <w:noProof/>
                <w:sz w:val="20"/>
                <w:szCs w:val="20"/>
              </w:rPr>
            </w:pPr>
            <w:r>
              <w:rPr>
                <w:b/>
                <w:noProof/>
                <w:sz w:val="20"/>
              </w:rPr>
              <w:t>-560 000</w:t>
            </w:r>
          </w:p>
        </w:tc>
      </w:tr>
    </w:tbl>
    <w:p>
      <w:pPr>
        <w:rPr>
          <w:b/>
          <w:noProof/>
        </w:rPr>
      </w:pPr>
      <w:bookmarkStart w:id="36" w:name="_Toc494994374"/>
      <w:bookmarkStart w:id="37" w:name="_Toc496272629"/>
    </w:p>
    <w:p>
      <w:pPr>
        <w:rPr>
          <w:rFonts w:eastAsia="Calibri"/>
          <w:b/>
          <w:noProof/>
        </w:rPr>
      </w:pPr>
      <w:r>
        <w:rPr>
          <w:b/>
          <w:noProof/>
        </w:rPr>
        <w:t>2.3</w:t>
      </w:r>
      <w:r>
        <w:rPr>
          <w:noProof/>
        </w:rPr>
        <w:tab/>
      </w:r>
      <w:r>
        <w:rPr>
          <w:b/>
          <w:noProof/>
        </w:rPr>
        <w:t>Udgiftsområde 3 – Sikkerhed og medborgerskab</w:t>
      </w:r>
      <w:bookmarkEnd w:id="35"/>
      <w:bookmarkEnd w:id="36"/>
      <w:bookmarkEnd w:id="37"/>
    </w:p>
    <w:p>
      <w:pPr>
        <w:autoSpaceDE w:val="0"/>
        <w:autoSpaceDN w:val="0"/>
        <w:adjustRightInd w:val="0"/>
        <w:spacing w:before="120" w:after="120"/>
        <w:jc w:val="both"/>
        <w:rPr>
          <w:noProof/>
        </w:rPr>
      </w:pPr>
      <w:r>
        <w:rPr>
          <w:noProof/>
        </w:rPr>
        <w:t>Som allerede nævnt i FÆB nr. 5/2017</w:t>
      </w:r>
      <w:r>
        <w:rPr>
          <w:rStyle w:val="FootnoteReference"/>
          <w:noProof/>
        </w:rPr>
        <w:footnoteReference w:id="11"/>
      </w:r>
      <w:r>
        <w:rPr>
          <w:noProof/>
        </w:rPr>
        <w:t xml:space="preserve"> og bevillingsoverførsel DEC 18/2017 har der som følge af den sene vedtagelse af retsgrundlagene og udpegelsen af de nationale myndigheder været forsinkelser i opstarten af de nationale programmer under Asyl-, Migrations- og Integrationsfonden og Fonden for Intern Sikkerhed. Men der sker fremskridt med gennemførelsen af programmerne på stedet: medlemsstaternes erklæringer om lavere betalinger end forventet afspejler ikke nødvendigvis de udgifter, som støttemodtagerne har afholdt.</w:t>
      </w:r>
    </w:p>
    <w:p>
      <w:pPr>
        <w:autoSpaceDE w:val="0"/>
        <w:autoSpaceDN w:val="0"/>
        <w:adjustRightInd w:val="0"/>
        <w:spacing w:before="120" w:after="120"/>
        <w:jc w:val="both"/>
        <w:rPr>
          <w:noProof/>
        </w:rPr>
      </w:pPr>
      <w:r>
        <w:rPr>
          <w:noProof/>
        </w:rPr>
        <w:t xml:space="preserve">Derudover kunne Kommissionen i slutningen af 2016 for både Asyl-, Migrations- og Integrationsfonden og Fonden for Intern Sikkerhed foretage store afsluttende betalinger vedrørende de foregående programmer for perioden 2007-2013. Disse betalinger har reduceret det restbeløb, der skal betales i 2017, og de tilsvarende betalingsbevillinger kan reduceres. </w:t>
      </w:r>
    </w:p>
    <w:p>
      <w:pPr>
        <w:tabs>
          <w:tab w:val="left" w:pos="851"/>
        </w:tabs>
        <w:spacing w:before="240"/>
        <w:rPr>
          <w:bCs/>
          <w:i/>
          <w:noProof/>
        </w:rPr>
      </w:pPr>
      <w:r>
        <w:rPr>
          <w:i/>
          <w:noProof/>
        </w:rPr>
        <w:t xml:space="preserve">2.3.1. </w:t>
      </w:r>
      <w:r>
        <w:rPr>
          <w:noProof/>
        </w:rPr>
        <w:tab/>
      </w:r>
      <w:r>
        <w:rPr>
          <w:i/>
          <w:noProof/>
        </w:rPr>
        <w:t xml:space="preserve">Asyl-, Migrations- og Integrationsfonden </w:t>
      </w:r>
    </w:p>
    <w:p>
      <w:pPr>
        <w:spacing w:before="120" w:after="240"/>
        <w:jc w:val="both"/>
        <w:rPr>
          <w:noProof/>
        </w:rPr>
      </w:pPr>
      <w:r>
        <w:rPr>
          <w:noProof/>
        </w:rPr>
        <w:t>Ud over af de ovennævnte grunde tager den foreslåede reduktion af betalingsbevillingerne hensyn til den kendsgerning, at gennemførelsen af de to omfordelingsordninger under Asyl-, Migrations- og Integrationsfonden er forløbet langsommere end oprindeligt planlagt, hvilket har ført til en lavere angivelse af udgifter i medlemsstaternes årsregnskaber.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559"/>
      </w:tblGrid>
      <w:tr>
        <w:trPr>
          <w:tblHeader/>
        </w:trPr>
        <w:tc>
          <w:tcPr>
            <w:tcW w:w="1276" w:type="dxa"/>
            <w:shd w:val="clear" w:color="auto" w:fill="D9D9D9"/>
            <w:vAlign w:val="center"/>
          </w:tcPr>
          <w:p>
            <w:pPr>
              <w:widowControl w:val="0"/>
              <w:spacing w:before="15" w:after="15"/>
              <w:jc w:val="center"/>
              <w:rPr>
                <w:b/>
                <w:noProof/>
                <w:sz w:val="20"/>
                <w:szCs w:val="20"/>
              </w:rPr>
            </w:pPr>
            <w:r>
              <w:rPr>
                <w:b/>
                <w:noProof/>
                <w:sz w:val="20"/>
              </w:rPr>
              <w:t>Budgetpost</w:t>
            </w:r>
          </w:p>
        </w:tc>
        <w:tc>
          <w:tcPr>
            <w:tcW w:w="6521" w:type="dxa"/>
            <w:shd w:val="clear" w:color="auto" w:fill="D9D9D9"/>
            <w:vAlign w:val="center"/>
          </w:tcPr>
          <w:p>
            <w:pPr>
              <w:widowControl w:val="0"/>
              <w:spacing w:before="15" w:after="15"/>
              <w:jc w:val="center"/>
              <w:rPr>
                <w:b/>
                <w:noProof/>
                <w:sz w:val="20"/>
                <w:szCs w:val="20"/>
              </w:rPr>
            </w:pPr>
            <w:r>
              <w:rPr>
                <w:b/>
                <w:noProof/>
                <w:sz w:val="20"/>
              </w:rPr>
              <w:t>Betegnelse</w:t>
            </w:r>
          </w:p>
        </w:tc>
        <w:tc>
          <w:tcPr>
            <w:tcW w:w="1559" w:type="dxa"/>
            <w:shd w:val="clear" w:color="auto" w:fill="D9D9D9"/>
          </w:tcPr>
          <w:p>
            <w:pPr>
              <w:widowControl w:val="0"/>
              <w:spacing w:before="15" w:after="15"/>
              <w:jc w:val="center"/>
              <w:rPr>
                <w:b/>
                <w:noProof/>
                <w:sz w:val="20"/>
                <w:szCs w:val="20"/>
              </w:rPr>
            </w:pPr>
            <w:r>
              <w:rPr>
                <w:b/>
                <w:noProof/>
                <w:sz w:val="20"/>
              </w:rPr>
              <w:t>Betalingsbevillinger</w:t>
            </w:r>
          </w:p>
        </w:tc>
      </w:tr>
      <w:tr>
        <w:tc>
          <w:tcPr>
            <w:tcW w:w="1276" w:type="dxa"/>
            <w:vAlign w:val="center"/>
          </w:tcPr>
          <w:p>
            <w:pPr>
              <w:widowControl w:val="0"/>
              <w:spacing w:before="15" w:after="15"/>
              <w:ind w:right="-113"/>
              <w:jc w:val="both"/>
              <w:rPr>
                <w:noProof/>
                <w:sz w:val="20"/>
                <w:szCs w:val="20"/>
              </w:rPr>
            </w:pPr>
            <w:r>
              <w:rPr>
                <w:noProof/>
                <w:sz w:val="20"/>
              </w:rPr>
              <w:t>18 03 01 01</w:t>
            </w:r>
          </w:p>
        </w:tc>
        <w:tc>
          <w:tcPr>
            <w:tcW w:w="6521" w:type="dxa"/>
            <w:vAlign w:val="center"/>
          </w:tcPr>
          <w:p>
            <w:pPr>
              <w:widowControl w:val="0"/>
              <w:tabs>
                <w:tab w:val="left" w:pos="1350"/>
              </w:tabs>
              <w:spacing w:before="15" w:after="15"/>
              <w:jc w:val="both"/>
              <w:rPr>
                <w:noProof/>
                <w:sz w:val="16"/>
                <w:szCs w:val="16"/>
              </w:rPr>
            </w:pPr>
            <w:r>
              <w:rPr>
                <w:noProof/>
                <w:sz w:val="16"/>
              </w:rPr>
              <w:t>Styrkelse og udvikling af det fælles europæiske asylsystem og fremme af solidaritet og ansvarsdeling mellem medlemsstaterne</w:t>
            </w:r>
          </w:p>
        </w:tc>
        <w:tc>
          <w:tcPr>
            <w:tcW w:w="1559" w:type="dxa"/>
            <w:vAlign w:val="center"/>
          </w:tcPr>
          <w:p>
            <w:pPr>
              <w:widowControl w:val="0"/>
              <w:spacing w:before="15" w:after="15"/>
              <w:jc w:val="right"/>
              <w:rPr>
                <w:noProof/>
                <w:sz w:val="20"/>
                <w:szCs w:val="20"/>
              </w:rPr>
            </w:pPr>
            <w:r>
              <w:rPr>
                <w:noProof/>
                <w:sz w:val="20"/>
              </w:rPr>
              <w:t>-118 000 000</w:t>
            </w:r>
          </w:p>
        </w:tc>
      </w:tr>
      <w:tr>
        <w:tc>
          <w:tcPr>
            <w:tcW w:w="1276" w:type="dxa"/>
            <w:vAlign w:val="center"/>
          </w:tcPr>
          <w:p>
            <w:pPr>
              <w:widowControl w:val="0"/>
              <w:spacing w:before="15" w:after="15"/>
              <w:ind w:right="-113"/>
              <w:jc w:val="both"/>
              <w:rPr>
                <w:noProof/>
                <w:sz w:val="20"/>
                <w:szCs w:val="20"/>
              </w:rPr>
            </w:pPr>
            <w:r>
              <w:rPr>
                <w:noProof/>
                <w:sz w:val="20"/>
              </w:rPr>
              <w:t>18 03 01 02</w:t>
            </w:r>
          </w:p>
        </w:tc>
        <w:tc>
          <w:tcPr>
            <w:tcW w:w="6521" w:type="dxa"/>
            <w:vAlign w:val="center"/>
          </w:tcPr>
          <w:p>
            <w:pPr>
              <w:widowControl w:val="0"/>
              <w:tabs>
                <w:tab w:val="left" w:pos="1350"/>
              </w:tabs>
              <w:spacing w:before="15" w:after="15"/>
              <w:jc w:val="both"/>
              <w:rPr>
                <w:noProof/>
                <w:sz w:val="16"/>
                <w:szCs w:val="16"/>
              </w:rPr>
            </w:pPr>
            <w:r>
              <w:rPr>
                <w:noProof/>
                <w:sz w:val="16"/>
              </w:rPr>
              <w:t>Støtte til lovlig migration til Unionen, fremme af effektiv integration af tredjelandsstatsborgere og styrkelse af retfærdige og effektive tilbagesendelsesstrategier</w:t>
            </w:r>
          </w:p>
        </w:tc>
        <w:tc>
          <w:tcPr>
            <w:tcW w:w="1559" w:type="dxa"/>
            <w:vAlign w:val="center"/>
          </w:tcPr>
          <w:p>
            <w:pPr>
              <w:widowControl w:val="0"/>
              <w:spacing w:before="15" w:after="15"/>
              <w:jc w:val="right"/>
              <w:rPr>
                <w:noProof/>
                <w:sz w:val="20"/>
                <w:szCs w:val="20"/>
              </w:rPr>
            </w:pPr>
            <w:r>
              <w:rPr>
                <w:noProof/>
                <w:sz w:val="20"/>
              </w:rPr>
              <w:t>-8 000 000</w:t>
            </w:r>
          </w:p>
        </w:tc>
      </w:tr>
      <w:tr>
        <w:tc>
          <w:tcPr>
            <w:tcW w:w="1276" w:type="dxa"/>
            <w:vAlign w:val="center"/>
          </w:tcPr>
          <w:p>
            <w:pPr>
              <w:widowControl w:val="0"/>
              <w:spacing w:before="15" w:after="15"/>
              <w:ind w:right="-113"/>
              <w:jc w:val="both"/>
              <w:rPr>
                <w:noProof/>
                <w:sz w:val="20"/>
                <w:szCs w:val="20"/>
              </w:rPr>
            </w:pPr>
            <w:r>
              <w:rPr>
                <w:noProof/>
                <w:sz w:val="20"/>
              </w:rPr>
              <w:t>18 03 51</w:t>
            </w:r>
          </w:p>
        </w:tc>
        <w:tc>
          <w:tcPr>
            <w:tcW w:w="6521" w:type="dxa"/>
            <w:vAlign w:val="center"/>
          </w:tcPr>
          <w:p>
            <w:pPr>
              <w:widowControl w:val="0"/>
              <w:tabs>
                <w:tab w:val="left" w:pos="1350"/>
              </w:tabs>
              <w:spacing w:before="15" w:after="15"/>
              <w:jc w:val="both"/>
              <w:rPr>
                <w:noProof/>
                <w:sz w:val="16"/>
                <w:szCs w:val="16"/>
              </w:rPr>
            </w:pPr>
            <w:r>
              <w:rPr>
                <w:noProof/>
                <w:sz w:val="16"/>
              </w:rPr>
              <w:t>Færdiggørelse af operationer og programmer på områderne tilbagesendelse, flygtninge og migrationsstrømme</w:t>
            </w:r>
          </w:p>
        </w:tc>
        <w:tc>
          <w:tcPr>
            <w:tcW w:w="1559" w:type="dxa"/>
            <w:vAlign w:val="center"/>
          </w:tcPr>
          <w:p>
            <w:pPr>
              <w:widowControl w:val="0"/>
              <w:spacing w:before="15" w:after="15"/>
              <w:jc w:val="right"/>
              <w:rPr>
                <w:noProof/>
                <w:sz w:val="20"/>
                <w:szCs w:val="20"/>
              </w:rPr>
            </w:pPr>
            <w:r>
              <w:rPr>
                <w:noProof/>
                <w:sz w:val="20"/>
              </w:rPr>
              <w:t>-31 500 000</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rPr>
              <w:t>I alt</w:t>
            </w:r>
            <w:r>
              <w:rPr>
                <w:noProof/>
              </w:rPr>
              <w:tab/>
            </w:r>
          </w:p>
        </w:tc>
        <w:tc>
          <w:tcPr>
            <w:tcW w:w="1559" w:type="dxa"/>
            <w:shd w:val="clear" w:color="auto" w:fill="D9D9D9"/>
          </w:tcPr>
          <w:p>
            <w:pPr>
              <w:widowControl w:val="0"/>
              <w:spacing w:before="15" w:after="15"/>
              <w:jc w:val="right"/>
              <w:rPr>
                <w:b/>
                <w:noProof/>
                <w:sz w:val="20"/>
                <w:szCs w:val="20"/>
              </w:rPr>
            </w:pPr>
            <w:r>
              <w:rPr>
                <w:b/>
                <w:noProof/>
                <w:sz w:val="20"/>
              </w:rPr>
              <w:t>-157 500 000</w:t>
            </w:r>
          </w:p>
        </w:tc>
      </w:tr>
    </w:tbl>
    <w:p>
      <w:pPr>
        <w:tabs>
          <w:tab w:val="left" w:pos="851"/>
        </w:tabs>
        <w:spacing w:before="240"/>
        <w:rPr>
          <w:bCs/>
          <w:i/>
          <w:noProof/>
        </w:rPr>
      </w:pPr>
      <w:bookmarkStart w:id="38" w:name="_Toc462410054"/>
      <w:r>
        <w:rPr>
          <w:i/>
          <w:noProof/>
        </w:rPr>
        <w:t xml:space="preserve">2.3.2. </w:t>
      </w:r>
      <w:r>
        <w:rPr>
          <w:noProof/>
        </w:rPr>
        <w:tab/>
      </w:r>
      <w:r>
        <w:rPr>
          <w:i/>
          <w:noProof/>
        </w:rPr>
        <w:t>Fonden for Intern Sikkerhed</w:t>
      </w:r>
    </w:p>
    <w:p>
      <w:pPr>
        <w:autoSpaceDE w:val="0"/>
        <w:autoSpaceDN w:val="0"/>
        <w:adjustRightInd w:val="0"/>
        <w:spacing w:before="120" w:after="240"/>
        <w:jc w:val="both"/>
        <w:rPr>
          <w:noProof/>
        </w:rPr>
      </w:pPr>
      <w:r>
        <w:rPr>
          <w:noProof/>
        </w:rPr>
        <w:t>Reduktionen i betalingsbevillinger til Fonden for Intern Sikkerhed skyldes forsinkelsen i gennemførelsen af de nationale programmer (som forklaret ovenfor) og desuden den forsinkede vedtagelse af det nye ind- og udrejsesystem. Forordningen om oprettelse af ind- og udrejsesystemet forventes at træde i kraft i november 2017, efter at der er opnået politisk enighed i juli. Kommissionen har derfor til hensigt at fremføre de forpligtelsesbevillinger (40 mio. EUR), som i øjeblikket er opført i reserven, i overensstemmelse med artikel 13, stk. 2, litra b), i finansforordningen. Det foreslås at frigøre de tilknyttede betalingsbevillinger.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Budgetpost</w:t>
            </w:r>
          </w:p>
        </w:tc>
        <w:tc>
          <w:tcPr>
            <w:tcW w:w="6521" w:type="dxa"/>
            <w:shd w:val="clear" w:color="auto" w:fill="D9D9D9"/>
            <w:vAlign w:val="center"/>
          </w:tcPr>
          <w:p>
            <w:pPr>
              <w:widowControl w:val="0"/>
              <w:spacing w:before="15" w:after="15"/>
              <w:jc w:val="center"/>
              <w:rPr>
                <w:b/>
                <w:noProof/>
                <w:sz w:val="20"/>
                <w:szCs w:val="20"/>
              </w:rPr>
            </w:pPr>
            <w:r>
              <w:rPr>
                <w:b/>
                <w:noProof/>
                <w:sz w:val="20"/>
              </w:rPr>
              <w:t>Betegnelse</w:t>
            </w:r>
          </w:p>
        </w:tc>
        <w:tc>
          <w:tcPr>
            <w:tcW w:w="1701" w:type="dxa"/>
            <w:shd w:val="clear" w:color="auto" w:fill="D9D9D9"/>
            <w:vAlign w:val="center"/>
          </w:tcPr>
          <w:p>
            <w:pPr>
              <w:widowControl w:val="0"/>
              <w:spacing w:before="15" w:after="15"/>
              <w:jc w:val="center"/>
              <w:rPr>
                <w:b/>
                <w:noProof/>
                <w:sz w:val="20"/>
                <w:szCs w:val="20"/>
              </w:rPr>
            </w:pPr>
            <w:r>
              <w:rPr>
                <w:b/>
                <w:noProof/>
                <w:sz w:val="20"/>
              </w:rPr>
              <w:t>Betalingsbevillinger</w:t>
            </w:r>
          </w:p>
        </w:tc>
      </w:tr>
      <w:tr>
        <w:tc>
          <w:tcPr>
            <w:tcW w:w="1276" w:type="dxa"/>
            <w:vAlign w:val="center"/>
          </w:tcPr>
          <w:p>
            <w:pPr>
              <w:widowControl w:val="0"/>
              <w:spacing w:before="15" w:after="15"/>
              <w:ind w:right="-113"/>
              <w:jc w:val="both"/>
              <w:rPr>
                <w:noProof/>
                <w:sz w:val="20"/>
                <w:szCs w:val="20"/>
              </w:rPr>
            </w:pPr>
            <w:r>
              <w:rPr>
                <w:noProof/>
                <w:sz w:val="20"/>
              </w:rPr>
              <w:t>18 02 01 01</w:t>
            </w:r>
          </w:p>
        </w:tc>
        <w:tc>
          <w:tcPr>
            <w:tcW w:w="6521" w:type="dxa"/>
            <w:vAlign w:val="center"/>
          </w:tcPr>
          <w:p>
            <w:pPr>
              <w:rPr>
                <w:noProof/>
              </w:rPr>
            </w:pPr>
            <w:r>
              <w:rPr>
                <w:noProof/>
                <w:sz w:val="16"/>
              </w:rPr>
              <w:t>Støtte til grænseforvaltning og en fælles visumpolitik for at lette lovlig rejseaktivitet</w:t>
            </w:r>
          </w:p>
        </w:tc>
        <w:tc>
          <w:tcPr>
            <w:tcW w:w="1701" w:type="dxa"/>
            <w:vAlign w:val="center"/>
          </w:tcPr>
          <w:p>
            <w:pPr>
              <w:widowControl w:val="0"/>
              <w:spacing w:before="15" w:after="15"/>
              <w:jc w:val="right"/>
              <w:rPr>
                <w:noProof/>
                <w:sz w:val="20"/>
                <w:szCs w:val="20"/>
              </w:rPr>
            </w:pPr>
            <w:r>
              <w:rPr>
                <w:noProof/>
                <w:sz w:val="20"/>
              </w:rPr>
              <w:t>-84 000 000</w:t>
            </w:r>
          </w:p>
        </w:tc>
      </w:tr>
      <w:tr>
        <w:tc>
          <w:tcPr>
            <w:tcW w:w="1276" w:type="dxa"/>
            <w:vAlign w:val="center"/>
          </w:tcPr>
          <w:p>
            <w:pPr>
              <w:widowControl w:val="0"/>
              <w:spacing w:before="15" w:after="15"/>
              <w:ind w:right="-113"/>
              <w:jc w:val="both"/>
              <w:rPr>
                <w:noProof/>
                <w:sz w:val="20"/>
                <w:szCs w:val="20"/>
              </w:rPr>
            </w:pPr>
            <w:r>
              <w:rPr>
                <w:noProof/>
                <w:sz w:val="20"/>
              </w:rPr>
              <w:t>18 02 01 02</w:t>
            </w:r>
          </w:p>
        </w:tc>
        <w:tc>
          <w:tcPr>
            <w:tcW w:w="6521" w:type="dxa"/>
            <w:vAlign w:val="center"/>
          </w:tcPr>
          <w:p>
            <w:pPr>
              <w:rPr>
                <w:noProof/>
              </w:rPr>
            </w:pPr>
            <w:r>
              <w:rPr>
                <w:noProof/>
                <w:sz w:val="16"/>
              </w:rPr>
              <w:t>Forebyggelse og bekæmpelse af tværnational organiseret kriminalitet og bedre forvaltning af sikkerhedsrelaterede risici og kriser</w:t>
            </w:r>
          </w:p>
        </w:tc>
        <w:tc>
          <w:tcPr>
            <w:tcW w:w="1701" w:type="dxa"/>
            <w:vAlign w:val="center"/>
          </w:tcPr>
          <w:p>
            <w:pPr>
              <w:widowControl w:val="0"/>
              <w:spacing w:before="15" w:after="15"/>
              <w:jc w:val="right"/>
              <w:rPr>
                <w:noProof/>
                <w:sz w:val="20"/>
                <w:szCs w:val="20"/>
              </w:rPr>
            </w:pPr>
            <w:r>
              <w:rPr>
                <w:noProof/>
                <w:sz w:val="20"/>
              </w:rPr>
              <w:t>-8 700 000</w:t>
            </w:r>
          </w:p>
        </w:tc>
      </w:tr>
      <w:tr>
        <w:tc>
          <w:tcPr>
            <w:tcW w:w="1276" w:type="dxa"/>
            <w:vAlign w:val="center"/>
          </w:tcPr>
          <w:p>
            <w:pPr>
              <w:widowControl w:val="0"/>
              <w:spacing w:before="15" w:after="15"/>
              <w:ind w:right="-113"/>
              <w:jc w:val="both"/>
              <w:rPr>
                <w:noProof/>
                <w:sz w:val="20"/>
                <w:szCs w:val="20"/>
              </w:rPr>
            </w:pPr>
            <w:r>
              <w:rPr>
                <w:noProof/>
                <w:sz w:val="20"/>
              </w:rPr>
              <w:t>18 02 51</w:t>
            </w:r>
          </w:p>
        </w:tc>
        <w:tc>
          <w:tcPr>
            <w:tcW w:w="6521" w:type="dxa"/>
            <w:vAlign w:val="center"/>
          </w:tcPr>
          <w:p>
            <w:pPr>
              <w:rPr>
                <w:noProof/>
              </w:rPr>
            </w:pPr>
            <w:r>
              <w:rPr>
                <w:noProof/>
                <w:sz w:val="16"/>
              </w:rPr>
              <w:t>Afslutning af operationer og programmer på områderne ydre grænser, sikkerhed og sikring af frihedsrettigheder</w:t>
            </w:r>
          </w:p>
        </w:tc>
        <w:tc>
          <w:tcPr>
            <w:tcW w:w="1701" w:type="dxa"/>
            <w:vAlign w:val="center"/>
          </w:tcPr>
          <w:p>
            <w:pPr>
              <w:widowControl w:val="0"/>
              <w:spacing w:before="15" w:after="15"/>
              <w:jc w:val="right"/>
              <w:rPr>
                <w:noProof/>
                <w:sz w:val="20"/>
                <w:szCs w:val="20"/>
              </w:rPr>
            </w:pPr>
            <w:r>
              <w:rPr>
                <w:noProof/>
                <w:sz w:val="20"/>
              </w:rPr>
              <w:t>-9 450 000</w:t>
            </w:r>
          </w:p>
        </w:tc>
      </w:tr>
      <w:tr>
        <w:tc>
          <w:tcPr>
            <w:tcW w:w="1276" w:type="dxa"/>
            <w:vAlign w:val="center"/>
          </w:tcPr>
          <w:p>
            <w:pPr>
              <w:widowControl w:val="0"/>
              <w:spacing w:before="15" w:after="15"/>
              <w:ind w:right="-113"/>
              <w:jc w:val="both"/>
              <w:rPr>
                <w:noProof/>
                <w:sz w:val="20"/>
                <w:szCs w:val="20"/>
              </w:rPr>
            </w:pPr>
            <w:r>
              <w:rPr>
                <w:noProof/>
                <w:sz w:val="20"/>
              </w:rPr>
              <w:t>40 02 41</w:t>
            </w:r>
          </w:p>
        </w:tc>
        <w:tc>
          <w:tcPr>
            <w:tcW w:w="6521" w:type="dxa"/>
            <w:vAlign w:val="center"/>
          </w:tcPr>
          <w:p>
            <w:pPr>
              <w:rPr>
                <w:noProof/>
              </w:rPr>
            </w:pPr>
            <w:r>
              <w:rPr>
                <w:noProof/>
                <w:sz w:val="16"/>
              </w:rPr>
              <w:t>Opdelte bevillinger (</w:t>
            </w:r>
            <w:r>
              <w:rPr>
                <w:i/>
                <w:noProof/>
                <w:sz w:val="16"/>
              </w:rPr>
              <w:t>Reserve til budgetkonto 18 02 01 03 — Oprettelse af et ind- og udrejsesystem til registrering af ind- og udrejseoplysninger og oplysninger om nægtelse af indrejse vedrørende tredjelandsstatsborgere, der passerer Den Europæiske Unions medlemsstaters ydre grænser)</w:t>
            </w:r>
            <w:r>
              <w:rPr>
                <w:noProof/>
                <w:sz w:val="16"/>
              </w:rPr>
              <w:t>)</w:t>
            </w:r>
          </w:p>
        </w:tc>
        <w:tc>
          <w:tcPr>
            <w:tcW w:w="1701" w:type="dxa"/>
            <w:vAlign w:val="center"/>
          </w:tcPr>
          <w:p>
            <w:pPr>
              <w:widowControl w:val="0"/>
              <w:spacing w:before="15" w:after="15"/>
              <w:jc w:val="right"/>
              <w:rPr>
                <w:noProof/>
                <w:sz w:val="20"/>
                <w:szCs w:val="20"/>
                <w:highlight w:val="yellow"/>
              </w:rPr>
            </w:pPr>
            <w:r>
              <w:rPr>
                <w:noProof/>
                <w:sz w:val="20"/>
              </w:rPr>
              <w:t>-28 000 000</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rPr>
              <w:t>I alt</w:t>
            </w:r>
            <w:r>
              <w:rPr>
                <w:noProof/>
              </w:rPr>
              <w:tab/>
            </w:r>
          </w:p>
        </w:tc>
        <w:tc>
          <w:tcPr>
            <w:tcW w:w="1701" w:type="dxa"/>
            <w:shd w:val="clear" w:color="auto" w:fill="D9D9D9"/>
          </w:tcPr>
          <w:p>
            <w:pPr>
              <w:widowControl w:val="0"/>
              <w:spacing w:before="15" w:after="15"/>
              <w:jc w:val="right"/>
              <w:rPr>
                <w:b/>
                <w:noProof/>
                <w:sz w:val="20"/>
                <w:szCs w:val="20"/>
              </w:rPr>
            </w:pPr>
            <w:r>
              <w:rPr>
                <w:b/>
                <w:noProof/>
                <w:sz w:val="20"/>
              </w:rPr>
              <w:t>-130 150 000</w:t>
            </w:r>
          </w:p>
        </w:tc>
      </w:tr>
    </w:tbl>
    <w:p>
      <w:pPr>
        <w:rPr>
          <w:rFonts w:eastAsia="Calibri"/>
          <w:noProof/>
        </w:rPr>
      </w:pPr>
      <w:r>
        <w:rPr>
          <w:noProof/>
        </w:rPr>
        <w:br w:type="page"/>
      </w:r>
    </w:p>
    <w:p>
      <w:pPr>
        <w:keepNext/>
        <w:tabs>
          <w:tab w:val="left" w:pos="850"/>
        </w:tabs>
        <w:spacing w:before="360" w:after="120"/>
        <w:ind w:left="850" w:hanging="850"/>
        <w:jc w:val="both"/>
        <w:outlineLvl w:val="1"/>
        <w:rPr>
          <w:rFonts w:eastAsia="Calibri"/>
          <w:b/>
          <w:noProof/>
        </w:rPr>
      </w:pPr>
      <w:bookmarkStart w:id="39" w:name="_Toc494994375"/>
      <w:bookmarkStart w:id="40" w:name="_Toc496272630"/>
      <w:r>
        <w:rPr>
          <w:b/>
          <w:noProof/>
        </w:rPr>
        <w:t>2.4</w:t>
      </w:r>
      <w:r>
        <w:rPr>
          <w:noProof/>
        </w:rPr>
        <w:tab/>
      </w:r>
      <w:bookmarkEnd w:id="38"/>
      <w:r>
        <w:rPr>
          <w:b/>
          <w:noProof/>
        </w:rPr>
        <w:t>Udgiftsområde 4 – Et globalt Europa</w:t>
      </w:r>
      <w:bookmarkEnd w:id="39"/>
      <w:bookmarkEnd w:id="40"/>
    </w:p>
    <w:bookmarkEnd w:id="24"/>
    <w:bookmarkEnd w:id="25"/>
    <w:p>
      <w:pPr>
        <w:tabs>
          <w:tab w:val="left" w:pos="851"/>
        </w:tabs>
        <w:spacing w:before="240"/>
        <w:rPr>
          <w:bCs/>
          <w:i/>
          <w:noProof/>
        </w:rPr>
      </w:pPr>
      <w:r>
        <w:rPr>
          <w:i/>
          <w:noProof/>
        </w:rPr>
        <w:t xml:space="preserve">2.4.1. </w:t>
      </w:r>
      <w:r>
        <w:rPr>
          <w:noProof/>
        </w:rPr>
        <w:tab/>
      </w:r>
      <w:r>
        <w:rPr>
          <w:i/>
          <w:noProof/>
        </w:rPr>
        <w:t>Instrumentet til førtiltrædelsesbistand (IPA II)</w:t>
      </w:r>
    </w:p>
    <w:p>
      <w:pPr>
        <w:autoSpaceDE w:val="0"/>
        <w:autoSpaceDN w:val="0"/>
        <w:adjustRightInd w:val="0"/>
        <w:spacing w:before="120" w:after="120"/>
        <w:jc w:val="both"/>
        <w:rPr>
          <w:noProof/>
        </w:rPr>
      </w:pPr>
      <w:r>
        <w:rPr>
          <w:noProof/>
        </w:rPr>
        <w:t>Det foreslås at reducere betalingsbevillingerne med et samlet beløb på 268,1 mio. EUR, som er identificeret på flere forskellige IPA-budgetposter. Af dette beløb hidrører ca. 113 mio. EUR fra lavere behov for betalingsbevillinger under faciliteten for flygtninge i Tyrkiet, som er et resultat af de komplicerede forhandlinger om visse store infrastrukturprojekter og de deraf følgende kontraktmæssige forsinkelser. Det resterende overskud i afsnit 22 skyldes forsinkelser i indgåelsen eller gennemførelsen af kontrakter på Vestbalkan og i Tyrkiet.</w:t>
      </w:r>
    </w:p>
    <w:p>
      <w:pPr>
        <w:autoSpaceDE w:val="0"/>
        <w:autoSpaceDN w:val="0"/>
        <w:adjustRightInd w:val="0"/>
        <w:spacing w:before="120" w:after="240"/>
        <w:jc w:val="both"/>
        <w:rPr>
          <w:noProof/>
        </w:rPr>
      </w:pPr>
      <w:r>
        <w:rPr>
          <w:noProof/>
        </w:rPr>
        <w:t>Desuden overstiger betalingsbevillingerne de reviderede behov i forbindelse med grænseoverskridende samarbejdsforanstaltninger i afsnit 13, hovedsagelig som følge af en stærk nedsættelse af den ajourførte prognose fra de pågældende lande i forhold til den prognose, der ligger til grund for budgettet for 2017.</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701"/>
      </w:tblGrid>
      <w:tr>
        <w:trPr>
          <w:tblHeader/>
        </w:trPr>
        <w:tc>
          <w:tcPr>
            <w:tcW w:w="1276" w:type="dxa"/>
            <w:shd w:val="clear" w:color="auto" w:fill="D9D9D9"/>
            <w:vAlign w:val="center"/>
          </w:tcPr>
          <w:p>
            <w:pPr>
              <w:widowControl w:val="0"/>
              <w:spacing w:before="15" w:after="15"/>
              <w:jc w:val="center"/>
              <w:rPr>
                <w:b/>
                <w:noProof/>
                <w:sz w:val="20"/>
                <w:szCs w:val="20"/>
              </w:rPr>
            </w:pPr>
            <w:r>
              <w:rPr>
                <w:b/>
                <w:noProof/>
                <w:sz w:val="20"/>
              </w:rPr>
              <w:t>Budgetpost</w:t>
            </w:r>
          </w:p>
        </w:tc>
        <w:tc>
          <w:tcPr>
            <w:tcW w:w="6521" w:type="dxa"/>
            <w:shd w:val="clear" w:color="auto" w:fill="D9D9D9"/>
            <w:vAlign w:val="center"/>
          </w:tcPr>
          <w:p>
            <w:pPr>
              <w:widowControl w:val="0"/>
              <w:spacing w:before="15" w:after="15"/>
              <w:jc w:val="center"/>
              <w:rPr>
                <w:b/>
                <w:noProof/>
                <w:sz w:val="20"/>
                <w:szCs w:val="20"/>
              </w:rPr>
            </w:pPr>
            <w:r>
              <w:rPr>
                <w:b/>
                <w:noProof/>
                <w:sz w:val="20"/>
              </w:rPr>
              <w:t>Betegnelse</w:t>
            </w:r>
          </w:p>
        </w:tc>
        <w:tc>
          <w:tcPr>
            <w:tcW w:w="1701" w:type="dxa"/>
            <w:shd w:val="clear" w:color="auto" w:fill="D9D9D9"/>
            <w:vAlign w:val="center"/>
          </w:tcPr>
          <w:p>
            <w:pPr>
              <w:widowControl w:val="0"/>
              <w:spacing w:before="15" w:after="15"/>
              <w:jc w:val="center"/>
              <w:rPr>
                <w:b/>
                <w:noProof/>
                <w:sz w:val="20"/>
                <w:szCs w:val="20"/>
              </w:rPr>
            </w:pPr>
            <w:r>
              <w:rPr>
                <w:b/>
                <w:noProof/>
                <w:sz w:val="20"/>
              </w:rPr>
              <w:t>Betalingsbevillinger</w:t>
            </w:r>
          </w:p>
        </w:tc>
      </w:tr>
      <w:tr>
        <w:tc>
          <w:tcPr>
            <w:tcW w:w="1276" w:type="dxa"/>
            <w:vAlign w:val="center"/>
          </w:tcPr>
          <w:p>
            <w:pPr>
              <w:widowControl w:val="0"/>
              <w:spacing w:before="15" w:after="15"/>
              <w:ind w:right="-113"/>
              <w:jc w:val="both"/>
              <w:rPr>
                <w:noProof/>
                <w:sz w:val="20"/>
                <w:szCs w:val="20"/>
              </w:rPr>
            </w:pPr>
            <w:r>
              <w:rPr>
                <w:noProof/>
                <w:sz w:val="20"/>
              </w:rPr>
              <w:t>13 05 02</w:t>
            </w:r>
          </w:p>
        </w:tc>
        <w:tc>
          <w:tcPr>
            <w:tcW w:w="6521" w:type="dxa"/>
            <w:vAlign w:val="center"/>
          </w:tcPr>
          <w:p>
            <w:pPr>
              <w:rPr>
                <w:bCs/>
                <w:iCs/>
                <w:noProof/>
                <w:sz w:val="16"/>
                <w:szCs w:val="16"/>
              </w:rPr>
            </w:pPr>
            <w:r>
              <w:rPr>
                <w:noProof/>
                <w:sz w:val="16"/>
              </w:rPr>
              <w:t>Instrument til førtiltrædelsesbistand (Ipa) – afslutning af komponent til regional udvikling (2007-2013)</w:t>
            </w:r>
          </w:p>
        </w:tc>
        <w:tc>
          <w:tcPr>
            <w:tcW w:w="1701" w:type="dxa"/>
            <w:vAlign w:val="center"/>
          </w:tcPr>
          <w:p>
            <w:pPr>
              <w:widowControl w:val="0"/>
              <w:spacing w:before="15" w:after="15"/>
              <w:jc w:val="right"/>
              <w:rPr>
                <w:noProof/>
                <w:sz w:val="20"/>
                <w:szCs w:val="20"/>
              </w:rPr>
            </w:pPr>
            <w:r>
              <w:rPr>
                <w:noProof/>
                <w:sz w:val="20"/>
              </w:rPr>
              <w:t>-9 473 967</w:t>
            </w:r>
          </w:p>
        </w:tc>
      </w:tr>
      <w:tr>
        <w:tc>
          <w:tcPr>
            <w:tcW w:w="1276" w:type="dxa"/>
            <w:vAlign w:val="center"/>
          </w:tcPr>
          <w:p>
            <w:pPr>
              <w:widowControl w:val="0"/>
              <w:spacing w:before="15" w:after="15"/>
              <w:ind w:right="-113"/>
              <w:jc w:val="both"/>
              <w:rPr>
                <w:noProof/>
                <w:sz w:val="20"/>
                <w:szCs w:val="20"/>
              </w:rPr>
            </w:pPr>
            <w:r>
              <w:rPr>
                <w:noProof/>
                <w:sz w:val="20"/>
              </w:rPr>
              <w:t>13 05 63 02</w:t>
            </w:r>
          </w:p>
        </w:tc>
        <w:tc>
          <w:tcPr>
            <w:tcW w:w="6521" w:type="dxa"/>
            <w:vAlign w:val="center"/>
          </w:tcPr>
          <w:p>
            <w:pPr>
              <w:rPr>
                <w:bCs/>
                <w:iCs/>
                <w:noProof/>
                <w:sz w:val="16"/>
                <w:szCs w:val="16"/>
              </w:rPr>
            </w:pPr>
            <w:r>
              <w:rPr>
                <w:noProof/>
                <w:sz w:val="16"/>
              </w:rPr>
              <w:t>Grænseoverskridende samarbejde – bidrag fra udgiftsområde 4</w:t>
            </w:r>
          </w:p>
        </w:tc>
        <w:tc>
          <w:tcPr>
            <w:tcW w:w="1701" w:type="dxa"/>
            <w:vAlign w:val="center"/>
          </w:tcPr>
          <w:p>
            <w:pPr>
              <w:widowControl w:val="0"/>
              <w:spacing w:before="15" w:after="15"/>
              <w:jc w:val="right"/>
              <w:rPr>
                <w:noProof/>
                <w:sz w:val="20"/>
                <w:szCs w:val="20"/>
              </w:rPr>
            </w:pPr>
            <w:r>
              <w:rPr>
                <w:noProof/>
                <w:sz w:val="20"/>
              </w:rPr>
              <w:t>-21 988 054</w:t>
            </w:r>
          </w:p>
        </w:tc>
      </w:tr>
      <w:tr>
        <w:tc>
          <w:tcPr>
            <w:tcW w:w="1276" w:type="dxa"/>
            <w:vAlign w:val="center"/>
          </w:tcPr>
          <w:p>
            <w:pPr>
              <w:widowControl w:val="0"/>
              <w:spacing w:before="15" w:after="15"/>
              <w:ind w:right="-113"/>
              <w:jc w:val="both"/>
              <w:rPr>
                <w:noProof/>
                <w:sz w:val="20"/>
                <w:szCs w:val="20"/>
              </w:rPr>
            </w:pPr>
            <w:r>
              <w:rPr>
                <w:noProof/>
                <w:sz w:val="20"/>
              </w:rPr>
              <w:t>22 02 01 01</w:t>
            </w:r>
          </w:p>
        </w:tc>
        <w:tc>
          <w:tcPr>
            <w:tcW w:w="6521" w:type="dxa"/>
            <w:vAlign w:val="center"/>
          </w:tcPr>
          <w:p>
            <w:pPr>
              <w:rPr>
                <w:bCs/>
                <w:iCs/>
                <w:noProof/>
                <w:sz w:val="16"/>
                <w:szCs w:val="16"/>
              </w:rPr>
            </w:pPr>
            <w:r>
              <w:rPr>
                <w:noProof/>
                <w:sz w:val="16"/>
              </w:rPr>
              <w:t>Støtte til politiske reformer og gradvis tilpasning til den gældende EU-ret</w:t>
            </w:r>
          </w:p>
        </w:tc>
        <w:tc>
          <w:tcPr>
            <w:tcW w:w="1701" w:type="dxa"/>
            <w:vAlign w:val="center"/>
          </w:tcPr>
          <w:p>
            <w:pPr>
              <w:widowControl w:val="0"/>
              <w:spacing w:before="15" w:after="15"/>
              <w:jc w:val="right"/>
              <w:rPr>
                <w:noProof/>
                <w:sz w:val="20"/>
                <w:szCs w:val="20"/>
              </w:rPr>
            </w:pPr>
            <w:r>
              <w:rPr>
                <w:noProof/>
                <w:sz w:val="20"/>
              </w:rPr>
              <w:t>-74 886 680</w:t>
            </w:r>
          </w:p>
        </w:tc>
      </w:tr>
      <w:tr>
        <w:tc>
          <w:tcPr>
            <w:tcW w:w="1276" w:type="dxa"/>
            <w:vAlign w:val="center"/>
          </w:tcPr>
          <w:p>
            <w:pPr>
              <w:widowControl w:val="0"/>
              <w:spacing w:before="15" w:after="15"/>
              <w:ind w:right="-113"/>
              <w:jc w:val="both"/>
              <w:rPr>
                <w:noProof/>
                <w:sz w:val="20"/>
                <w:szCs w:val="20"/>
              </w:rPr>
            </w:pPr>
            <w:r>
              <w:rPr>
                <w:noProof/>
                <w:sz w:val="20"/>
              </w:rPr>
              <w:t>22 02 01 02</w:t>
            </w:r>
          </w:p>
        </w:tc>
        <w:tc>
          <w:tcPr>
            <w:tcW w:w="6521" w:type="dxa"/>
            <w:vAlign w:val="center"/>
          </w:tcPr>
          <w:p>
            <w:pPr>
              <w:rPr>
                <w:bCs/>
                <w:iCs/>
                <w:noProof/>
                <w:sz w:val="16"/>
                <w:szCs w:val="16"/>
              </w:rPr>
            </w:pPr>
            <w:r>
              <w:rPr>
                <w:noProof/>
                <w:sz w:val="16"/>
              </w:rPr>
              <w:t>Støtte til økonomisk, social og territorial udvikling og gradvis tilpasning til gældende EU-ret</w:t>
            </w:r>
          </w:p>
        </w:tc>
        <w:tc>
          <w:tcPr>
            <w:tcW w:w="1701" w:type="dxa"/>
            <w:vAlign w:val="center"/>
          </w:tcPr>
          <w:p>
            <w:pPr>
              <w:widowControl w:val="0"/>
              <w:spacing w:before="15" w:after="15"/>
              <w:jc w:val="right"/>
              <w:rPr>
                <w:noProof/>
                <w:sz w:val="20"/>
                <w:szCs w:val="20"/>
              </w:rPr>
            </w:pPr>
            <w:r>
              <w:rPr>
                <w:noProof/>
                <w:sz w:val="20"/>
              </w:rPr>
              <w:t>-27 107 354</w:t>
            </w:r>
          </w:p>
        </w:tc>
      </w:tr>
      <w:tr>
        <w:tc>
          <w:tcPr>
            <w:tcW w:w="1276" w:type="dxa"/>
            <w:vAlign w:val="center"/>
          </w:tcPr>
          <w:p>
            <w:pPr>
              <w:widowControl w:val="0"/>
              <w:spacing w:before="15" w:after="15"/>
              <w:ind w:right="-113"/>
              <w:jc w:val="both"/>
              <w:rPr>
                <w:noProof/>
                <w:sz w:val="20"/>
                <w:szCs w:val="20"/>
              </w:rPr>
            </w:pPr>
            <w:r>
              <w:rPr>
                <w:noProof/>
                <w:sz w:val="20"/>
              </w:rPr>
              <w:t>22 02 03 01</w:t>
            </w:r>
          </w:p>
        </w:tc>
        <w:tc>
          <w:tcPr>
            <w:tcW w:w="6521" w:type="dxa"/>
            <w:vAlign w:val="center"/>
          </w:tcPr>
          <w:p>
            <w:pPr>
              <w:rPr>
                <w:bCs/>
                <w:iCs/>
                <w:noProof/>
                <w:sz w:val="16"/>
                <w:szCs w:val="16"/>
              </w:rPr>
            </w:pPr>
            <w:r>
              <w:rPr>
                <w:noProof/>
                <w:sz w:val="16"/>
              </w:rPr>
              <w:t>Støtte til politiske reformer og gradvis tilpasning til den gældende EU-ret</w:t>
            </w:r>
          </w:p>
        </w:tc>
        <w:tc>
          <w:tcPr>
            <w:tcW w:w="1701" w:type="dxa"/>
            <w:vAlign w:val="center"/>
          </w:tcPr>
          <w:p>
            <w:pPr>
              <w:widowControl w:val="0"/>
              <w:spacing w:before="15" w:after="15"/>
              <w:jc w:val="right"/>
              <w:rPr>
                <w:noProof/>
                <w:sz w:val="20"/>
                <w:szCs w:val="20"/>
              </w:rPr>
            </w:pPr>
            <w:r>
              <w:rPr>
                <w:noProof/>
                <w:sz w:val="20"/>
              </w:rPr>
              <w:t>-25 583 372</w:t>
            </w:r>
          </w:p>
        </w:tc>
      </w:tr>
      <w:tr>
        <w:tc>
          <w:tcPr>
            <w:tcW w:w="1276" w:type="dxa"/>
            <w:vAlign w:val="center"/>
          </w:tcPr>
          <w:p>
            <w:pPr>
              <w:widowControl w:val="0"/>
              <w:spacing w:before="15" w:after="15"/>
              <w:ind w:right="-113"/>
              <w:jc w:val="both"/>
              <w:rPr>
                <w:noProof/>
                <w:sz w:val="20"/>
                <w:szCs w:val="20"/>
              </w:rPr>
            </w:pPr>
            <w:r>
              <w:rPr>
                <w:noProof/>
                <w:sz w:val="20"/>
              </w:rPr>
              <w:t>22 02 04 01</w:t>
            </w:r>
          </w:p>
        </w:tc>
        <w:tc>
          <w:tcPr>
            <w:tcW w:w="6521" w:type="dxa"/>
            <w:vAlign w:val="center"/>
          </w:tcPr>
          <w:p>
            <w:pPr>
              <w:rPr>
                <w:bCs/>
                <w:iCs/>
                <w:noProof/>
                <w:sz w:val="16"/>
                <w:szCs w:val="16"/>
              </w:rPr>
            </w:pPr>
            <w:r>
              <w:rPr>
                <w:noProof/>
                <w:sz w:val="16"/>
              </w:rPr>
              <w:t>Flerlandeprogrammer, regional integration og territorialt samarbejde</w:t>
            </w:r>
          </w:p>
        </w:tc>
        <w:tc>
          <w:tcPr>
            <w:tcW w:w="1701" w:type="dxa"/>
            <w:vAlign w:val="center"/>
          </w:tcPr>
          <w:p>
            <w:pPr>
              <w:widowControl w:val="0"/>
              <w:spacing w:before="15" w:after="15"/>
              <w:jc w:val="right"/>
              <w:rPr>
                <w:noProof/>
                <w:sz w:val="20"/>
                <w:szCs w:val="20"/>
              </w:rPr>
            </w:pPr>
            <w:r>
              <w:rPr>
                <w:noProof/>
                <w:sz w:val="20"/>
              </w:rPr>
              <w:t>-94 444 080</w:t>
            </w:r>
          </w:p>
        </w:tc>
      </w:tr>
      <w:tr>
        <w:tc>
          <w:tcPr>
            <w:tcW w:w="1276" w:type="dxa"/>
            <w:vAlign w:val="center"/>
          </w:tcPr>
          <w:p>
            <w:pPr>
              <w:widowControl w:val="0"/>
              <w:spacing w:before="15" w:after="15"/>
              <w:ind w:right="-113"/>
              <w:jc w:val="both"/>
              <w:rPr>
                <w:noProof/>
                <w:sz w:val="20"/>
                <w:szCs w:val="20"/>
              </w:rPr>
            </w:pPr>
            <w:r>
              <w:rPr>
                <w:noProof/>
                <w:sz w:val="20"/>
              </w:rPr>
              <w:t>22 02 51</w:t>
            </w:r>
          </w:p>
        </w:tc>
        <w:tc>
          <w:tcPr>
            <w:tcW w:w="6521" w:type="dxa"/>
            <w:vAlign w:val="center"/>
          </w:tcPr>
          <w:p>
            <w:pPr>
              <w:rPr>
                <w:bCs/>
                <w:iCs/>
                <w:noProof/>
                <w:sz w:val="16"/>
                <w:szCs w:val="16"/>
              </w:rPr>
            </w:pPr>
            <w:r>
              <w:rPr>
                <w:noProof/>
                <w:sz w:val="16"/>
              </w:rPr>
              <w:t>Gennemførelse af tidligere førtiltrædelsesbistand (før 2014)</w:t>
            </w:r>
          </w:p>
        </w:tc>
        <w:tc>
          <w:tcPr>
            <w:tcW w:w="1701" w:type="dxa"/>
            <w:vAlign w:val="center"/>
          </w:tcPr>
          <w:p>
            <w:pPr>
              <w:widowControl w:val="0"/>
              <w:spacing w:before="15" w:after="15"/>
              <w:jc w:val="right"/>
              <w:rPr>
                <w:noProof/>
                <w:sz w:val="20"/>
                <w:szCs w:val="20"/>
                <w:highlight w:val="yellow"/>
              </w:rPr>
            </w:pPr>
            <w:r>
              <w:rPr>
                <w:noProof/>
                <w:sz w:val="20"/>
              </w:rPr>
              <w:t>-14 617 033</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rPr>
              <w:t>I alt</w:t>
            </w:r>
            <w:r>
              <w:rPr>
                <w:noProof/>
              </w:rPr>
              <w:tab/>
            </w:r>
          </w:p>
        </w:tc>
        <w:tc>
          <w:tcPr>
            <w:tcW w:w="1701" w:type="dxa"/>
            <w:shd w:val="clear" w:color="auto" w:fill="D9D9D9"/>
          </w:tcPr>
          <w:p>
            <w:pPr>
              <w:widowControl w:val="0"/>
              <w:spacing w:before="15" w:after="15"/>
              <w:jc w:val="right"/>
              <w:rPr>
                <w:b/>
                <w:noProof/>
                <w:sz w:val="20"/>
                <w:szCs w:val="20"/>
              </w:rPr>
            </w:pPr>
            <w:r>
              <w:rPr>
                <w:b/>
                <w:noProof/>
                <w:sz w:val="20"/>
              </w:rPr>
              <w:t>-268 100 540</w:t>
            </w:r>
          </w:p>
        </w:tc>
      </w:tr>
    </w:tbl>
    <w:p>
      <w:pPr>
        <w:tabs>
          <w:tab w:val="left" w:pos="851"/>
        </w:tabs>
        <w:spacing w:before="240"/>
        <w:rPr>
          <w:bCs/>
          <w:i/>
          <w:noProof/>
        </w:rPr>
      </w:pPr>
      <w:r>
        <w:rPr>
          <w:i/>
          <w:noProof/>
        </w:rPr>
        <w:t xml:space="preserve">2.4.2. </w:t>
      </w:r>
      <w:r>
        <w:rPr>
          <w:noProof/>
        </w:rPr>
        <w:tab/>
      </w:r>
      <w:r>
        <w:rPr>
          <w:i/>
          <w:noProof/>
        </w:rPr>
        <w:t>Det Europæiske Naboskabsinstrument (ENI)</w:t>
      </w:r>
    </w:p>
    <w:p>
      <w:pPr>
        <w:autoSpaceDE w:val="0"/>
        <w:autoSpaceDN w:val="0"/>
        <w:adjustRightInd w:val="0"/>
        <w:spacing w:before="120" w:after="120"/>
        <w:jc w:val="both"/>
        <w:rPr>
          <w:noProof/>
        </w:rPr>
      </w:pPr>
      <w:r>
        <w:rPr>
          <w:noProof/>
        </w:rPr>
        <w:t>Det foreslås at reducere betalingsbevillingerne med et samlet beløb på 434,1 mio. EUR, som er identificeret på flere forskellige ENI-budgetposter. Af dette beløb forklares ca. 300 mio. EUR af forsinkelser i udbetalingen af flere trancher af budgetstøtte til fordel for Egypten, Marokko, Moldova, Armenien og Aserbajdsjan, idet de aftalte kriterier for udbetalingen af disse ikke var opfyldt ifølge tidsplanen.</w:t>
      </w:r>
    </w:p>
    <w:p>
      <w:pPr>
        <w:autoSpaceDE w:val="0"/>
        <w:autoSpaceDN w:val="0"/>
        <w:adjustRightInd w:val="0"/>
        <w:spacing w:before="120" w:after="240"/>
        <w:jc w:val="both"/>
        <w:rPr>
          <w:noProof/>
        </w:rPr>
      </w:pPr>
      <w:r>
        <w:rPr>
          <w:noProof/>
        </w:rPr>
        <w:t>De resterende betalingsbevillinger, som kan frigøres, vedrører beløb, der er blevet udskudt som følge af vanskeligheder i forbindelse med gennemførelsen af projekter. F.eks. har juridiske spørgsmål samt den aktuelle politiske situation i Gaza påvirket en smidig gennemførelse af forskellige kontrakter under budgetpost 22 04 01 04. Desuden er flere betalinger blevet udskudt på grund af forsinkelser i forbindelse med indgåelsen af aftaler mellem Egyptens regering og de internationale finansielle institutioner inden for rammerne af blandingsoperationer. Endelig er betalinger under forskellige kontrakter blevet udsat på grund af forsinkelser i modtagelsen af betalingsanmodningerne fra kontrahenterne eller af yderligere dokumentation i forbindelse med bestemte betalingsanmodninger.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701"/>
      </w:tblGrid>
      <w:tr>
        <w:trPr>
          <w:tblHeader/>
        </w:trPr>
        <w:tc>
          <w:tcPr>
            <w:tcW w:w="1276" w:type="dxa"/>
            <w:shd w:val="clear" w:color="auto" w:fill="D9D9D9"/>
            <w:vAlign w:val="center"/>
          </w:tcPr>
          <w:p>
            <w:pPr>
              <w:widowControl w:val="0"/>
              <w:spacing w:before="15" w:after="15"/>
              <w:rPr>
                <w:b/>
                <w:noProof/>
                <w:sz w:val="20"/>
                <w:szCs w:val="20"/>
              </w:rPr>
            </w:pPr>
            <w:r>
              <w:rPr>
                <w:b/>
                <w:noProof/>
                <w:sz w:val="20"/>
              </w:rPr>
              <w:t>Budgetpost</w:t>
            </w:r>
          </w:p>
        </w:tc>
        <w:tc>
          <w:tcPr>
            <w:tcW w:w="6521" w:type="dxa"/>
            <w:shd w:val="clear" w:color="auto" w:fill="D9D9D9"/>
            <w:vAlign w:val="center"/>
          </w:tcPr>
          <w:p>
            <w:pPr>
              <w:widowControl w:val="0"/>
              <w:spacing w:before="15" w:after="15"/>
              <w:jc w:val="center"/>
              <w:rPr>
                <w:b/>
                <w:noProof/>
                <w:sz w:val="20"/>
                <w:szCs w:val="20"/>
              </w:rPr>
            </w:pPr>
            <w:r>
              <w:rPr>
                <w:b/>
                <w:noProof/>
                <w:sz w:val="20"/>
              </w:rPr>
              <w:t>Betegnelse</w:t>
            </w:r>
          </w:p>
        </w:tc>
        <w:tc>
          <w:tcPr>
            <w:tcW w:w="1701" w:type="dxa"/>
            <w:shd w:val="clear" w:color="auto" w:fill="D9D9D9"/>
            <w:vAlign w:val="center"/>
          </w:tcPr>
          <w:p>
            <w:pPr>
              <w:widowControl w:val="0"/>
              <w:spacing w:before="15" w:after="15"/>
              <w:jc w:val="center"/>
              <w:rPr>
                <w:b/>
                <w:noProof/>
                <w:sz w:val="20"/>
                <w:szCs w:val="20"/>
              </w:rPr>
            </w:pPr>
            <w:r>
              <w:rPr>
                <w:b/>
                <w:noProof/>
                <w:sz w:val="20"/>
              </w:rPr>
              <w:t>Betalingsbevillinger</w:t>
            </w:r>
          </w:p>
        </w:tc>
      </w:tr>
      <w:tr>
        <w:tc>
          <w:tcPr>
            <w:tcW w:w="1276" w:type="dxa"/>
            <w:vAlign w:val="center"/>
          </w:tcPr>
          <w:p>
            <w:pPr>
              <w:widowControl w:val="0"/>
              <w:spacing w:before="15" w:after="15"/>
              <w:ind w:right="-113"/>
              <w:jc w:val="both"/>
              <w:rPr>
                <w:noProof/>
                <w:sz w:val="20"/>
                <w:szCs w:val="20"/>
              </w:rPr>
            </w:pPr>
            <w:r>
              <w:rPr>
                <w:noProof/>
                <w:sz w:val="20"/>
              </w:rPr>
              <w:t>22 04 01 01</w:t>
            </w:r>
          </w:p>
        </w:tc>
        <w:tc>
          <w:tcPr>
            <w:tcW w:w="6521" w:type="dxa"/>
            <w:vAlign w:val="center"/>
          </w:tcPr>
          <w:p>
            <w:pPr>
              <w:rPr>
                <w:bCs/>
                <w:iCs/>
                <w:noProof/>
                <w:sz w:val="16"/>
                <w:szCs w:val="16"/>
              </w:rPr>
            </w:pPr>
            <w:r>
              <w:rPr>
                <w:noProof/>
                <w:sz w:val="16"/>
              </w:rPr>
              <w:t>Middelhavslandene – Menneskerettigheder, good governance og mobilitet</w:t>
            </w:r>
          </w:p>
        </w:tc>
        <w:tc>
          <w:tcPr>
            <w:tcW w:w="1701" w:type="dxa"/>
            <w:vAlign w:val="center"/>
          </w:tcPr>
          <w:p>
            <w:pPr>
              <w:widowControl w:val="0"/>
              <w:spacing w:before="15" w:after="15"/>
              <w:jc w:val="right"/>
              <w:rPr>
                <w:noProof/>
                <w:sz w:val="20"/>
                <w:szCs w:val="20"/>
              </w:rPr>
            </w:pPr>
            <w:r>
              <w:rPr>
                <w:noProof/>
                <w:sz w:val="20"/>
              </w:rPr>
              <w:t>-6 200 513</w:t>
            </w:r>
          </w:p>
        </w:tc>
      </w:tr>
      <w:tr>
        <w:tc>
          <w:tcPr>
            <w:tcW w:w="1276" w:type="dxa"/>
            <w:vAlign w:val="center"/>
          </w:tcPr>
          <w:p>
            <w:pPr>
              <w:widowControl w:val="0"/>
              <w:spacing w:before="15" w:after="15"/>
              <w:ind w:right="-113"/>
              <w:jc w:val="both"/>
              <w:rPr>
                <w:noProof/>
                <w:sz w:val="20"/>
                <w:szCs w:val="20"/>
              </w:rPr>
            </w:pPr>
            <w:r>
              <w:rPr>
                <w:noProof/>
                <w:sz w:val="20"/>
              </w:rPr>
              <w:t>22 04 01 02</w:t>
            </w:r>
          </w:p>
        </w:tc>
        <w:tc>
          <w:tcPr>
            <w:tcW w:w="6521" w:type="dxa"/>
            <w:vAlign w:val="center"/>
          </w:tcPr>
          <w:p>
            <w:pPr>
              <w:rPr>
                <w:bCs/>
                <w:iCs/>
                <w:noProof/>
                <w:sz w:val="16"/>
                <w:szCs w:val="16"/>
              </w:rPr>
            </w:pPr>
            <w:r>
              <w:rPr>
                <w:noProof/>
                <w:sz w:val="16"/>
              </w:rPr>
              <w:t>Middelhavslandene – fattigdomsreduktion og bæredygtig udvikling</w:t>
            </w:r>
          </w:p>
        </w:tc>
        <w:tc>
          <w:tcPr>
            <w:tcW w:w="1701" w:type="dxa"/>
            <w:vAlign w:val="center"/>
          </w:tcPr>
          <w:p>
            <w:pPr>
              <w:widowControl w:val="0"/>
              <w:spacing w:before="15" w:after="15"/>
              <w:jc w:val="right"/>
              <w:rPr>
                <w:noProof/>
                <w:sz w:val="20"/>
                <w:szCs w:val="20"/>
              </w:rPr>
            </w:pPr>
            <w:r>
              <w:rPr>
                <w:noProof/>
                <w:sz w:val="20"/>
              </w:rPr>
              <w:t>-85 959 584</w:t>
            </w:r>
          </w:p>
        </w:tc>
      </w:tr>
      <w:tr>
        <w:tc>
          <w:tcPr>
            <w:tcW w:w="1276" w:type="dxa"/>
            <w:vAlign w:val="center"/>
          </w:tcPr>
          <w:p>
            <w:pPr>
              <w:widowControl w:val="0"/>
              <w:spacing w:before="15" w:after="15"/>
              <w:ind w:right="-113"/>
              <w:jc w:val="both"/>
              <w:rPr>
                <w:noProof/>
                <w:sz w:val="20"/>
                <w:szCs w:val="20"/>
              </w:rPr>
            </w:pPr>
            <w:r>
              <w:rPr>
                <w:noProof/>
                <w:sz w:val="20"/>
              </w:rPr>
              <w:t>22 04 01 04</w:t>
            </w:r>
          </w:p>
        </w:tc>
        <w:tc>
          <w:tcPr>
            <w:tcW w:w="6521" w:type="dxa"/>
            <w:vAlign w:val="center"/>
          </w:tcPr>
          <w:p>
            <w:pPr>
              <w:rPr>
                <w:bCs/>
                <w:iCs/>
                <w:noProof/>
                <w:sz w:val="16"/>
                <w:szCs w:val="16"/>
              </w:rPr>
            </w:pPr>
            <w:r>
              <w:rPr>
                <w:noProof/>
                <w:sz w:val="16"/>
              </w:rPr>
              <w:t>Støtte til fredsprocessen og finansiel bistand til Palæstina og til De Forenede Nationers Hjælpeorganisation for Palæstinaflygtninge (UNRWA)</w:t>
            </w:r>
          </w:p>
        </w:tc>
        <w:tc>
          <w:tcPr>
            <w:tcW w:w="1701" w:type="dxa"/>
            <w:vAlign w:val="center"/>
          </w:tcPr>
          <w:p>
            <w:pPr>
              <w:widowControl w:val="0"/>
              <w:spacing w:before="15" w:after="15"/>
              <w:jc w:val="right"/>
              <w:rPr>
                <w:noProof/>
                <w:sz w:val="20"/>
                <w:szCs w:val="20"/>
              </w:rPr>
            </w:pPr>
            <w:r>
              <w:rPr>
                <w:noProof/>
                <w:sz w:val="20"/>
              </w:rPr>
              <w:t>-56 028 674</w:t>
            </w:r>
          </w:p>
        </w:tc>
      </w:tr>
      <w:tr>
        <w:tc>
          <w:tcPr>
            <w:tcW w:w="1276" w:type="dxa"/>
            <w:vAlign w:val="center"/>
          </w:tcPr>
          <w:p>
            <w:pPr>
              <w:widowControl w:val="0"/>
              <w:spacing w:before="15" w:after="15"/>
              <w:ind w:right="-113"/>
              <w:jc w:val="both"/>
              <w:rPr>
                <w:noProof/>
                <w:sz w:val="20"/>
                <w:szCs w:val="20"/>
              </w:rPr>
            </w:pPr>
            <w:r>
              <w:rPr>
                <w:noProof/>
                <w:sz w:val="20"/>
              </w:rPr>
              <w:t>22 04 02 01</w:t>
            </w:r>
          </w:p>
        </w:tc>
        <w:tc>
          <w:tcPr>
            <w:tcW w:w="6521" w:type="dxa"/>
            <w:vAlign w:val="center"/>
          </w:tcPr>
          <w:p>
            <w:pPr>
              <w:rPr>
                <w:bCs/>
                <w:iCs/>
                <w:noProof/>
                <w:sz w:val="16"/>
                <w:szCs w:val="16"/>
              </w:rPr>
            </w:pPr>
            <w:r>
              <w:rPr>
                <w:noProof/>
                <w:sz w:val="16"/>
              </w:rPr>
              <w:t>Det østlige partnerskab – Menneskerettigheder, good governance og mobilitet</w:t>
            </w:r>
          </w:p>
        </w:tc>
        <w:tc>
          <w:tcPr>
            <w:tcW w:w="1701" w:type="dxa"/>
            <w:vAlign w:val="center"/>
          </w:tcPr>
          <w:p>
            <w:pPr>
              <w:widowControl w:val="0"/>
              <w:spacing w:before="15" w:after="15"/>
              <w:jc w:val="right"/>
              <w:rPr>
                <w:noProof/>
                <w:sz w:val="20"/>
                <w:szCs w:val="20"/>
              </w:rPr>
            </w:pPr>
            <w:r>
              <w:rPr>
                <w:noProof/>
                <w:sz w:val="20"/>
              </w:rPr>
              <w:t>-25 995 110</w:t>
            </w:r>
          </w:p>
        </w:tc>
      </w:tr>
      <w:tr>
        <w:tc>
          <w:tcPr>
            <w:tcW w:w="1276" w:type="dxa"/>
            <w:vAlign w:val="center"/>
          </w:tcPr>
          <w:p>
            <w:pPr>
              <w:widowControl w:val="0"/>
              <w:spacing w:before="15" w:after="15"/>
              <w:ind w:right="-113"/>
              <w:jc w:val="both"/>
              <w:rPr>
                <w:noProof/>
                <w:sz w:val="20"/>
                <w:szCs w:val="20"/>
              </w:rPr>
            </w:pPr>
            <w:r>
              <w:rPr>
                <w:noProof/>
                <w:sz w:val="20"/>
              </w:rPr>
              <w:t>22 04 02 02</w:t>
            </w:r>
          </w:p>
        </w:tc>
        <w:tc>
          <w:tcPr>
            <w:tcW w:w="6521" w:type="dxa"/>
            <w:vAlign w:val="center"/>
          </w:tcPr>
          <w:p>
            <w:pPr>
              <w:rPr>
                <w:bCs/>
                <w:iCs/>
                <w:noProof/>
                <w:sz w:val="16"/>
                <w:szCs w:val="16"/>
              </w:rPr>
            </w:pPr>
            <w:r>
              <w:rPr>
                <w:noProof/>
                <w:sz w:val="16"/>
              </w:rPr>
              <w:t>Det østlige partnerskab – fattigdomsreduktion og bæredygtig udvikling</w:t>
            </w:r>
          </w:p>
        </w:tc>
        <w:tc>
          <w:tcPr>
            <w:tcW w:w="1701" w:type="dxa"/>
            <w:vAlign w:val="center"/>
          </w:tcPr>
          <w:p>
            <w:pPr>
              <w:widowControl w:val="0"/>
              <w:spacing w:before="15" w:after="15"/>
              <w:jc w:val="right"/>
              <w:rPr>
                <w:noProof/>
                <w:sz w:val="20"/>
                <w:szCs w:val="20"/>
              </w:rPr>
            </w:pPr>
            <w:r>
              <w:rPr>
                <w:noProof/>
                <w:sz w:val="20"/>
              </w:rPr>
              <w:t>-103 090 754</w:t>
            </w:r>
          </w:p>
        </w:tc>
      </w:tr>
      <w:tr>
        <w:tc>
          <w:tcPr>
            <w:tcW w:w="1276" w:type="dxa"/>
            <w:vAlign w:val="center"/>
          </w:tcPr>
          <w:p>
            <w:pPr>
              <w:widowControl w:val="0"/>
              <w:spacing w:before="15" w:after="15"/>
              <w:ind w:right="-113"/>
              <w:jc w:val="both"/>
              <w:rPr>
                <w:noProof/>
                <w:sz w:val="20"/>
                <w:szCs w:val="20"/>
              </w:rPr>
            </w:pPr>
            <w:r>
              <w:rPr>
                <w:noProof/>
                <w:sz w:val="20"/>
              </w:rPr>
              <w:t>22 04 03 03</w:t>
            </w:r>
          </w:p>
        </w:tc>
        <w:tc>
          <w:tcPr>
            <w:tcW w:w="6521" w:type="dxa"/>
            <w:vAlign w:val="center"/>
          </w:tcPr>
          <w:p>
            <w:pPr>
              <w:rPr>
                <w:bCs/>
                <w:iCs/>
                <w:noProof/>
                <w:sz w:val="16"/>
                <w:szCs w:val="16"/>
              </w:rPr>
            </w:pPr>
            <w:r>
              <w:rPr>
                <w:noProof/>
                <w:sz w:val="16"/>
              </w:rPr>
              <w:t>Støtte til anden form for naboskabssamarbejde med deltagelse af flere lande – paraplyprogram</w:t>
            </w:r>
          </w:p>
        </w:tc>
        <w:tc>
          <w:tcPr>
            <w:tcW w:w="1701" w:type="dxa"/>
            <w:vAlign w:val="center"/>
          </w:tcPr>
          <w:p>
            <w:pPr>
              <w:widowControl w:val="0"/>
              <w:spacing w:before="15" w:after="15"/>
              <w:jc w:val="right"/>
              <w:rPr>
                <w:noProof/>
                <w:sz w:val="20"/>
                <w:szCs w:val="20"/>
              </w:rPr>
            </w:pPr>
            <w:r>
              <w:rPr>
                <w:noProof/>
                <w:sz w:val="20"/>
              </w:rPr>
              <w:t>-58 339 566</w:t>
            </w:r>
          </w:p>
        </w:tc>
      </w:tr>
      <w:tr>
        <w:tc>
          <w:tcPr>
            <w:tcW w:w="1276" w:type="dxa"/>
            <w:vAlign w:val="center"/>
          </w:tcPr>
          <w:p>
            <w:pPr>
              <w:widowControl w:val="0"/>
              <w:spacing w:before="15" w:after="15"/>
              <w:ind w:right="-113"/>
              <w:jc w:val="both"/>
              <w:rPr>
                <w:noProof/>
                <w:sz w:val="20"/>
                <w:szCs w:val="20"/>
              </w:rPr>
            </w:pPr>
            <w:r>
              <w:rPr>
                <w:noProof/>
                <w:sz w:val="20"/>
              </w:rPr>
              <w:t>22 04 03 04</w:t>
            </w:r>
          </w:p>
        </w:tc>
        <w:tc>
          <w:tcPr>
            <w:tcW w:w="6521" w:type="dxa"/>
            <w:vAlign w:val="center"/>
          </w:tcPr>
          <w:p>
            <w:pPr>
              <w:rPr>
                <w:bCs/>
                <w:iCs/>
                <w:noProof/>
                <w:sz w:val="16"/>
                <w:szCs w:val="16"/>
              </w:rPr>
            </w:pPr>
            <w:r>
              <w:rPr>
                <w:noProof/>
                <w:sz w:val="16"/>
              </w:rPr>
              <w:t>Anden form for naboskabssamarbejde med deltagelse af flere lande – støtteforanstaltninger</w:t>
            </w:r>
          </w:p>
        </w:tc>
        <w:tc>
          <w:tcPr>
            <w:tcW w:w="1701" w:type="dxa"/>
            <w:vAlign w:val="center"/>
          </w:tcPr>
          <w:p>
            <w:pPr>
              <w:widowControl w:val="0"/>
              <w:spacing w:before="15" w:after="15"/>
              <w:jc w:val="right"/>
              <w:rPr>
                <w:noProof/>
                <w:sz w:val="20"/>
                <w:szCs w:val="20"/>
              </w:rPr>
            </w:pPr>
            <w:r>
              <w:rPr>
                <w:noProof/>
                <w:sz w:val="20"/>
              </w:rPr>
              <w:t>-1 239 476</w:t>
            </w:r>
          </w:p>
        </w:tc>
      </w:tr>
      <w:tr>
        <w:tc>
          <w:tcPr>
            <w:tcW w:w="1276" w:type="dxa"/>
            <w:vAlign w:val="center"/>
          </w:tcPr>
          <w:p>
            <w:pPr>
              <w:widowControl w:val="0"/>
              <w:spacing w:before="15" w:after="15"/>
              <w:ind w:right="-113"/>
              <w:jc w:val="both"/>
              <w:rPr>
                <w:noProof/>
                <w:sz w:val="20"/>
                <w:szCs w:val="20"/>
              </w:rPr>
            </w:pPr>
            <w:r>
              <w:rPr>
                <w:noProof/>
                <w:sz w:val="20"/>
              </w:rPr>
              <w:t>22 04 51</w:t>
            </w:r>
          </w:p>
        </w:tc>
        <w:tc>
          <w:tcPr>
            <w:tcW w:w="6521" w:type="dxa"/>
            <w:vAlign w:val="center"/>
          </w:tcPr>
          <w:p>
            <w:pPr>
              <w:rPr>
                <w:noProof/>
              </w:rPr>
            </w:pPr>
            <w:r>
              <w:rPr>
                <w:noProof/>
                <w:sz w:val="16"/>
              </w:rPr>
              <w:t>Afslutning af aktioner på området om den europæiske naboskabspolitik og forbindelserne med Rusland (før 2014)</w:t>
            </w:r>
          </w:p>
        </w:tc>
        <w:tc>
          <w:tcPr>
            <w:tcW w:w="1701" w:type="dxa"/>
            <w:vAlign w:val="center"/>
          </w:tcPr>
          <w:p>
            <w:pPr>
              <w:widowControl w:val="0"/>
              <w:spacing w:before="15" w:after="15"/>
              <w:jc w:val="right"/>
              <w:rPr>
                <w:noProof/>
                <w:sz w:val="20"/>
                <w:szCs w:val="20"/>
                <w:highlight w:val="yellow"/>
              </w:rPr>
            </w:pPr>
            <w:r>
              <w:rPr>
                <w:noProof/>
                <w:sz w:val="20"/>
              </w:rPr>
              <w:t>-97 282 992</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rPr>
              <w:t>I alt</w:t>
            </w:r>
            <w:r>
              <w:rPr>
                <w:noProof/>
              </w:rPr>
              <w:tab/>
            </w:r>
          </w:p>
        </w:tc>
        <w:tc>
          <w:tcPr>
            <w:tcW w:w="1701" w:type="dxa"/>
            <w:shd w:val="clear" w:color="auto" w:fill="D9D9D9"/>
          </w:tcPr>
          <w:p>
            <w:pPr>
              <w:widowControl w:val="0"/>
              <w:spacing w:before="15" w:after="15"/>
              <w:jc w:val="right"/>
              <w:rPr>
                <w:b/>
                <w:noProof/>
                <w:sz w:val="20"/>
                <w:szCs w:val="20"/>
              </w:rPr>
            </w:pPr>
            <w:r>
              <w:rPr>
                <w:b/>
                <w:noProof/>
                <w:sz w:val="20"/>
              </w:rPr>
              <w:t>-434 136 669</w:t>
            </w:r>
          </w:p>
        </w:tc>
      </w:tr>
    </w:tbl>
    <w:p>
      <w:pPr>
        <w:keepNext/>
        <w:tabs>
          <w:tab w:val="left" w:pos="850"/>
        </w:tabs>
        <w:spacing w:before="360" w:after="120"/>
        <w:ind w:left="850" w:hanging="850"/>
        <w:jc w:val="both"/>
        <w:outlineLvl w:val="1"/>
        <w:rPr>
          <w:rFonts w:eastAsia="Calibri"/>
          <w:b/>
          <w:noProof/>
        </w:rPr>
      </w:pPr>
      <w:bookmarkStart w:id="41" w:name="_Toc494994376"/>
      <w:bookmarkStart w:id="42" w:name="_Toc496272631"/>
      <w:r>
        <w:rPr>
          <w:b/>
          <w:noProof/>
        </w:rPr>
        <w:t>2.5</w:t>
      </w:r>
      <w:r>
        <w:rPr>
          <w:noProof/>
        </w:rPr>
        <w:tab/>
      </w:r>
      <w:r>
        <w:rPr>
          <w:b/>
          <w:noProof/>
        </w:rPr>
        <w:t>Den Europæiske Unions Solidaritetsfond</w:t>
      </w:r>
      <w:bookmarkEnd w:id="41"/>
      <w:bookmarkEnd w:id="42"/>
    </w:p>
    <w:p>
      <w:pPr>
        <w:autoSpaceDE w:val="0"/>
        <w:autoSpaceDN w:val="0"/>
        <w:adjustRightInd w:val="0"/>
        <w:spacing w:before="120" w:after="240"/>
        <w:jc w:val="both"/>
        <w:rPr>
          <w:noProof/>
        </w:rPr>
      </w:pPr>
      <w:r>
        <w:rPr>
          <w:noProof/>
        </w:rPr>
        <w:t>Der har i 2017 ikke været nogen anmodninger om forfinansiering fra Den Europæiske Unions Solidaritetsfond, og det fulde beløb på 50 mio. EUR, der blev afsat til dette formål på budgettet for 2017 på tidspunktet for dets vedtagelse, er stadig til rådighed. Kommissionen foreslår på nuværende tidspunkt at bibeholde et beløb på 4 mio. EUR på artikel 13 06 01 til at imødegå eventuelle uventede anmodninger. Som følge heraf kan der frigøres 46 mio. EUR i både forpligtelses- og betalingsbevillinger.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Budgetpost</w:t>
            </w:r>
          </w:p>
        </w:tc>
        <w:tc>
          <w:tcPr>
            <w:tcW w:w="4961" w:type="dxa"/>
            <w:shd w:val="clear" w:color="auto" w:fill="D9D9D9"/>
            <w:vAlign w:val="center"/>
          </w:tcPr>
          <w:p>
            <w:pPr>
              <w:widowControl w:val="0"/>
              <w:spacing w:before="15" w:after="15"/>
              <w:jc w:val="center"/>
              <w:rPr>
                <w:b/>
                <w:noProof/>
                <w:sz w:val="20"/>
                <w:szCs w:val="20"/>
              </w:rPr>
            </w:pPr>
            <w:r>
              <w:rPr>
                <w:b/>
                <w:noProof/>
                <w:sz w:val="20"/>
              </w:rPr>
              <w:t>Betegnelse</w:t>
            </w:r>
          </w:p>
        </w:tc>
        <w:tc>
          <w:tcPr>
            <w:tcW w:w="1701" w:type="dxa"/>
            <w:shd w:val="clear" w:color="auto" w:fill="D9D9D9"/>
            <w:vAlign w:val="center"/>
          </w:tcPr>
          <w:p>
            <w:pPr>
              <w:widowControl w:val="0"/>
              <w:spacing w:before="15" w:after="15"/>
              <w:jc w:val="center"/>
              <w:rPr>
                <w:b/>
                <w:noProof/>
                <w:sz w:val="20"/>
                <w:szCs w:val="20"/>
              </w:rPr>
            </w:pPr>
            <w:r>
              <w:rPr>
                <w:b/>
                <w:noProof/>
                <w:sz w:val="20"/>
              </w:rPr>
              <w:t>Forpligtelsesbevillinger</w:t>
            </w:r>
          </w:p>
        </w:tc>
        <w:tc>
          <w:tcPr>
            <w:tcW w:w="1701" w:type="dxa"/>
            <w:shd w:val="clear" w:color="auto" w:fill="D9D9D9"/>
            <w:vAlign w:val="center"/>
          </w:tcPr>
          <w:p>
            <w:pPr>
              <w:widowControl w:val="0"/>
              <w:spacing w:before="15" w:after="15"/>
              <w:jc w:val="center"/>
              <w:rPr>
                <w:b/>
                <w:noProof/>
                <w:sz w:val="20"/>
                <w:szCs w:val="20"/>
              </w:rPr>
            </w:pPr>
            <w:r>
              <w:rPr>
                <w:b/>
                <w:noProof/>
                <w:sz w:val="20"/>
              </w:rPr>
              <w:t>Betalingsbevillinger</w:t>
            </w:r>
          </w:p>
        </w:tc>
      </w:tr>
      <w:tr>
        <w:tc>
          <w:tcPr>
            <w:tcW w:w="1276" w:type="dxa"/>
            <w:vAlign w:val="center"/>
          </w:tcPr>
          <w:p>
            <w:pPr>
              <w:widowControl w:val="0"/>
              <w:spacing w:before="15" w:after="15"/>
              <w:ind w:right="-113"/>
              <w:jc w:val="both"/>
              <w:rPr>
                <w:noProof/>
                <w:sz w:val="20"/>
                <w:szCs w:val="20"/>
              </w:rPr>
            </w:pPr>
            <w:r>
              <w:rPr>
                <w:noProof/>
                <w:sz w:val="20"/>
              </w:rPr>
              <w:t>13 06 01</w:t>
            </w:r>
          </w:p>
        </w:tc>
        <w:tc>
          <w:tcPr>
            <w:tcW w:w="4961" w:type="dxa"/>
            <w:vAlign w:val="center"/>
          </w:tcPr>
          <w:p>
            <w:pPr>
              <w:widowControl w:val="0"/>
              <w:tabs>
                <w:tab w:val="left" w:pos="1350"/>
              </w:tabs>
              <w:spacing w:before="15" w:after="15"/>
              <w:jc w:val="both"/>
              <w:rPr>
                <w:noProof/>
                <w:sz w:val="16"/>
                <w:szCs w:val="16"/>
              </w:rPr>
            </w:pPr>
            <w:r>
              <w:rPr>
                <w:noProof/>
                <w:sz w:val="16"/>
              </w:rPr>
              <w:t>Bistand til medlemsstaterne i forbindelse med en større naturkatastrofe, som har en alvorlig indvirkning på borgernes livsvilkår, det naturlige miljø eller økonomien</w:t>
            </w:r>
          </w:p>
        </w:tc>
        <w:tc>
          <w:tcPr>
            <w:tcW w:w="1701" w:type="dxa"/>
            <w:vAlign w:val="center"/>
          </w:tcPr>
          <w:p>
            <w:pPr>
              <w:widowControl w:val="0"/>
              <w:spacing w:before="15" w:after="15"/>
              <w:jc w:val="right"/>
              <w:rPr>
                <w:noProof/>
                <w:sz w:val="20"/>
                <w:szCs w:val="20"/>
              </w:rPr>
            </w:pPr>
            <w:r>
              <w:rPr>
                <w:noProof/>
                <w:sz w:val="20"/>
              </w:rPr>
              <w:t>-46 000 000</w:t>
            </w:r>
          </w:p>
        </w:tc>
        <w:tc>
          <w:tcPr>
            <w:tcW w:w="1701" w:type="dxa"/>
            <w:vAlign w:val="center"/>
          </w:tcPr>
          <w:p>
            <w:pPr>
              <w:widowControl w:val="0"/>
              <w:spacing w:before="15" w:after="15"/>
              <w:jc w:val="right"/>
              <w:rPr>
                <w:noProof/>
                <w:sz w:val="20"/>
                <w:szCs w:val="20"/>
              </w:rPr>
            </w:pPr>
            <w:r>
              <w:rPr>
                <w:noProof/>
                <w:sz w:val="20"/>
              </w:rPr>
              <w:t>-46 000 000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I alt</w:t>
            </w:r>
            <w:r>
              <w:rPr>
                <w:noProof/>
              </w:rPr>
              <w:tab/>
            </w:r>
          </w:p>
        </w:tc>
        <w:tc>
          <w:tcPr>
            <w:tcW w:w="1701" w:type="dxa"/>
            <w:shd w:val="clear" w:color="auto" w:fill="D9D9D9"/>
          </w:tcPr>
          <w:p>
            <w:pPr>
              <w:widowControl w:val="0"/>
              <w:spacing w:before="15" w:after="15"/>
              <w:jc w:val="right"/>
              <w:rPr>
                <w:b/>
                <w:noProof/>
                <w:sz w:val="20"/>
                <w:szCs w:val="20"/>
              </w:rPr>
            </w:pPr>
            <w:r>
              <w:rPr>
                <w:b/>
                <w:noProof/>
                <w:sz w:val="20"/>
              </w:rPr>
              <w:t>-46 000 000</w:t>
            </w:r>
          </w:p>
        </w:tc>
        <w:tc>
          <w:tcPr>
            <w:tcW w:w="1701" w:type="dxa"/>
            <w:shd w:val="clear" w:color="auto" w:fill="D9D9D9"/>
          </w:tcPr>
          <w:p>
            <w:pPr>
              <w:widowControl w:val="0"/>
              <w:spacing w:before="15" w:after="15"/>
              <w:jc w:val="right"/>
              <w:rPr>
                <w:b/>
                <w:noProof/>
                <w:sz w:val="20"/>
                <w:szCs w:val="20"/>
              </w:rPr>
            </w:pPr>
            <w:r>
              <w:rPr>
                <w:b/>
                <w:noProof/>
                <w:sz w:val="20"/>
              </w:rPr>
              <w:t>-46 000 000</w:t>
            </w:r>
          </w:p>
        </w:tc>
      </w:tr>
    </w:tbl>
    <w:p>
      <w:pPr>
        <w:keepNext/>
        <w:tabs>
          <w:tab w:val="left" w:pos="850"/>
        </w:tabs>
        <w:spacing w:before="240" w:after="120"/>
        <w:ind w:left="851" w:hanging="851"/>
        <w:jc w:val="both"/>
        <w:outlineLvl w:val="0"/>
        <w:rPr>
          <w:noProof/>
        </w:rPr>
      </w:pPr>
      <w:bookmarkStart w:id="43" w:name="_Toc494994377"/>
      <w:bookmarkStart w:id="44" w:name="_Toc496272632"/>
      <w:r>
        <w:rPr>
          <w:b/>
          <w:smallCaps/>
          <w:noProof/>
        </w:rPr>
        <w:t>3.</w:t>
      </w:r>
      <w:r>
        <w:rPr>
          <w:noProof/>
        </w:rPr>
        <w:tab/>
      </w:r>
      <w:r>
        <w:rPr>
          <w:b/>
          <w:smallCaps/>
          <w:noProof/>
        </w:rPr>
        <w:t>Ajourføring af indtægter</w:t>
      </w:r>
      <w:bookmarkEnd w:id="43"/>
      <w:bookmarkEnd w:id="44"/>
      <w:r>
        <w:rPr>
          <w:b/>
          <w:smallCaps/>
          <w:noProof/>
        </w:rPr>
        <w:t xml:space="preserve"> </w:t>
      </w:r>
    </w:p>
    <w:p>
      <w:pPr>
        <w:keepNext/>
        <w:tabs>
          <w:tab w:val="left" w:pos="850"/>
        </w:tabs>
        <w:spacing w:before="360" w:after="120"/>
        <w:ind w:left="850" w:hanging="850"/>
        <w:jc w:val="both"/>
        <w:outlineLvl w:val="1"/>
        <w:rPr>
          <w:rFonts w:eastAsia="Calibri"/>
          <w:b/>
          <w:noProof/>
        </w:rPr>
      </w:pPr>
      <w:bookmarkStart w:id="45" w:name="_Toc462410058"/>
      <w:bookmarkStart w:id="46" w:name="_Toc494994378"/>
      <w:bookmarkStart w:id="47" w:name="_Toc496272633"/>
      <w:r>
        <w:rPr>
          <w:b/>
          <w:noProof/>
        </w:rPr>
        <w:t>3.1</w:t>
      </w:r>
      <w:r>
        <w:rPr>
          <w:noProof/>
        </w:rPr>
        <w:tab/>
      </w:r>
      <w:r>
        <w:rPr>
          <w:b/>
          <w:noProof/>
        </w:rPr>
        <w:t>Den samlede virkning af FÆB nr. 6/2017 på fordelingen mellem medlemsstaterne af de samlede betalinger af egne indtægter</w:t>
      </w:r>
      <w:bookmarkEnd w:id="45"/>
      <w:bookmarkEnd w:id="46"/>
      <w:bookmarkEnd w:id="47"/>
    </w:p>
    <w:p>
      <w:pPr>
        <w:spacing w:before="120" w:after="120"/>
        <w:jc w:val="both"/>
        <w:rPr>
          <w:noProof/>
        </w:rPr>
      </w:pPr>
      <w:r>
        <w:rPr>
          <w:noProof/>
        </w:rPr>
        <w:t>I dette FÆB nedsættes betalingsbevillingerne i budgettet for 2017, og det vil derfor have en indvirkning på det samlede beløb, som medlemsstaterne skal betale til dette budget. Imidlertid skal der også tages hensyn til tre justeringer på indtægtssiden af budgettet. Den første af disse justeringer er en ajourføring af overslaget over traditionelle egne indtægter samt moms- og BNI-indtægterne, som ajourføres for at tage hensyn til de seneste økonomiske prognoser. Den anden og tredje justering på indtægtssiden vedrører ajourføringen af korrektionen til fordel for Det Forenede Kongerige og størrelsen af de bøder i konkurrencesager, der er blevet endelige ved udgangen af september 2017. Disse tre justeringer gennemgås i afsnit 3.2, 3.3 og 3.4 nedenfor.</w:t>
      </w:r>
    </w:p>
    <w:p>
      <w:pPr>
        <w:spacing w:before="120" w:after="120"/>
        <w:jc w:val="both"/>
        <w:rPr>
          <w:noProof/>
        </w:rPr>
      </w:pPr>
      <w:r>
        <w:rPr>
          <w:noProof/>
        </w:rPr>
        <w:t>Den samlede virkning af justeringerne af såvel udgifterne som indtægterne i dette FÆB er vist i nedenstående oversigtstabel. Denne tabel viser også fordelingen på medlemsstaterne af de samlede betalinger af egne indtægter: som opført på budgettet for 2017, som ændret ved ændringsbudget (ÆB) nr. 2/2017</w:t>
      </w:r>
      <w:r>
        <w:rPr>
          <w:noProof/>
          <w:vertAlign w:val="superscript"/>
        </w:rPr>
        <w:footnoteReference w:id="12"/>
      </w:r>
      <w:r>
        <w:rPr>
          <w:noProof/>
        </w:rPr>
        <w:t>, og endelig i dette FÆB.</w:t>
      </w:r>
    </w:p>
    <w:p>
      <w:pPr>
        <w:jc w:val="center"/>
        <w:rPr>
          <w:b/>
          <w:noProof/>
        </w:rPr>
      </w:pPr>
      <w:r>
        <w:rPr>
          <w:b/>
          <w:noProof/>
        </w:rPr>
        <w:t>Fordelingen på medlemsstaterne af de samlede betalinger af egne indtægter (i mio. EUR):</w:t>
      </w:r>
    </w:p>
    <w:p>
      <w:pPr>
        <w:rPr>
          <w:b/>
          <w:noProof/>
        </w:rPr>
      </w:pPr>
    </w:p>
    <w:tbl>
      <w:tblPr>
        <w:tblW w:w="5440" w:type="dxa"/>
        <w:jc w:val="center"/>
        <w:tblLook w:val="04A0" w:firstRow="1" w:lastRow="0" w:firstColumn="1" w:lastColumn="0" w:noHBand="0" w:noVBand="1"/>
      </w:tblPr>
      <w:tblGrid>
        <w:gridCol w:w="960"/>
        <w:gridCol w:w="1460"/>
        <w:gridCol w:w="1520"/>
        <w:gridCol w:w="1500"/>
      </w:tblGrid>
      <w:tr>
        <w:trPr>
          <w:trHeight w:val="230"/>
          <w:tblHeader/>
          <w:jc w:val="cent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pPr>
              <w:jc w:val="center"/>
              <w:rPr>
                <w:b/>
                <w:bCs/>
                <w:noProof/>
                <w:color w:val="000000"/>
                <w:sz w:val="20"/>
                <w:szCs w:val="20"/>
              </w:rPr>
            </w:pPr>
          </w:p>
        </w:tc>
        <w:tc>
          <w:tcPr>
            <w:tcW w:w="146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noProof/>
                <w:color w:val="000000"/>
                <w:sz w:val="20"/>
              </w:rPr>
              <w:t>Budget for 2017</w:t>
            </w:r>
          </w:p>
        </w:tc>
        <w:tc>
          <w:tcPr>
            <w:tcW w:w="152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noProof/>
                <w:color w:val="000000"/>
                <w:sz w:val="20"/>
              </w:rPr>
              <w:t>ÆB nr. 2/2017</w:t>
            </w:r>
          </w:p>
        </w:tc>
        <w:tc>
          <w:tcPr>
            <w:tcW w:w="150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noProof/>
                <w:color w:val="000000"/>
                <w:sz w:val="20"/>
              </w:rPr>
              <w:t>FÆB nr. 6/2017</w:t>
            </w:r>
          </w:p>
        </w:tc>
      </w:tr>
      <w:tr>
        <w:trPr>
          <w:trHeight w:val="23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szCs w:val="20"/>
              </w:rPr>
            </w:pPr>
          </w:p>
        </w:tc>
        <w:tc>
          <w:tcPr>
            <w:tcW w:w="146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c>
          <w:tcPr>
            <w:tcW w:w="152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r>
      <w:tr>
        <w:trPr>
          <w:trHeight w:val="2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szCs w:val="20"/>
              </w:rPr>
            </w:pPr>
          </w:p>
        </w:tc>
        <w:tc>
          <w:tcPr>
            <w:tcW w:w="146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rPr>
              <w:t>(1)</w:t>
            </w:r>
          </w:p>
        </w:tc>
        <w:tc>
          <w:tcPr>
            <w:tcW w:w="152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rPr>
              <w:t>(2)</w:t>
            </w:r>
          </w:p>
        </w:tc>
        <w:tc>
          <w:tcPr>
            <w:tcW w:w="150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rPr>
              <w:t>(3)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BE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5 593,8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5 412,4</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5 232,8</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BG</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437,1</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418,4</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425,3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CZ</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1 591,4</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1 523,0</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1 459,0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DK</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2 562,8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2 441,6</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2 234,4</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DE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27 133,2</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25 759,2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23 823,1</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210,4</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201,3</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187,8</w:t>
            </w:r>
          </w:p>
        </w:tc>
      </w:tr>
      <w:tr>
        <w:trPr>
          <w:trHeight w:val="2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IE</w:t>
            </w:r>
          </w:p>
        </w:tc>
        <w:tc>
          <w:tcPr>
            <w:tcW w:w="146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1 966,4</w:t>
            </w:r>
          </w:p>
        </w:tc>
        <w:tc>
          <w:tcPr>
            <w:tcW w:w="152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1 881,3</w:t>
            </w:r>
          </w:p>
        </w:tc>
        <w:tc>
          <w:tcPr>
            <w:tcW w:w="1500" w:type="dxa"/>
            <w:tcBorders>
              <w:top w:val="single" w:sz="4" w:space="0" w:color="auto"/>
              <w:left w:val="nil"/>
              <w:bottom w:val="nil"/>
              <w:right w:val="single" w:sz="4" w:space="0" w:color="auto"/>
            </w:tcBorders>
            <w:shd w:val="clear" w:color="auto" w:fill="auto"/>
            <w:noWrap/>
          </w:tcPr>
          <w:p>
            <w:pPr>
              <w:jc w:val="right"/>
              <w:rPr>
                <w:noProof/>
                <w:sz w:val="20"/>
                <w:szCs w:val="20"/>
              </w:rPr>
            </w:pPr>
            <w:r>
              <w:rPr>
                <w:noProof/>
                <w:sz w:val="20"/>
              </w:rPr>
              <w:t>1 870,7</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EL</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1 618,8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1 543,1</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1 431,7</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ES</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10 802,0</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10 319,7</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9 768,3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FR</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20 461,9</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19 494,2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18 167,2</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HR</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427,8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408,7</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386,2</w:t>
            </w:r>
          </w:p>
        </w:tc>
      </w:tr>
      <w:tr>
        <w:trPr>
          <w:trHeight w:val="2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IT</w:t>
            </w:r>
          </w:p>
        </w:tc>
        <w:tc>
          <w:tcPr>
            <w:tcW w:w="146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rPr>
              <w:t>15 373,8</w:t>
            </w:r>
          </w:p>
        </w:tc>
        <w:tc>
          <w:tcPr>
            <w:tcW w:w="152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rPr>
              <w:t>14 662,3</w:t>
            </w:r>
          </w:p>
        </w:tc>
        <w:tc>
          <w:tcPr>
            <w:tcW w:w="1500" w:type="dxa"/>
            <w:tcBorders>
              <w:top w:val="nil"/>
              <w:left w:val="nil"/>
              <w:bottom w:val="single" w:sz="4" w:space="0" w:color="auto"/>
              <w:right w:val="single" w:sz="4" w:space="0" w:color="auto"/>
            </w:tcBorders>
            <w:shd w:val="clear" w:color="auto" w:fill="auto"/>
            <w:noWrap/>
          </w:tcPr>
          <w:p>
            <w:pPr>
              <w:jc w:val="right"/>
              <w:rPr>
                <w:noProof/>
                <w:sz w:val="20"/>
                <w:szCs w:val="20"/>
              </w:rPr>
            </w:pPr>
            <w:r>
              <w:rPr>
                <w:noProof/>
                <w:sz w:val="20"/>
              </w:rPr>
              <w:t>13 770,2</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CY</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165,6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158,2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151,1</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LV</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250,1</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238,8</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226,0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LT</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401,6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385,2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356,0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LU</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318,6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303,5</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294,4</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HU</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1 072,0</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1 023,9</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965,5</w:t>
            </w:r>
          </w:p>
        </w:tc>
      </w:tr>
      <w:tr>
        <w:trPr>
          <w:trHeight w:val="2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MT</w:t>
            </w:r>
          </w:p>
        </w:tc>
        <w:tc>
          <w:tcPr>
            <w:tcW w:w="146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92,9</w:t>
            </w:r>
          </w:p>
        </w:tc>
        <w:tc>
          <w:tcPr>
            <w:tcW w:w="152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88,9</w:t>
            </w:r>
          </w:p>
        </w:tc>
        <w:tc>
          <w:tcPr>
            <w:tcW w:w="1500" w:type="dxa"/>
            <w:tcBorders>
              <w:top w:val="single" w:sz="4" w:space="0" w:color="auto"/>
              <w:left w:val="nil"/>
              <w:bottom w:val="nil"/>
              <w:right w:val="single" w:sz="4" w:space="0" w:color="auto"/>
            </w:tcBorders>
            <w:shd w:val="clear" w:color="auto" w:fill="auto"/>
            <w:noWrap/>
          </w:tcPr>
          <w:p>
            <w:pPr>
              <w:jc w:val="right"/>
              <w:rPr>
                <w:noProof/>
                <w:sz w:val="20"/>
                <w:szCs w:val="20"/>
              </w:rPr>
            </w:pPr>
            <w:r>
              <w:rPr>
                <w:noProof/>
                <w:sz w:val="20"/>
              </w:rPr>
              <w:t>84,0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NL</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6 764,9</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6 464,0</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5 941,6</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AT</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2 943,7</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2 795,1</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2 634,8</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PL</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4 102,9</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3 923,0</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3 613,0</w:t>
            </w:r>
          </w:p>
        </w:tc>
      </w:tr>
      <w:tr>
        <w:trPr>
          <w:trHeight w:val="2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PT</w:t>
            </w:r>
          </w:p>
        </w:tc>
        <w:tc>
          <w:tcPr>
            <w:tcW w:w="146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rPr>
              <w:t>1 671,7</w:t>
            </w:r>
          </w:p>
        </w:tc>
        <w:tc>
          <w:tcPr>
            <w:tcW w:w="152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rPr>
              <w:t>1 593,7</w:t>
            </w:r>
          </w:p>
        </w:tc>
        <w:tc>
          <w:tcPr>
            <w:tcW w:w="1500" w:type="dxa"/>
            <w:tcBorders>
              <w:top w:val="nil"/>
              <w:left w:val="nil"/>
              <w:bottom w:val="single" w:sz="4" w:space="0" w:color="auto"/>
              <w:right w:val="single" w:sz="4" w:space="0" w:color="auto"/>
            </w:tcBorders>
            <w:shd w:val="clear" w:color="auto" w:fill="auto"/>
            <w:noWrap/>
          </w:tcPr>
          <w:p>
            <w:pPr>
              <w:jc w:val="right"/>
              <w:rPr>
                <w:noProof/>
                <w:sz w:val="20"/>
                <w:szCs w:val="20"/>
              </w:rPr>
            </w:pPr>
            <w:r>
              <w:rPr>
                <w:noProof/>
                <w:sz w:val="20"/>
              </w:rPr>
              <w:t>1 504,4</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RO</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1 512,7</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1 439,2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1 357,0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SI</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402,1</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385,3</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363,2</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SK</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733,7</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699,9</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662,7</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FI</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1 881,4</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1 791,2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1 707,6</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3 899,8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3 686,8</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3 218,3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UK</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17 324,6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16 271,7</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13 647,6</w:t>
            </w:r>
          </w:p>
        </w:tc>
      </w:tr>
      <w:tr>
        <w:trPr>
          <w:trHeight w:val="20"/>
          <w:jc w:val="center"/>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EU</w:t>
            </w:r>
          </w:p>
        </w:tc>
        <w:tc>
          <w:tcPr>
            <w:tcW w:w="146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szCs w:val="20"/>
              </w:rPr>
            </w:pPr>
            <w:r>
              <w:rPr>
                <w:b/>
                <w:noProof/>
                <w:sz w:val="20"/>
              </w:rPr>
              <w:t>131 718,0</w:t>
            </w:r>
          </w:p>
        </w:tc>
        <w:tc>
          <w:tcPr>
            <w:tcW w:w="1520" w:type="dxa"/>
            <w:tcBorders>
              <w:top w:val="single" w:sz="4" w:space="0" w:color="auto"/>
              <w:left w:val="nil"/>
              <w:bottom w:val="single" w:sz="8" w:space="0" w:color="auto"/>
              <w:right w:val="single" w:sz="4" w:space="0" w:color="auto"/>
            </w:tcBorders>
            <w:shd w:val="clear" w:color="auto" w:fill="auto"/>
            <w:vAlign w:val="center"/>
          </w:tcPr>
          <w:p>
            <w:pPr>
              <w:jc w:val="right"/>
              <w:rPr>
                <w:b/>
                <w:noProof/>
                <w:sz w:val="20"/>
                <w:szCs w:val="20"/>
              </w:rPr>
            </w:pPr>
            <w:r>
              <w:rPr>
                <w:b/>
                <w:noProof/>
                <w:sz w:val="20"/>
              </w:rPr>
              <w:t>125 313,4</w:t>
            </w:r>
          </w:p>
        </w:tc>
        <w:tc>
          <w:tcPr>
            <w:tcW w:w="150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szCs w:val="20"/>
              </w:rPr>
            </w:pPr>
            <w:r>
              <w:rPr>
                <w:b/>
                <w:noProof/>
                <w:sz w:val="20"/>
              </w:rPr>
              <w:t>115 483,8</w:t>
            </w:r>
          </w:p>
        </w:tc>
      </w:tr>
    </w:tbl>
    <w:p>
      <w:pPr>
        <w:keepNext/>
        <w:tabs>
          <w:tab w:val="left" w:pos="850"/>
        </w:tabs>
        <w:spacing w:before="360" w:after="120"/>
        <w:ind w:left="850" w:hanging="850"/>
        <w:jc w:val="both"/>
        <w:outlineLvl w:val="1"/>
        <w:rPr>
          <w:rFonts w:eastAsia="Calibri"/>
          <w:b/>
          <w:noProof/>
        </w:rPr>
      </w:pPr>
      <w:bookmarkStart w:id="48" w:name="_Toc462410059"/>
      <w:bookmarkStart w:id="49" w:name="_Toc494994379"/>
      <w:bookmarkStart w:id="50" w:name="_Toc496272634"/>
      <w:r>
        <w:rPr>
          <w:b/>
          <w:noProof/>
        </w:rPr>
        <w:t>3.2</w:t>
      </w:r>
      <w:r>
        <w:rPr>
          <w:noProof/>
        </w:rPr>
        <w:tab/>
      </w:r>
      <w:r>
        <w:rPr>
          <w:b/>
          <w:noProof/>
        </w:rPr>
        <w:t>Revision af overslagene over traditionelle egne indtægter og moms- og BNI-grundlagene</w:t>
      </w:r>
      <w:bookmarkEnd w:id="48"/>
      <w:bookmarkEnd w:id="49"/>
      <w:bookmarkEnd w:id="50"/>
    </w:p>
    <w:p>
      <w:pPr>
        <w:spacing w:before="120" w:after="120"/>
        <w:jc w:val="both"/>
        <w:rPr>
          <w:noProof/>
        </w:rPr>
      </w:pPr>
      <w:bookmarkStart w:id="51" w:name="_Toc421699312"/>
      <w:bookmarkStart w:id="52" w:name="_Toc461544621"/>
      <w:bookmarkStart w:id="53" w:name="_Toc462410060"/>
      <w:bookmarkStart w:id="54" w:name="_Toc390436796"/>
      <w:bookmarkStart w:id="55" w:name="_Toc420941901"/>
      <w:bookmarkStart w:id="56" w:name="_Toc294673193"/>
      <w:bookmarkStart w:id="57" w:name="_Toc357005413"/>
      <w:bookmarkStart w:id="58" w:name="_Toc358885561"/>
      <w:r>
        <w:rPr>
          <w:noProof/>
        </w:rPr>
        <w:t>I overensstemmelse med almindelig praksis foreslår Kommissionen, at finansieringen af budgettet revideres på grundlag af de nyere økonomiske overslag, der er vedtaget på et møde i Det Rådgivende Udvalg for Egne Indtægter.</w:t>
      </w:r>
    </w:p>
    <w:p>
      <w:pPr>
        <w:spacing w:before="120" w:after="120"/>
        <w:jc w:val="both"/>
        <w:rPr>
          <w:noProof/>
        </w:rPr>
      </w:pPr>
      <w:r>
        <w:rPr>
          <w:noProof/>
        </w:rPr>
        <w:t>Revisionen vedrører overslaget over traditionelle egne indtægter, som skal indbetales til budgettet i 2017, samt overslaget over moms- og BNI-grundlagene for 2017. Det overslag, der er anvendt, i budgettet for 2017 blev fastlagt på det 166. møde i Det Rådgivende Udvalg for Egne Indtægter den 18. maj 2016. Det reviderede overslag, som der er taget hensyn til i dette FÆB, blev vedtaget på det 169. møde i Det Rådgivende Udvalg for Egne Indtægter den 19. maj 2017. Anvendelsen af et ajourført overslag over egne indtægter øger nøjagtigheden af overslagene over indtægter og dermed de betalinger, som medlemsstaterne anmodes om at foretage i løbet af regnskabsåret.</w:t>
      </w:r>
    </w:p>
    <w:p>
      <w:pPr>
        <w:spacing w:before="120" w:after="120"/>
        <w:jc w:val="both"/>
        <w:rPr>
          <w:noProof/>
        </w:rPr>
      </w:pPr>
      <w:r>
        <w:rPr>
          <w:noProof/>
        </w:rPr>
        <w:t>Sammenlignet med det overslag, som blev vedtaget i maj 2016, er det overslag, som blev vedtaget i maj 2017, ændret som følger</w:t>
      </w:r>
      <w:r>
        <w:rPr>
          <w:noProof/>
          <w:vertAlign w:val="superscript"/>
        </w:rPr>
        <w:footnoteReference w:id="13"/>
      </w:r>
      <w:r>
        <w:rPr>
          <w:noProof/>
        </w:rPr>
        <w:t>:</w:t>
      </w:r>
    </w:p>
    <w:p>
      <w:pPr>
        <w:numPr>
          <w:ilvl w:val="0"/>
          <w:numId w:val="2"/>
        </w:numPr>
        <w:spacing w:before="120" w:after="120"/>
        <w:jc w:val="both"/>
        <w:rPr>
          <w:noProof/>
        </w:rPr>
      </w:pPr>
      <w:r>
        <w:rPr>
          <w:noProof/>
        </w:rPr>
        <w:t>De samlede traditionelle egne indtægter, netto, for 2017 anslås nu til 20 507,3 mio. EUR (efter fradrag af 20 % i opkrævningsomkostninger), hvilket svarer til en nedsættelse på -4,47 % i forhold til det overslag på 21 467,0 mio. EUR, der var medtaget i budgettet for 2017. Kommissionen sammenlignede resultaterne af Det Rådgivende Udvalg for Egne Indtægters prognosemetode for traditionelle egne indtægter (baseret på den makroøkonomiske prognose fra foråret 2017) med resultaterne af en ekstrapolering baseret på de seneste tal for den opkrævede told (januar-april 2017). Eftersom der var en relativt stor forskel mellem resultaterne af de to metoder (1 220 mia. EUR) er den af Det Rådgivende Udvalg for Egne Indtægter ajourførte prognose for traditionelle egne indtægter fuldt ud blevet tilpasset prognosen med ekstrapolering.</w:t>
      </w:r>
    </w:p>
    <w:p>
      <w:pPr>
        <w:numPr>
          <w:ilvl w:val="0"/>
          <w:numId w:val="2"/>
        </w:numPr>
        <w:spacing w:before="120" w:after="120"/>
        <w:jc w:val="both"/>
        <w:rPr>
          <w:noProof/>
        </w:rPr>
      </w:pPr>
      <w:r>
        <w:rPr>
          <w:noProof/>
        </w:rPr>
        <w:t xml:space="preserve">EU's samlede ikkereducerede momsgrundlag for 2017 anslås nu til 6 487 607,8 mio. EUR, hvilket er en stigning på +0,16 % i forhold til overslaget fra maj 2016 på 6 477 447,9 mio. EUR. EU's samlede </w:t>
      </w:r>
      <w:r>
        <w:rPr>
          <w:i/>
          <w:noProof/>
        </w:rPr>
        <w:t>reducerede</w:t>
      </w:r>
      <w:r>
        <w:rPr>
          <w:noProof/>
        </w:rPr>
        <w:t xml:space="preserve"> momsgrundlag</w:t>
      </w:r>
      <w:r>
        <w:rPr>
          <w:noProof/>
          <w:vertAlign w:val="superscript"/>
        </w:rPr>
        <w:footnoteReference w:id="14"/>
      </w:r>
      <w:r>
        <w:rPr>
          <w:noProof/>
        </w:rPr>
        <w:t xml:space="preserve"> for 2017 anslås til 6 468 770,4 mio. EUR, hvilket er en stigning på +0,15 % i forhold til overslaget fra maj 2016 på 6 459 187,15 mio. EUR</w:t>
      </w:r>
    </w:p>
    <w:p>
      <w:pPr>
        <w:numPr>
          <w:ilvl w:val="0"/>
          <w:numId w:val="2"/>
        </w:numPr>
        <w:spacing w:before="120" w:after="120"/>
        <w:jc w:val="both"/>
        <w:rPr>
          <w:noProof/>
        </w:rPr>
      </w:pPr>
      <w:r>
        <w:rPr>
          <w:noProof/>
        </w:rPr>
        <w:t>EU's samlede BNI-grundlag for 2017 anslås til 15 177 843,6 mio. EUR, hvilket er en nedsættelse (-1,51 %) i forhold til overslaget fra maj 2016 på 15 410 553,3 mio. EUR.</w:t>
      </w:r>
    </w:p>
    <w:p>
      <w:pPr>
        <w:jc w:val="both"/>
        <w:rPr>
          <w:noProof/>
        </w:rPr>
      </w:pPr>
      <w:r>
        <w:rPr>
          <w:noProof/>
        </w:rPr>
        <w:t>Ved omregningen af overslagene over moms- og BNI-grundlagene fra national valuta til euro har man anvendt vekselkursen pr. 30. december 2016 (for de ni medlemsstater, der ikke er med i euroområdet). Derved undgås skævvridninger, da det er denne kurs, der anvendes ved omregningen af de budgetterede indbetalinger af egne indtægter fra euro til national valuta, når beløbene opkræves (som fastsat i artikel 10a, stk. 1, i Rådets forordning (EU, Euratom) nr. 609/2014).</w:t>
      </w:r>
    </w:p>
    <w:p>
      <w:pPr>
        <w:spacing w:before="120" w:after="120"/>
        <w:jc w:val="both"/>
        <w:rPr>
          <w:noProof/>
        </w:rPr>
      </w:pPr>
      <w:r>
        <w:rPr>
          <w:noProof/>
        </w:rPr>
        <w:t xml:space="preserve">Af nedenstående tabel fremgår de reviderede overslag over traditionelle egne indtægter og de ikkereducerede momsgrundlag og BNI-grundlagene for 2017, som blev vedtaget på det 169. møde i Det Rådgivende Udvalg for Egne Indtægter den 19. maj 2017: </w:t>
      </w:r>
    </w:p>
    <w:p>
      <w:pPr>
        <w:keepNext/>
        <w:jc w:val="center"/>
        <w:rPr>
          <w:b/>
          <w:i/>
          <w:noProof/>
        </w:rPr>
      </w:pPr>
      <w:r>
        <w:rPr>
          <w:b/>
          <w:noProof/>
        </w:rPr>
        <w:t xml:space="preserve">Reviderede overslag over traditionelle egne indtægter og moms- og BNI-grundlagene for 2017 </w:t>
      </w:r>
      <w:r>
        <w:rPr>
          <w:b/>
          <w:i/>
          <w:noProof/>
        </w:rPr>
        <w:t>(i mio. EUR)</w:t>
      </w:r>
    </w:p>
    <w:tbl>
      <w:tblPr>
        <w:tblW w:w="0" w:type="auto"/>
        <w:jc w:val="center"/>
        <w:tblLayout w:type="fixed"/>
        <w:tblLook w:val="0000" w:firstRow="0" w:lastRow="0" w:firstColumn="0" w:lastColumn="0" w:noHBand="0" w:noVBand="0"/>
      </w:tblPr>
      <w:tblGrid>
        <w:gridCol w:w="829"/>
        <w:gridCol w:w="1404"/>
        <w:gridCol w:w="1404"/>
        <w:gridCol w:w="1404"/>
        <w:gridCol w:w="1404"/>
        <w:gridCol w:w="1404"/>
      </w:tblGrid>
      <w:tr>
        <w:trPr>
          <w:trHeight w:val="742"/>
          <w:tblHeader/>
          <w:jc w:val="center"/>
        </w:trPr>
        <w:tc>
          <w:tcPr>
            <w:tcW w:w="829" w:type="dxa"/>
            <w:tcBorders>
              <w:bottom w:val="single" w:sz="12" w:space="0" w:color="auto"/>
              <w:right w:val="single" w:sz="12" w:space="0" w:color="000000"/>
            </w:tcBorders>
          </w:tcPr>
          <w:p>
            <w:pPr>
              <w:keepNext/>
              <w:autoSpaceDE w:val="0"/>
              <w:autoSpaceDN w:val="0"/>
              <w:adjustRightInd w:val="0"/>
              <w:jc w:val="right"/>
              <w:rPr>
                <w:b/>
                <w:bCs/>
                <w:noProof/>
                <w:color w:val="000000"/>
                <w:sz w:val="20"/>
              </w:rPr>
            </w:pPr>
            <w:bookmarkStart w:id="59" w:name="OLE_LINK1"/>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Sukker</w:t>
            </w:r>
          </w:p>
          <w:p>
            <w:pPr>
              <w:keepNext/>
              <w:autoSpaceDE w:val="0"/>
              <w:autoSpaceDN w:val="0"/>
              <w:adjustRightInd w:val="0"/>
              <w:jc w:val="center"/>
              <w:rPr>
                <w:b/>
                <w:bCs/>
                <w:noProof/>
                <w:color w:val="000000"/>
                <w:sz w:val="20"/>
              </w:rPr>
            </w:pPr>
            <w:r>
              <w:rPr>
                <w:b/>
                <w:noProof/>
                <w:color w:val="000000"/>
                <w:sz w:val="20"/>
              </w:rPr>
              <w:t>afgifter</w:t>
            </w:r>
          </w:p>
          <w:p>
            <w:pPr>
              <w:keepNext/>
              <w:autoSpaceDE w:val="0"/>
              <w:autoSpaceDN w:val="0"/>
              <w:adjustRightInd w:val="0"/>
              <w:jc w:val="center"/>
              <w:rPr>
                <w:b/>
                <w:bCs/>
                <w:noProof/>
                <w:color w:val="000000"/>
                <w:sz w:val="20"/>
              </w:rPr>
            </w:pPr>
            <w:r>
              <w:rPr>
                <w:b/>
                <w:i/>
                <w:noProof/>
                <w:color w:val="000000"/>
                <w:sz w:val="20"/>
              </w:rPr>
              <w:t xml:space="preserve">(80 %)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Told</w:t>
            </w:r>
          </w:p>
          <w:p>
            <w:pPr>
              <w:keepNext/>
              <w:autoSpaceDE w:val="0"/>
              <w:autoSpaceDN w:val="0"/>
              <w:adjustRightInd w:val="0"/>
              <w:jc w:val="center"/>
              <w:rPr>
                <w:b/>
                <w:bCs/>
                <w:i/>
                <w:iCs/>
                <w:noProof/>
                <w:color w:val="000000"/>
                <w:sz w:val="20"/>
              </w:rPr>
            </w:pPr>
            <w:r>
              <w:rPr>
                <w:b/>
                <w:i/>
                <w:noProof/>
                <w:color w:val="000000"/>
                <w:sz w:val="20"/>
              </w:rPr>
              <w:t>(80 %)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Ikkereducerede momsgrundlag</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BNI-grundlag</w:t>
            </w:r>
          </w:p>
        </w:tc>
        <w:tc>
          <w:tcPr>
            <w:tcW w:w="1404" w:type="dxa"/>
            <w:tcBorders>
              <w:top w:val="single" w:sz="12" w:space="0" w:color="auto"/>
              <w:left w:val="single" w:sz="2" w:space="0" w:color="000000"/>
              <w:bottom w:val="single" w:sz="12" w:space="0" w:color="auto"/>
              <w:right w:val="single" w:sz="12" w:space="0" w:color="auto"/>
            </w:tcBorders>
            <w:shd w:val="clear" w:color="auto" w:fill="E0E0E0"/>
            <w:vAlign w:val="center"/>
          </w:tcPr>
          <w:p>
            <w:pPr>
              <w:keepNext/>
              <w:autoSpaceDE w:val="0"/>
              <w:autoSpaceDN w:val="0"/>
              <w:adjustRightInd w:val="0"/>
              <w:jc w:val="center"/>
              <w:rPr>
                <w:b/>
                <w:bCs/>
                <w:i/>
                <w:iCs/>
                <w:noProof/>
                <w:color w:val="000000"/>
                <w:sz w:val="20"/>
              </w:rPr>
            </w:pPr>
            <w:r>
              <w:rPr>
                <w:b/>
                <w:i/>
                <w:noProof/>
                <w:color w:val="000000"/>
                <w:sz w:val="20"/>
              </w:rPr>
              <w:t>Reducerede</w:t>
            </w:r>
          </w:p>
          <w:p>
            <w:pPr>
              <w:keepNext/>
              <w:autoSpaceDE w:val="0"/>
              <w:autoSpaceDN w:val="0"/>
              <w:adjustRightInd w:val="0"/>
              <w:jc w:val="center"/>
              <w:rPr>
                <w:b/>
                <w:bCs/>
                <w:i/>
                <w:iCs/>
                <w:noProof/>
                <w:color w:val="000000"/>
                <w:sz w:val="20"/>
              </w:rPr>
            </w:pPr>
            <w:r>
              <w:rPr>
                <w:b/>
                <w:i/>
                <w:noProof/>
                <w:color w:val="000000"/>
                <w:sz w:val="20"/>
              </w:rPr>
              <w:t>momsgrundlag</w:t>
            </w:r>
            <w:r>
              <w:rPr>
                <w:b/>
                <w:i/>
                <w:noProof/>
                <w:color w:val="000000"/>
                <w:sz w:val="20"/>
                <w:vertAlign w:val="superscript"/>
              </w:rPr>
              <w:footnoteReference w:id="15"/>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BE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7,0</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 xml:space="preserve">2 180,8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181 702,0</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 xml:space="preserve">430 857,3 </w:t>
            </w:r>
          </w:p>
        </w:tc>
        <w:tc>
          <w:tcPr>
            <w:tcW w:w="1404" w:type="dxa"/>
            <w:tcBorders>
              <w:top w:val="single" w:sz="12" w:space="0" w:color="auto"/>
              <w:left w:val="single" w:sz="2" w:space="0" w:color="000000"/>
              <w:bottom w:val="single" w:sz="2" w:space="0" w:color="000000"/>
              <w:right w:val="single" w:sz="12" w:space="0" w:color="auto"/>
            </w:tcBorders>
            <w:shd w:val="clear" w:color="auto" w:fill="auto"/>
            <w:vAlign w:val="center"/>
          </w:tcPr>
          <w:p>
            <w:pPr>
              <w:ind w:left="20"/>
              <w:contextualSpacing/>
              <w:jc w:val="right"/>
              <w:rPr>
                <w:noProof/>
                <w:color w:val="000000"/>
                <w:sz w:val="20"/>
              </w:rPr>
            </w:pPr>
            <w:r>
              <w:rPr>
                <w:noProof/>
                <w:color w:val="000000"/>
                <w:sz w:val="20"/>
              </w:rPr>
              <w:t xml:space="preserve">181 702,0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BG</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0,4</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 xml:space="preserve">74,3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23 169,3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48 254,9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23 169,3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CZ</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3,6</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253,9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69 591,7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170 821,6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69 591,7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DK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3,6</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333,1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109 543,6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294 073,0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109 543,6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DE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28,1</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4 214,7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1 344 582,5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3 292 895,8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1 344 582,5 </w:t>
            </w:r>
          </w:p>
        </w:tc>
      </w:tr>
      <w:tr>
        <w:trPr>
          <w:trHeight w:val="247"/>
          <w:jc w:val="center"/>
        </w:trPr>
        <w:tc>
          <w:tcPr>
            <w:tcW w:w="829" w:type="dxa"/>
            <w:tcBorders>
              <w:top w:val="single" w:sz="2" w:space="0" w:color="000000"/>
              <w:left w:val="single" w:sz="12" w:space="0" w:color="auto"/>
              <w:bottom w:val="single" w:sz="2"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EE</w:t>
            </w:r>
          </w:p>
        </w:tc>
        <w:tc>
          <w:tcPr>
            <w:tcW w:w="1404" w:type="dxa"/>
            <w:tcBorders>
              <w:top w:val="single" w:sz="2" w:space="0" w:color="000000"/>
              <w:left w:val="single" w:sz="2" w:space="0" w:color="000000"/>
              <w:bottom w:val="single" w:sz="2" w:space="0" w:color="auto"/>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rPr>
            </w:pPr>
            <w:r>
              <w:rPr>
                <w:noProof/>
                <w:color w:val="000000"/>
                <w:sz w:val="20"/>
              </w:rPr>
              <w:t xml:space="preserve">29,1 </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rPr>
            </w:pPr>
            <w:r>
              <w:rPr>
                <w:noProof/>
                <w:color w:val="000000"/>
                <w:sz w:val="20"/>
              </w:rPr>
              <w:t xml:space="preserve">11 013,6 </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rPr>
            </w:pPr>
            <w:r>
              <w:rPr>
                <w:noProof/>
                <w:color w:val="000000"/>
                <w:sz w:val="20"/>
              </w:rPr>
              <w:t xml:space="preserve">21 710,8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10 855,4 </w:t>
            </w:r>
          </w:p>
        </w:tc>
      </w:tr>
      <w:tr>
        <w:trPr>
          <w:trHeight w:val="247"/>
          <w:jc w:val="center"/>
        </w:trPr>
        <w:tc>
          <w:tcPr>
            <w:tcW w:w="829" w:type="dxa"/>
            <w:tcBorders>
              <w:top w:val="single" w:sz="2"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IE</w:t>
            </w:r>
          </w:p>
        </w:tc>
        <w:tc>
          <w:tcPr>
            <w:tcW w:w="1404" w:type="dxa"/>
            <w:tcBorders>
              <w:top w:val="single" w:sz="2"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277,1 </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82 328,0 </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231 429,7 </w:t>
            </w:r>
          </w:p>
        </w:tc>
        <w:tc>
          <w:tcPr>
            <w:tcW w:w="1404" w:type="dxa"/>
            <w:tcBorders>
              <w:top w:val="single" w:sz="2" w:space="0" w:color="000000"/>
              <w:left w:val="single" w:sz="2" w:space="0" w:color="000000"/>
              <w:bottom w:val="single" w:sz="2" w:space="0" w:color="auto"/>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82 328,0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EL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1,5</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156,9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72 702,4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181 726,6 </w:t>
            </w:r>
          </w:p>
        </w:tc>
        <w:tc>
          <w:tcPr>
            <w:tcW w:w="1404" w:type="dxa"/>
            <w:tcBorders>
              <w:top w:val="single" w:sz="2" w:space="0" w:color="auto"/>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72 702,4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ES</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5,0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1 521,4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511 216,1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1 157 887,3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511 216,1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FR</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33,0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1 599,0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1 016 719,6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2 324 154,3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1 016 719,6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HR</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1,9</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45,8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28 337,3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46 300,3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23 150,2 </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IT</w:t>
            </w:r>
          </w:p>
        </w:tc>
        <w:tc>
          <w:tcPr>
            <w:tcW w:w="1404" w:type="dxa"/>
            <w:tcBorders>
              <w:top w:val="single" w:sz="2" w:space="0" w:color="000000"/>
              <w:left w:val="single" w:sz="2" w:space="0" w:color="000000"/>
              <w:bottom w:val="single" w:sz="4" w:space="0" w:color="auto"/>
              <w:right w:val="single" w:sz="2" w:space="0" w:color="000000"/>
            </w:tcBorders>
            <w:vAlign w:val="center"/>
          </w:tcPr>
          <w:p>
            <w:pPr>
              <w:ind w:left="20"/>
              <w:contextualSpacing/>
              <w:jc w:val="right"/>
              <w:rPr>
                <w:noProof/>
                <w:color w:val="000000"/>
                <w:sz w:val="20"/>
              </w:rPr>
            </w:pPr>
            <w:r>
              <w:rPr>
                <w:noProof/>
                <w:color w:val="000000"/>
                <w:sz w:val="20"/>
              </w:rPr>
              <w:t>5,0</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1 910,7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649 635,8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1 705 264,7 </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649 635,8 </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CY</w:t>
            </w:r>
          </w:p>
        </w:tc>
        <w:tc>
          <w:tcPr>
            <w:tcW w:w="1404" w:type="dxa"/>
            <w:tcBorders>
              <w:top w:val="single" w:sz="4"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20,3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12 082,5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17 909,5 </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8 954,8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LV</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40,7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10 662,9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26 452,1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10 662,9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LT</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0,9</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77,0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16 556,7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39 240,8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16 556,7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LU</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19,5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26 940,4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37 268,3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18 634,2 </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HU</w:t>
            </w:r>
          </w:p>
        </w:tc>
        <w:tc>
          <w:tcPr>
            <w:tcW w:w="1404" w:type="dxa"/>
            <w:tcBorders>
              <w:top w:val="single" w:sz="2" w:space="0" w:color="000000"/>
              <w:left w:val="single" w:sz="2" w:space="0" w:color="000000"/>
              <w:bottom w:val="single" w:sz="4" w:space="0" w:color="auto"/>
              <w:right w:val="single" w:sz="2" w:space="0" w:color="000000"/>
            </w:tcBorders>
            <w:vAlign w:val="center"/>
          </w:tcPr>
          <w:p>
            <w:pPr>
              <w:ind w:left="20"/>
              <w:contextualSpacing/>
              <w:jc w:val="right"/>
              <w:rPr>
                <w:noProof/>
                <w:color w:val="000000"/>
                <w:sz w:val="20"/>
              </w:rPr>
            </w:pPr>
            <w:r>
              <w:rPr>
                <w:noProof/>
                <w:color w:val="000000"/>
                <w:sz w:val="20"/>
              </w:rPr>
              <w:t>2,2</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140,1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48 357,0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116 824,7 </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48 357,0 </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MT</w:t>
            </w:r>
          </w:p>
        </w:tc>
        <w:tc>
          <w:tcPr>
            <w:tcW w:w="1404" w:type="dxa"/>
            <w:tcBorders>
              <w:top w:val="single" w:sz="4"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11,9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6 757,1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9 843,1 </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4 921,6</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NL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7,7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2 433,2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304 311,3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712 882,7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304 311,3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AT</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204,1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168 078,0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360 646,5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168 078,0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PL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13,7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608,6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179 446,7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422 847,6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179 446,7 </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PT</w:t>
            </w:r>
          </w:p>
        </w:tc>
        <w:tc>
          <w:tcPr>
            <w:tcW w:w="1404" w:type="dxa"/>
            <w:tcBorders>
              <w:top w:val="dotted" w:sz="6"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0,2</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138,3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93 756,3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187 067,6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93 533,8 </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RO</w:t>
            </w:r>
          </w:p>
        </w:tc>
        <w:tc>
          <w:tcPr>
            <w:tcW w:w="1404" w:type="dxa"/>
            <w:tcBorders>
              <w:top w:val="dotted" w:sz="6"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1,0</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148,0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63 769,3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174 951,6 </w:t>
            </w:r>
          </w:p>
        </w:tc>
        <w:tc>
          <w:tcPr>
            <w:tcW w:w="1404" w:type="dxa"/>
            <w:tcBorders>
              <w:top w:val="dotted" w:sz="6" w:space="0" w:color="auto"/>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63 769,3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SI</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67,6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19 185,3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40 910,3 </w:t>
            </w:r>
          </w:p>
        </w:tc>
        <w:tc>
          <w:tcPr>
            <w:tcW w:w="1404" w:type="dxa"/>
            <w:tcBorders>
              <w:top w:val="single" w:sz="2" w:space="0" w:color="000000"/>
              <w:left w:val="single" w:sz="2" w:space="0" w:color="000000"/>
              <w:bottom w:val="single" w:sz="2" w:space="0" w:color="000000"/>
              <w:right w:val="single" w:sz="12" w:space="0" w:color="auto"/>
            </w:tcBorders>
            <w:shd w:val="clear" w:color="C0C0C0" w:fill="auto"/>
            <w:vAlign w:val="center"/>
          </w:tcPr>
          <w:p>
            <w:pPr>
              <w:contextualSpacing/>
              <w:jc w:val="right"/>
              <w:rPr>
                <w:noProof/>
                <w:color w:val="000000"/>
                <w:sz w:val="20"/>
              </w:rPr>
            </w:pPr>
            <w:r>
              <w:rPr>
                <w:noProof/>
                <w:color w:val="000000"/>
                <w:sz w:val="20"/>
              </w:rPr>
              <w:t xml:space="preserve">19 185,3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95,7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28 850,4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82 304,9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28 850,4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FI</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0,8</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140,5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94 101,7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220 743,3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94 101,7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2,8</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497,4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208 548,1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488 888,5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208 548,1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UK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10,10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3 134,5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1 105 662,2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2 333 685,8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1 105 662,2 </w:t>
            </w:r>
          </w:p>
        </w:tc>
      </w:tr>
      <w:tr>
        <w:trPr>
          <w:trHeight w:val="276"/>
          <w:jc w:val="center"/>
        </w:trPr>
        <w:tc>
          <w:tcPr>
            <w:tcW w:w="829" w:type="dxa"/>
            <w:tcBorders>
              <w:top w:val="single" w:sz="12" w:space="0" w:color="auto"/>
              <w:left w:val="single" w:sz="12" w:space="0" w:color="auto"/>
              <w:bottom w:val="single" w:sz="12"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EU-28</w:t>
            </w:r>
          </w:p>
        </w:tc>
        <w:tc>
          <w:tcPr>
            <w:tcW w:w="1404" w:type="dxa"/>
            <w:tcBorders>
              <w:top w:val="single" w:sz="12" w:space="0" w:color="auto"/>
              <w:left w:val="single" w:sz="2" w:space="0" w:color="000000"/>
              <w:bottom w:val="single" w:sz="12" w:space="0" w:color="auto"/>
              <w:right w:val="single" w:sz="2" w:space="0" w:color="000000"/>
            </w:tcBorders>
            <w:vAlign w:val="center"/>
          </w:tcPr>
          <w:p>
            <w:pPr>
              <w:ind w:left="20"/>
              <w:contextualSpacing/>
              <w:jc w:val="right"/>
              <w:rPr>
                <w:b/>
                <w:bCs/>
                <w:noProof/>
                <w:color w:val="000000"/>
                <w:sz w:val="20"/>
              </w:rPr>
            </w:pPr>
            <w:r>
              <w:rPr>
                <w:b/>
                <w:noProof/>
                <w:color w:val="000000"/>
                <w:sz w:val="20"/>
              </w:rPr>
              <w:t>133,3</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rPr>
            </w:pPr>
            <w:r>
              <w:rPr>
                <w:b/>
                <w:noProof/>
                <w:color w:val="000000"/>
                <w:sz w:val="20"/>
              </w:rPr>
              <w:t xml:space="preserve">20 374,0 </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rPr>
            </w:pPr>
            <w:r>
              <w:rPr>
                <w:b/>
                <w:noProof/>
                <w:color w:val="000000"/>
                <w:sz w:val="20"/>
              </w:rPr>
              <w:t xml:space="preserve">6 487 607,8 </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rPr>
            </w:pPr>
            <w:r>
              <w:rPr>
                <w:b/>
                <w:noProof/>
                <w:color w:val="000000"/>
                <w:sz w:val="20"/>
              </w:rPr>
              <w:t xml:space="preserve">15 177 843,6 </w:t>
            </w:r>
          </w:p>
        </w:tc>
        <w:tc>
          <w:tcPr>
            <w:tcW w:w="1404" w:type="dxa"/>
            <w:tcBorders>
              <w:top w:val="single" w:sz="12" w:space="0" w:color="auto"/>
              <w:left w:val="single" w:sz="2" w:space="0" w:color="000000"/>
              <w:bottom w:val="single" w:sz="12" w:space="0" w:color="auto"/>
              <w:right w:val="single" w:sz="12" w:space="0" w:color="auto"/>
            </w:tcBorders>
            <w:vAlign w:val="center"/>
          </w:tcPr>
          <w:p>
            <w:pPr>
              <w:contextualSpacing/>
              <w:jc w:val="right"/>
              <w:rPr>
                <w:b/>
                <w:bCs/>
                <w:noProof/>
                <w:color w:val="000000"/>
                <w:sz w:val="20"/>
              </w:rPr>
            </w:pPr>
            <w:r>
              <w:rPr>
                <w:b/>
                <w:noProof/>
                <w:color w:val="000000"/>
                <w:sz w:val="20"/>
              </w:rPr>
              <w:t xml:space="preserve">6 468 770,4 </w:t>
            </w:r>
          </w:p>
        </w:tc>
      </w:tr>
    </w:tbl>
    <w:p>
      <w:pPr>
        <w:keepNext/>
        <w:tabs>
          <w:tab w:val="left" w:pos="850"/>
        </w:tabs>
        <w:spacing w:before="360" w:after="120"/>
        <w:ind w:left="850" w:hanging="850"/>
        <w:jc w:val="both"/>
        <w:outlineLvl w:val="1"/>
        <w:rPr>
          <w:rFonts w:eastAsia="Calibri"/>
          <w:b/>
          <w:noProof/>
        </w:rPr>
      </w:pPr>
      <w:bookmarkStart w:id="60" w:name="_Toc494994380"/>
      <w:bookmarkStart w:id="61" w:name="_Toc496272635"/>
      <w:bookmarkEnd w:id="59"/>
      <w:r>
        <w:rPr>
          <w:b/>
          <w:noProof/>
        </w:rPr>
        <w:t>3.3</w:t>
      </w:r>
      <w:r>
        <w:rPr>
          <w:noProof/>
        </w:rPr>
        <w:tab/>
      </w:r>
      <w:r>
        <w:rPr>
          <w:b/>
          <w:noProof/>
        </w:rPr>
        <w:t>Korrektion til fordel for Det Forenede Kongerige for 2016 og 2013</w:t>
      </w:r>
      <w:bookmarkEnd w:id="51"/>
      <w:bookmarkEnd w:id="52"/>
      <w:bookmarkEnd w:id="53"/>
      <w:bookmarkEnd w:id="60"/>
      <w:bookmarkEnd w:id="61"/>
    </w:p>
    <w:p>
      <w:pPr>
        <w:tabs>
          <w:tab w:val="left" w:pos="850"/>
        </w:tabs>
        <w:rPr>
          <w:bCs/>
          <w:i/>
          <w:noProof/>
        </w:rPr>
      </w:pPr>
      <w:bookmarkStart w:id="62" w:name="_Toc294673194"/>
      <w:bookmarkStart w:id="63" w:name="_Toc357005414"/>
      <w:bookmarkStart w:id="64" w:name="_Toc390436797"/>
      <w:bookmarkStart w:id="65" w:name="_Toc420941902"/>
      <w:bookmarkStart w:id="66" w:name="_Toc461544622"/>
      <w:bookmarkEnd w:id="54"/>
      <w:bookmarkEnd w:id="55"/>
      <w:r>
        <w:rPr>
          <w:i/>
          <w:noProof/>
        </w:rPr>
        <w:t>3.3.1.</w:t>
      </w:r>
      <w:r>
        <w:rPr>
          <w:noProof/>
        </w:rPr>
        <w:tab/>
      </w:r>
      <w:r>
        <w:rPr>
          <w:i/>
          <w:noProof/>
        </w:rPr>
        <w:t>Indledning</w:t>
      </w:r>
      <w:bookmarkEnd w:id="62"/>
      <w:bookmarkEnd w:id="63"/>
      <w:bookmarkEnd w:id="64"/>
      <w:bookmarkEnd w:id="65"/>
      <w:bookmarkEnd w:id="66"/>
    </w:p>
    <w:p>
      <w:pPr>
        <w:spacing w:before="120" w:after="120"/>
        <w:jc w:val="both"/>
        <w:rPr>
          <w:noProof/>
        </w:rPr>
      </w:pPr>
      <w:r>
        <w:rPr>
          <w:noProof/>
        </w:rPr>
        <w:t>Den korrektion af budgetuligevægte til fordel for Det Forenede Kongerige (UK-korrektionen), der skal opføres i dette FÆB, vedrører to regnskabsår: 2013 og 2016.</w:t>
      </w:r>
    </w:p>
    <w:p>
      <w:pPr>
        <w:rPr>
          <w:noProof/>
        </w:rPr>
      </w:pPr>
      <w:r>
        <w:rPr>
          <w:noProof/>
        </w:rPr>
        <w:t>UK-korrektionen for 2013 er underlagt reglerne i Rådets afgørelse 2007/436/EF, Euratom om ordningen for De Europæiske Fællesskabers egne indtægter</w:t>
      </w:r>
      <w:r>
        <w:rPr>
          <w:noProof/>
          <w:vertAlign w:val="superscript"/>
        </w:rPr>
        <w:footnoteReference w:id="16"/>
      </w:r>
      <w:r>
        <w:rPr>
          <w:noProof/>
        </w:rPr>
        <w:t xml:space="preserve"> og det ledsagende arbejdsdokument om </w:t>
      </w:r>
      <w:r>
        <w:rPr>
          <w:i/>
          <w:noProof/>
        </w:rPr>
        <w:t>beregningsmetoden fra 2007</w:t>
      </w:r>
      <w:r>
        <w:rPr>
          <w:noProof/>
          <w:vertAlign w:val="superscript"/>
        </w:rPr>
        <w:footnoteReference w:id="17"/>
      </w:r>
      <w:r>
        <w:rPr>
          <w:noProof/>
        </w:rPr>
        <w:t xml:space="preserve">. Ifølge reglerne i denne afgørelse neutraliseres Det Forenede Kongeriges nettogevinst som følge af stigningen fra og med 2001 i den procentdel af de traditionelle egne indtægter, som medlemsstaterne tilbageholder som kompensation for deres opkrævningsomkostninger, og de fordelte udgifter justeres med de samlede fordelte udgifter i de medlemsstater, der er tiltrådt EU efter den 30. april 2004, med undtagelse af direkte betalinger til landbruget og markedsrelaterede udgifter samt den del af udgifterne til udvikling af landdistrikterne, der hidrører fra EUGFL, Garantisektionen. </w:t>
      </w:r>
    </w:p>
    <w:p>
      <w:pPr>
        <w:jc w:val="both"/>
        <w:rPr>
          <w:noProof/>
        </w:rPr>
      </w:pPr>
      <w:r>
        <w:rPr>
          <w:noProof/>
        </w:rPr>
        <w:t>UK-korrektionen for 2016 er underlagt reglerne i Rådets afgørelse 2014/335/EU, Euratom om ordningen for De Europæiske Fællesskabers egne indtægter</w:t>
      </w:r>
      <w:r>
        <w:rPr>
          <w:rStyle w:val="FootnoteReference"/>
          <w:noProof/>
        </w:rPr>
        <w:footnoteReference w:id="18"/>
      </w:r>
      <w:r>
        <w:rPr>
          <w:noProof/>
        </w:rPr>
        <w:t xml:space="preserve"> og det ledsagende arbejdsdokument om </w:t>
      </w:r>
      <w:r>
        <w:rPr>
          <w:i/>
          <w:noProof/>
        </w:rPr>
        <w:t>beregningsmetoden fra 2014</w:t>
      </w:r>
      <w:r>
        <w:rPr>
          <w:noProof/>
          <w:vertAlign w:val="superscript"/>
        </w:rPr>
        <w:footnoteReference w:id="19"/>
      </w:r>
      <w:r>
        <w:rPr>
          <w:noProof/>
        </w:rPr>
        <w:t xml:space="preserve">. Ifølge reglerne i denne afgørelse neutraliseres Det Forenede Kongeriges nettogevinst som følge af stigningen fra og med 2001 i den procentdel af de traditionelle egne indtægter, som medlemsstaterne tilbageholder som kompensation for deres opkrævningsomkostninger (idet der tages hensyn til opkrævningsomkostninger på 20 %), og de fordelte udgifter justeres med de samlede fordelte udgifter i de medlemsstater, der er tiltrådt EU efter den 30. april 2004, med undtagelse af direkte betalinger til landbruget og markedsrelaterede udgifter samt den del af udgifterne til udvikling af landdistrikterne, der hidrører fra EUGFL, Garantisektionen. </w:t>
      </w:r>
    </w:p>
    <w:p>
      <w:pPr>
        <w:spacing w:before="120" w:after="120"/>
        <w:jc w:val="both"/>
        <w:rPr>
          <w:noProof/>
        </w:rPr>
      </w:pPr>
      <w:r>
        <w:rPr>
          <w:noProof/>
        </w:rPr>
        <w:t>Desuden reduceres Østrigs, Tysklands, Nederlandenes og Sveriges andel af finansieringen af UK-korrektionen til en fjerdedel af deres normale andel, både hvad angår korrektionen for 2013 og 2016. Reduktionen finansieres af de øvrige medlemsstater med undtagelse af Det Forenede Kongerige.</w:t>
      </w:r>
    </w:p>
    <w:p>
      <w:pPr>
        <w:spacing w:before="120" w:after="120"/>
        <w:jc w:val="both"/>
        <w:rPr>
          <w:noProof/>
        </w:rPr>
      </w:pPr>
      <w:r>
        <w:rPr>
          <w:noProof/>
        </w:rPr>
        <w:t xml:space="preserve">Forskellen mellem det </w:t>
      </w:r>
      <w:r>
        <w:rPr>
          <w:i/>
          <w:noProof/>
        </w:rPr>
        <w:t>endelige beløb</w:t>
      </w:r>
      <w:r>
        <w:rPr>
          <w:noProof/>
        </w:rPr>
        <w:t xml:space="preserve"> </w:t>
      </w:r>
      <w:r>
        <w:rPr>
          <w:i/>
          <w:noProof/>
        </w:rPr>
        <w:t>for UK-korrektionen for 2013</w:t>
      </w:r>
      <w:r>
        <w:rPr>
          <w:noProof/>
        </w:rPr>
        <w:t xml:space="preserve"> og det beløb, der tidligere var opført på budgettet (2. </w:t>
      </w:r>
      <w:r>
        <w:rPr>
          <w:i/>
          <w:noProof/>
        </w:rPr>
        <w:t>ajourføring</w:t>
      </w:r>
      <w:r>
        <w:rPr>
          <w:noProof/>
        </w:rPr>
        <w:t xml:space="preserve">, der blev opført på ÆB nr. 5/2016), opføres i kapitel 35 i dette FÆB. </w:t>
      </w:r>
    </w:p>
    <w:p>
      <w:pPr>
        <w:spacing w:before="120" w:after="120"/>
        <w:jc w:val="both"/>
        <w:rPr>
          <w:noProof/>
        </w:rPr>
      </w:pPr>
      <w:r>
        <w:rPr>
          <w:noProof/>
        </w:rPr>
        <w:t xml:space="preserve">Forskellen mellem den </w:t>
      </w:r>
      <w:r>
        <w:rPr>
          <w:i/>
          <w:noProof/>
        </w:rPr>
        <w:t>1.</w:t>
      </w:r>
      <w:r>
        <w:rPr>
          <w:noProof/>
        </w:rPr>
        <w:t xml:space="preserve"> </w:t>
      </w:r>
      <w:r>
        <w:rPr>
          <w:i/>
          <w:noProof/>
        </w:rPr>
        <w:t>ajourføring</w:t>
      </w:r>
      <w:r>
        <w:rPr>
          <w:noProof/>
        </w:rPr>
        <w:t xml:space="preserve"> </w:t>
      </w:r>
      <w:r>
        <w:rPr>
          <w:i/>
          <w:noProof/>
        </w:rPr>
        <w:t>af UK-korrektionen for 2016</w:t>
      </w:r>
      <w:r>
        <w:rPr>
          <w:noProof/>
        </w:rPr>
        <w:t xml:space="preserve"> og det beløb, der tidligere var opført på budgettet (det </w:t>
      </w:r>
      <w:r>
        <w:rPr>
          <w:i/>
          <w:noProof/>
        </w:rPr>
        <w:t>foreløbige beløb</w:t>
      </w:r>
      <w:r>
        <w:rPr>
          <w:noProof/>
        </w:rPr>
        <w:t>, der blev opført på budgettet for 2017), opføres i kapitel 15 i dette FÆB.</w:t>
      </w:r>
    </w:p>
    <w:p>
      <w:pPr>
        <w:tabs>
          <w:tab w:val="left" w:pos="850"/>
        </w:tabs>
        <w:rPr>
          <w:bCs/>
          <w:i/>
          <w:noProof/>
        </w:rPr>
      </w:pPr>
      <w:bookmarkStart w:id="67" w:name="_Toc231879704"/>
      <w:bookmarkStart w:id="68" w:name="_Toc293417236"/>
      <w:bookmarkStart w:id="69" w:name="_Toc294673195"/>
      <w:bookmarkStart w:id="70" w:name="_Toc357005415"/>
      <w:bookmarkStart w:id="71" w:name="_Toc390436798"/>
      <w:bookmarkStart w:id="72" w:name="_Toc420941903"/>
      <w:bookmarkStart w:id="73" w:name="_Toc461544623"/>
      <w:bookmarkStart w:id="74" w:name="_Toc462410061"/>
      <w:bookmarkEnd w:id="56"/>
      <w:bookmarkEnd w:id="57"/>
      <w:bookmarkEnd w:id="58"/>
      <w:r>
        <w:rPr>
          <w:i/>
          <w:noProof/>
        </w:rPr>
        <w:t>3.3.2.</w:t>
      </w:r>
      <w:r>
        <w:rPr>
          <w:noProof/>
        </w:rPr>
        <w:tab/>
      </w:r>
      <w:r>
        <w:rPr>
          <w:i/>
          <w:noProof/>
        </w:rPr>
        <w:t>Beregning af korrektionerne</w:t>
      </w:r>
      <w:bookmarkEnd w:id="67"/>
      <w:bookmarkEnd w:id="68"/>
      <w:bookmarkEnd w:id="69"/>
      <w:bookmarkEnd w:id="70"/>
      <w:bookmarkEnd w:id="71"/>
      <w:bookmarkEnd w:id="72"/>
      <w:bookmarkEnd w:id="73"/>
    </w:p>
    <w:p>
      <w:pPr>
        <w:spacing w:before="120" w:after="120"/>
        <w:jc w:val="both"/>
        <w:rPr>
          <w:noProof/>
        </w:rPr>
      </w:pPr>
      <w:r>
        <w:rPr>
          <w:noProof/>
        </w:rPr>
        <w:t xml:space="preserve">I dette FÆB opføres beregningen og finansieringen af den </w:t>
      </w:r>
      <w:r>
        <w:rPr>
          <w:i/>
          <w:noProof/>
        </w:rPr>
        <w:t>1. ajourføring</w:t>
      </w:r>
      <w:r>
        <w:rPr>
          <w:noProof/>
        </w:rPr>
        <w:t xml:space="preserve"> </w:t>
      </w:r>
      <w:r>
        <w:rPr>
          <w:i/>
          <w:noProof/>
        </w:rPr>
        <w:t>af UK-korrektionen for 2016</w:t>
      </w:r>
      <w:r>
        <w:rPr>
          <w:noProof/>
        </w:rPr>
        <w:t xml:space="preserve"> og det </w:t>
      </w:r>
      <w:r>
        <w:rPr>
          <w:i/>
          <w:noProof/>
        </w:rPr>
        <w:t>endelige beløb</w:t>
      </w:r>
      <w:r>
        <w:rPr>
          <w:noProof/>
        </w:rPr>
        <w:t xml:space="preserve"> </w:t>
      </w:r>
      <w:r>
        <w:rPr>
          <w:i/>
          <w:noProof/>
        </w:rPr>
        <w:t>for UK-korrektionen for 2013</w:t>
      </w:r>
      <w:r>
        <w:rPr>
          <w:noProof/>
        </w:rPr>
        <w:t>.</w:t>
      </w:r>
    </w:p>
    <w:p>
      <w:pPr>
        <w:spacing w:before="120" w:after="120"/>
        <w:jc w:val="both"/>
        <w:rPr>
          <w:noProof/>
        </w:rPr>
      </w:pPr>
      <w:r>
        <w:rPr>
          <w:noProof/>
        </w:rPr>
        <w:t xml:space="preserve">Ajourføringen af korrektionerne for 2013 og 2016 skyldes hovedsagelig ajourføringen af moms- og BNI-grundlagene, som medlemsstaterne meddelte i efteråret 2016. Desuden tages der i ajourføringen af korrektionen for 2016 også hensyn til de fordelte udgifter for 2016. </w:t>
      </w:r>
    </w:p>
    <w:p>
      <w:pPr>
        <w:rPr>
          <w:bCs/>
          <w:noProof/>
          <w:szCs w:val="28"/>
          <w:u w:val="single"/>
        </w:rPr>
      </w:pPr>
      <w:bookmarkStart w:id="75" w:name="_Toc231879705"/>
      <w:r>
        <w:rPr>
          <w:noProof/>
          <w:u w:val="single"/>
        </w:rPr>
        <w:t>3.3.2.1</w:t>
      </w:r>
      <w:r>
        <w:rPr>
          <w:noProof/>
        </w:rPr>
        <w:tab/>
      </w:r>
      <w:r>
        <w:rPr>
          <w:noProof/>
          <w:u w:val="single"/>
        </w:rPr>
        <w:t>Korrektionen i 2016 til fordel for Det Forenede Kongerige</w:t>
      </w:r>
    </w:p>
    <w:bookmarkEnd w:id="75"/>
    <w:p>
      <w:pPr>
        <w:spacing w:before="120" w:after="120"/>
        <w:jc w:val="both"/>
        <w:rPr>
          <w:noProof/>
        </w:rPr>
      </w:pPr>
      <w:r>
        <w:rPr>
          <w:noProof/>
        </w:rPr>
        <w:t xml:space="preserve">Nedenstående tabel viser forskellen mellem det </w:t>
      </w:r>
      <w:r>
        <w:rPr>
          <w:i/>
          <w:noProof/>
        </w:rPr>
        <w:t>foreløbige beløb</w:t>
      </w:r>
      <w:r>
        <w:rPr>
          <w:noProof/>
        </w:rPr>
        <w:t xml:space="preserve"> for UK-korrektionen for 2016, der blev opført på 2017-budgettet, og den </w:t>
      </w:r>
      <w:r>
        <w:rPr>
          <w:i/>
          <w:noProof/>
        </w:rPr>
        <w:t>1. ajourføring</w:t>
      </w:r>
      <w:r>
        <w:rPr>
          <w:noProof/>
        </w:rPr>
        <w:t xml:space="preserve"> af UK-korrektionen for 2016, som skal opføres i dette FÆB.</w:t>
      </w: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jc w:val="center"/>
              <w:rPr>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jc w:val="center"/>
              <w:rPr>
                <w:b/>
                <w:noProof/>
                <w:color w:val="000000"/>
              </w:rPr>
            </w:pPr>
            <w:r>
              <w:rPr>
                <w:b/>
                <w:noProof/>
                <w:color w:val="000000"/>
              </w:rPr>
              <w:t>UK-korrektionen for 2016</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UK-korrektionen for 2016</w:t>
            </w:r>
          </w:p>
          <w:p>
            <w:pPr>
              <w:autoSpaceDE w:val="0"/>
              <w:autoSpaceDN w:val="0"/>
              <w:adjustRightInd w:val="0"/>
              <w:jc w:val="center"/>
              <w:rPr>
                <w:noProof/>
                <w:color w:val="000000"/>
                <w:sz w:val="20"/>
              </w:rPr>
            </w:pPr>
            <w:r>
              <w:rPr>
                <w:b/>
                <w:noProof/>
                <w:color w:val="000000"/>
                <w:sz w:val="20"/>
              </w:rPr>
              <w:t>FORELØBIG</w:t>
            </w:r>
          </w:p>
          <w:p>
            <w:pPr>
              <w:autoSpaceDE w:val="0"/>
              <w:autoSpaceDN w:val="0"/>
              <w:adjustRightInd w:val="0"/>
              <w:jc w:val="center"/>
              <w:rPr>
                <w:b/>
                <w:noProof/>
                <w:color w:val="000000"/>
                <w:sz w:val="20"/>
              </w:rPr>
            </w:pPr>
            <w:r>
              <w:rPr>
                <w:b/>
                <w:noProof/>
                <w:color w:val="000000"/>
                <w:sz w:val="20"/>
              </w:rPr>
              <w:t>Budget for 2017</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UK-korrektionen for 2016</w:t>
            </w:r>
          </w:p>
          <w:p>
            <w:pPr>
              <w:autoSpaceDE w:val="0"/>
              <w:autoSpaceDN w:val="0"/>
              <w:adjustRightInd w:val="0"/>
              <w:jc w:val="center"/>
              <w:rPr>
                <w:b/>
                <w:bCs/>
                <w:noProof/>
                <w:color w:val="000000"/>
                <w:sz w:val="20"/>
              </w:rPr>
            </w:pPr>
            <w:r>
              <w:rPr>
                <w:b/>
                <w:noProof/>
                <w:color w:val="000000"/>
                <w:sz w:val="20"/>
              </w:rPr>
              <w:t>1. AJOURFØRING</w:t>
            </w:r>
          </w:p>
          <w:p>
            <w:pPr>
              <w:autoSpaceDE w:val="0"/>
              <w:autoSpaceDN w:val="0"/>
              <w:adjustRightInd w:val="0"/>
              <w:jc w:val="center"/>
              <w:rPr>
                <w:b/>
                <w:noProof/>
                <w:color w:val="000000"/>
                <w:sz w:val="20"/>
              </w:rPr>
            </w:pPr>
            <w:r>
              <w:rPr>
                <w:b/>
                <w:noProof/>
                <w:color w:val="000000"/>
                <w:sz w:val="20"/>
              </w:rPr>
              <w:t>FÆB nr. 6/2017</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rPr>
            </w:pPr>
            <w:r>
              <w:rPr>
                <w:b/>
                <w:i/>
                <w:noProof/>
                <w:color w:val="000000"/>
                <w:sz w:val="20"/>
              </w:rPr>
              <w:t>Forskel</w:t>
            </w:r>
          </w:p>
        </w:tc>
      </w:tr>
      <w:tr>
        <w:trPr>
          <w:jc w:val="center"/>
        </w:trPr>
        <w:tc>
          <w:tcPr>
            <w:tcW w:w="550" w:type="dxa"/>
            <w:vMerge/>
            <w:tcBorders>
              <w:bottom w:val="double" w:sz="6" w:space="0" w:color="auto"/>
              <w:right w:val="nil"/>
            </w:tcBorders>
            <w:shd w:val="clear" w:color="auto" w:fill="auto"/>
            <w:noWrap/>
            <w:vAlign w:val="center"/>
          </w:tcPr>
          <w:p>
            <w:pPr>
              <w:jc w:val="center"/>
              <w:rPr>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Det Forenede Kongeriges andel af det ikkereducerede momsgrundlag</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18,0077 %</w:t>
            </w:r>
          </w:p>
        </w:tc>
        <w:tc>
          <w:tcPr>
            <w:tcW w:w="180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17,5900 %</w:t>
            </w:r>
          </w:p>
        </w:tc>
        <w:tc>
          <w:tcPr>
            <w:tcW w:w="180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-0,4177 %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Det Forenede Kongeriges andel af de samlede fordelte udgifter justeret for udvidelsesudgifter</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7,2983 %</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7,6814 %</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+0,3832 %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10,7095 %</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9,9086 %</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-0,8009 %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Samlede fordelte udgifter</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129 383 323 229</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117 477 286 403</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-11 906 036 826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Udvidelsesrelaterede udgifter</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34 414 600 712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25 506 896 869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-8 907 703 843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Førtiltrædelsesudgifter</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Udgifter vedrørende artikel 4, stk. 1, litra 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34 414 600 712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25 506 896 869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-8 907 703 843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Samlede fordelte udgifter justeret for udvidelsesudgifter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94 968 722 517</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91 970 389 534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-2 998 332 984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Oprindeligt beløb for UK-korrektionen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6 712 622 123</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6 014 542 348</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-698 079 776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Fordelen for UK</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1 524 007 149</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1 128 635 343</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-395 371 806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UK's kernerabat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5 188 614 974</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4 885 907 005</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-302 707 970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Ekstragevinster i forbindelse med traditionelle egne indtægter</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-49 835 714</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-46 683 873</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+3 151 841</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UK-korrektionen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5 238 450 688</w:t>
            </w:r>
          </w:p>
        </w:tc>
        <w:tc>
          <w:tcPr>
            <w:tcW w:w="180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4 932 590 878</w:t>
            </w:r>
          </w:p>
        </w:tc>
        <w:tc>
          <w:tcPr>
            <w:tcW w:w="180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-305 859 810</w:t>
            </w:r>
          </w:p>
        </w:tc>
      </w:tr>
    </w:tbl>
    <w:p>
      <w:pPr>
        <w:tabs>
          <w:tab w:val="num" w:pos="851"/>
        </w:tabs>
        <w:spacing w:before="120" w:after="120"/>
        <w:jc w:val="both"/>
        <w:rPr>
          <w:noProof/>
        </w:rPr>
      </w:pPr>
      <w:r>
        <w:rPr>
          <w:noProof/>
        </w:rPr>
        <w:t xml:space="preserve">Den </w:t>
      </w:r>
      <w:r>
        <w:rPr>
          <w:i/>
          <w:noProof/>
        </w:rPr>
        <w:t>1. ajourføring</w:t>
      </w:r>
      <w:r>
        <w:rPr>
          <w:noProof/>
        </w:rPr>
        <w:t xml:space="preserve"> af UK-korrektionen for 2016 er ca. 306 mio. EUR lavere end det </w:t>
      </w:r>
      <w:r>
        <w:rPr>
          <w:i/>
          <w:noProof/>
        </w:rPr>
        <w:t>foreløbige beløb</w:t>
      </w:r>
      <w:r>
        <w:rPr>
          <w:noProof/>
        </w:rPr>
        <w:t xml:space="preserve"> for UK-korrektionen for 2016, der blev opført på budgettet for 2017.</w:t>
      </w:r>
    </w:p>
    <w:p>
      <w:pPr>
        <w:tabs>
          <w:tab w:val="left" w:pos="851"/>
        </w:tabs>
        <w:rPr>
          <w:bCs/>
          <w:noProof/>
          <w:szCs w:val="28"/>
          <w:u w:val="single"/>
        </w:rPr>
      </w:pPr>
      <w:r>
        <w:rPr>
          <w:noProof/>
          <w:u w:val="single"/>
        </w:rPr>
        <w:t>3.3.2.2</w:t>
      </w:r>
      <w:r>
        <w:rPr>
          <w:noProof/>
        </w:rPr>
        <w:tab/>
      </w:r>
      <w:r>
        <w:rPr>
          <w:noProof/>
          <w:u w:val="single"/>
        </w:rPr>
        <w:t xml:space="preserve"> Korrektionen i 2013 til fordel for Det Forenede Kongerige</w:t>
      </w:r>
    </w:p>
    <w:p>
      <w:pPr>
        <w:spacing w:before="120" w:after="120"/>
        <w:jc w:val="both"/>
        <w:rPr>
          <w:noProof/>
        </w:rPr>
      </w:pPr>
      <w:r>
        <w:rPr>
          <w:noProof/>
        </w:rPr>
        <w:t xml:space="preserve">Nedenstående tabel viser forskellen mellem den </w:t>
      </w:r>
      <w:r>
        <w:rPr>
          <w:i/>
          <w:noProof/>
        </w:rPr>
        <w:t>2. ajourføring</w:t>
      </w:r>
      <w:r>
        <w:rPr>
          <w:noProof/>
        </w:rPr>
        <w:t xml:space="preserve"> af UK-korrektionen for 2013, der blev opført på ÆB nr. 5/2016, og det </w:t>
      </w:r>
      <w:r>
        <w:rPr>
          <w:i/>
          <w:noProof/>
        </w:rPr>
        <w:t>endelige beløb</w:t>
      </w:r>
      <w:r>
        <w:rPr>
          <w:noProof/>
        </w:rPr>
        <w:t xml:space="preserve"> for UK-korrektionen for 2013, som skal opføres i dette FÆB.</w:t>
      </w:r>
    </w:p>
    <w:p>
      <w:pPr>
        <w:rPr>
          <w:noProof/>
        </w:rPr>
      </w:pPr>
      <w:r>
        <w:rPr>
          <w:noProof/>
        </w:rPr>
        <w:br w:type="page"/>
      </w:r>
    </w:p>
    <w:tbl>
      <w:tblPr>
        <w:tblW w:w="9135" w:type="dxa"/>
        <w:jc w:val="center"/>
        <w:tblLayout w:type="fixed"/>
        <w:tblLook w:val="0000" w:firstRow="0" w:lastRow="0" w:firstColumn="0" w:lastColumn="0" w:noHBand="0" w:noVBand="0"/>
      </w:tblPr>
      <w:tblGrid>
        <w:gridCol w:w="550"/>
        <w:gridCol w:w="3185"/>
        <w:gridCol w:w="1800"/>
        <w:gridCol w:w="1680"/>
        <w:gridCol w:w="1920"/>
      </w:tblGrid>
      <w:tr>
        <w:trPr>
          <w:trHeight w:val="831"/>
          <w:tblHeader/>
          <w:jc w:val="center"/>
        </w:trPr>
        <w:tc>
          <w:tcPr>
            <w:tcW w:w="550" w:type="dxa"/>
            <w:tcBorders>
              <w:top w:val="nil"/>
              <w:left w:val="nil"/>
              <w:right w:val="nil"/>
            </w:tcBorders>
            <w:shd w:val="clear" w:color="auto" w:fill="auto"/>
            <w:noWrap/>
            <w:vAlign w:val="bottom"/>
          </w:tcPr>
          <w:p>
            <w:pPr>
              <w:rPr>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jc w:val="center"/>
              <w:rPr>
                <w:b/>
                <w:noProof/>
                <w:color w:val="000000"/>
              </w:rPr>
            </w:pPr>
            <w:r>
              <w:rPr>
                <w:b/>
                <w:noProof/>
                <w:color w:val="000000"/>
              </w:rPr>
              <w:t>UK-korrektionen for 2013</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lang w:val="nn-NO"/>
              </w:rPr>
            </w:pPr>
            <w:r>
              <w:rPr>
                <w:b/>
                <w:noProof/>
                <w:sz w:val="20"/>
                <w:lang w:val="nn-NO"/>
              </w:rPr>
              <w:t>UK-korrektionen for 2013</w:t>
            </w:r>
            <w:r>
              <w:rPr>
                <w:b/>
                <w:bCs/>
                <w:noProof/>
                <w:sz w:val="20"/>
                <w:lang w:val="nn-NO"/>
              </w:rPr>
              <w:br/>
            </w:r>
            <w:r>
              <w:rPr>
                <w:b/>
                <w:noProof/>
                <w:sz w:val="20"/>
                <w:lang w:val="nn-NO"/>
              </w:rPr>
              <w:t xml:space="preserve">2. AJOURFØRING </w:t>
            </w:r>
            <w:r>
              <w:rPr>
                <w:b/>
                <w:bCs/>
                <w:noProof/>
                <w:sz w:val="20"/>
                <w:lang w:val="nn-NO"/>
              </w:rPr>
              <w:br/>
            </w:r>
            <w:r>
              <w:rPr>
                <w:b/>
                <w:noProof/>
                <w:sz w:val="20"/>
                <w:lang w:val="nn-NO"/>
              </w:rPr>
              <w:t>ÆB nr. 5/2016</w:t>
            </w:r>
          </w:p>
        </w:tc>
        <w:tc>
          <w:tcPr>
            <w:tcW w:w="1680"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rPr>
            </w:pPr>
            <w:r>
              <w:rPr>
                <w:b/>
                <w:noProof/>
                <w:sz w:val="20"/>
              </w:rPr>
              <w:t>UK-korrektionen for 2013</w:t>
            </w:r>
            <w:r>
              <w:rPr>
                <w:b/>
                <w:bCs/>
                <w:noProof/>
                <w:sz w:val="20"/>
              </w:rPr>
              <w:br/>
            </w:r>
            <w:r>
              <w:rPr>
                <w:b/>
                <w:noProof/>
                <w:sz w:val="20"/>
              </w:rPr>
              <w:t>ENDELIG</w:t>
            </w:r>
            <w:r>
              <w:rPr>
                <w:b/>
                <w:bCs/>
                <w:noProof/>
                <w:sz w:val="20"/>
              </w:rPr>
              <w:br/>
            </w:r>
            <w:r>
              <w:rPr>
                <w:b/>
                <w:noProof/>
                <w:sz w:val="20"/>
              </w:rPr>
              <w:t>FÆB nr. 6/2017</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rPr>
            </w:pPr>
            <w:r>
              <w:rPr>
                <w:b/>
                <w:i/>
                <w:noProof/>
                <w:sz w:val="20"/>
              </w:rPr>
              <w:t>Forskel</w:t>
            </w:r>
          </w:p>
        </w:tc>
      </w:tr>
      <w:tr>
        <w:trPr>
          <w:jc w:val="center"/>
        </w:trPr>
        <w:tc>
          <w:tcPr>
            <w:tcW w:w="550" w:type="dxa"/>
            <w:tcBorders>
              <w:bottom w:val="double" w:sz="6" w:space="0" w:color="auto"/>
              <w:right w:val="nil"/>
            </w:tcBorders>
            <w:shd w:val="clear" w:color="auto" w:fill="auto"/>
            <w:noWrap/>
            <w:vAlign w:val="center"/>
          </w:tcPr>
          <w:p>
            <w:pPr>
              <w:jc w:val="center"/>
              <w:rPr>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68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92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Det Forenede Kongeriges andel af det ikkereducerede momsgrundlag</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16,0378 %</w:t>
            </w:r>
          </w:p>
        </w:tc>
        <w:tc>
          <w:tcPr>
            <w:tcW w:w="168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16,2955 %</w:t>
            </w:r>
          </w:p>
        </w:tc>
        <w:tc>
          <w:tcPr>
            <w:tcW w:w="192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+0,2577 %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Det Forenede Kongeriges andel af de samlede fordelte udgifter justeret for udvidelsesudgifter</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6,0959 %</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6,0959 %</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+0,0000 %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9,9418 %</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10,1996 %</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+0,2577 %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Samlede fordelte udgifter</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134 745 129 775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134 745 129 775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Udvidelsesrelaterede udgifter</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31 288 595 815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31 288 595 815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Førtiltrædelsesudgifter</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Udgifter vedrørende artikel 4, stk. 1, litra 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31 288 595 815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31 288 595 815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Samlede fordelte udgifter justeret for udvidelsesudgifter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103 456 533 960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103 456 533 960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Oprindeligt beløb for UK-korrektionen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6 788 418 578</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6 964 389 260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+175 970 682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Fordelen for UK</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846 456 483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931 944 129</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+85 487 646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UK's kernerabat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5 941 962 095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6 032 445 131</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+90 483 036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Ekstragevinster i forbindelse med traditionelle egne indtægter</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18 914 477</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10 994 751</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-7 919 725</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UK-korrektionen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5 923 047 619</w:t>
            </w:r>
          </w:p>
        </w:tc>
        <w:tc>
          <w:tcPr>
            <w:tcW w:w="168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6 021 450 379</w:t>
            </w:r>
          </w:p>
        </w:tc>
        <w:tc>
          <w:tcPr>
            <w:tcW w:w="192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+98 402 760</w:t>
            </w:r>
          </w:p>
        </w:tc>
      </w:tr>
    </w:tbl>
    <w:p>
      <w:pPr>
        <w:spacing w:before="120" w:after="120"/>
        <w:jc w:val="both"/>
        <w:rPr>
          <w:noProof/>
        </w:rPr>
      </w:pPr>
      <w:r>
        <w:rPr>
          <w:noProof/>
        </w:rPr>
        <w:t xml:space="preserve">Det </w:t>
      </w:r>
      <w:r>
        <w:rPr>
          <w:i/>
          <w:noProof/>
        </w:rPr>
        <w:t>endelige beløb</w:t>
      </w:r>
      <w:r>
        <w:rPr>
          <w:noProof/>
        </w:rPr>
        <w:t xml:space="preserve"> for UK-korrektionen for 2013 er 98 mio. EUR højere end den </w:t>
      </w:r>
      <w:r>
        <w:rPr>
          <w:i/>
          <w:noProof/>
        </w:rPr>
        <w:t>2. ajourføring</w:t>
      </w:r>
      <w:r>
        <w:rPr>
          <w:noProof/>
        </w:rPr>
        <w:t xml:space="preserve"> af UK-korrektionen for 2013, der blev opført på ÆB nr. 5/2016, hovedsagelig på grund af ajourføringerne af moms- og BNI-grundlagene, som medlemsstaterne meddelte i efteråret 2016.</w:t>
      </w:r>
    </w:p>
    <w:p>
      <w:pPr>
        <w:tabs>
          <w:tab w:val="left" w:pos="850"/>
        </w:tabs>
        <w:spacing w:after="120"/>
        <w:ind w:left="851" w:hanging="851"/>
        <w:rPr>
          <w:bCs/>
          <w:i/>
          <w:noProof/>
        </w:rPr>
      </w:pPr>
      <w:bookmarkStart w:id="76" w:name="_Toc231879708"/>
      <w:bookmarkStart w:id="77" w:name="_Toc293417237"/>
      <w:bookmarkStart w:id="78" w:name="_Toc294673196"/>
      <w:bookmarkStart w:id="79" w:name="_Toc357005416"/>
      <w:bookmarkStart w:id="80" w:name="_Toc390436799"/>
      <w:bookmarkStart w:id="81" w:name="_Toc420941904"/>
      <w:bookmarkStart w:id="82" w:name="_Toc461544624"/>
      <w:r>
        <w:rPr>
          <w:i/>
          <w:noProof/>
        </w:rPr>
        <w:t>3.3.3.</w:t>
      </w:r>
      <w:r>
        <w:rPr>
          <w:noProof/>
        </w:rPr>
        <w:tab/>
      </w:r>
      <w:r>
        <w:rPr>
          <w:i/>
          <w:noProof/>
        </w:rPr>
        <w:t>Opførelse i FÆB nr. 6/2017 af den 1. ajourføring af UK-korrektionen for 2016 og af det endelige beløb for UK-korrektionen for 2013</w:t>
      </w:r>
      <w:bookmarkEnd w:id="76"/>
      <w:bookmarkEnd w:id="77"/>
      <w:bookmarkEnd w:id="78"/>
      <w:bookmarkEnd w:id="79"/>
      <w:bookmarkEnd w:id="80"/>
      <w:bookmarkEnd w:id="81"/>
      <w:bookmarkEnd w:id="82"/>
      <w:r>
        <w:rPr>
          <w:i/>
          <w:noProof/>
        </w:rPr>
        <w:t xml:space="preserve"> </w:t>
      </w:r>
    </w:p>
    <w:p>
      <w:pPr>
        <w:tabs>
          <w:tab w:val="left" w:pos="851"/>
        </w:tabs>
        <w:rPr>
          <w:bCs/>
          <w:noProof/>
          <w:szCs w:val="28"/>
          <w:u w:val="single"/>
        </w:rPr>
      </w:pPr>
      <w:bookmarkStart w:id="83" w:name="_Toc231879709"/>
      <w:r>
        <w:rPr>
          <w:noProof/>
          <w:u w:val="single"/>
        </w:rPr>
        <w:t>3.3.3.1</w:t>
      </w:r>
      <w:r>
        <w:rPr>
          <w:noProof/>
        </w:rPr>
        <w:tab/>
      </w:r>
      <w:r>
        <w:rPr>
          <w:noProof/>
          <w:u w:val="single"/>
        </w:rPr>
        <w:t>Korrektionen i 2013 til fordel for Det Forenede Kongerige (kapitel 35)</w:t>
      </w:r>
    </w:p>
    <w:p>
      <w:pPr>
        <w:spacing w:before="120" w:after="120"/>
        <w:jc w:val="both"/>
        <w:rPr>
          <w:noProof/>
        </w:rPr>
      </w:pPr>
      <w:r>
        <w:rPr>
          <w:noProof/>
        </w:rPr>
        <w:t xml:space="preserve">Den UK-korrektion, der skal opføres i kapitel 35 i dette FÆB, er lig med forskellen mellem det </w:t>
      </w:r>
      <w:r>
        <w:rPr>
          <w:i/>
          <w:noProof/>
        </w:rPr>
        <w:t>endelige beløb</w:t>
      </w:r>
      <w:r>
        <w:rPr>
          <w:noProof/>
        </w:rPr>
        <w:t xml:space="preserve"> for UK-korrektionen for 2013 (dvs. 6 021 450 379 EUR) og den </w:t>
      </w:r>
      <w:r>
        <w:rPr>
          <w:i/>
          <w:noProof/>
        </w:rPr>
        <w:t>2. ajourføring</w:t>
      </w:r>
      <w:r>
        <w:rPr>
          <w:noProof/>
        </w:rPr>
        <w:t xml:space="preserve"> af UK-korrektionen for 2013 (dvs. 5 923 047 619 EUR, som var opført på ÆB nr. 5/2016), der beløber sig til 98 402 760 EUR.</w:t>
      </w:r>
    </w:p>
    <w:p>
      <w:pPr>
        <w:spacing w:before="120" w:after="240"/>
        <w:jc w:val="both"/>
        <w:rPr>
          <w:noProof/>
        </w:rPr>
      </w:pPr>
      <w:r>
        <w:rPr>
          <w:noProof/>
        </w:rPr>
        <w:t>Dette beløb skal finansieres i overensstemmelse med de reviderede BNI-grundlag for 2013, således som de forelå ved udgangen af 2016. Nedenstående tabel viser, hvordan beløbet opføres i kapitel 35:</w:t>
      </w: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rPr>
            </w:pPr>
            <w:r>
              <w:rPr>
                <w:b/>
                <w:noProof/>
                <w:sz w:val="20"/>
              </w:rPr>
              <w:t>UK-korrektion for 2013 – kapitel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3 427 431</w:t>
            </w:r>
          </w:p>
        </w:tc>
        <w:tc>
          <w:tcPr>
            <w:tcW w:w="809" w:type="dxa"/>
            <w:tcBorders>
              <w:top w:val="nil"/>
              <w:left w:val="nil"/>
              <w:bottom w:val="nil"/>
              <w:right w:val="nil"/>
            </w:tcBorders>
            <w:shd w:val="clear" w:color="auto" w:fill="auto"/>
            <w:noWrap/>
          </w:tcPr>
          <w:p>
            <w:pPr>
              <w:jc w:val="center"/>
              <w:rPr>
                <w:b/>
                <w:noProof/>
                <w:sz w:val="20"/>
              </w:rPr>
            </w:pPr>
            <w:r>
              <w:rPr>
                <w:b/>
                <w:noProof/>
                <w:sz w:val="20"/>
              </w:rPr>
              <w:t>LU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2 999 679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1 515 290</w:t>
            </w:r>
          </w:p>
        </w:tc>
        <w:tc>
          <w:tcPr>
            <w:tcW w:w="809" w:type="dxa"/>
            <w:tcBorders>
              <w:top w:val="nil"/>
              <w:left w:val="nil"/>
              <w:bottom w:val="nil"/>
              <w:right w:val="nil"/>
            </w:tcBorders>
            <w:shd w:val="clear" w:color="auto" w:fill="auto"/>
            <w:noWrap/>
          </w:tcPr>
          <w:p>
            <w:pPr>
              <w:jc w:val="center"/>
              <w:rPr>
                <w:b/>
                <w:noProof/>
                <w:sz w:val="20"/>
              </w:rPr>
            </w:pPr>
            <w:r>
              <w:rPr>
                <w:b/>
                <w:noProof/>
                <w:sz w:val="20"/>
              </w:rPr>
              <w:t>HU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1 214 768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2 998 256</w:t>
            </w:r>
          </w:p>
        </w:tc>
        <w:tc>
          <w:tcPr>
            <w:tcW w:w="809" w:type="dxa"/>
            <w:tcBorders>
              <w:top w:val="nil"/>
              <w:left w:val="nil"/>
              <w:bottom w:val="nil"/>
              <w:right w:val="nil"/>
            </w:tcBorders>
            <w:shd w:val="clear" w:color="auto" w:fill="auto"/>
            <w:noWrap/>
          </w:tcPr>
          <w:p>
            <w:pPr>
              <w:jc w:val="center"/>
              <w:rPr>
                <w:b/>
                <w:noProof/>
                <w:sz w:val="20"/>
              </w:rPr>
            </w:pPr>
            <w:r>
              <w:rPr>
                <w:b/>
                <w:noProof/>
                <w:sz w:val="20"/>
              </w:rPr>
              <w:t>MT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320 388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6 889 492</w:t>
            </w:r>
          </w:p>
        </w:tc>
        <w:tc>
          <w:tcPr>
            <w:tcW w:w="809" w:type="dxa"/>
            <w:tcBorders>
              <w:top w:val="nil"/>
              <w:left w:val="nil"/>
              <w:bottom w:val="nil"/>
              <w:right w:val="nil"/>
            </w:tcBorders>
            <w:shd w:val="clear" w:color="auto" w:fill="auto"/>
            <w:noWrap/>
          </w:tcPr>
          <w:p>
            <w:pPr>
              <w:jc w:val="center"/>
              <w:rPr>
                <w:b/>
                <w:noProof/>
                <w:sz w:val="20"/>
              </w:rPr>
            </w:pPr>
            <w:r>
              <w:rPr>
                <w:b/>
                <w:noProof/>
                <w:sz w:val="20"/>
              </w:rPr>
              <w:t>NL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1 151 037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8 754 255</w:t>
            </w:r>
          </w:p>
        </w:tc>
        <w:tc>
          <w:tcPr>
            <w:tcW w:w="809" w:type="dxa"/>
            <w:tcBorders>
              <w:top w:val="nil"/>
              <w:left w:val="nil"/>
              <w:bottom w:val="nil"/>
              <w:right w:val="nil"/>
            </w:tcBorders>
            <w:shd w:val="clear" w:color="auto" w:fill="auto"/>
            <w:noWrap/>
          </w:tcPr>
          <w:p>
            <w:pPr>
              <w:jc w:val="center"/>
              <w:rPr>
                <w:b/>
                <w:noProof/>
                <w:sz w:val="20"/>
              </w:rPr>
            </w:pPr>
            <w:r>
              <w:rPr>
                <w:b/>
                <w:noProof/>
                <w:sz w:val="20"/>
              </w:rPr>
              <w:t>AT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418 805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368 634</w:t>
            </w:r>
          </w:p>
        </w:tc>
        <w:tc>
          <w:tcPr>
            <w:tcW w:w="809" w:type="dxa"/>
            <w:tcBorders>
              <w:top w:val="nil"/>
              <w:left w:val="nil"/>
              <w:bottom w:val="nil"/>
              <w:right w:val="nil"/>
            </w:tcBorders>
            <w:shd w:val="clear" w:color="auto" w:fill="auto"/>
            <w:noWrap/>
          </w:tcPr>
          <w:p>
            <w:pPr>
              <w:jc w:val="center"/>
              <w:rPr>
                <w:b/>
                <w:noProof/>
                <w:sz w:val="20"/>
              </w:rPr>
            </w:pPr>
            <w:r>
              <w:rPr>
                <w:b/>
                <w:noProof/>
                <w:sz w:val="20"/>
              </w:rPr>
              <w:t>PL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2 257 310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5 640 096</w:t>
            </w:r>
          </w:p>
        </w:tc>
        <w:tc>
          <w:tcPr>
            <w:tcW w:w="809" w:type="dxa"/>
            <w:tcBorders>
              <w:top w:val="nil"/>
              <w:left w:val="nil"/>
              <w:bottom w:val="nil"/>
              <w:right w:val="nil"/>
            </w:tcBorders>
            <w:shd w:val="clear" w:color="auto" w:fill="auto"/>
            <w:noWrap/>
          </w:tcPr>
          <w:p>
            <w:pPr>
              <w:jc w:val="center"/>
              <w:rPr>
                <w:b/>
                <w:noProof/>
                <w:sz w:val="20"/>
              </w:rPr>
            </w:pPr>
            <w:r>
              <w:rPr>
                <w:b/>
                <w:noProof/>
                <w:sz w:val="20"/>
              </w:rPr>
              <w:t>PT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1 399 728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EL</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2 191 253</w:t>
            </w:r>
          </w:p>
        </w:tc>
        <w:tc>
          <w:tcPr>
            <w:tcW w:w="809" w:type="dxa"/>
            <w:tcBorders>
              <w:top w:val="nil"/>
              <w:left w:val="nil"/>
              <w:bottom w:val="nil"/>
              <w:right w:val="nil"/>
            </w:tcBorders>
            <w:shd w:val="clear" w:color="auto" w:fill="auto"/>
            <w:noWrap/>
          </w:tcPr>
          <w:p>
            <w:pPr>
              <w:jc w:val="center"/>
              <w:rPr>
                <w:b/>
                <w:noProof/>
                <w:sz w:val="20"/>
              </w:rPr>
            </w:pPr>
            <w:r>
              <w:rPr>
                <w:b/>
                <w:noProof/>
                <w:sz w:val="20"/>
              </w:rPr>
              <w:t>RO</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2 993 513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ES</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-651 779</w:t>
            </w:r>
          </w:p>
        </w:tc>
        <w:tc>
          <w:tcPr>
            <w:tcW w:w="809" w:type="dxa"/>
            <w:tcBorders>
              <w:top w:val="nil"/>
              <w:left w:val="nil"/>
              <w:bottom w:val="nil"/>
              <w:right w:val="nil"/>
            </w:tcBorders>
            <w:shd w:val="clear" w:color="auto" w:fill="auto"/>
            <w:noWrap/>
          </w:tcPr>
          <w:p>
            <w:pPr>
              <w:jc w:val="center"/>
              <w:rPr>
                <w:b/>
                <w:noProof/>
                <w:sz w:val="20"/>
              </w:rPr>
            </w:pPr>
            <w:r>
              <w:rPr>
                <w:b/>
                <w:noProof/>
                <w:sz w:val="20"/>
              </w:rPr>
              <w:t>SI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916 682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FR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18 525 521</w:t>
            </w:r>
          </w:p>
        </w:tc>
        <w:tc>
          <w:tcPr>
            <w:tcW w:w="809" w:type="dxa"/>
            <w:tcBorders>
              <w:top w:val="nil"/>
              <w:left w:val="nil"/>
              <w:bottom w:val="nil"/>
              <w:right w:val="nil"/>
            </w:tcBorders>
            <w:shd w:val="clear" w:color="auto" w:fill="auto"/>
            <w:noWrap/>
          </w:tcPr>
          <w:p>
            <w:pPr>
              <w:jc w:val="center"/>
              <w:rPr>
                <w:b/>
                <w:noProof/>
                <w:sz w:val="20"/>
              </w:rPr>
            </w:pPr>
            <w:r>
              <w:rPr>
                <w:b/>
                <w:noProof/>
                <w:sz w:val="20"/>
              </w:rPr>
              <w:t>SK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2 214 808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HR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824 776</w:t>
            </w:r>
          </w:p>
        </w:tc>
        <w:tc>
          <w:tcPr>
            <w:tcW w:w="809" w:type="dxa"/>
            <w:tcBorders>
              <w:top w:val="nil"/>
              <w:left w:val="nil"/>
              <w:bottom w:val="nil"/>
              <w:right w:val="nil"/>
            </w:tcBorders>
            <w:shd w:val="clear" w:color="auto" w:fill="auto"/>
            <w:noWrap/>
          </w:tcPr>
          <w:p>
            <w:pPr>
              <w:jc w:val="center"/>
              <w:rPr>
                <w:b/>
                <w:noProof/>
                <w:sz w:val="20"/>
              </w:rPr>
            </w:pPr>
            <w:r>
              <w:rPr>
                <w:b/>
                <w:noProof/>
                <w:sz w:val="20"/>
              </w:rPr>
              <w:t>FI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4 965 839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IT</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25 072 902</w:t>
            </w:r>
          </w:p>
        </w:tc>
        <w:tc>
          <w:tcPr>
            <w:tcW w:w="809" w:type="dxa"/>
            <w:tcBorders>
              <w:top w:val="nil"/>
              <w:left w:val="nil"/>
              <w:bottom w:val="nil"/>
              <w:right w:val="nil"/>
            </w:tcBorders>
            <w:shd w:val="clear" w:color="auto" w:fill="auto"/>
            <w:noWrap/>
          </w:tcPr>
          <w:p>
            <w:pPr>
              <w:jc w:val="center"/>
              <w:rPr>
                <w:b/>
                <w:noProof/>
                <w:sz w:val="20"/>
              </w:rPr>
            </w:pPr>
            <w:r>
              <w:rPr>
                <w:b/>
                <w:noProof/>
                <w:sz w:val="20"/>
              </w:rPr>
              <w:t>SE</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565 841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CY</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228 695</w:t>
            </w:r>
          </w:p>
        </w:tc>
        <w:tc>
          <w:tcPr>
            <w:tcW w:w="809" w:type="dxa"/>
            <w:tcBorders>
              <w:top w:val="nil"/>
              <w:left w:val="nil"/>
              <w:bottom w:val="nil"/>
              <w:right w:val="nil"/>
            </w:tcBorders>
            <w:shd w:val="clear" w:color="auto" w:fill="auto"/>
            <w:noWrap/>
          </w:tcPr>
          <w:p>
            <w:pPr>
              <w:jc w:val="center"/>
              <w:rPr>
                <w:b/>
                <w:noProof/>
                <w:sz w:val="20"/>
              </w:rPr>
            </w:pPr>
          </w:p>
        </w:tc>
        <w:tc>
          <w:tcPr>
            <w:tcW w:w="1479" w:type="dxa"/>
            <w:tcBorders>
              <w:top w:val="nil"/>
              <w:left w:val="nil"/>
              <w:bottom w:val="nil"/>
              <w:right w:val="single" w:sz="8" w:space="0" w:color="auto"/>
            </w:tcBorders>
            <w:shd w:val="clear" w:color="auto" w:fill="auto"/>
            <w:noWrap/>
            <w:vAlign w:val="center"/>
          </w:tcPr>
          <w:p>
            <w:pPr>
              <w:jc w:val="right"/>
              <w:rPr>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LV</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81 908</w:t>
            </w:r>
          </w:p>
        </w:tc>
        <w:tc>
          <w:tcPr>
            <w:tcW w:w="809" w:type="dxa"/>
            <w:tcBorders>
              <w:top w:val="nil"/>
              <w:left w:val="nil"/>
              <w:bottom w:val="nil"/>
              <w:right w:val="nil"/>
            </w:tcBorders>
            <w:shd w:val="clear" w:color="auto" w:fill="auto"/>
            <w:noWrap/>
          </w:tcPr>
          <w:p>
            <w:pPr>
              <w:jc w:val="center"/>
              <w:rPr>
                <w:b/>
                <w:noProof/>
                <w:sz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-98 402 760</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rPr>
            </w:pPr>
            <w:r>
              <w:rPr>
                <w:noProof/>
                <w:sz w:val="20"/>
              </w:rPr>
              <w:t>1 117 632</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rPr>
            </w:pPr>
            <w:r>
              <w:rPr>
                <w:b/>
                <w:noProof/>
                <w:sz w:val="20"/>
              </w:rPr>
              <w:t>I alt</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rPr>
            </w:pPr>
            <w:r>
              <w:rPr>
                <w:b/>
                <w:noProof/>
                <w:sz w:val="20"/>
              </w:rPr>
              <w:t>0</w:t>
            </w:r>
          </w:p>
        </w:tc>
      </w:tr>
    </w:tbl>
    <w:p>
      <w:pPr>
        <w:tabs>
          <w:tab w:val="left" w:pos="851"/>
        </w:tabs>
        <w:rPr>
          <w:bCs/>
          <w:noProof/>
          <w:szCs w:val="28"/>
          <w:u w:val="single"/>
        </w:rPr>
      </w:pPr>
    </w:p>
    <w:p>
      <w:pPr>
        <w:rPr>
          <w:bCs/>
          <w:noProof/>
          <w:szCs w:val="28"/>
          <w:u w:val="single"/>
        </w:rPr>
      </w:pPr>
      <w:r>
        <w:rPr>
          <w:noProof/>
          <w:u w:val="single"/>
        </w:rPr>
        <w:t>3.3.3.2</w:t>
      </w:r>
      <w:r>
        <w:rPr>
          <w:noProof/>
        </w:rPr>
        <w:tab/>
      </w:r>
      <w:r>
        <w:rPr>
          <w:noProof/>
          <w:u w:val="single"/>
        </w:rPr>
        <w:t>Korrektionen i 2016 til fordel for Det Forenede Kongerige (kapitel 15)</w:t>
      </w:r>
    </w:p>
    <w:bookmarkEnd w:id="83"/>
    <w:p>
      <w:pPr>
        <w:spacing w:before="120" w:after="120"/>
        <w:jc w:val="both"/>
        <w:rPr>
          <w:noProof/>
        </w:rPr>
      </w:pPr>
      <w:r>
        <w:rPr>
          <w:noProof/>
        </w:rPr>
        <w:t xml:space="preserve">Den </w:t>
      </w:r>
      <w:r>
        <w:rPr>
          <w:i/>
          <w:noProof/>
        </w:rPr>
        <w:t>1. ajourføring</w:t>
      </w:r>
      <w:r>
        <w:rPr>
          <w:noProof/>
        </w:rPr>
        <w:t xml:space="preserve"> af UK-korrektionen for 2016 svarer til 4 932 590 878 EUR og er 305 859 810 mio. EUR lavere end det beløb, der er opført på budgettet for 2017 (5 238 450 688 EUR).</w:t>
      </w:r>
    </w:p>
    <w:p>
      <w:pPr>
        <w:spacing w:before="120" w:after="240"/>
        <w:jc w:val="both"/>
        <w:rPr>
          <w:noProof/>
        </w:rPr>
      </w:pPr>
      <w:r>
        <w:rPr>
          <w:noProof/>
        </w:rPr>
        <w:t>Dette beløb skal finansieres i overensstemmelse med de reviderede BNI-grundlag for 2017 i dette FÆB. Nedenstående tabel viser, hvordan beløbet opføres i kapitel 15:</w:t>
      </w:r>
    </w:p>
    <w:tbl>
      <w:tblPr>
        <w:tblW w:w="4540" w:type="dxa"/>
        <w:jc w:val="center"/>
        <w:tblLook w:val="0000" w:firstRow="0" w:lastRow="0" w:firstColumn="0" w:lastColumn="0" w:noHBand="0" w:noVBand="0"/>
      </w:tblPr>
      <w:tblGrid>
        <w:gridCol w:w="549"/>
        <w:gridCol w:w="1666"/>
        <w:gridCol w:w="793"/>
        <w:gridCol w:w="1532"/>
      </w:tblGrid>
      <w:tr>
        <w:trPr>
          <w:jc w:val="center"/>
        </w:trPr>
        <w:tc>
          <w:tcPr>
            <w:tcW w:w="454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jc w:val="center"/>
              <w:rPr>
                <w:b/>
                <w:bCs/>
                <w:noProof/>
                <w:sz w:val="20"/>
              </w:rPr>
            </w:pPr>
            <w:r>
              <w:rPr>
                <w:b/>
                <w:noProof/>
                <w:sz w:val="20"/>
              </w:rPr>
              <w:t>UK-korrektionen for 2016 – kapitel 15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BE</w:t>
            </w:r>
          </w:p>
        </w:tc>
        <w:tc>
          <w:tcPr>
            <w:tcW w:w="1666" w:type="dxa"/>
            <w:tcBorders>
              <w:top w:val="nil"/>
              <w:left w:val="nil"/>
              <w:bottom w:val="nil"/>
              <w:right w:val="nil"/>
            </w:tcBorders>
            <w:shd w:val="clear" w:color="auto" w:fill="auto"/>
            <w:noWrap/>
          </w:tcPr>
          <w:p>
            <w:pPr>
              <w:jc w:val="right"/>
              <w:rPr>
                <w:noProof/>
                <w:sz w:val="20"/>
                <w:highlight w:val="yellow"/>
              </w:rPr>
            </w:pPr>
            <w:r>
              <w:rPr>
                <w:noProof/>
                <w:sz w:val="20"/>
              </w:rPr>
              <w:t>240 885 677</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LU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20 836 132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BG</w:t>
            </w:r>
          </w:p>
        </w:tc>
        <w:tc>
          <w:tcPr>
            <w:tcW w:w="1666" w:type="dxa"/>
            <w:tcBorders>
              <w:top w:val="nil"/>
              <w:left w:val="nil"/>
              <w:bottom w:val="nil"/>
              <w:right w:val="nil"/>
            </w:tcBorders>
            <w:shd w:val="clear" w:color="auto" w:fill="auto"/>
            <w:noWrap/>
          </w:tcPr>
          <w:p>
            <w:pPr>
              <w:jc w:val="right"/>
              <w:rPr>
                <w:noProof/>
                <w:sz w:val="20"/>
              </w:rPr>
            </w:pPr>
            <w:r>
              <w:rPr>
                <w:noProof/>
                <w:sz w:val="20"/>
              </w:rPr>
              <w:t xml:space="preserve"> 26 978 571</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HU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65 314 890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CZ</w:t>
            </w:r>
          </w:p>
        </w:tc>
        <w:tc>
          <w:tcPr>
            <w:tcW w:w="1666" w:type="dxa"/>
            <w:tcBorders>
              <w:top w:val="nil"/>
              <w:left w:val="nil"/>
              <w:bottom w:val="nil"/>
              <w:right w:val="nil"/>
            </w:tcBorders>
            <w:shd w:val="clear" w:color="auto" w:fill="auto"/>
            <w:noWrap/>
          </w:tcPr>
          <w:p>
            <w:pPr>
              <w:jc w:val="right"/>
              <w:rPr>
                <w:noProof/>
                <w:sz w:val="20"/>
              </w:rPr>
            </w:pPr>
            <w:r>
              <w:rPr>
                <w:noProof/>
                <w:sz w:val="20"/>
              </w:rPr>
              <w:t>95 503 724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MT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5 503 126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DK</w:t>
            </w:r>
          </w:p>
        </w:tc>
        <w:tc>
          <w:tcPr>
            <w:tcW w:w="1666" w:type="dxa"/>
            <w:tcBorders>
              <w:top w:val="nil"/>
              <w:left w:val="nil"/>
              <w:bottom w:val="nil"/>
              <w:right w:val="nil"/>
            </w:tcBorders>
            <w:shd w:val="clear" w:color="auto" w:fill="auto"/>
            <w:noWrap/>
          </w:tcPr>
          <w:p>
            <w:pPr>
              <w:jc w:val="right"/>
              <w:rPr>
                <w:noProof/>
                <w:sz w:val="20"/>
              </w:rPr>
            </w:pPr>
            <w:r>
              <w:rPr>
                <w:noProof/>
                <w:sz w:val="20"/>
              </w:rPr>
              <w:t>164 411 683</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NL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68 442 765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DE</w:t>
            </w:r>
          </w:p>
        </w:tc>
        <w:tc>
          <w:tcPr>
            <w:tcW w:w="1666" w:type="dxa"/>
            <w:tcBorders>
              <w:top w:val="nil"/>
              <w:left w:val="nil"/>
              <w:bottom w:val="nil"/>
              <w:right w:val="nil"/>
            </w:tcBorders>
            <w:shd w:val="clear" w:color="auto" w:fill="auto"/>
            <w:noWrap/>
          </w:tcPr>
          <w:p>
            <w:pPr>
              <w:jc w:val="right"/>
              <w:rPr>
                <w:noProof/>
                <w:sz w:val="20"/>
              </w:rPr>
            </w:pPr>
            <w:r>
              <w:rPr>
                <w:noProof/>
                <w:sz w:val="20"/>
              </w:rPr>
              <w:t>316 145 831</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AT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34 625 113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EE</w:t>
            </w:r>
          </w:p>
        </w:tc>
        <w:tc>
          <w:tcPr>
            <w:tcW w:w="1666" w:type="dxa"/>
            <w:tcBorders>
              <w:top w:val="nil"/>
              <w:left w:val="nil"/>
              <w:bottom w:val="nil"/>
              <w:right w:val="nil"/>
            </w:tcBorders>
            <w:shd w:val="clear" w:color="auto" w:fill="auto"/>
            <w:noWrap/>
          </w:tcPr>
          <w:p>
            <w:pPr>
              <w:jc w:val="right"/>
              <w:rPr>
                <w:noProof/>
                <w:sz w:val="20"/>
              </w:rPr>
            </w:pPr>
            <w:r>
              <w:rPr>
                <w:noProof/>
                <w:sz w:val="20"/>
              </w:rPr>
              <w:t>12 138 174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PL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236 407 577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IE</w:t>
            </w:r>
          </w:p>
        </w:tc>
        <w:tc>
          <w:tcPr>
            <w:tcW w:w="1666" w:type="dxa"/>
            <w:tcBorders>
              <w:top w:val="nil"/>
              <w:left w:val="nil"/>
              <w:bottom w:val="nil"/>
              <w:right w:val="nil"/>
            </w:tcBorders>
            <w:shd w:val="clear" w:color="auto" w:fill="auto"/>
            <w:noWrap/>
          </w:tcPr>
          <w:p>
            <w:pPr>
              <w:jc w:val="right"/>
              <w:rPr>
                <w:noProof/>
                <w:sz w:val="20"/>
              </w:rPr>
            </w:pPr>
            <w:r>
              <w:rPr>
                <w:noProof/>
                <w:sz w:val="20"/>
              </w:rPr>
              <w:t>129 388 779</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PT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104 586 612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EL</w:t>
            </w:r>
          </w:p>
        </w:tc>
        <w:tc>
          <w:tcPr>
            <w:tcW w:w="1666" w:type="dxa"/>
            <w:tcBorders>
              <w:top w:val="nil"/>
              <w:left w:val="nil"/>
              <w:bottom w:val="nil"/>
              <w:right w:val="nil"/>
            </w:tcBorders>
            <w:shd w:val="clear" w:color="auto" w:fill="auto"/>
            <w:noWrap/>
          </w:tcPr>
          <w:p>
            <w:pPr>
              <w:jc w:val="right"/>
              <w:rPr>
                <w:noProof/>
                <w:sz w:val="20"/>
              </w:rPr>
            </w:pPr>
            <w:r>
              <w:rPr>
                <w:noProof/>
                <w:sz w:val="20"/>
              </w:rPr>
              <w:t>101 600 542</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RO</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97 812 744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ES</w:t>
            </w:r>
          </w:p>
        </w:tc>
        <w:tc>
          <w:tcPr>
            <w:tcW w:w="1666" w:type="dxa"/>
            <w:tcBorders>
              <w:top w:val="nil"/>
              <w:left w:val="nil"/>
              <w:bottom w:val="nil"/>
              <w:right w:val="nil"/>
            </w:tcBorders>
            <w:shd w:val="clear" w:color="auto" w:fill="auto"/>
            <w:noWrap/>
          </w:tcPr>
          <w:p>
            <w:pPr>
              <w:jc w:val="right"/>
              <w:rPr>
                <w:noProof/>
                <w:sz w:val="20"/>
              </w:rPr>
            </w:pPr>
            <w:r>
              <w:rPr>
                <w:noProof/>
                <w:sz w:val="20"/>
              </w:rPr>
              <w:t>647 356 946</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22 872 318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 xml:space="preserve">FR </w:t>
            </w:r>
          </w:p>
        </w:tc>
        <w:tc>
          <w:tcPr>
            <w:tcW w:w="1666" w:type="dxa"/>
            <w:tcBorders>
              <w:top w:val="nil"/>
              <w:left w:val="nil"/>
              <w:bottom w:val="nil"/>
              <w:right w:val="nil"/>
            </w:tcBorders>
            <w:shd w:val="clear" w:color="auto" w:fill="auto"/>
            <w:noWrap/>
          </w:tcPr>
          <w:p>
            <w:pPr>
              <w:jc w:val="right"/>
              <w:rPr>
                <w:noProof/>
                <w:sz w:val="20"/>
              </w:rPr>
            </w:pPr>
            <w:r>
              <w:rPr>
                <w:noProof/>
                <w:sz w:val="20"/>
              </w:rPr>
              <w:t>1 299 398 854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SK</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46 015 401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HR</w:t>
            </w:r>
          </w:p>
        </w:tc>
        <w:tc>
          <w:tcPr>
            <w:tcW w:w="1666" w:type="dxa"/>
            <w:tcBorders>
              <w:top w:val="nil"/>
              <w:left w:val="nil"/>
              <w:bottom w:val="nil"/>
              <w:right w:val="nil"/>
            </w:tcBorders>
            <w:shd w:val="clear" w:color="auto" w:fill="auto"/>
            <w:noWrap/>
          </w:tcPr>
          <w:p>
            <w:pPr>
              <w:jc w:val="right"/>
              <w:rPr>
                <w:noProof/>
                <w:sz w:val="20"/>
              </w:rPr>
            </w:pPr>
            <w:r>
              <w:rPr>
                <w:noProof/>
                <w:sz w:val="20"/>
              </w:rPr>
              <w:t>25 885 784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FI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123 414 177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IT</w:t>
            </w:r>
          </w:p>
        </w:tc>
        <w:tc>
          <w:tcPr>
            <w:tcW w:w="1666" w:type="dxa"/>
            <w:tcBorders>
              <w:top w:val="nil"/>
              <w:left w:val="nil"/>
              <w:bottom w:val="nil"/>
              <w:right w:val="nil"/>
            </w:tcBorders>
            <w:shd w:val="clear" w:color="auto" w:fill="auto"/>
            <w:noWrap/>
          </w:tcPr>
          <w:p>
            <w:pPr>
              <w:jc w:val="right"/>
              <w:rPr>
                <w:noProof/>
                <w:sz w:val="20"/>
              </w:rPr>
            </w:pPr>
            <w:r>
              <w:rPr>
                <w:noProof/>
                <w:sz w:val="20"/>
              </w:rPr>
              <w:t>953 387 216</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SE</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46 937 429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CY</w:t>
            </w:r>
          </w:p>
        </w:tc>
        <w:tc>
          <w:tcPr>
            <w:tcW w:w="1666" w:type="dxa"/>
            <w:tcBorders>
              <w:top w:val="nil"/>
              <w:left w:val="nil"/>
              <w:bottom w:val="nil"/>
              <w:right w:val="nil"/>
            </w:tcBorders>
            <w:shd w:val="clear" w:color="auto" w:fill="auto"/>
            <w:noWrap/>
          </w:tcPr>
          <w:p>
            <w:pPr>
              <w:jc w:val="right"/>
              <w:rPr>
                <w:noProof/>
                <w:sz w:val="20"/>
              </w:rPr>
            </w:pPr>
            <w:r>
              <w:rPr>
                <w:noProof/>
                <w:sz w:val="20"/>
              </w:rPr>
              <w:t>10 012 925</w:t>
            </w:r>
          </w:p>
        </w:tc>
        <w:tc>
          <w:tcPr>
            <w:tcW w:w="793" w:type="dxa"/>
            <w:vMerge w:val="restart"/>
            <w:tcBorders>
              <w:top w:val="nil"/>
              <w:left w:val="nil"/>
              <w:right w:val="nil"/>
            </w:tcBorders>
            <w:shd w:val="clear" w:color="auto" w:fill="auto"/>
            <w:noWrap/>
            <w:vAlign w:val="center"/>
          </w:tcPr>
          <w:p>
            <w:pPr>
              <w:jc w:val="center"/>
              <w:rPr>
                <w:b/>
                <w:bCs/>
                <w:noProof/>
                <w:sz w:val="20"/>
              </w:rPr>
            </w:pPr>
            <w:r>
              <w:rPr>
                <w:b/>
                <w:noProof/>
                <w:sz w:val="20"/>
              </w:rPr>
              <w:t>UK</w:t>
            </w:r>
          </w:p>
        </w:tc>
        <w:tc>
          <w:tcPr>
            <w:tcW w:w="1532" w:type="dxa"/>
            <w:vMerge w:val="restart"/>
            <w:tcBorders>
              <w:top w:val="nil"/>
              <w:left w:val="nil"/>
              <w:right w:val="single" w:sz="8" w:space="0" w:color="auto"/>
            </w:tcBorders>
            <w:shd w:val="clear" w:color="auto" w:fill="auto"/>
            <w:noWrap/>
            <w:vAlign w:val="center"/>
          </w:tcPr>
          <w:p>
            <w:pPr>
              <w:jc w:val="center"/>
              <w:rPr>
                <w:noProof/>
                <w:sz w:val="20"/>
              </w:rPr>
            </w:pPr>
            <w:r>
              <w:rPr>
                <w:noProof/>
                <w:sz w:val="20"/>
              </w:rPr>
              <w:t>-4 932 590 878</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LV</w:t>
            </w:r>
          </w:p>
        </w:tc>
        <w:tc>
          <w:tcPr>
            <w:tcW w:w="1666" w:type="dxa"/>
            <w:tcBorders>
              <w:top w:val="nil"/>
              <w:left w:val="nil"/>
              <w:bottom w:val="nil"/>
              <w:right w:val="nil"/>
            </w:tcBorders>
            <w:shd w:val="clear" w:color="auto" w:fill="auto"/>
            <w:noWrap/>
          </w:tcPr>
          <w:p>
            <w:pPr>
              <w:jc w:val="right"/>
              <w:rPr>
                <w:noProof/>
                <w:sz w:val="20"/>
              </w:rPr>
            </w:pPr>
            <w:r>
              <w:rPr>
                <w:noProof/>
                <w:sz w:val="20"/>
              </w:rPr>
              <w:t>14 788 961</w:t>
            </w:r>
          </w:p>
        </w:tc>
        <w:tc>
          <w:tcPr>
            <w:tcW w:w="793" w:type="dxa"/>
            <w:vMerge/>
            <w:tcBorders>
              <w:left w:val="nil"/>
              <w:bottom w:val="nil"/>
              <w:right w:val="nil"/>
            </w:tcBorders>
            <w:shd w:val="clear" w:color="auto" w:fill="auto"/>
            <w:noWrap/>
            <w:vAlign w:val="center"/>
          </w:tcPr>
          <w:p>
            <w:pPr>
              <w:jc w:val="center"/>
              <w:rPr>
                <w:b/>
                <w:bCs/>
                <w:noProof/>
                <w:sz w:val="20"/>
              </w:rPr>
            </w:pPr>
          </w:p>
        </w:tc>
        <w:tc>
          <w:tcPr>
            <w:tcW w:w="1532" w:type="dxa"/>
            <w:vMerge/>
            <w:tcBorders>
              <w:left w:val="nil"/>
              <w:bottom w:val="nil"/>
              <w:right w:val="single" w:sz="8" w:space="0" w:color="auto"/>
            </w:tcBorders>
            <w:shd w:val="clear" w:color="auto" w:fill="auto"/>
            <w:noWrap/>
            <w:vAlign w:val="bottom"/>
          </w:tcPr>
          <w:p>
            <w:pPr>
              <w:jc w:val="right"/>
              <w:rPr>
                <w:noProof/>
                <w:sz w:val="20"/>
              </w:rPr>
            </w:pPr>
          </w:p>
        </w:tc>
      </w:tr>
      <w:tr>
        <w:trPr>
          <w:trHeight w:val="193"/>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666" w:type="dxa"/>
            <w:tcBorders>
              <w:top w:val="nil"/>
              <w:left w:val="nil"/>
              <w:bottom w:val="single" w:sz="8" w:space="0" w:color="auto"/>
              <w:right w:val="nil"/>
            </w:tcBorders>
            <w:shd w:val="clear" w:color="auto" w:fill="auto"/>
            <w:noWrap/>
          </w:tcPr>
          <w:p>
            <w:pPr>
              <w:jc w:val="right"/>
              <w:rPr>
                <w:noProof/>
                <w:sz w:val="20"/>
              </w:rPr>
            </w:pPr>
            <w:r>
              <w:rPr>
                <w:noProof/>
                <w:sz w:val="20"/>
              </w:rPr>
              <w:t>21 938 927</w:t>
            </w:r>
          </w:p>
        </w:tc>
        <w:tc>
          <w:tcPr>
            <w:tcW w:w="793" w:type="dxa"/>
            <w:tcBorders>
              <w:top w:val="single" w:sz="8" w:space="0" w:color="auto"/>
              <w:left w:val="single" w:sz="8" w:space="0" w:color="auto"/>
              <w:bottom w:val="single" w:sz="8" w:space="0" w:color="auto"/>
              <w:right w:val="nil"/>
            </w:tcBorders>
            <w:shd w:val="clear" w:color="auto" w:fill="auto"/>
            <w:noWrap/>
            <w:vAlign w:val="center"/>
          </w:tcPr>
          <w:p>
            <w:pPr>
              <w:jc w:val="center"/>
              <w:rPr>
                <w:b/>
                <w:bCs/>
                <w:noProof/>
                <w:sz w:val="20"/>
              </w:rPr>
            </w:pPr>
            <w:r>
              <w:rPr>
                <w:b/>
                <w:noProof/>
                <w:sz w:val="20"/>
              </w:rPr>
              <w:t xml:space="preserve">I alt </w:t>
            </w:r>
          </w:p>
        </w:tc>
        <w:tc>
          <w:tcPr>
            <w:tcW w:w="1532" w:type="dxa"/>
            <w:tcBorders>
              <w:top w:val="single" w:sz="8" w:space="0" w:color="auto"/>
              <w:left w:val="nil"/>
              <w:bottom w:val="single" w:sz="8" w:space="0" w:color="auto"/>
              <w:right w:val="single" w:sz="8" w:space="0" w:color="auto"/>
            </w:tcBorders>
            <w:shd w:val="clear" w:color="auto" w:fill="auto"/>
            <w:noWrap/>
            <w:vAlign w:val="bottom"/>
          </w:tcPr>
          <w:p>
            <w:pPr>
              <w:jc w:val="right"/>
              <w:rPr>
                <w:b/>
                <w:bCs/>
                <w:noProof/>
                <w:sz w:val="20"/>
              </w:rPr>
            </w:pPr>
            <w:r>
              <w:rPr>
                <w:b/>
                <w:noProof/>
                <w:sz w:val="20"/>
              </w:rPr>
              <w:t>0</w:t>
            </w:r>
          </w:p>
        </w:tc>
      </w:tr>
    </w:tbl>
    <w:p>
      <w:pPr>
        <w:keepNext/>
        <w:tabs>
          <w:tab w:val="left" w:pos="850"/>
          <w:tab w:val="left" w:pos="1892"/>
        </w:tabs>
        <w:spacing w:before="120" w:after="120"/>
        <w:ind w:left="851" w:hanging="851"/>
        <w:jc w:val="both"/>
        <w:outlineLvl w:val="1"/>
        <w:rPr>
          <w:rFonts w:eastAsia="Calibri"/>
          <w:b/>
          <w:noProof/>
        </w:rPr>
      </w:pPr>
      <w:bookmarkStart w:id="84" w:name="_Toc494994381"/>
      <w:bookmarkStart w:id="85" w:name="_Toc496272636"/>
      <w:r>
        <w:rPr>
          <w:b/>
          <w:noProof/>
        </w:rPr>
        <w:t>3.4</w:t>
      </w:r>
      <w:r>
        <w:rPr>
          <w:noProof/>
        </w:rPr>
        <w:tab/>
      </w:r>
      <w:r>
        <w:rPr>
          <w:b/>
          <w:noProof/>
        </w:rPr>
        <w:t>Bøder</w:t>
      </w:r>
      <w:bookmarkEnd w:id="74"/>
      <w:bookmarkEnd w:id="84"/>
      <w:bookmarkEnd w:id="85"/>
      <w:r>
        <w:rPr>
          <w:b/>
          <w:noProof/>
        </w:rPr>
        <w:tab/>
      </w:r>
    </w:p>
    <w:p>
      <w:pPr>
        <w:spacing w:before="120" w:after="120"/>
        <w:jc w:val="both"/>
        <w:rPr>
          <w:rFonts w:eastAsia="Calibri"/>
          <w:noProof/>
        </w:rPr>
      </w:pPr>
      <w:r>
        <w:rPr>
          <w:noProof/>
        </w:rPr>
        <w:t>Ved udgangen af september 2017 var et beløb på 3 209,7 mio. EUR i bøder (hovedstol) blevet endeligt. I henhold til finansforordningens artikel 83 skal endelige bøder "</w:t>
      </w:r>
      <w:r>
        <w:rPr>
          <w:i/>
          <w:noProof/>
        </w:rPr>
        <w:t>bogføres hurtigst muligt og senest i året efter, at alle retsmidler er udtømt</w:t>
      </w:r>
      <w:r>
        <w:rPr>
          <w:noProof/>
        </w:rPr>
        <w:t xml:space="preserve">". </w:t>
      </w:r>
    </w:p>
    <w:p>
      <w:pPr>
        <w:spacing w:before="120" w:after="120"/>
        <w:jc w:val="both"/>
        <w:rPr>
          <w:noProof/>
        </w:rPr>
      </w:pPr>
      <w:r>
        <w:rPr>
          <w:noProof/>
        </w:rPr>
        <w:t>Dette beløb overstiger størrelsen af de bøder, der oprindeligt var skønnet i budgettet for 2017, dvs. 1 100,0 mio. EUR. Medlemsstaternes bidrag til EU-budgettets egne indtægter vil tilsvarende blive reduceret med forskellen på 2 209,7 mio. EUR.</w:t>
      </w:r>
    </w:p>
    <w:p>
      <w:pPr>
        <w:spacing w:before="120" w:after="120"/>
        <w:jc w:val="both"/>
        <w:rPr>
          <w:rFonts w:eastAsia="Calibri"/>
          <w:noProof/>
        </w:rPr>
      </w:pPr>
      <w:r>
        <w:rPr>
          <w:noProof/>
        </w:rPr>
        <w:t>I nedenstående tabel vises fordelingen af bøderne efter sag.</w:t>
      </w:r>
    </w:p>
    <w:tbl>
      <w:tblPr>
        <w:tblW w:w="7783" w:type="dxa"/>
        <w:jc w:val="center"/>
        <w:tblLook w:val="04A0" w:firstRow="1" w:lastRow="0" w:firstColumn="1" w:lastColumn="0" w:noHBand="0" w:noVBand="1"/>
      </w:tblPr>
      <w:tblGrid>
        <w:gridCol w:w="1416"/>
        <w:gridCol w:w="3669"/>
        <w:gridCol w:w="1439"/>
        <w:gridCol w:w="1389"/>
      </w:tblGrid>
      <w:tr>
        <w:trPr>
          <w:trHeight w:val="300"/>
          <w:jc w:val="center"/>
        </w:trPr>
        <w:tc>
          <w:tcPr>
            <w:tcW w:w="7783" w:type="dxa"/>
            <w:gridSpan w:val="4"/>
            <w:tcBorders>
              <w:top w:val="nil"/>
              <w:left w:val="nil"/>
              <w:bottom w:val="single" w:sz="4" w:space="0" w:color="auto"/>
              <w:right w:val="nil"/>
            </w:tcBorders>
            <w:shd w:val="clear" w:color="auto" w:fill="auto"/>
            <w:noWrap/>
            <w:vAlign w:val="bottom"/>
            <w:hideMark/>
          </w:tcPr>
          <w:p>
            <w:pPr>
              <w:jc w:val="right"/>
              <w:rPr>
                <w:i/>
                <w:iCs/>
                <w:noProof/>
                <w:color w:val="000000"/>
                <w:sz w:val="20"/>
                <w:szCs w:val="20"/>
              </w:rPr>
            </w:pPr>
            <w:r>
              <w:rPr>
                <w:i/>
                <w:noProof/>
                <w:color w:val="000000"/>
                <w:sz w:val="20"/>
              </w:rPr>
              <w:t>I EUR</w:t>
            </w:r>
          </w:p>
        </w:tc>
      </w:tr>
      <w:tr>
        <w:trPr>
          <w:trHeight w:val="227"/>
          <w:jc w:val="center"/>
        </w:trPr>
        <w:tc>
          <w:tcPr>
            <w:tcW w:w="1416" w:type="dxa"/>
            <w:tcBorders>
              <w:top w:val="nil"/>
              <w:left w:val="single" w:sz="4" w:space="0" w:color="auto"/>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noProof/>
                <w:color w:val="000000"/>
                <w:sz w:val="20"/>
              </w:rPr>
              <w:t>Sagsnummer</w:t>
            </w:r>
          </w:p>
        </w:tc>
        <w:tc>
          <w:tcPr>
            <w:tcW w:w="3669" w:type="dxa"/>
            <w:tcBorders>
              <w:top w:val="nil"/>
              <w:left w:val="nil"/>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noProof/>
                <w:color w:val="000000"/>
                <w:sz w:val="20"/>
              </w:rPr>
              <w:t>Sagens titel</w:t>
            </w:r>
          </w:p>
        </w:tc>
        <w:tc>
          <w:tcPr>
            <w:tcW w:w="1309" w:type="dxa"/>
            <w:tcBorders>
              <w:top w:val="nil"/>
              <w:left w:val="nil"/>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noProof/>
                <w:color w:val="000000"/>
                <w:sz w:val="20"/>
              </w:rPr>
              <w:t>Politikområde</w:t>
            </w:r>
          </w:p>
        </w:tc>
        <w:tc>
          <w:tcPr>
            <w:tcW w:w="1389" w:type="dxa"/>
            <w:tcBorders>
              <w:top w:val="nil"/>
              <w:left w:val="nil"/>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noProof/>
                <w:color w:val="000000"/>
                <w:sz w:val="20"/>
              </w:rPr>
              <w:t>Bøder</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8228</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Facebook/WhatsApp (procedure, artikel 14, stk. 1)</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Fusion</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110 000 000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38238</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Råtobak (ES)</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Kartel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1 579 500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38589</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Varmestabilisatorer</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Kartel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40 193 990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38866</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Fosfater til dyrefoder</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Kartel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59 850 000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39092</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Badeværelsesudstyr og -inventar</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Kartel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139 191 989</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39181</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Lysvoks</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Kartel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36 000 000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39437</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Katoderør til TV- og computerskærme</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Kartel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1 242 091 000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39759</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ARAs udelukkelse</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Konkurrence</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6 015 000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39824</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Lastvogne</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Kartel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1 165 054 000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39904</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Genopladelige batterier</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Kartel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165 841 000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39960</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Varmesystemer</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Kartel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155 575 000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rPr>
              <w:t>39966</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Gasisolerede koblingsanlæg, ny bødeafgørelse</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rPr>
              <w:t>Kartel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rPr>
              <w:t>61 443 000</w:t>
            </w:r>
          </w:p>
        </w:tc>
      </w:tr>
      <w:tr>
        <w:trPr>
          <w:trHeight w:val="227"/>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pPr>
              <w:jc w:val="center"/>
              <w:rPr>
                <w:noProof/>
                <w:color w:val="000000"/>
                <w:sz w:val="20"/>
                <w:szCs w:val="20"/>
              </w:rPr>
            </w:pPr>
            <w:r>
              <w:rPr>
                <w:noProof/>
                <w:color w:val="000000"/>
                <w:sz w:val="20"/>
              </w:rPr>
              <w:t>40028</w:t>
            </w:r>
          </w:p>
        </w:tc>
        <w:tc>
          <w:tcPr>
            <w:tcW w:w="3669" w:type="dxa"/>
            <w:tcBorders>
              <w:top w:val="nil"/>
              <w:left w:val="nil"/>
              <w:bottom w:val="single" w:sz="4" w:space="0" w:color="auto"/>
              <w:right w:val="single" w:sz="4" w:space="0" w:color="auto"/>
            </w:tcBorders>
            <w:shd w:val="clear" w:color="auto" w:fill="auto"/>
            <w:noWrap/>
            <w:vAlign w:val="bottom"/>
            <w:hideMark/>
          </w:tcPr>
          <w:p>
            <w:pPr>
              <w:rPr>
                <w:noProof/>
                <w:color w:val="000000"/>
                <w:sz w:val="20"/>
                <w:szCs w:val="20"/>
              </w:rPr>
            </w:pPr>
            <w:r>
              <w:rPr>
                <w:noProof/>
                <w:color w:val="000000"/>
                <w:sz w:val="20"/>
              </w:rPr>
              <w:t>Generatorer og startere</w:t>
            </w:r>
          </w:p>
        </w:tc>
        <w:tc>
          <w:tcPr>
            <w:tcW w:w="1309" w:type="dxa"/>
            <w:tcBorders>
              <w:top w:val="nil"/>
              <w:left w:val="nil"/>
              <w:bottom w:val="single" w:sz="4" w:space="0" w:color="auto"/>
              <w:right w:val="single" w:sz="4" w:space="0" w:color="auto"/>
            </w:tcBorders>
            <w:shd w:val="clear" w:color="auto" w:fill="auto"/>
            <w:noWrap/>
            <w:vAlign w:val="bottom"/>
            <w:hideMark/>
          </w:tcPr>
          <w:p>
            <w:pPr>
              <w:rPr>
                <w:noProof/>
                <w:color w:val="000000"/>
                <w:sz w:val="20"/>
                <w:szCs w:val="20"/>
              </w:rPr>
            </w:pPr>
            <w:r>
              <w:rPr>
                <w:noProof/>
                <w:color w:val="000000"/>
                <w:sz w:val="20"/>
              </w:rPr>
              <w:t>Kartel</w:t>
            </w:r>
          </w:p>
        </w:tc>
        <w:tc>
          <w:tcPr>
            <w:tcW w:w="1389" w:type="dxa"/>
            <w:tcBorders>
              <w:top w:val="nil"/>
              <w:left w:val="nil"/>
              <w:bottom w:val="single" w:sz="4" w:space="0" w:color="auto"/>
              <w:right w:val="single" w:sz="4" w:space="0" w:color="auto"/>
            </w:tcBorders>
            <w:shd w:val="clear" w:color="auto" w:fill="auto"/>
            <w:noWrap/>
            <w:vAlign w:val="bottom"/>
            <w:hideMark/>
          </w:tcPr>
          <w:p>
            <w:pPr>
              <w:jc w:val="right"/>
              <w:rPr>
                <w:noProof/>
                <w:color w:val="000000"/>
                <w:sz w:val="20"/>
                <w:szCs w:val="20"/>
              </w:rPr>
            </w:pPr>
            <w:r>
              <w:rPr>
                <w:noProof/>
                <w:color w:val="000000"/>
                <w:sz w:val="20"/>
              </w:rPr>
              <w:t>26 860 000</w:t>
            </w:r>
          </w:p>
        </w:tc>
      </w:tr>
      <w:tr>
        <w:trPr>
          <w:trHeight w:val="227"/>
          <w:jc w:val="center"/>
        </w:trPr>
        <w:tc>
          <w:tcPr>
            <w:tcW w:w="1416" w:type="dxa"/>
            <w:tcBorders>
              <w:top w:val="nil"/>
              <w:left w:val="single" w:sz="4" w:space="0" w:color="auto"/>
              <w:bottom w:val="single" w:sz="4" w:space="0" w:color="auto"/>
              <w:right w:val="nil"/>
            </w:tcBorders>
            <w:shd w:val="clear" w:color="000000" w:fill="D9D9D9"/>
            <w:noWrap/>
            <w:vAlign w:val="center"/>
            <w:hideMark/>
          </w:tcPr>
          <w:p>
            <w:pPr>
              <w:rPr>
                <w:b/>
                <w:bCs/>
                <w:noProof/>
                <w:color w:val="000000"/>
                <w:sz w:val="20"/>
                <w:szCs w:val="20"/>
              </w:rPr>
            </w:pPr>
            <w:r>
              <w:rPr>
                <w:b/>
                <w:noProof/>
                <w:color w:val="000000"/>
                <w:sz w:val="20"/>
              </w:rPr>
              <w:t>I alt</w:t>
            </w:r>
          </w:p>
        </w:tc>
        <w:tc>
          <w:tcPr>
            <w:tcW w:w="3669" w:type="dxa"/>
            <w:tcBorders>
              <w:top w:val="nil"/>
              <w:left w:val="nil"/>
              <w:bottom w:val="single" w:sz="4" w:space="0" w:color="auto"/>
              <w:right w:val="nil"/>
            </w:tcBorders>
            <w:shd w:val="clear" w:color="000000" w:fill="D9D9D9"/>
            <w:noWrap/>
            <w:vAlign w:val="bottom"/>
            <w:hideMark/>
          </w:tcPr>
          <w:p>
            <w:pPr>
              <w:rPr>
                <w:b/>
                <w:bCs/>
                <w:noProof/>
                <w:color w:val="000000"/>
                <w:sz w:val="20"/>
                <w:szCs w:val="20"/>
              </w:rPr>
            </w:pPr>
            <w:r>
              <w:rPr>
                <w:b/>
                <w:noProof/>
                <w:color w:val="000000"/>
                <w:sz w:val="20"/>
              </w:rPr>
              <w:t> </w:t>
            </w:r>
          </w:p>
        </w:tc>
        <w:tc>
          <w:tcPr>
            <w:tcW w:w="1309" w:type="dxa"/>
            <w:tcBorders>
              <w:top w:val="nil"/>
              <w:left w:val="nil"/>
              <w:bottom w:val="single" w:sz="4" w:space="0" w:color="auto"/>
              <w:right w:val="nil"/>
            </w:tcBorders>
            <w:shd w:val="clear" w:color="000000" w:fill="D9D9D9"/>
            <w:noWrap/>
            <w:vAlign w:val="bottom"/>
            <w:hideMark/>
          </w:tcPr>
          <w:p>
            <w:pPr>
              <w:rPr>
                <w:b/>
                <w:bCs/>
                <w:noProof/>
                <w:color w:val="000000"/>
                <w:sz w:val="20"/>
                <w:szCs w:val="20"/>
              </w:rPr>
            </w:pPr>
            <w:r>
              <w:rPr>
                <w:b/>
                <w:noProof/>
                <w:color w:val="000000"/>
                <w:sz w:val="20"/>
              </w:rPr>
              <w:t> </w:t>
            </w:r>
          </w:p>
        </w:tc>
        <w:tc>
          <w:tcPr>
            <w:tcW w:w="1389" w:type="dxa"/>
            <w:tcBorders>
              <w:top w:val="nil"/>
              <w:left w:val="nil"/>
              <w:bottom w:val="single" w:sz="4" w:space="0" w:color="auto"/>
              <w:right w:val="single" w:sz="4" w:space="0" w:color="auto"/>
            </w:tcBorders>
            <w:shd w:val="clear" w:color="000000" w:fill="D9D9D9"/>
            <w:noWrap/>
            <w:vAlign w:val="bottom"/>
            <w:hideMark/>
          </w:tcPr>
          <w:p>
            <w:pPr>
              <w:jc w:val="right"/>
              <w:rPr>
                <w:b/>
                <w:bCs/>
                <w:noProof/>
                <w:color w:val="000000"/>
                <w:sz w:val="20"/>
                <w:szCs w:val="20"/>
              </w:rPr>
            </w:pPr>
            <w:r>
              <w:rPr>
                <w:b/>
                <w:noProof/>
                <w:color w:val="000000"/>
                <w:sz w:val="20"/>
              </w:rPr>
              <w:t>3 209 694 479</w:t>
            </w:r>
          </w:p>
        </w:tc>
      </w:tr>
    </w:tbl>
    <w:p>
      <w:pPr>
        <w:pStyle w:val="ManualHeading1"/>
        <w:pageBreakBefore/>
      </w:pPr>
      <w:bookmarkStart w:id="86" w:name="_Toc494994382"/>
      <w:bookmarkStart w:id="87" w:name="_Toc496272637"/>
      <w:r>
        <w:t>4.</w:t>
      </w:r>
      <w:r>
        <w:tab/>
        <w:t>Sammenfattende oversigt opdelt efter FFR-udgiftsområde</w:t>
      </w:r>
      <w:bookmarkEnd w:id="86"/>
      <w:bookmarkEnd w:id="87"/>
    </w:p>
    <w:tbl>
      <w:tblPr>
        <w:tblW w:w="11020" w:type="dxa"/>
        <w:jc w:val="center"/>
        <w:tblInd w:w="93" w:type="dxa"/>
        <w:tblLook w:val="04A0" w:firstRow="1" w:lastRow="0" w:firstColumn="1" w:lastColumn="0" w:noHBand="0" w:noVBand="1"/>
      </w:tblPr>
      <w:tblGrid>
        <w:gridCol w:w="356"/>
        <w:gridCol w:w="1560"/>
        <w:gridCol w:w="1616"/>
        <w:gridCol w:w="1425"/>
        <w:gridCol w:w="1616"/>
        <w:gridCol w:w="1406"/>
        <w:gridCol w:w="1616"/>
        <w:gridCol w:w="1425"/>
      </w:tblGrid>
      <w:tr>
        <w:trPr>
          <w:trHeight w:val="210"/>
          <w:jc w:val="center"/>
        </w:trPr>
        <w:tc>
          <w:tcPr>
            <w:tcW w:w="294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3"/>
          <w:bookmarkEnd w:id="14"/>
          <w:bookmarkEnd w:id="15"/>
          <w:bookmarkEnd w:id="16"/>
          <w:p>
            <w:pPr>
              <w:jc w:val="center"/>
              <w:rPr>
                <w:b/>
                <w:bCs/>
                <w:noProof/>
                <w:color w:val="000000"/>
                <w:sz w:val="14"/>
                <w:szCs w:val="14"/>
              </w:rPr>
            </w:pPr>
            <w:r>
              <w:rPr>
                <w:b/>
                <w:noProof/>
                <w:color w:val="000000"/>
                <w:sz w:val="14"/>
              </w:rPr>
              <w:t>Udgiftsområde</w:t>
            </w:r>
          </w:p>
        </w:tc>
        <w:tc>
          <w:tcPr>
            <w:tcW w:w="284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for 2017</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Forslag til ændringsbudget nr. 6/2017</w:t>
            </w:r>
          </w:p>
        </w:tc>
        <w:tc>
          <w:tcPr>
            <w:tcW w:w="284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for 2017</w:t>
            </w:r>
          </w:p>
        </w:tc>
      </w:tr>
      <w:tr>
        <w:trPr>
          <w:trHeight w:val="210"/>
          <w:jc w:val="center"/>
        </w:trPr>
        <w:tc>
          <w:tcPr>
            <w:tcW w:w="29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84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lang w:val="nn-NO"/>
              </w:rPr>
            </w:pPr>
            <w:r>
              <w:rPr>
                <w:b/>
                <w:noProof/>
                <w:color w:val="000000"/>
                <w:sz w:val="14"/>
                <w:lang w:val="nn-NO"/>
              </w:rPr>
              <w:t>(inkl. ÆB nr. 1-4 og FÆB nr. 5/2017)</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lang w:val="nn-NO"/>
              </w:rPr>
            </w:pPr>
          </w:p>
        </w:tc>
        <w:tc>
          <w:tcPr>
            <w:tcW w:w="284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lang w:val="nn-NO"/>
              </w:rPr>
            </w:pPr>
            <w:r>
              <w:rPr>
                <w:b/>
                <w:noProof/>
                <w:color w:val="000000"/>
                <w:sz w:val="14"/>
                <w:lang w:val="nn-NO"/>
              </w:rPr>
              <w:t>(inkl. ÆB nr. 1-4 og FÆB nr. 5-6/2017)</w:t>
            </w:r>
          </w:p>
        </w:tc>
      </w:tr>
      <w:tr>
        <w:trPr>
          <w:trHeight w:val="210"/>
          <w:jc w:val="center"/>
        </w:trPr>
        <w:tc>
          <w:tcPr>
            <w:tcW w:w="29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lang w:val="nn-NO"/>
              </w:rPr>
            </w:pPr>
          </w:p>
        </w:tc>
        <w:tc>
          <w:tcPr>
            <w:tcW w:w="134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Forpligtelsesbevillinger</w:t>
            </w:r>
          </w:p>
        </w:tc>
        <w:tc>
          <w:tcPr>
            <w:tcW w:w="15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Betalingsbevillinger</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Forpligtelsesbevillinger</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Betalingsbevillinger</w:t>
            </w:r>
          </w:p>
        </w:tc>
        <w:tc>
          <w:tcPr>
            <w:tcW w:w="134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Forpligtelsesbevillinger</w:t>
            </w:r>
          </w:p>
        </w:tc>
        <w:tc>
          <w:tcPr>
            <w:tcW w:w="15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Betalingsbevillinger</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268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Intelligent og inklusiv vækst</w:t>
            </w:r>
          </w:p>
        </w:tc>
        <w:tc>
          <w:tcPr>
            <w:tcW w:w="134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75 398 754 456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55 284 563 532</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-5 890 744 211</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75 398 754 456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49 393 819 321</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Heraf under den samlede margen for forpligtelser</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1 939 100 000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1 939 100 000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Loft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73 512 000 000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73 512 000 000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52 345 544</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52 345 544</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1a</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Konkurrenceevne for vækst og beskæftigelse</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21 312 155 821</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19 320 944 503</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21 312 155 821</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19 320 944 503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Heraf under den samlede margen for forpligtelser</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1 439 100 000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1 439 100 000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Loft</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19 925 000 000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19 925 000 000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51 944 179</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51 944 179</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1b </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Økonomisk, social og territorial samhørighed</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54 086 598 635</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35 963 619 029</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-5 890 744 211</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54 086 598 635</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30 072 874 818</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Heraf under den samlede margen for forpligtelser</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500 000 000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500 000 000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Loft</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53 587 000 000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53 587 000 000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401 365</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401 365</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Bæredygtig vækst: naturressourcer</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58 584 443 884</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54 913 969 537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-15 333 790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-793 028 790</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58 569 110 094</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54 120 940 747</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Loft</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60 191 000 000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60 191 000 000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Heraf modregnet margenen til uforudsete udgifter</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1 031 556 116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1 046 889 906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Heraf: Den Europæiske Garantifond for Landbruget (EGFL) – Markedsrelaterede udgifter og direkte betalinger</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42 612 572 079</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42 562 967 974</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-1 900 000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-1 900 000</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42 610 672 079</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42 561 067 974</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Delloft</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44 146 000 000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44 146 000 000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Sikkerhed og medborgerskab</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4 284 030 960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3 511 957 287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-287 650 000</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4 284 030 960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3 224 307 287</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Heraf under fleksibilitetsinstrumentet</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530 000 000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530 000 000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Heraf under margenen til uforudsete udgifter</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1 176 030 960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1 176 030 960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Loft</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2 578 000 000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2 578 000 000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Et globalt Europa</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10 437 120 000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9 758 081 178</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-702 237 209</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10 437 120 000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9 055 843 969</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Heraf under fleksibilitetsinstrumentet</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Heraf under margenen til uforudsete udgifter</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730 120 000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730 120 000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Loft</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9 432 000 000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9 432 000 000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Administration</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9 394 513 816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9 394 599 816</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9 394 513 816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9 394 599 816</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Loft</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9 918 000 000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9 918 000 000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Heraf modregnet margenen til uforudsete udgifter</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Margen</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16 217 380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16 217 380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Heraf: institutionernes administrative udgifter</w:t>
            </w:r>
          </w:p>
        </w:tc>
        <w:tc>
          <w:tcPr>
            <w:tcW w:w="134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7 418 902 660</w:t>
            </w:r>
          </w:p>
        </w:tc>
        <w:tc>
          <w:tcPr>
            <w:tcW w:w="15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7 418 988 660</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4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7 418 902 660</w:t>
            </w:r>
          </w:p>
        </w:tc>
        <w:tc>
          <w:tcPr>
            <w:tcW w:w="15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7 418 988 660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Delloft</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8 007 000 000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8 007 000 000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Heraf modregnet margenen til uforudsete udgifter</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80 828 536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80 828 536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Negativ reserve</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r>
      <w:tr>
        <w:trPr>
          <w:trHeight w:val="225"/>
          <w:jc w:val="center"/>
        </w:trPr>
        <w:tc>
          <w:tcPr>
            <w:tcW w:w="29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I alt</w:t>
            </w:r>
          </w:p>
        </w:tc>
        <w:tc>
          <w:tcPr>
            <w:tcW w:w="134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158 098 863 116</w:t>
            </w:r>
          </w:p>
        </w:tc>
        <w:tc>
          <w:tcPr>
            <w:tcW w:w="15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132 863 171 350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-15 333 790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-7 673 660 210</w:t>
            </w:r>
          </w:p>
        </w:tc>
        <w:tc>
          <w:tcPr>
            <w:tcW w:w="134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158 083 529 326</w:t>
            </w:r>
          </w:p>
        </w:tc>
        <w:tc>
          <w:tcPr>
            <w:tcW w:w="15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125 189 511 140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Heraf under fleksibilitetsinstrumentet</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805 000 000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1 256 093 985</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805 000 000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1 256 093 985</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Heraf under den samlede margen for forpligtelser</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1 939 100 000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1 939 100 000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Heraf under margenen til uforudsete udgifter</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1 906 150 960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1 906 150 960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Loft</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155 631 000 000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142 906 000 000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155 631 000 000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142 906 000 000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Heraf modregnet margenen til uforudsete udgifter</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-1 082 268 804</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-2 818 233 715</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-1 082 268 804</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-2 818 233 715</w:t>
            </w:r>
          </w:p>
        </w:tc>
      </w:tr>
      <w:tr>
        <w:trPr>
          <w:trHeight w:val="225"/>
          <w:jc w:val="center"/>
        </w:trPr>
        <w:tc>
          <w:tcPr>
            <w:tcW w:w="294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Margen</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1 100 119 040</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8 480 688 920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1 115 452 830</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16 154 349 130</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Andre særlige instrumenter</w:t>
            </w:r>
          </w:p>
        </w:tc>
        <w:tc>
          <w:tcPr>
            <w:tcW w:w="134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1 793 924 013</w:t>
            </w:r>
          </w:p>
        </w:tc>
        <w:tc>
          <w:tcPr>
            <w:tcW w:w="15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1 627 200 013</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-46 000 000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-46 000 000</w:t>
            </w:r>
          </w:p>
        </w:tc>
        <w:tc>
          <w:tcPr>
            <w:tcW w:w="134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1 747 924 013</w:t>
            </w:r>
          </w:p>
        </w:tc>
        <w:tc>
          <w:tcPr>
            <w:tcW w:w="15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1 581 200 013</w:t>
            </w:r>
          </w:p>
        </w:tc>
      </w:tr>
      <w:tr>
        <w:trPr>
          <w:trHeight w:val="225"/>
          <w:jc w:val="center"/>
        </w:trPr>
        <w:tc>
          <w:tcPr>
            <w:tcW w:w="294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Tilsammen</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159 892 787 129</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134 490 371 363</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-61 333 790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-7 719 660 210</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159 831 453 339</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126 770 711 153</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347"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9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9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05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ab/>
      </w:r>
      <w:r>
        <w:rPr>
          <w:sz w:val="18"/>
        </w:rPr>
        <w:t>EUT L 298 af 26.10.2012, s. 1.</w:t>
      </w:r>
    </w:p>
  </w:footnote>
  <w:footnote w:id="3">
    <w:p>
      <w:pPr>
        <w:pStyle w:val="FootnoteText"/>
      </w:pPr>
      <w:r>
        <w:rPr>
          <w:rStyle w:val="FootnoteReference"/>
        </w:rPr>
        <w:footnoteRef/>
      </w:r>
      <w:r>
        <w:tab/>
      </w:r>
      <w:r>
        <w:rPr>
          <w:sz w:val="18"/>
        </w:rPr>
        <w:t>EUT L 51 af 28.2.2017.</w:t>
      </w:r>
    </w:p>
  </w:footnote>
  <w:footnote w:id="4">
    <w:p>
      <w:pPr>
        <w:pStyle w:val="FootnoteText"/>
      </w:pPr>
      <w:r>
        <w:rPr>
          <w:rStyle w:val="FootnoteReference"/>
        </w:rPr>
        <w:footnoteRef/>
      </w:r>
      <w:r>
        <w:rPr>
          <w:sz w:val="18"/>
        </w:rPr>
        <w:t xml:space="preserve"> </w:t>
      </w:r>
      <w:r>
        <w:tab/>
      </w:r>
      <w:r>
        <w:rPr>
          <w:sz w:val="18"/>
        </w:rPr>
        <w:t>EUT L 136 af 24.5.2017.</w:t>
      </w:r>
    </w:p>
  </w:footnote>
  <w:footnote w:id="5">
    <w:p>
      <w:pPr>
        <w:pStyle w:val="FootnoteText"/>
      </w:pPr>
      <w:r>
        <w:rPr>
          <w:rStyle w:val="FootnoteReference"/>
        </w:rPr>
        <w:footnoteRef/>
      </w:r>
      <w:r>
        <w:rPr>
          <w:sz w:val="18"/>
        </w:rPr>
        <w:t xml:space="preserve"> </w:t>
      </w:r>
      <w:r>
        <w:tab/>
      </w:r>
      <w:r>
        <w:rPr>
          <w:sz w:val="18"/>
        </w:rPr>
        <w:t>EUT L 227 af 1.9.2017.</w:t>
      </w:r>
    </w:p>
  </w:footnote>
  <w:footnote w:id="6">
    <w:p>
      <w:pPr>
        <w:pStyle w:val="FootnoteText"/>
      </w:pPr>
      <w:r>
        <w:rPr>
          <w:rStyle w:val="FootnoteReference"/>
        </w:rPr>
        <w:footnoteRef/>
      </w:r>
      <w:r>
        <w:rPr>
          <w:sz w:val="18"/>
        </w:rPr>
        <w:t xml:space="preserve"> </w:t>
      </w:r>
      <w:r>
        <w:tab/>
      </w:r>
      <w:r>
        <w:rPr>
          <w:sz w:val="18"/>
        </w:rPr>
        <w:t>COM(2017) 288 final af 30.5.2017 (endnu ikke offentliggjort i EUT).</w:t>
      </w:r>
    </w:p>
  </w:footnote>
  <w:footnote w:id="7">
    <w:p>
      <w:pPr>
        <w:pStyle w:val="FootnoteText"/>
      </w:pPr>
      <w:r>
        <w:rPr>
          <w:rStyle w:val="FootnoteReference"/>
        </w:rPr>
        <w:footnoteRef/>
      </w:r>
      <w:r>
        <w:rPr>
          <w:sz w:val="18"/>
        </w:rPr>
        <w:t xml:space="preserve"> </w:t>
      </w:r>
      <w:r>
        <w:tab/>
      </w:r>
      <w:r>
        <w:rPr>
          <w:sz w:val="18"/>
        </w:rPr>
        <w:t>COM(2017) 541 final af 26.6.2017 (endnu ikke offentliggjort i EUT).</w:t>
      </w:r>
    </w:p>
  </w:footnote>
  <w:footnote w:id="8">
    <w:p>
      <w:pPr>
        <w:pStyle w:val="FootnoteText"/>
      </w:pPr>
      <w:r>
        <w:rPr>
          <w:rStyle w:val="FootnoteReference"/>
        </w:rPr>
        <w:footnoteRef/>
      </w:r>
      <w:r>
        <w:rPr>
          <w:sz w:val="18"/>
        </w:rPr>
        <w:t xml:space="preserve"> </w:t>
      </w:r>
      <w:r>
        <w:tab/>
      </w:r>
      <w:r>
        <w:rPr>
          <w:sz w:val="18"/>
        </w:rPr>
        <w:t>COM(2017) 485 final af 28.7.2017.</w:t>
      </w:r>
    </w:p>
  </w:footnote>
  <w:footnote w:id="9">
    <w:p>
      <w:pPr>
        <w:pStyle w:val="FootnoteText"/>
      </w:pPr>
      <w:r>
        <w:rPr>
          <w:rStyle w:val="FootnoteReference"/>
        </w:rPr>
        <w:footnoteRef/>
      </w:r>
      <w:r>
        <w:t xml:space="preserve"> </w:t>
      </w:r>
      <w:r>
        <w:tab/>
        <w:t>Der er medtaget 5 890,7 mio. EUR i dette FÆB, og yderligere 14,3 mio. EUR blev anvendt som saldopost i den samlede overførsel.</w:t>
      </w:r>
    </w:p>
  </w:footnote>
  <w:footnote w:id="10">
    <w:p>
      <w:pPr>
        <w:pStyle w:val="FootnoteText"/>
      </w:pPr>
      <w:r>
        <w:rPr>
          <w:rStyle w:val="FootnoteReference"/>
        </w:rPr>
        <w:footnoteRef/>
      </w:r>
      <w:r>
        <w:t xml:space="preserve"> </w:t>
      </w:r>
      <w:r>
        <w:tab/>
        <w:t>Kommissærerne Günther Oettinger, Corina Cretu, Marianne Thyssen og Karmenu Vella.</w:t>
      </w:r>
    </w:p>
  </w:footnote>
  <w:footnote w:id="11">
    <w:p>
      <w:pPr>
        <w:pStyle w:val="FootnoteText"/>
      </w:pPr>
      <w:r>
        <w:rPr>
          <w:rStyle w:val="FootnoteReference"/>
        </w:rPr>
        <w:footnoteRef/>
      </w:r>
      <w:r>
        <w:t xml:space="preserve"> </w:t>
      </w:r>
      <w:r>
        <w:tab/>
        <w:t>COM(2017) 485 final af 28.7.2017.</w:t>
      </w:r>
    </w:p>
  </w:footnote>
  <w:footnote w:id="12">
    <w:p>
      <w:pPr>
        <w:pStyle w:val="FootnoteText"/>
      </w:pPr>
      <w:r>
        <w:rPr>
          <w:rStyle w:val="FootnoteReference"/>
        </w:rPr>
        <w:footnoteRef/>
      </w:r>
      <w:r>
        <w:t xml:space="preserve"> </w:t>
      </w:r>
      <w:r>
        <w:tab/>
        <w:t>Ændringsbudget nr. 3/2017 og nr. 4/2017 samt forslag til ændringsbudget nr. 5/2017 har ingen virkning på indtægterne.</w:t>
      </w:r>
    </w:p>
  </w:footnote>
  <w:footnote w:id="13">
    <w:p>
      <w:pPr>
        <w:pStyle w:val="FootnoteText"/>
      </w:pPr>
      <w:r>
        <w:rPr>
          <w:rStyle w:val="FootnoteReference"/>
        </w:rPr>
        <w:footnoteRef/>
      </w:r>
      <w:r>
        <w:rPr>
          <w:sz w:val="24"/>
        </w:rPr>
        <w:t xml:space="preserve"> </w:t>
      </w:r>
      <w:r>
        <w:tab/>
      </w:r>
      <w:r>
        <w:rPr>
          <w:sz w:val="18"/>
        </w:rPr>
        <w:t>Det samlede overslag over nettosukkerafgifterne for 2017 ligger på det samme niveau, men på grund af ændrede opkrævningsomkostninger er beløbet ikke det samme (133,3 mio. EUR efter fradrag af 20 % i opkrævningsomkostninger).</w:t>
      </w:r>
    </w:p>
  </w:footnote>
  <w:footnote w:id="14">
    <w:p>
      <w:pPr>
        <w:pStyle w:val="FootnoteText"/>
        <w:rPr>
          <w:sz w:val="18"/>
          <w:szCs w:val="18"/>
        </w:rPr>
      </w:pPr>
      <w:r>
        <w:rPr>
          <w:rStyle w:val="FootnoteReference"/>
          <w:sz w:val="18"/>
        </w:rPr>
        <w:footnoteRef/>
      </w:r>
      <w:r>
        <w:rPr>
          <w:sz w:val="18"/>
        </w:rPr>
        <w:t xml:space="preserve"> </w:t>
      </w:r>
      <w:r>
        <w:tab/>
      </w:r>
      <w:r>
        <w:rPr>
          <w:sz w:val="18"/>
        </w:rPr>
        <w:t>I henhold til Rådets afgørelse 2014/335/EU, Euratom skal en medlemsstats momsgrundlag, hvis det overstiger 50 % af dens BNI, reduceres til 50 %. I FÆB nr. 6/2017 vil momsgrundlaget blive reduceret til 50 % af BNI for seks medlemsstaters vedkommende, nemlig Estland, Kroatien, Cypern, Luxembourg, Malta og Portugal.</w:t>
      </w:r>
    </w:p>
  </w:footnote>
  <w:footnote w:id="15">
    <w:p>
      <w:pPr>
        <w:pStyle w:val="FootnoteText"/>
        <w:rPr>
          <w:rStyle w:val="FootnoteReference"/>
          <w:sz w:val="18"/>
          <w:szCs w:val="18"/>
        </w:rPr>
      </w:pPr>
      <w:r>
        <w:rPr>
          <w:rStyle w:val="FootnoteReference"/>
          <w:sz w:val="18"/>
        </w:rPr>
        <w:footnoteRef/>
      </w:r>
      <w:r>
        <w:rPr>
          <w:rStyle w:val="FootnoteReference"/>
          <w:sz w:val="18"/>
        </w:rPr>
        <w:t xml:space="preserve"> </w:t>
      </w:r>
      <w:r>
        <w:tab/>
      </w:r>
      <w:r>
        <w:rPr>
          <w:sz w:val="18"/>
        </w:rPr>
        <w:t>De beløb, der er fremhævet med gråt, er et resultat af de reducerede momsgrundlag, jf. fodnote [11] ovenfor.</w:t>
      </w:r>
    </w:p>
  </w:footnote>
  <w:footnote w:id="16">
    <w:p>
      <w:pPr>
        <w:pStyle w:val="FootnoteText"/>
        <w:rPr>
          <w:sz w:val="18"/>
          <w:szCs w:val="18"/>
        </w:rPr>
      </w:pPr>
      <w:r>
        <w:rPr>
          <w:rStyle w:val="FootnoteReference"/>
          <w:sz w:val="18"/>
        </w:rPr>
        <w:footnoteRef/>
      </w:r>
      <w:r>
        <w:rPr>
          <w:sz w:val="18"/>
        </w:rPr>
        <w:t xml:space="preserve"> </w:t>
      </w:r>
      <w:r>
        <w:tab/>
      </w:r>
      <w:r>
        <w:rPr>
          <w:sz w:val="18"/>
        </w:rPr>
        <w:t>EUT L 163 af 23.6.2007, s. 17.</w:t>
      </w:r>
    </w:p>
  </w:footnote>
  <w:footnote w:id="17">
    <w:p>
      <w:pPr>
        <w:pStyle w:val="FootnoteText"/>
        <w:rPr>
          <w:sz w:val="18"/>
          <w:szCs w:val="18"/>
        </w:rPr>
      </w:pPr>
      <w:r>
        <w:rPr>
          <w:rStyle w:val="FootnoteReference"/>
        </w:rPr>
        <w:footnoteRef/>
      </w:r>
      <w:r>
        <w:tab/>
      </w:r>
      <w:r>
        <w:rPr>
          <w:sz w:val="18"/>
        </w:rPr>
        <w:t xml:space="preserve">Kommissionens arbejdsdokument af 23. maj 2007 om beregning, finansiering, betaling og opførelse på budgettet af korrektionen af budgetuligevægte i overensstemmelse med artikel 4 og 5 i Rådets afgørelse 2007/436/EF, Euratom om ordningen for De Europæiske Fællesskabers egne indtægter, som kan findes på: </w:t>
      </w:r>
    </w:p>
    <w:p>
      <w:pPr>
        <w:pStyle w:val="FootnoteText"/>
        <w:spacing w:after="60"/>
        <w:ind w:firstLine="0"/>
        <w:rPr>
          <w:sz w:val="18"/>
          <w:szCs w:val="18"/>
        </w:rPr>
      </w:pPr>
      <w:hyperlink r:id="rId1">
        <w:r>
          <w:rPr>
            <w:rStyle w:val="Hyperlink"/>
            <w:sz w:val="18"/>
          </w:rPr>
          <w:t>http://ec.europa.eu/budget/library/biblio/documents/financing/calc_own_res_2007_da.pdf</w:t>
        </w:r>
      </w:hyperlink>
      <w:r>
        <w:rPr>
          <w:sz w:val="18"/>
        </w:rPr>
        <w:t>.</w:t>
      </w:r>
    </w:p>
  </w:footnote>
  <w:footnote w:id="18">
    <w:p>
      <w:pPr>
        <w:pStyle w:val="FootnoteText"/>
        <w:rPr>
          <w:sz w:val="18"/>
          <w:szCs w:val="18"/>
        </w:rPr>
      </w:pPr>
      <w:r>
        <w:rPr>
          <w:rStyle w:val="FootnoteReference"/>
        </w:rPr>
        <w:footnoteRef/>
      </w:r>
      <w:r>
        <w:t xml:space="preserve"> </w:t>
      </w:r>
      <w:r>
        <w:tab/>
      </w:r>
      <w:r>
        <w:rPr>
          <w:sz w:val="18"/>
        </w:rPr>
        <w:t>EUT L 168 af 7.6.2014, s. 105.</w:t>
      </w:r>
    </w:p>
  </w:footnote>
  <w:footnote w:id="19">
    <w:p>
      <w:pPr>
        <w:autoSpaceDE w:val="0"/>
        <w:autoSpaceDN w:val="0"/>
        <w:adjustRightInd w:val="0"/>
        <w:ind w:left="720" w:hanging="720"/>
        <w:rPr>
          <w:sz w:val="18"/>
          <w:szCs w:val="18"/>
        </w:rPr>
      </w:pPr>
      <w:r>
        <w:rPr>
          <w:rStyle w:val="FootnoteReference"/>
        </w:rPr>
        <w:footnoteRef/>
      </w:r>
      <w:r>
        <w:tab/>
      </w:r>
      <w:r>
        <w:rPr>
          <w:sz w:val="18"/>
        </w:rPr>
        <w:t>Kommissionens arbejdsdokument af 14. maj 2014 om beregning, finansiering, betaling og opførelse på budgettet af korrektionen af budgetuligevægte til fordel for Det Forenede Kongerige ("UK-korrektionen") i overensstemmelse med artikel 4 og 5 i Rådets afgørelse 2014/335/EU, Euratom om ordningen for Den Europæiske Unions egne indtægter, som kan findes på:</w:t>
      </w:r>
      <w:r>
        <w:rPr>
          <w:b/>
        </w:rPr>
        <w:t xml:space="preserve"> </w:t>
      </w:r>
    </w:p>
    <w:p>
      <w:pPr>
        <w:pStyle w:val="FootnoteText"/>
        <w:ind w:firstLine="0"/>
        <w:rPr>
          <w:sz w:val="18"/>
          <w:szCs w:val="18"/>
        </w:rPr>
      </w:pPr>
      <w:r>
        <w:rPr>
          <w:sz w:val="18"/>
        </w:rPr>
        <w:t xml:space="preserve"> </w:t>
      </w:r>
      <w:hyperlink r:id="rId2">
        <w:r>
          <w:rPr>
            <w:rStyle w:val="Hyperlink"/>
            <w:sz w:val="18"/>
          </w:rPr>
          <w:t>http://eur-lex.europa.eu/legal-content/EN/TXT/PDF/?uri=CELEX:52014DC0271&amp;rid=8</w:t>
        </w:r>
      </w:hyperlink>
      <w:r>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A1A9734"/>
    <w:lvl w:ilvl="0">
      <w:start w:val="1"/>
      <w:numFmt w:val="decimal"/>
      <w:lvlText w:val="%1."/>
      <w:lvlJc w:val="left"/>
      <w:pPr>
        <w:tabs>
          <w:tab w:val="num" w:pos="360"/>
        </w:tabs>
        <w:ind w:left="360" w:hanging="360"/>
      </w:pPr>
    </w:lvl>
  </w:abstractNum>
  <w:abstractNum w:abstractNumId="3">
    <w:nsid w:val="04D63873"/>
    <w:multiLevelType w:val="multilevel"/>
    <w:tmpl w:val="86FE23B4"/>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8BE211A"/>
    <w:multiLevelType w:val="hybridMultilevel"/>
    <w:tmpl w:val="B8AAEDF2"/>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99C6FA8"/>
    <w:multiLevelType w:val="hybridMultilevel"/>
    <w:tmpl w:val="D7D82866"/>
    <w:lvl w:ilvl="0" w:tplc="70981A52">
      <w:start w:val="1"/>
      <w:numFmt w:val="bullet"/>
      <w:lvlText w:val=""/>
      <w:lvlJc w:val="left"/>
      <w:pPr>
        <w:ind w:left="525" w:hanging="52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E46741"/>
    <w:multiLevelType w:val="hybridMultilevel"/>
    <w:tmpl w:val="CF8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2">
    <w:nsid w:val="34AF67B3"/>
    <w:multiLevelType w:val="hybridMultilevel"/>
    <w:tmpl w:val="206672F4"/>
    <w:lvl w:ilvl="0" w:tplc="5FD4A2D4">
      <w:start w:val="2"/>
      <w:numFmt w:val="bullet"/>
      <w:lvlText w:val="·"/>
      <w:lvlJc w:val="left"/>
      <w:pPr>
        <w:ind w:left="885" w:hanging="52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5">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290503"/>
    <w:multiLevelType w:val="hybridMultilevel"/>
    <w:tmpl w:val="ADD2FC7E"/>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E76506"/>
    <w:multiLevelType w:val="hybridMultilevel"/>
    <w:tmpl w:val="9AFA166C"/>
    <w:lvl w:ilvl="0" w:tplc="49467B3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8C3B69"/>
    <w:multiLevelType w:val="multilevel"/>
    <w:tmpl w:val="C18A497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AC004F"/>
    <w:multiLevelType w:val="multilevel"/>
    <w:tmpl w:val="57CA7644"/>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AC94459"/>
    <w:multiLevelType w:val="hybridMultilevel"/>
    <w:tmpl w:val="AB8E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1"/>
  </w:num>
  <w:num w:numId="4">
    <w:abstractNumId w:val="13"/>
  </w:num>
  <w:num w:numId="5">
    <w:abstractNumId w:val="8"/>
  </w:num>
  <w:num w:numId="6">
    <w:abstractNumId w:val="19"/>
  </w:num>
  <w:num w:numId="7">
    <w:abstractNumId w:val="6"/>
  </w:num>
  <w:num w:numId="8">
    <w:abstractNumId w:val="20"/>
  </w:num>
  <w:num w:numId="9">
    <w:abstractNumId w:val="0"/>
  </w:num>
  <w:num w:numId="10">
    <w:abstractNumId w:val="1"/>
  </w:num>
  <w:num w:numId="11">
    <w:abstractNumId w:val="10"/>
  </w:num>
  <w:num w:numId="12">
    <w:abstractNumId w:val="14"/>
  </w:num>
  <w:num w:numId="13">
    <w:abstractNumId w:val="15"/>
  </w:num>
  <w:num w:numId="14">
    <w:abstractNumId w:val="14"/>
  </w:num>
  <w:num w:numId="15">
    <w:abstractNumId w:val="14"/>
  </w:num>
  <w:num w:numId="16">
    <w:abstractNumId w:val="14"/>
  </w:num>
  <w:num w:numId="17">
    <w:abstractNumId w:val="5"/>
  </w:num>
  <w:num w:numId="18">
    <w:abstractNumId w:val="16"/>
  </w:num>
  <w:num w:numId="19">
    <w:abstractNumId w:val="22"/>
  </w:num>
  <w:num w:numId="20">
    <w:abstractNumId w:val="19"/>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num>
  <w:num w:numId="25">
    <w:abstractNumId w:val="19"/>
  </w:num>
  <w:num w:numId="26">
    <w:abstractNumId w:val="19"/>
  </w:num>
  <w:num w:numId="27">
    <w:abstractNumId w:val="23"/>
  </w:num>
  <w:num w:numId="28">
    <w:abstractNumId w:val="3"/>
  </w:num>
  <w:num w:numId="29">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2">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17"/>
  </w:num>
  <w:num w:numId="34">
    <w:abstractNumId w:val="4"/>
  </w:num>
  <w:num w:numId="35">
    <w:abstractNumId w:val="9"/>
  </w:num>
  <w:num w:numId="36">
    <w:abstractNumId w:val="11"/>
  </w:num>
  <w:num w:numId="37">
    <w:abstractNumId w:val="18"/>
  </w:num>
  <w:num w:numId="38">
    <w:abstractNumId w:val="24"/>
  </w:num>
  <w:num w:numId="39">
    <w:abstractNumId w:val="12"/>
  </w:num>
  <w:num w:numId="4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AD05A4F39084B458EFE4DB7A261DD66"/>
    <w:docVar w:name="LW_CROSSREFERENCE" w:val="&lt;UNUSED&gt;"/>
    <w:docVar w:name="LW_DocType" w:val="NORMAL"/>
    <w:docVar w:name="LW_EMISSION" w:val="9.10.2017"/>
    <w:docVar w:name="LW_EMISSION_ISODATE" w:val="2017-10-09"/>
    <w:docVar w:name="LW_EMISSION_LOCATION" w:val="BRX"/>
    <w:docVar w:name="LW_EMISSION_PREFIX" w:val="Bruxelles, den "/>
    <w:docVar w:name="LW_EMISSION_SUFFIX" w:val=" "/>
    <w:docVar w:name="LW_ID_DOCTYPE_NONLW" w:val="CP-035"/>
    <w:docVar w:name="LW_LANGUE" w:val="DA"/>
    <w:docVar w:name="LW_MARKING" w:val="&lt;UNUSED&gt;"/>
    <w:docVar w:name="LW_NOM.INST" w:val="EUROPA-KOMMISSIONE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97"/>
    <w:docVar w:name="LW_REF.INTERNE" w:val="&lt;UNUSED&gt;"/>
    <w:docVar w:name="LW_SOUS.TITRE.OBJ.CP" w:val="&lt;UNUSED&gt;"/>
    <w:docVar w:name="LW_SUPERTITRE" w:val="&lt;UNUSED&gt;"/>
    <w:docVar w:name="LW_TITRE.OBJ.CP" w:val="Reduktion af betalings- og forpligtelsesbevillinger i overensstemmelse med de ajourførte overslag over udgifter samt ajourføring af indtægter (egne indtægter og bøder)"/>
    <w:docVar w:name="LW_TITRE.OBJ.CP_PREVIOUS" w:val="&lt;UNUSED&gt;"/>
    <w:docVar w:name="LW_TYPE.DOC.CP" w:val="FORSLAG TIL ÆNDRINGSBUDGET NR. 6_x000b_TIL DET ALMINDELIGE BUDGET FOR 2017"/>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da-DK"/>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caption" w:semiHidden="1" w:unhideWhenUsed="1" w:qFormat="1"/>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da-DK"/>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a-DK"/>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da-DK"/>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caption" w:semiHidden="1" w:unhideWhenUsed="1" w:qFormat="1"/>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da-DK"/>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a-DK"/>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381">
      <w:bodyDiv w:val="1"/>
      <w:marLeft w:val="0"/>
      <w:marRight w:val="0"/>
      <w:marTop w:val="0"/>
      <w:marBottom w:val="0"/>
      <w:divBdr>
        <w:top w:val="none" w:sz="0" w:space="0" w:color="auto"/>
        <w:left w:val="none" w:sz="0" w:space="0" w:color="auto"/>
        <w:bottom w:val="none" w:sz="0" w:space="0" w:color="auto"/>
        <w:right w:val="none" w:sz="0" w:space="0" w:color="auto"/>
      </w:divBdr>
    </w:div>
    <w:div w:id="77798609">
      <w:bodyDiv w:val="1"/>
      <w:marLeft w:val="0"/>
      <w:marRight w:val="0"/>
      <w:marTop w:val="0"/>
      <w:marBottom w:val="0"/>
      <w:divBdr>
        <w:top w:val="none" w:sz="0" w:space="0" w:color="auto"/>
        <w:left w:val="none" w:sz="0" w:space="0" w:color="auto"/>
        <w:bottom w:val="none" w:sz="0" w:space="0" w:color="auto"/>
        <w:right w:val="none" w:sz="0" w:space="0" w:color="auto"/>
      </w:divBdr>
    </w:div>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3713">
      <w:bodyDiv w:val="1"/>
      <w:marLeft w:val="0"/>
      <w:marRight w:val="0"/>
      <w:marTop w:val="0"/>
      <w:marBottom w:val="0"/>
      <w:divBdr>
        <w:top w:val="none" w:sz="0" w:space="0" w:color="auto"/>
        <w:left w:val="none" w:sz="0" w:space="0" w:color="auto"/>
        <w:bottom w:val="none" w:sz="0" w:space="0" w:color="auto"/>
        <w:right w:val="none" w:sz="0" w:space="0" w:color="auto"/>
      </w:divBdr>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03250459">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280889594">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71955280">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778990717">
      <w:bodyDiv w:val="1"/>
      <w:marLeft w:val="0"/>
      <w:marRight w:val="0"/>
      <w:marTop w:val="0"/>
      <w:marBottom w:val="0"/>
      <w:divBdr>
        <w:top w:val="none" w:sz="0" w:space="0" w:color="auto"/>
        <w:left w:val="none" w:sz="0" w:space="0" w:color="auto"/>
        <w:bottom w:val="none" w:sz="0" w:space="0" w:color="auto"/>
        <w:right w:val="none" w:sz="0" w:space="0" w:color="auto"/>
      </w:divBdr>
    </w:div>
    <w:div w:id="788663921">
      <w:bodyDiv w:val="1"/>
      <w:marLeft w:val="0"/>
      <w:marRight w:val="0"/>
      <w:marTop w:val="0"/>
      <w:marBottom w:val="0"/>
      <w:divBdr>
        <w:top w:val="none" w:sz="0" w:space="0" w:color="auto"/>
        <w:left w:val="none" w:sz="0" w:space="0" w:color="auto"/>
        <w:bottom w:val="none" w:sz="0" w:space="0" w:color="auto"/>
        <w:right w:val="none" w:sz="0" w:space="0" w:color="auto"/>
      </w:divBdr>
    </w:div>
    <w:div w:id="794904518">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64634236">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269513">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58623561">
      <w:bodyDiv w:val="1"/>
      <w:marLeft w:val="0"/>
      <w:marRight w:val="0"/>
      <w:marTop w:val="0"/>
      <w:marBottom w:val="0"/>
      <w:divBdr>
        <w:top w:val="none" w:sz="0" w:space="0" w:color="auto"/>
        <w:left w:val="none" w:sz="0" w:space="0" w:color="auto"/>
        <w:bottom w:val="none" w:sz="0" w:space="0" w:color="auto"/>
        <w:right w:val="none" w:sz="0" w:space="0" w:color="auto"/>
      </w:divBdr>
    </w:div>
    <w:div w:id="1073502690">
      <w:bodyDiv w:val="1"/>
      <w:marLeft w:val="0"/>
      <w:marRight w:val="0"/>
      <w:marTop w:val="0"/>
      <w:marBottom w:val="0"/>
      <w:divBdr>
        <w:top w:val="none" w:sz="0" w:space="0" w:color="auto"/>
        <w:left w:val="none" w:sz="0" w:space="0" w:color="auto"/>
        <w:bottom w:val="none" w:sz="0" w:space="0" w:color="auto"/>
        <w:right w:val="none" w:sz="0" w:space="0" w:color="auto"/>
      </w:divBdr>
    </w:div>
    <w:div w:id="1083726096">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358434127">
      <w:bodyDiv w:val="1"/>
      <w:marLeft w:val="0"/>
      <w:marRight w:val="0"/>
      <w:marTop w:val="0"/>
      <w:marBottom w:val="0"/>
      <w:divBdr>
        <w:top w:val="none" w:sz="0" w:space="0" w:color="auto"/>
        <w:left w:val="none" w:sz="0" w:space="0" w:color="auto"/>
        <w:bottom w:val="none" w:sz="0" w:space="0" w:color="auto"/>
        <w:right w:val="none" w:sz="0" w:space="0" w:color="auto"/>
      </w:divBdr>
    </w:div>
    <w:div w:id="1383212917">
      <w:bodyDiv w:val="1"/>
      <w:marLeft w:val="0"/>
      <w:marRight w:val="0"/>
      <w:marTop w:val="0"/>
      <w:marBottom w:val="0"/>
      <w:divBdr>
        <w:top w:val="none" w:sz="0" w:space="0" w:color="auto"/>
        <w:left w:val="none" w:sz="0" w:space="0" w:color="auto"/>
        <w:bottom w:val="none" w:sz="0" w:space="0" w:color="auto"/>
        <w:right w:val="none" w:sz="0" w:space="0" w:color="auto"/>
      </w:divBdr>
    </w:div>
    <w:div w:id="1433477716">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570267285">
      <w:bodyDiv w:val="1"/>
      <w:marLeft w:val="0"/>
      <w:marRight w:val="0"/>
      <w:marTop w:val="0"/>
      <w:marBottom w:val="0"/>
      <w:divBdr>
        <w:top w:val="none" w:sz="0" w:space="0" w:color="auto"/>
        <w:left w:val="none" w:sz="0" w:space="0" w:color="auto"/>
        <w:bottom w:val="none" w:sz="0" w:space="0" w:color="auto"/>
        <w:right w:val="none" w:sz="0" w:space="0" w:color="auto"/>
      </w:divBdr>
    </w:div>
    <w:div w:id="1576627459">
      <w:bodyDiv w:val="1"/>
      <w:marLeft w:val="0"/>
      <w:marRight w:val="0"/>
      <w:marTop w:val="0"/>
      <w:marBottom w:val="0"/>
      <w:divBdr>
        <w:top w:val="none" w:sz="0" w:space="0" w:color="auto"/>
        <w:left w:val="none" w:sz="0" w:space="0" w:color="auto"/>
        <w:bottom w:val="none" w:sz="0" w:space="0" w:color="auto"/>
        <w:right w:val="none" w:sz="0" w:space="0" w:color="auto"/>
      </w:divBdr>
    </w:div>
    <w:div w:id="1626277762">
      <w:bodyDiv w:val="1"/>
      <w:marLeft w:val="0"/>
      <w:marRight w:val="0"/>
      <w:marTop w:val="0"/>
      <w:marBottom w:val="0"/>
      <w:divBdr>
        <w:top w:val="none" w:sz="0" w:space="0" w:color="auto"/>
        <w:left w:val="none" w:sz="0" w:space="0" w:color="auto"/>
        <w:bottom w:val="none" w:sz="0" w:space="0" w:color="auto"/>
        <w:right w:val="none" w:sz="0" w:space="0" w:color="auto"/>
      </w:divBdr>
    </w:div>
    <w:div w:id="1713536956">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796096263">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09738884">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1914198131">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089960601">
      <w:bodyDiv w:val="1"/>
      <w:marLeft w:val="0"/>
      <w:marRight w:val="0"/>
      <w:marTop w:val="0"/>
      <w:marBottom w:val="0"/>
      <w:divBdr>
        <w:top w:val="none" w:sz="0" w:space="0" w:color="auto"/>
        <w:left w:val="none" w:sz="0" w:space="0" w:color="auto"/>
        <w:bottom w:val="none" w:sz="0" w:space="0" w:color="auto"/>
        <w:right w:val="none" w:sz="0" w:space="0" w:color="auto"/>
      </w:divBdr>
    </w:div>
    <w:div w:id="2120029748">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DA/TXT/PDF/?uri=CELEX:52014DC0271&amp;rid=8" TargetMode="External"/><Relationship Id="rId1" Type="http://schemas.openxmlformats.org/officeDocument/2006/relationships/hyperlink" Target="http://ec.europa.eu/budget/library/biblio/documents/financing/calc_own_res_2007_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1E00-0CA2-40BF-8B0E-86D1C6A7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6523</Words>
  <Characters>34250</Characters>
  <Application>Microsoft Office Word</Application>
  <DocSecurity>0</DocSecurity>
  <Lines>1712</Lines>
  <Paragraphs>1359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39414</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2017-10-06T09:04:00Z</dcterms:created>
  <dcterms:modified xsi:type="dcterms:W3CDTF">2017-10-23T08:21:00Z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