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9052EE5F8CE4D1FB9545F016ADFAB34" style="width:450.75pt;height:423.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rPr>
        <w:t>•</w:t>
      </w:r>
      <w:r>
        <w:rPr>
          <w:noProof/>
        </w:rPr>
        <w:tab/>
        <w:t>Przyczyny i cele wniosku</w:t>
      </w:r>
    </w:p>
    <w:p>
      <w:pPr>
        <w:pBdr>
          <w:top w:val="nil"/>
          <w:left w:val="nil"/>
          <w:bottom w:val="nil"/>
          <w:right w:val="nil"/>
          <w:between w:val="nil"/>
          <w:bar w:val="nil"/>
        </w:pBdr>
        <w:spacing w:before="0" w:after="240"/>
        <w:rPr>
          <w:noProof/>
        </w:rPr>
      </w:pPr>
      <w:r>
        <w:rPr>
          <w:noProof/>
        </w:rPr>
        <w:t>Po kryzysie finansowym</w:t>
      </w:r>
      <w:r>
        <w:rPr>
          <w:rStyle w:val="FootnoteReference"/>
          <w:noProof/>
        </w:rPr>
        <w:footnoteReference w:id="2"/>
      </w:r>
      <w:r>
        <w:rPr>
          <w:noProof/>
        </w:rPr>
        <w:t xml:space="preserve"> UE ustanowiła Europejski System Nadzoru Finansowego (ESNF) oparty na dwóch filarach systemu nadzoru: makroostrożnościowego i mikroostrożnościowego. </w:t>
      </w:r>
    </w:p>
    <w:p>
      <w:pPr>
        <w:rPr>
          <w:noProof/>
        </w:rPr>
      </w:pPr>
      <w:r>
        <w:rPr>
          <w:noProof/>
        </w:rPr>
        <w:t>Europejska Rada ds. Ryzyka Systemowego (ERRS), utworzona w grudniu 2010 r., stanowi filar makroostrożnościowy ESNF. ERRS jest odpowiedzialna za sprawowanie makroostrożnościowego nadzoru nad systemem finansowym w UE.</w:t>
      </w:r>
      <w:r>
        <w:rPr>
          <w:b/>
          <w:noProof/>
        </w:rPr>
        <w:t xml:space="preserve"> </w:t>
      </w:r>
      <w:r>
        <w:rPr>
          <w:noProof/>
        </w:rPr>
        <w:t xml:space="preserve">Do zadań ERRS należą: (i) przyczynianie się do przeciwdziałania powstawaniu w obrębie systemu finansowego ryzyka systemowego zagrażającego stabilności finansowej lub do ograniczania ryzyka, z uwzględnieniem rozwoju sytuacji makroekonomicznej, tak aby zapobiegać okresom powszechnie występującej trudnej sytuacji finansowej; (ii) przyczynianie się do sprawnego funkcjonowania rynku wewnętrznego, przy zapewnieniu, by sektor finansowy miał trwały wkład we wzrost gospodarczy. </w:t>
      </w:r>
    </w:p>
    <w:p>
      <w:pPr>
        <w:rPr>
          <w:noProof/>
        </w:rPr>
      </w:pPr>
      <w:r>
        <w:rPr>
          <w:noProof/>
        </w:rPr>
        <w:t>ERRS liczy wielu członków, w tym krajowe banki centralne, organy nadzoru i instytucje europejskie. Rada posiada specjalne narzędzia, takie jak zalecenia i ostrzeżenia, do kształtowania polityki makroostrożnościowej w UE. Uprawnienia ERRS dotyczący całego systemu mają szczególne znaczenie w monitorowaniu i ocenie ryzyka międzysektorowych i transgranicznych zagrożeń i ich skutków ubocznych, a jej rola koordynacyjna ogranicza ryzyko wystąpienia efektu domina. Ponadto poprzez ułatwienie uznawania krajowych środków makroostrożnościowych ERRS zapewnia, by przenoszenie trudnej sytuacji na inne państwa i arbitraż regulacyjny były ograniczone do minimum. W związku z tym ERRS ma bezpośredni wpływ na skuteczność środków makroostrożnościowych wprowadzanych przez państwa UE, a w konsekwencji na poziom stabilności finansowej w UE. W tym kontekście można się spodziewać, że usprawnienie funkcjonowania ERRS zwiększy skuteczność polityki makroostrożnościowej.</w:t>
      </w:r>
    </w:p>
    <w:p>
      <w:pPr>
        <w:pBdr>
          <w:top w:val="nil"/>
          <w:left w:val="nil"/>
          <w:bottom w:val="nil"/>
          <w:right w:val="nil"/>
          <w:between w:val="nil"/>
          <w:bar w:val="nil"/>
        </w:pBdr>
        <w:spacing w:before="0" w:after="240"/>
        <w:rPr>
          <w:noProof/>
        </w:rPr>
      </w:pPr>
      <w:r>
        <w:rPr>
          <w:noProof/>
        </w:rPr>
        <w:t xml:space="preserve">ERRS od momentu jej utworzenia: </w:t>
      </w:r>
    </w:p>
    <w:p>
      <w:pPr>
        <w:pStyle w:val="Bullet1"/>
        <w:numPr>
          <w:ilvl w:val="0"/>
          <w:numId w:val="10"/>
        </w:numPr>
        <w:rPr>
          <w:noProof/>
        </w:rPr>
      </w:pPr>
      <w:r>
        <w:rPr>
          <w:noProof/>
        </w:rPr>
        <w:t xml:space="preserve">wydaje zalecenia i ostrzeżenia skierowane do szerokiego grona odbiorców; </w:t>
      </w:r>
    </w:p>
    <w:p>
      <w:pPr>
        <w:pStyle w:val="Bullet1"/>
        <w:rPr>
          <w:noProof/>
        </w:rPr>
      </w:pPr>
      <w:r>
        <w:rPr>
          <w:noProof/>
        </w:rPr>
        <w:t xml:space="preserve">przyczynia się do stałego kształtowania ram makroostrożnościowych w UE; </w:t>
      </w:r>
    </w:p>
    <w:p>
      <w:pPr>
        <w:pStyle w:val="Bullet1"/>
        <w:rPr>
          <w:noProof/>
        </w:rPr>
      </w:pPr>
      <w:r>
        <w:rPr>
          <w:noProof/>
        </w:rPr>
        <w:t xml:space="preserve">skutecznie korzysta z zasobów i wiedzy eksperckiej zapewnianych przez jej licznych członków instytucjonalnych oraz z niezależnego wkładu naukowego Doradczego Komitetu Naukowego; </w:t>
      </w:r>
    </w:p>
    <w:p>
      <w:pPr>
        <w:pStyle w:val="Bullet1"/>
        <w:rPr>
          <w:noProof/>
        </w:rPr>
      </w:pPr>
      <w:r>
        <w:rPr>
          <w:noProof/>
        </w:rPr>
        <w:t xml:space="preserve">odgrywa istotną rolę przy koordynowaniu i ocenianiu notyfikacji środków makroostrożnościowych w UE. </w:t>
      </w:r>
    </w:p>
    <w:p>
      <w:pPr>
        <w:pBdr>
          <w:top w:val="nil"/>
          <w:left w:val="nil"/>
          <w:bottom w:val="nil"/>
          <w:right w:val="nil"/>
          <w:between w:val="nil"/>
          <w:bar w:val="nil"/>
        </w:pBdr>
        <w:spacing w:before="0" w:after="240"/>
        <w:rPr>
          <w:noProof/>
        </w:rPr>
      </w:pPr>
      <w:r>
        <w:rPr>
          <w:noProof/>
        </w:rPr>
        <w:t xml:space="preserve">Znaczenie ERRS znajduje potwierdzenie w jej pracach w charakterze platformy koordynacyjnej i centrum informacji w zakresie monitorowania ryzyka z perspektywy Unii oraz w zakresie ustalania wytycznych dotyczących stosowania instrumentów makroostrożnościowych. </w:t>
      </w:r>
    </w:p>
    <w:p>
      <w:pPr>
        <w:pBdr>
          <w:top w:val="nil"/>
          <w:left w:val="nil"/>
          <w:bottom w:val="nil"/>
          <w:right w:val="nil"/>
          <w:between w:val="nil"/>
          <w:bar w:val="nil"/>
        </w:pBdr>
        <w:spacing w:before="0" w:after="240"/>
        <w:rPr>
          <w:noProof/>
        </w:rPr>
      </w:pPr>
      <w:r>
        <w:rPr>
          <w:noProof/>
        </w:rPr>
        <w:t xml:space="preserve">Ostatnie zmiany instytucjonalne związane z unią bankową oraz wysiłki na rzecz zbudowania unii rynków kapitałowych sprawiają jednak, że kontekst, w jakim powstała ERRS jest różny tego, w jakim funkcjonuje ona teraz. Niesie to konsekwencje głównie dla składu ERRS oraz tego, jak jest zorganizowana. Ulepszenia w składzie ERRS i w sposobie jej współpracy z instytucjami europejskimi, są potrzebne w celu uwzględnienia stopniowych zmian w ramach makroostrożnościowych oraz kolejnych etapów zmian regulacyjnych. </w:t>
      </w:r>
    </w:p>
    <w:p>
      <w:pPr>
        <w:pBdr>
          <w:top w:val="nil"/>
          <w:left w:val="nil"/>
          <w:bottom w:val="nil"/>
          <w:right w:val="nil"/>
          <w:between w:val="nil"/>
          <w:bar w:val="nil"/>
        </w:pBdr>
        <w:spacing w:before="0" w:after="240"/>
        <w:rPr>
          <w:noProof/>
        </w:rPr>
      </w:pPr>
      <w:r>
        <w:rPr>
          <w:noProof/>
        </w:rPr>
        <w:t xml:space="preserve">Ponadto zmiany są niezbędne w celu zapewnienia, by ERRS była w stanie pełnić nadzór makroostrożnościowy nad całym systemem finansowym w czasie, gdy zwiększa się znaczenie finansowania rynkowego, zwłaszcza wraz z ustanowieniem unii rynków kapitałowych. </w:t>
      </w:r>
    </w:p>
    <w:p>
      <w:pPr>
        <w:pBdr>
          <w:top w:val="nil"/>
          <w:left w:val="nil"/>
          <w:bottom w:val="nil"/>
          <w:right w:val="nil"/>
          <w:between w:val="nil"/>
          <w:bar w:val="nil"/>
        </w:pBdr>
        <w:spacing w:before="0" w:after="240"/>
        <w:rPr>
          <w:noProof/>
        </w:rPr>
      </w:pPr>
      <w:r>
        <w:rPr>
          <w:noProof/>
        </w:rPr>
        <w:t>Wzmocnienie wydajności i skuteczności ERRS przyczyni się do poprawy koordynacji polityki makroostrożnościowej w UE i umożliwi ERRS lepiej sprawować swój mandat. Dokładniejsze objaśnienia wniosku przedstawiono w analizie skutków.</w:t>
      </w:r>
    </w:p>
    <w:p>
      <w:pPr>
        <w:pStyle w:val="ManualHeading2"/>
        <w:rPr>
          <w:rFonts w:eastAsia="Arial Unicode MS"/>
          <w:noProof/>
          <w:u w:color="000000"/>
          <w:bdr w:val="nil"/>
        </w:rPr>
      </w:pPr>
      <w:r>
        <w:rPr>
          <w:noProof/>
        </w:rPr>
        <w:t>•</w:t>
      </w:r>
      <w:r>
        <w:rPr>
          <w:noProof/>
        </w:rPr>
        <w:tab/>
        <w:t>Spójność z przepisami obowiązującymi w tej dziedzinie polityki</w:t>
      </w:r>
    </w:p>
    <w:p>
      <w:pPr>
        <w:pBdr>
          <w:top w:val="nil"/>
          <w:left w:val="nil"/>
          <w:bottom w:val="nil"/>
          <w:right w:val="nil"/>
          <w:between w:val="nil"/>
          <w:bar w:val="nil"/>
        </w:pBdr>
        <w:spacing w:before="0" w:after="240"/>
        <w:rPr>
          <w:noProof/>
        </w:rPr>
      </w:pPr>
      <w:r>
        <w:rPr>
          <w:noProof/>
        </w:rPr>
        <w:t xml:space="preserve">Niniejszy wniosek należy rozpatrywać w kontekście trwającego przeglądu Europejskich Urzędów Nadzoru. ERRS i Europejskie Urzędy Nadzoru są makro- i mikroostrożnościowym filarem ESNF. </w:t>
      </w:r>
    </w:p>
    <w:p>
      <w:pPr>
        <w:pStyle w:val="ManualHeading2"/>
        <w:rPr>
          <w:rFonts w:eastAsia="Arial Unicode MS"/>
          <w:noProof/>
        </w:rPr>
      </w:pPr>
      <w:r>
        <w:rPr>
          <w:noProof/>
        </w:rPr>
        <w:t>•</w:t>
      </w:r>
      <w:r>
        <w:rPr>
          <w:noProof/>
        </w:rPr>
        <w:tab/>
        <w:t>Spójność z innymi politykami Unii</w:t>
      </w:r>
    </w:p>
    <w:p>
      <w:pPr>
        <w:pBdr>
          <w:top w:val="nil"/>
          <w:left w:val="nil"/>
          <w:bottom w:val="nil"/>
          <w:right w:val="nil"/>
          <w:between w:val="nil"/>
          <w:bar w:val="nil"/>
        </w:pBdr>
        <w:spacing w:before="0" w:after="240"/>
        <w:rPr>
          <w:rFonts w:eastAsia="Arial Unicode MS"/>
          <w:noProof/>
        </w:rPr>
      </w:pPr>
      <w:r>
        <w:rPr>
          <w:noProof/>
        </w:rPr>
        <w:t>Przegląd ERRS ma również miejsce w kontekście budowy unii bankowej i unii rynków kapitałowych. Oczekiwane pogłębienie i dalsza integracja unijnych rynków kapitałowych wymaga odpowiedniego dostosowania ram nadzoru ryzyka systemowego.</w:t>
      </w: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rPr>
        <w:t>•</w:t>
      </w:r>
      <w:r>
        <w:rPr>
          <w:noProof/>
        </w:rPr>
        <w:tab/>
        <w:t>Podstawa prawna</w:t>
      </w:r>
    </w:p>
    <w:p>
      <w:pPr>
        <w:pBdr>
          <w:top w:val="nil"/>
          <w:left w:val="nil"/>
          <w:bottom w:val="nil"/>
          <w:right w:val="nil"/>
          <w:between w:val="nil"/>
          <w:bar w:val="nil"/>
        </w:pBdr>
        <w:spacing w:before="0" w:after="240"/>
        <w:rPr>
          <w:noProof/>
        </w:rPr>
      </w:pPr>
      <w:r>
        <w:rPr>
          <w:noProof/>
        </w:rPr>
        <w:t xml:space="preserve">Podstawa prawna proponowanych zmian jest taka sama jak w odniesieniu do zmienianego aktu ustawodawczego, tj. art. 114 TFUE. Rozporządzenie powołujące ERRS zostało uzupełnione rozporządzeniem Rady powierzającym Europejskiemu Bankowi Centralnemu (EBC) zadanie prowadzenia Sekretariatu ERSS. </w:t>
      </w:r>
    </w:p>
    <w:p>
      <w:pPr>
        <w:pStyle w:val="ManualHeading2"/>
        <w:rPr>
          <w:rFonts w:eastAsia="Arial Unicode MS"/>
          <w:noProof/>
          <w:u w:color="000000"/>
          <w:bdr w:val="nil"/>
        </w:rPr>
      </w:pPr>
      <w:r>
        <w:rPr>
          <w:noProof/>
        </w:rPr>
        <w:t>•</w:t>
      </w:r>
      <w:r>
        <w:rPr>
          <w:noProof/>
        </w:rPr>
        <w:tab/>
        <w:t xml:space="preserve">Pomocniczość (w przypadku kompetencji niewyłącznych) </w:t>
      </w:r>
    </w:p>
    <w:p>
      <w:pPr>
        <w:spacing w:before="100" w:beforeAutospacing="1" w:after="100" w:afterAutospacing="1"/>
        <w:rPr>
          <w:noProof/>
        </w:rPr>
      </w:pPr>
      <w:r>
        <w:rPr>
          <w:noProof/>
        </w:rPr>
        <w:t xml:space="preserve">ERRS to organ nieposiadający osobowości prawnej. ERRS jest odpowiedzialna za sprawowanie makroostrożnościowego nadzoru nad systemem finansowym w UE. Cel wniosku, jakim jest zwiększenie wydajności ERRS i poprawa koordynacji nadzoru makroostrożnościowego w UE, można osiągnąć poprzez uzupełnienie już istniejących przepisów unijnych, co oznacza, że można to najlepiej osiągnąć na szczeblu unijnym, nie zaś w drodze różnych inicjatyw krajowych. Ponadto, ponieważ ERRS ma istotny wkład we wzajemność krajowych środków makroostrożnościowych, pomaga ona władzom krajowym w rozwiązywaniu problemów związanych z ryzykiem systemowym pojawiającym się na poziomie krajowym. </w:t>
      </w:r>
    </w:p>
    <w:p>
      <w:pPr>
        <w:pStyle w:val="ManualHeading2"/>
        <w:rPr>
          <w:rFonts w:eastAsia="Arial Unicode MS"/>
          <w:noProof/>
          <w:u w:color="000000"/>
          <w:bdr w:val="nil"/>
        </w:rPr>
      </w:pPr>
      <w:r>
        <w:rPr>
          <w:noProof/>
        </w:rPr>
        <w:t>•</w:t>
      </w:r>
      <w:r>
        <w:rPr>
          <w:noProof/>
        </w:rPr>
        <w:tab/>
        <w:t>Proporcjonalność</w:t>
      </w:r>
    </w:p>
    <w:p>
      <w:pPr>
        <w:pBdr>
          <w:top w:val="nil"/>
          <w:left w:val="nil"/>
          <w:bottom w:val="nil"/>
          <w:right w:val="nil"/>
          <w:between w:val="nil"/>
          <w:bar w:val="nil"/>
        </w:pBdr>
        <w:spacing w:before="0" w:after="240"/>
        <w:rPr>
          <w:rFonts w:eastAsia="Arial Unicode MS"/>
          <w:noProof/>
        </w:rPr>
      </w:pPr>
      <w:r>
        <w:rPr>
          <w:noProof/>
        </w:rPr>
        <w:t xml:space="preserve">Wniosek zmienia istniejące rozporządzenie. Zmiany są ukierunkowane i mają na celu doprecyzowanie lub zaostrzenie istniejących przepisów i w związku z tym są proporcjonalne do zidentyfikowanych problemów. Podstawowa struktura ERRS pozostanie zasadniczo niezmieniona. </w:t>
      </w:r>
    </w:p>
    <w:p>
      <w:pPr>
        <w:pStyle w:val="ManualHeading2"/>
        <w:rPr>
          <w:rFonts w:eastAsia="Arial Unicode MS"/>
          <w:noProof/>
          <w:u w:color="000000"/>
          <w:bdr w:val="nil"/>
        </w:rPr>
      </w:pPr>
      <w:r>
        <w:rPr>
          <w:noProof/>
        </w:rPr>
        <w:t>•</w:t>
      </w:r>
      <w:r>
        <w:rPr>
          <w:noProof/>
        </w:rPr>
        <w:tab/>
        <w:t>Wybór instrumentu</w:t>
      </w:r>
    </w:p>
    <w:p>
      <w:pPr>
        <w:pBdr>
          <w:top w:val="nil"/>
          <w:left w:val="nil"/>
          <w:bottom w:val="nil"/>
          <w:right w:val="nil"/>
          <w:between w:val="nil"/>
          <w:bar w:val="nil"/>
        </w:pBdr>
        <w:spacing w:before="0" w:after="240"/>
        <w:rPr>
          <w:rFonts w:eastAsia="Arial Unicode MS"/>
          <w:noProof/>
        </w:rPr>
      </w:pPr>
      <w:r>
        <w:rPr>
          <w:noProof/>
        </w:rPr>
        <w:t>Zmiana istniejącego rozporządzenia</w:t>
      </w:r>
    </w:p>
    <w:p>
      <w:pPr>
        <w:pStyle w:val="ManualHeading1"/>
        <w:rPr>
          <w:noProof/>
        </w:rPr>
      </w:pPr>
      <w:r>
        <w:rPr>
          <w:noProof/>
        </w:rPr>
        <w:t>3.</w:t>
      </w:r>
      <w:r>
        <w:rPr>
          <w:noProof/>
        </w:rPr>
        <w:tab/>
        <w:t>WYNIKI OCEN EX POST, KONSULTACJI Z ZAINTERESOWANYMI STRONAMI I OCEN SKUTKÓW</w:t>
      </w:r>
    </w:p>
    <w:p>
      <w:pPr>
        <w:pStyle w:val="ManualHeading2"/>
        <w:rPr>
          <w:rFonts w:eastAsia="Arial Unicode MS"/>
          <w:noProof/>
          <w:u w:color="000000"/>
          <w:bdr w:val="nil"/>
        </w:rPr>
      </w:pPr>
      <w:r>
        <w:rPr>
          <w:noProof/>
        </w:rPr>
        <w:t>•</w:t>
      </w:r>
      <w:r>
        <w:rPr>
          <w:noProof/>
        </w:rPr>
        <w:tab/>
        <w:t>Oceny ex post/kontrole sprawności obowiązującego prawodawstwa</w:t>
      </w:r>
    </w:p>
    <w:p>
      <w:pPr>
        <w:pBdr>
          <w:top w:val="nil"/>
          <w:left w:val="nil"/>
          <w:bottom w:val="nil"/>
          <w:right w:val="nil"/>
          <w:between w:val="nil"/>
          <w:bar w:val="nil"/>
        </w:pBdr>
        <w:spacing w:before="0" w:after="240"/>
        <w:rPr>
          <w:noProof/>
        </w:rPr>
      </w:pPr>
      <w:r>
        <w:rPr>
          <w:noProof/>
        </w:rPr>
        <w:t>Zgodnie z wymogiem określonym w rozporządzeniu w sprawie ERRS Komisja przeprowadziła przegląd w celu ustalenia, czy misja i struktura organizacyjna ERRS wymagają aktualizacji. Pierwszy przegląd rozporządzenia w sprawie ERRS został przeprowadzony w 2014 r.</w:t>
      </w:r>
    </w:p>
    <w:p>
      <w:pPr>
        <w:pStyle w:val="ManualHeading2"/>
        <w:rPr>
          <w:rFonts w:eastAsia="Arial Unicode MS"/>
          <w:noProof/>
          <w:u w:color="000000"/>
          <w:bdr w:val="nil"/>
        </w:rPr>
      </w:pPr>
      <w:r>
        <w:rPr>
          <w:noProof/>
        </w:rPr>
        <w:t>•</w:t>
      </w:r>
      <w:r>
        <w:rPr>
          <w:noProof/>
        </w:rPr>
        <w:tab/>
        <w:t>Konsultacje z zainteresowanymi stronami</w:t>
      </w:r>
    </w:p>
    <w:p>
      <w:pPr>
        <w:pBdr>
          <w:top w:val="nil"/>
          <w:left w:val="nil"/>
          <w:bottom w:val="nil"/>
          <w:right w:val="nil"/>
          <w:between w:val="nil"/>
          <w:bar w:val="nil"/>
        </w:pBdr>
        <w:spacing w:before="0" w:after="240"/>
        <w:rPr>
          <w:noProof/>
        </w:rPr>
      </w:pPr>
      <w:r>
        <w:rPr>
          <w:noProof/>
        </w:rPr>
        <w:t xml:space="preserve">Konsultacje publiczne w sprawie ram makroostrożnościowych oraz wysłuchanie publiczne zostały zorganizowane w drugiej połowie 2016 r. Zainteresowane strony ogólnie uznały uprawnienia i zadania ERRS za odpowiednie, aby zapewnić skuteczność i efektywność polityki makroostrożnościowej, i wyraziły pewne poparcie dla pomysłu poprawy metod pracy ERRS w celu uczynienia jej bardziej skuteczną. Większość respondentów poparła utrzymanie prezesa EBC na stanowisku przewodniczącego ERRS. Niektórzy respondenci opowiedzieli się za tym, aby Jednolity Mechanizm Nadzorczy i Jednolita Rada ds. Restrukturyzacji i Uporządkowanej Likwidacji były reprezentowane w Radzie Generalnej ERRS dla podkreślenia wagi nowo utworzonej unii bankowej, ale większość z nich nie widzi potrzeby znacznych zmian w składzie Rady Generalnej. Niektórzy respondenci poparli wzmocnienie Sekretariatu ERRS i zwiększenie roli ERRS w zakresie uproszczenia procedur notyfikacji na szczeblu UE. </w:t>
      </w:r>
    </w:p>
    <w:p>
      <w:pPr>
        <w:pStyle w:val="ManualHeading2"/>
        <w:rPr>
          <w:rFonts w:eastAsia="Arial Unicode MS"/>
          <w:noProof/>
          <w:u w:color="000000"/>
          <w:bdr w:val="nil"/>
        </w:rPr>
      </w:pPr>
      <w:r>
        <w:rPr>
          <w:noProof/>
        </w:rPr>
        <w:t>•</w:t>
      </w:r>
      <w:r>
        <w:rPr>
          <w:noProof/>
        </w:rPr>
        <w:tab/>
        <w:t>Gromadzenie i wykorzystanie wiedzy eksperckiej</w:t>
      </w:r>
    </w:p>
    <w:p>
      <w:pPr>
        <w:pBdr>
          <w:top w:val="nil"/>
          <w:left w:val="nil"/>
          <w:bottom w:val="nil"/>
          <w:right w:val="nil"/>
          <w:between w:val="nil"/>
          <w:bar w:val="nil"/>
        </w:pBdr>
        <w:spacing w:before="0" w:after="240"/>
        <w:rPr>
          <w:rFonts w:eastAsia="Arial Unicode MS"/>
          <w:noProof/>
        </w:rPr>
      </w:pPr>
      <w:r>
        <w:rPr>
          <w:noProof/>
        </w:rPr>
        <w:t>nie dotyczy – poprzez konsultacje z zainteresowanymi stronami i wysłuchanie publiczne, zob. powyżej</w:t>
      </w:r>
    </w:p>
    <w:p>
      <w:pPr>
        <w:pStyle w:val="ManualHeading2"/>
        <w:rPr>
          <w:rFonts w:eastAsia="Arial Unicode MS"/>
          <w:noProof/>
          <w:u w:color="000000"/>
          <w:bdr w:val="nil"/>
        </w:rPr>
      </w:pPr>
      <w:r>
        <w:rPr>
          <w:noProof/>
        </w:rPr>
        <w:t>•</w:t>
      </w:r>
      <w:r>
        <w:rPr>
          <w:noProof/>
        </w:rPr>
        <w:tab/>
        <w:t>Ocena skutków</w:t>
      </w:r>
    </w:p>
    <w:p>
      <w:pPr>
        <w:pBdr>
          <w:top w:val="nil"/>
          <w:left w:val="nil"/>
          <w:bottom w:val="nil"/>
          <w:right w:val="nil"/>
          <w:between w:val="nil"/>
          <w:bar w:val="nil"/>
        </w:pBdr>
        <w:spacing w:before="0" w:after="240"/>
        <w:rPr>
          <w:rFonts w:eastAsia="Arial Unicode MS"/>
          <w:noProof/>
        </w:rPr>
      </w:pPr>
      <w:r>
        <w:rPr>
          <w:noProof/>
        </w:rPr>
        <w:t>Komisja przeprowadziła analizę skutków proponowanych zmian rozporządzenia w sprawie ERRS. Formalna ocena skutków nie została przeprowadzona z uwagi na ukierunkowany charakter zmian wprowadzonych we wniosku ustawodawczym.</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Sprawność regulacyjna i uproszczenie</w:t>
      </w:r>
    </w:p>
    <w:p>
      <w:pPr>
        <w:pBdr>
          <w:top w:val="nil"/>
          <w:left w:val="nil"/>
          <w:bottom w:val="nil"/>
          <w:right w:val="nil"/>
          <w:between w:val="nil"/>
          <w:bar w:val="nil"/>
        </w:pBdr>
        <w:spacing w:before="0" w:after="240"/>
        <w:rPr>
          <w:rFonts w:eastAsia="Arial Unicode MS"/>
          <w:noProof/>
        </w:rPr>
      </w:pPr>
      <w:r>
        <w:rPr>
          <w:noProof/>
        </w:rPr>
        <w:t>[nie dotyczy]</w:t>
      </w:r>
    </w:p>
    <w:p>
      <w:pPr>
        <w:pStyle w:val="ManualHeading2"/>
        <w:rPr>
          <w:rFonts w:eastAsia="Arial Unicode MS"/>
          <w:noProof/>
          <w:u w:color="000000"/>
          <w:bdr w:val="nil"/>
        </w:rPr>
      </w:pPr>
      <w:r>
        <w:rPr>
          <w:noProof/>
        </w:rPr>
        <w:t>•</w:t>
      </w:r>
      <w:r>
        <w:rPr>
          <w:noProof/>
        </w:rPr>
        <w:tab/>
        <w:t>Prawa podstawowe</w:t>
      </w:r>
    </w:p>
    <w:p>
      <w:pPr>
        <w:pBdr>
          <w:top w:val="nil"/>
          <w:left w:val="nil"/>
          <w:bottom w:val="nil"/>
          <w:right w:val="nil"/>
          <w:between w:val="nil"/>
          <w:bar w:val="nil"/>
        </w:pBdr>
        <w:spacing w:before="0" w:after="240"/>
        <w:rPr>
          <w:rFonts w:eastAsia="Arial Unicode MS"/>
          <w:noProof/>
        </w:rPr>
      </w:pPr>
      <w:r>
        <w:rPr>
          <w:noProof/>
        </w:rPr>
        <w:t>[nie dotyczy]</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rFonts w:eastAsia="Arial Unicode MS"/>
          <w:noProof/>
        </w:rPr>
      </w:pPr>
      <w:r>
        <w:rPr>
          <w:noProof/>
        </w:rPr>
        <w:t>Koszty budżetowe Sekretariatu ERRS ponosi EBC, nie mają więc one bezpośredniego wpływu na budżet UE.</w:t>
      </w:r>
    </w:p>
    <w:p>
      <w:pPr>
        <w:pStyle w:val="ManualHeading1"/>
        <w:rPr>
          <w:noProof/>
        </w:rPr>
      </w:pPr>
      <w:r>
        <w:rPr>
          <w:noProof/>
        </w:rPr>
        <w:t>5.</w:t>
      </w:r>
      <w:r>
        <w:rPr>
          <w:noProof/>
        </w:rPr>
        <w:tab/>
        <w:t>ELEMENTY FAKULTATYWNE</w:t>
      </w:r>
    </w:p>
    <w:p>
      <w:pPr>
        <w:pStyle w:val="ManualHeading2"/>
        <w:rPr>
          <w:rFonts w:eastAsia="Arial Unicode MS"/>
          <w:noProof/>
          <w:u w:color="000000"/>
          <w:bdr w:val="nil"/>
        </w:rPr>
      </w:pPr>
      <w:r>
        <w:rPr>
          <w:noProof/>
        </w:rPr>
        <w:t>•</w:t>
      </w:r>
      <w:r>
        <w:rPr>
          <w:noProof/>
        </w:rPr>
        <w:tab/>
        <w:t>Plany wdrożenia i monitorowanie, ocena i sprawozdania</w:t>
      </w:r>
    </w:p>
    <w:p>
      <w:pPr>
        <w:pBdr>
          <w:top w:val="nil"/>
          <w:left w:val="nil"/>
          <w:bottom w:val="nil"/>
          <w:right w:val="nil"/>
          <w:between w:val="nil"/>
          <w:bar w:val="nil"/>
        </w:pBdr>
        <w:spacing w:before="0" w:after="240"/>
        <w:rPr>
          <w:rFonts w:eastAsia="Arial Unicode MS"/>
          <w:noProof/>
        </w:rPr>
      </w:pPr>
      <w:r>
        <w:rPr>
          <w:noProof/>
        </w:rPr>
        <w:t>Niniejsze rozporządzenie zostanie poddane przeglądowi po upływie 5 lat.</w:t>
      </w:r>
    </w:p>
    <w:p>
      <w:pPr>
        <w:pStyle w:val="ManualHeading2"/>
        <w:rPr>
          <w:rFonts w:eastAsia="Arial Unicode MS"/>
          <w:noProof/>
          <w:u w:color="000000"/>
          <w:bdr w:val="nil"/>
        </w:rPr>
      </w:pPr>
      <w:r>
        <w:rPr>
          <w:noProof/>
        </w:rPr>
        <w:t>•</w:t>
      </w:r>
      <w:r>
        <w:rPr>
          <w:noProof/>
        </w:rPr>
        <w:tab/>
        <w:t>Dokumenty wyjaśniające (w przypadku dyrektyw)</w:t>
      </w:r>
    </w:p>
    <w:p>
      <w:pPr>
        <w:pBdr>
          <w:top w:val="nil"/>
          <w:left w:val="nil"/>
          <w:bottom w:val="nil"/>
          <w:right w:val="nil"/>
          <w:between w:val="nil"/>
          <w:bar w:val="nil"/>
        </w:pBdr>
        <w:spacing w:before="0" w:after="240"/>
        <w:rPr>
          <w:rFonts w:eastAsia="Arial Unicode MS"/>
          <w:noProof/>
        </w:rPr>
      </w:pPr>
      <w:r>
        <w:rPr>
          <w:noProof/>
        </w:rPr>
        <w:t>[nie dotyczy]</w:t>
      </w:r>
    </w:p>
    <w:p>
      <w:pPr>
        <w:pStyle w:val="ManualHeading2"/>
        <w:rPr>
          <w:rFonts w:eastAsia="Arial Unicode MS"/>
          <w:noProof/>
          <w:u w:color="000000"/>
          <w:bdr w:val="nil"/>
        </w:rPr>
      </w:pPr>
      <w:r>
        <w:rPr>
          <w:noProof/>
        </w:rPr>
        <w:t>•</w:t>
      </w:r>
      <w:r>
        <w:rPr>
          <w:noProof/>
        </w:rPr>
        <w:tab/>
        <w:t>Szczegółowe objaśnienia poszczególnych przepisów wniosku</w:t>
      </w:r>
    </w:p>
    <w:p>
      <w:pPr>
        <w:pBdr>
          <w:top w:val="nil"/>
          <w:left w:val="nil"/>
          <w:bottom w:val="nil"/>
          <w:right w:val="nil"/>
          <w:between w:val="nil"/>
          <w:bar w:val="nil"/>
        </w:pBdr>
        <w:spacing w:before="0" w:after="240"/>
        <w:rPr>
          <w:noProof/>
        </w:rPr>
      </w:pPr>
      <w:r>
        <w:rPr>
          <w:noProof/>
        </w:rPr>
        <w:t>Przewodniczący</w:t>
      </w:r>
    </w:p>
    <w:p>
      <w:pPr>
        <w:pBdr>
          <w:top w:val="nil"/>
          <w:left w:val="nil"/>
          <w:bottom w:val="nil"/>
          <w:right w:val="nil"/>
          <w:between w:val="nil"/>
          <w:bar w:val="nil"/>
        </w:pBdr>
        <w:spacing w:before="0" w:after="240"/>
        <w:rPr>
          <w:noProof/>
        </w:rPr>
      </w:pPr>
      <w:r>
        <w:rPr>
          <w:noProof/>
        </w:rPr>
        <w:t>W ramach obecnej struktury organizacyjnej Europejskiej Radzie Ryzyka Systemowego przewodniczy prezes EBC. Dzięki prezesowi EBC jako przewodniczącemu ERRS zyskała autorytet i wiarygodność, a także mogła skutecznie opierać się i polegać na wiedzy eksperckiej EBC w dziedzinie stabilności finansowej. Z tego względu proponuje się, aby prezes EBC przewodniczył ERRS na stałe.</w:t>
      </w:r>
    </w:p>
    <w:p>
      <w:pPr>
        <w:pBdr>
          <w:top w:val="nil"/>
          <w:left w:val="nil"/>
          <w:bottom w:val="nil"/>
          <w:right w:val="nil"/>
          <w:between w:val="nil"/>
          <w:bar w:val="nil"/>
        </w:pBdr>
        <w:spacing w:before="0" w:after="240"/>
        <w:rPr>
          <w:noProof/>
        </w:rPr>
      </w:pPr>
      <w:r>
        <w:rPr>
          <w:noProof/>
        </w:rPr>
        <w:t>Sekretariat ERRS</w:t>
      </w:r>
    </w:p>
    <w:p>
      <w:pPr>
        <w:pBdr>
          <w:top w:val="nil"/>
          <w:left w:val="nil"/>
          <w:bottom w:val="nil"/>
          <w:right w:val="nil"/>
          <w:between w:val="nil"/>
          <w:bar w:val="nil"/>
        </w:pBdr>
        <w:spacing w:before="0" w:after="240"/>
        <w:rPr>
          <w:noProof/>
        </w:rPr>
      </w:pPr>
      <w:r>
        <w:rPr>
          <w:noProof/>
        </w:rPr>
        <w:t xml:space="preserve">Ponieważ Rada Generalna ERRS nie ma członków, w tym przewodniczącego lub wiceprzewodniczących, którzy byliby zatrudnieni w pełnym wymiarze czasu pracy, żaden członek nie może poświęcić całego swojego czasu na sprawy i obowiązki związane z ERRS. Ponadto oficjalne zadania szefa Sekretariatu ERRS są ograniczone. Może to ograniczać widoczność prac ERRS pomimo regularnego udziału przewodniczącego ERRS w przesłuchaniach Parlamentu. Rozszerzenie roli szefa Sekretariat ERRS zwiększyłoby oddziaływanie i skuteczność ostrzeżeń i zaleceń. </w:t>
      </w:r>
    </w:p>
    <w:p>
      <w:pPr>
        <w:pBdr>
          <w:top w:val="nil"/>
          <w:left w:val="nil"/>
          <w:bottom w:val="nil"/>
          <w:right w:val="nil"/>
          <w:between w:val="nil"/>
          <w:bar w:val="nil"/>
        </w:pBdr>
        <w:spacing w:before="0" w:after="240"/>
        <w:rPr>
          <w:noProof/>
        </w:rPr>
      </w:pPr>
      <w:r>
        <w:rPr>
          <w:noProof/>
        </w:rPr>
        <w:t>Niniejszy wniosek ma na celu wprowadzenie procedury konsultacji, w ramach której Rada Generalna oceniałaby kandydatów zaproponowanych przez EBC na stanowisko szefa Sekretariatu ERRS, w szczególności ich kwalifikacje i doświadczenie niezbędne do zarządzania Sekretariatem. Parlament i Rada byłyby informowane o tej procedurze. Pozwoliłoby to zachować związek z EBC i utrzymać odpowiedzialność szefa Sekretariatu przed Radą Generalną. Sprawiłoby to również, że proces ten byłby bardziej przejrzysty i podniesiona zostałaby ranga szefa Sekretariatu. Proponuje się doprecyzowanie zadań powierzonych szefowi Sekretariatu, w tym możliwość delegowania na niego przez przewodniczącego zadania polegającego na reprezentowaniu przewodniczącego na zewnątrz.</w:t>
      </w:r>
    </w:p>
    <w:p>
      <w:pPr>
        <w:pBdr>
          <w:top w:val="nil"/>
          <w:left w:val="nil"/>
          <w:bottom w:val="nil"/>
          <w:right w:val="nil"/>
          <w:between w:val="nil"/>
          <w:bar w:val="nil"/>
        </w:pBdr>
        <w:spacing w:before="0" w:after="240"/>
        <w:rPr>
          <w:noProof/>
        </w:rPr>
      </w:pPr>
      <w:r>
        <w:rPr>
          <w:noProof/>
        </w:rPr>
        <w:t xml:space="preserve">Skład ERRS </w:t>
      </w:r>
    </w:p>
    <w:p>
      <w:pPr>
        <w:pBdr>
          <w:top w:val="nil"/>
          <w:left w:val="nil"/>
          <w:bottom w:val="nil"/>
          <w:right w:val="nil"/>
          <w:between w:val="nil"/>
          <w:bar w:val="nil"/>
        </w:pBdr>
        <w:spacing w:before="0" w:after="240"/>
        <w:rPr>
          <w:noProof/>
        </w:rPr>
      </w:pPr>
      <w:r>
        <w:rPr>
          <w:noProof/>
        </w:rPr>
        <w:t xml:space="preserve">Niniejszy wniosek stanowi aktualizację rozporządzenia ERRS mającą na celu uwzględnienie utworzenia unii bankowej i dodanie Jednolitego Mechanizmu Nadzorczego oraz Jednolitej Rady ds. Restrukturyzacji i Uporządkowanej Likwidacji do członków Rady Generalnej ERRS posiadających prawo głosu. Należy również dokonać odpowiednich dostosowań w Doradczym Komitecie Technicznym i Komitecie Sterującym. </w:t>
      </w:r>
    </w:p>
    <w:p>
      <w:pPr>
        <w:pBdr>
          <w:top w:val="nil"/>
          <w:left w:val="nil"/>
          <w:bottom w:val="nil"/>
          <w:right w:val="nil"/>
          <w:between w:val="nil"/>
          <w:bar w:val="nil"/>
        </w:pBdr>
        <w:spacing w:before="0" w:after="240"/>
        <w:rPr>
          <w:noProof/>
        </w:rPr>
      </w:pPr>
      <w:r>
        <w:rPr>
          <w:noProof/>
        </w:rPr>
        <w:t>Adresaci ostrzeżeń i zaleceń ERRS</w:t>
      </w:r>
    </w:p>
    <w:p>
      <w:pPr>
        <w:pBdr>
          <w:top w:val="nil"/>
          <w:left w:val="nil"/>
          <w:bottom w:val="nil"/>
          <w:right w:val="nil"/>
          <w:between w:val="nil"/>
          <w:bar w:val="nil"/>
        </w:pBdr>
        <w:spacing w:before="0" w:after="240"/>
        <w:rPr>
          <w:noProof/>
        </w:rPr>
      </w:pPr>
      <w:r>
        <w:rPr>
          <w:noProof/>
        </w:rPr>
        <w:t xml:space="preserve">Proponuje się również dodanie EBC jako możliwego adresata ostrzeżeń i zaleceń ERRS w odniesieniu do zadań powierzonych mu przez rozporządzenie w sprawie Jednolitego Mechanizmu Nadzorczego (rozporządzenie (WE) nr 1024/2013), tj. w odniesieniu do zadań nadzorczych niedotyczących prowadzenia polityki pieniężnej. Rozwiązałoby to problem obecnej asymetrii polegającej na tym, że takie ostrzeżenia i zalecenia mogą być wysyłane do władz krajowych jako członków Rady Generalnej, nie są natomiast wysyłane do EBC jako właściwego lub wyznaczonego organu na szczeblu unii bankowej. </w:t>
      </w:r>
    </w:p>
    <w:p>
      <w:pPr>
        <w:pBdr>
          <w:top w:val="nil"/>
          <w:left w:val="nil"/>
          <w:bottom w:val="nil"/>
          <w:right w:val="nil"/>
          <w:between w:val="nil"/>
          <w:bar w:val="nil"/>
        </w:pBdr>
        <w:spacing w:before="0" w:after="240"/>
        <w:rPr>
          <w:noProof/>
        </w:rPr>
      </w:pPr>
      <w:r>
        <w:rPr>
          <w:noProof/>
        </w:rPr>
        <w:t>Lepsze stanowienie prawa</w:t>
      </w:r>
    </w:p>
    <w:p>
      <w:pPr>
        <w:rPr>
          <w:noProof/>
        </w:rPr>
      </w:pPr>
      <w:r>
        <w:rPr>
          <w:noProof/>
        </w:rPr>
        <w:t>Zgodnie z zasadami lepszego stanowienia prawa i w stosownych przypadkach komitety doradcze ERRS powinny konsultować się w sprawie swoich opinii, zaleceń i decyzji z zainteresowanymi stronami, takimi jak uczestnicy rynku, organizacje konsumentów i eksperci.</w:t>
      </w:r>
    </w:p>
    <w:p>
      <w:pPr>
        <w:rPr>
          <w:noProof/>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2017/0232 (COD)</w:t>
      </w:r>
    </w:p>
    <w:p>
      <w:pPr>
        <w:pStyle w:val="Statut"/>
        <w:rPr>
          <w:noProof/>
        </w:rPr>
      </w:pPr>
      <w:r>
        <w:rPr>
          <w:noProof/>
        </w:rPr>
        <w:t>Wniosek</w:t>
      </w:r>
    </w:p>
    <w:p>
      <w:pPr>
        <w:pStyle w:val="Typedudocument"/>
        <w:rPr>
          <w:noProof/>
        </w:rPr>
      </w:pPr>
      <w:r>
        <w:rPr>
          <w:noProof/>
        </w:rPr>
        <w:t>ROZPORZĄDZENIE PARLAMENTU EUROPEJSKIEGO I RADY</w:t>
      </w:r>
    </w:p>
    <w:p>
      <w:pPr>
        <w:pStyle w:val="Titreobjet"/>
        <w:rPr>
          <w:noProof/>
        </w:rPr>
      </w:pPr>
      <w:r>
        <w:rPr>
          <w:noProof/>
        </w:rPr>
        <w:t>zmieniające rozporządzenie (UE) nr 1092/2010 w sprawie unijnego nadzoru makroostrożnościowego nad systemem finansowym i ustanowienia Europejskiej Rady ds. Ryzyka Systemowego</w:t>
      </w:r>
    </w:p>
    <w:p>
      <w:pPr>
        <w:pStyle w:val="IntrtEEE"/>
        <w:rPr>
          <w:noProof/>
        </w:rPr>
      </w:pPr>
      <w:r>
        <w:rPr>
          <w:noProof/>
        </w:rPr>
        <w:t>(Tekst mający znaczenie dla EOG)</w:t>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114,</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3"/>
      </w:r>
      <w:r>
        <w:rPr>
          <w:noProof/>
        </w:rPr>
        <w:t>,</w:t>
      </w:r>
    </w:p>
    <w:p>
      <w:pPr>
        <w:rPr>
          <w:noProof/>
        </w:rPr>
      </w:pPr>
      <w:r>
        <w:rPr>
          <w:noProof/>
        </w:rPr>
        <w:t>stanowiąc zgodnie ze zwykłą procedurą ustawodawczą,</w:t>
      </w:r>
    </w:p>
    <w:p>
      <w:pPr>
        <w:rPr>
          <w:noProof/>
        </w:rPr>
      </w:pPr>
    </w:p>
    <w:p>
      <w:pPr>
        <w:rPr>
          <w:noProof/>
        </w:rPr>
      </w:pPr>
      <w:r>
        <w:rPr>
          <w:noProof/>
        </w:rPr>
        <w:t>a także mając na uwadze, co następuje:</w:t>
      </w:r>
    </w:p>
    <w:p>
      <w:pPr>
        <w:pStyle w:val="ManualConsidrant"/>
        <w:rPr>
          <w:noProof/>
        </w:rPr>
      </w:pPr>
      <w:r>
        <w:rPr>
          <w:noProof/>
        </w:rPr>
        <w:t>(1)</w:t>
      </w:r>
      <w:r>
        <w:rPr>
          <w:noProof/>
        </w:rPr>
        <w:tab/>
        <w:t>Zgodnie z art. 20 rozporządzenia (UE) nr 1092/2010</w:t>
      </w:r>
      <w:r>
        <w:rPr>
          <w:rStyle w:val="FootnoteReference"/>
          <w:noProof/>
        </w:rPr>
        <w:footnoteReference w:id="4"/>
      </w:r>
      <w:r>
        <w:rPr>
          <w:noProof/>
        </w:rPr>
        <w:t xml:space="preserve"> (rozporządzenie w sprawie ERRS), Parlament Europejski i Rada, na podstawie sprawozdania</w:t>
      </w:r>
      <w:r>
        <w:rPr>
          <w:rStyle w:val="FootnoteReference"/>
          <w:noProof/>
        </w:rPr>
        <w:footnoteReference w:id="5"/>
      </w:r>
      <w:r>
        <w:rPr>
          <w:noProof/>
        </w:rPr>
        <w:t xml:space="preserve"> Komisji, przeprowadziły analizę rozporządzenia w sprawie ERRS, aby ustalić, czy misja i struktura organizacyjna ERRS nie wymagają przeglądu. Zbadano również zasady wyznaczania przewodniczącego ERRS.</w:t>
      </w:r>
    </w:p>
    <w:p>
      <w:pPr>
        <w:pStyle w:val="ManualConsidrant"/>
        <w:rPr>
          <w:noProof/>
        </w:rPr>
      </w:pPr>
      <w:r>
        <w:rPr>
          <w:noProof/>
        </w:rPr>
        <w:t>(2)</w:t>
      </w:r>
      <w:r>
        <w:rPr>
          <w:noProof/>
        </w:rPr>
        <w:tab/>
        <w:t>W sprawozdaniu Komisji z 2017 r. w sprawie misji i struktury organizacyjnej ERRS</w:t>
      </w:r>
      <w:r>
        <w:rPr>
          <w:rStyle w:val="FootnoteReference"/>
          <w:noProof/>
        </w:rPr>
        <w:footnoteReference w:id="6"/>
      </w:r>
      <w:r>
        <w:rPr>
          <w:noProof/>
        </w:rPr>
        <w:t xml:space="preserve"> stwierdzono, że choć generalnie ERRS funkcjonuje dobrze, konieczne są usprawnienia w konkretnych obszarach.</w:t>
      </w:r>
    </w:p>
    <w:p>
      <w:pPr>
        <w:pStyle w:val="ManualConsidrant"/>
        <w:rPr>
          <w:noProof/>
        </w:rPr>
      </w:pPr>
      <w:r>
        <w:rPr>
          <w:noProof/>
        </w:rPr>
        <w:t>(3)</w:t>
      </w:r>
      <w:r>
        <w:rPr>
          <w:noProof/>
        </w:rPr>
        <w:tab/>
        <w:t>Dużym atutem jest liczne grono członków Rady Generalnej ERRS. W składzie Rady Generalnej nie znajdują jednak odzwierciedlenia najnowsze zmiany w zakresie struktury nadzoru finansowego w Unii, w szczególności utworzenie unii bankowej. Z tego powodu przewodniczący Rady ds. Nadzoru EBC oraz przewodniczący Jednolitej Rady ds. Restrukturyzacji i Uporządkowanej Likwidacji powinni stać się członkami Rady Generalnej ERRS posiadającymi prawo głosu. Należy także dokonać odpowiednich dostosowań w Komitecie Sterującym i Doradczym Komitecie Technicznym.</w:t>
      </w:r>
    </w:p>
    <w:p>
      <w:pPr>
        <w:pStyle w:val="ManualConsidrant"/>
        <w:rPr>
          <w:noProof/>
        </w:rPr>
      </w:pPr>
      <w:r>
        <w:rPr>
          <w:noProof/>
        </w:rPr>
        <w:t>(4)</w:t>
      </w:r>
      <w:r>
        <w:rPr>
          <w:noProof/>
        </w:rPr>
        <w:tab/>
        <w:t>Prezes EBC przewodniczył ERRS przez pierwsze 5 lat jej istnienia, po którym to okresie prezes EBC nadal jej przewodniczy na zasadzie tymczasowej. W tym czasie dzięki prezesowi EBC Europejska Rada ds. Ryzyka Systemowego zyskała autorytet i wiarygodność, a także mogła skutecznie opierać się i polegać na wiedzy eksperckiej EBC w dziedzinie stabilności finansowej. Z tego względu właściwe jest, aby prezes EBC przewodniczył ERRS na stałe.</w:t>
      </w:r>
    </w:p>
    <w:p>
      <w:pPr>
        <w:pStyle w:val="ManualConsidrant"/>
        <w:rPr>
          <w:noProof/>
        </w:rPr>
      </w:pPr>
      <w:r>
        <w:rPr>
          <w:noProof/>
        </w:rPr>
        <w:t>(5)</w:t>
      </w:r>
      <w:r>
        <w:rPr>
          <w:noProof/>
        </w:rPr>
        <w:tab/>
        <w:t xml:space="preserve">Aby zwiększyć widoczność ERRS jako organu odrębnego od swoich poszczególnych członków, przewodniczący ERRS powinien mieć możliwość delegowania zadań związanych z zewnętrzną reprezentacją ERRS na szefa Sekretariatu ERRS. </w:t>
      </w:r>
    </w:p>
    <w:p>
      <w:pPr>
        <w:pStyle w:val="ManualConsidrant"/>
        <w:rPr>
          <w:noProof/>
        </w:rPr>
      </w:pPr>
      <w:r>
        <w:rPr>
          <w:noProof/>
        </w:rPr>
        <w:t>(6)</w:t>
      </w:r>
      <w:r>
        <w:rPr>
          <w:noProof/>
        </w:rPr>
        <w:tab/>
        <w:t>Art. 3 ust. 2 rozporządzenia Rady (UE) nr 1096/2010</w:t>
      </w:r>
      <w:r>
        <w:rPr>
          <w:rStyle w:val="FootnoteReference"/>
          <w:noProof/>
        </w:rPr>
        <w:footnoteReference w:id="7"/>
      </w:r>
      <w:r>
        <w:rPr>
          <w:noProof/>
        </w:rPr>
        <w:t xml:space="preserve"> stanowi, że szef Sekretariatu ERRS jest powoływany przez EBC w porozumieniu z Radą Generalną ERRS. Aby podnieść rangę szefa Sekretariatu ERRS, Rada Generalna ERRS powinna ocenić, w drodze otwartej i przejrzystej procedury, czy wyselekcjonowani kandydaci na stanowisko szefa Sekretariatu ERRS posiadają kwalifikacje i doświadczenie niezbędne do zarządzania Sekretariatem ERRS. O tej procedurze oceny Rada Generalna powinna poinformować Parlament Europejski i Radę. Ponadto należy sprecyzować zadania szefa Sekretariatu ERRS.</w:t>
      </w:r>
    </w:p>
    <w:p>
      <w:pPr>
        <w:pStyle w:val="ManualConsidrant"/>
        <w:rPr>
          <w:noProof/>
        </w:rPr>
      </w:pPr>
      <w:r>
        <w:rPr>
          <w:noProof/>
        </w:rPr>
        <w:t>(7)</w:t>
      </w:r>
      <w:r>
        <w:rPr>
          <w:noProof/>
        </w:rPr>
        <w:tab/>
        <w:t>Zgodnie z art. 5 ust. 2 rozporządzenia (UE) nr 1092/2010 pierwszy wiceprzewodniczący ERRS był dotychczas wybierany przez i spośród członków Rady Ogólnej EBC, z uwzględnieniem konieczności zapewnienia zrównoważonej reprezentacji państw członkowskich ogółem oraz państw członkowskich, których walutą jest euro i których walutą nie jest euro. Po utworzeniu unii bankowej należy zastąpić odniesienie do państw członkowskich, których walutą jest euro i których walutą nie jest euro, odniesieniem do państw członkowskich, które uczestniczą w unii bankowej, oraz państw członkowskich, które w niej nie uczestniczą.</w:t>
      </w:r>
    </w:p>
    <w:p>
      <w:pPr>
        <w:pStyle w:val="ManualConsidrant"/>
        <w:rPr>
          <w:noProof/>
        </w:rPr>
      </w:pPr>
      <w:r>
        <w:rPr>
          <w:noProof/>
        </w:rPr>
        <w:t>(8)</w:t>
      </w:r>
      <w:r>
        <w:rPr>
          <w:noProof/>
        </w:rPr>
        <w:tab/>
        <w:t>W związku ze zmianą Porozumienia o Europejskim Obszarze Gospodarczym (EOG)</w:t>
      </w:r>
      <w:r>
        <w:rPr>
          <w:rStyle w:val="FootnoteReference"/>
          <w:noProof/>
        </w:rPr>
        <w:footnoteReference w:id="8"/>
      </w:r>
      <w:r>
        <w:rPr>
          <w:noProof/>
        </w:rPr>
        <w:t xml:space="preserve">, a w szczególności w związku z przyjęciem rozporządzenia (UE) nr 1092/2010 przez państwa członkowskie EOG, art. 9 ust. 5 tego rozporządzenia nie ma już zastosowania i powinien zostać skreślony. </w:t>
      </w:r>
    </w:p>
    <w:p>
      <w:pPr>
        <w:pStyle w:val="ManualConsidrant"/>
        <w:rPr>
          <w:noProof/>
        </w:rPr>
      </w:pPr>
      <w:r>
        <w:rPr>
          <w:noProof/>
        </w:rPr>
        <w:t>(9)</w:t>
      </w:r>
      <w:r>
        <w:rPr>
          <w:noProof/>
        </w:rPr>
        <w:tab/>
        <w:t>Aby zmniejszyć koszty i zwiększyć skuteczność proceduralną, liczbę przedstawicieli Komisji w Doradczym Komitecie Technicznym ERRS należy zmniejszyć z obecnych dwóch przedstawicieli do jednego przedstawiciela.</w:t>
      </w:r>
    </w:p>
    <w:p>
      <w:pPr>
        <w:pStyle w:val="ManualConsidrant"/>
        <w:rPr>
          <w:noProof/>
        </w:rPr>
      </w:pPr>
      <w:r>
        <w:rPr>
          <w:noProof/>
        </w:rPr>
        <w:t>(10)</w:t>
      </w:r>
      <w:r>
        <w:rPr>
          <w:noProof/>
        </w:rPr>
        <w:tab/>
        <w:t>Art. 16 ust. 3 rozporządzenia (UE) nr 1092/2010 zawiera wymóg, aby ostrzeżenia i zalecenia ERRS były przekazywane Radzie i Komisji, a jeżeli są skierowane do co najmniej jednego krajowego organu nadzoru – również Europejskim Urzędom Nadzoru. Aby wzmocnić kontrolę demokratyczną i zwiększyć przejrzystość, wspomniane ostrzeżenia i zalecenia powinny być również przekazywane Parlamentowi Europejskiemu oraz Europejskim Urzędom Nadzoru.</w:t>
      </w:r>
    </w:p>
    <w:p>
      <w:pPr>
        <w:pStyle w:val="ManualConsidrant"/>
        <w:rPr>
          <w:noProof/>
        </w:rPr>
      </w:pPr>
      <w:r>
        <w:rPr>
          <w:noProof/>
        </w:rPr>
        <w:t>(11)</w:t>
      </w:r>
      <w:r>
        <w:rPr>
          <w:noProof/>
        </w:rPr>
        <w:tab/>
        <w:t>Aby zapewnić jakość i adekwatność opinii, zaleceń i decyzji ERRS, Doradczy Komitet Techniczny oraz Doradczy Komitet Naukowy powinny w stosownych przypadkach zasięgać opinii zainteresowanych stron, na wczesnym etapie oraz w sposób otwarty i przejrzysty.</w:t>
      </w:r>
    </w:p>
    <w:p>
      <w:pPr>
        <w:pStyle w:val="ManualConsidrant"/>
        <w:rPr>
          <w:noProof/>
        </w:rPr>
      </w:pPr>
      <w:r>
        <w:rPr>
          <w:noProof/>
        </w:rPr>
        <w:t>(12)</w:t>
      </w:r>
      <w:r>
        <w:rPr>
          <w:noProof/>
        </w:rPr>
        <w:tab/>
        <w:t>Należy zatem odpowiednio zmienić rozporządzenie (UE) nr 1092/2010,</w:t>
      </w:r>
    </w:p>
    <w:p>
      <w:pPr>
        <w:rPr>
          <w:noProof/>
        </w:rPr>
      </w:pPr>
    </w:p>
    <w:p>
      <w:pPr>
        <w:pStyle w:val="Formuledadoption"/>
        <w:rPr>
          <w:noProof/>
        </w:rPr>
      </w:pPr>
      <w:r>
        <w:rPr>
          <w:noProof/>
        </w:rPr>
        <w:t>PRZYJMUJĄ NINIEJSZE ROZPORZĄDZENIE:</w:t>
      </w:r>
    </w:p>
    <w:p>
      <w:pPr>
        <w:pStyle w:val="Titrearticle"/>
        <w:rPr>
          <w:noProof/>
        </w:rPr>
      </w:pPr>
      <w:r>
        <w:rPr>
          <w:noProof/>
        </w:rPr>
        <w:t>Artykuł 1</w:t>
      </w:r>
    </w:p>
    <w:p>
      <w:pPr>
        <w:rPr>
          <w:noProof/>
        </w:rPr>
      </w:pPr>
      <w:r>
        <w:rPr>
          <w:noProof/>
        </w:rPr>
        <w:t>W rozporządzeniu (UE) nr 1092/2010 wprowadza się następujące zmiany:</w:t>
      </w:r>
    </w:p>
    <w:p>
      <w:pPr>
        <w:tabs>
          <w:tab w:val="left" w:pos="567"/>
        </w:tabs>
        <w:rPr>
          <w:noProof/>
        </w:rPr>
      </w:pPr>
      <w:r>
        <w:rPr>
          <w:noProof/>
        </w:rPr>
        <w:t>1)</w:t>
      </w:r>
      <w:r>
        <w:rPr>
          <w:noProof/>
        </w:rPr>
        <w:tab/>
        <w:t>w art. 4 wprowadza się następujące zmiany:</w:t>
      </w:r>
    </w:p>
    <w:p>
      <w:pPr>
        <w:ind w:left="1134" w:hanging="567"/>
        <w:rPr>
          <w:noProof/>
        </w:rPr>
      </w:pPr>
      <w:r>
        <w:rPr>
          <w:noProof/>
        </w:rPr>
        <w:t>a)</w:t>
      </w:r>
      <w:r>
        <w:rPr>
          <w:noProof/>
        </w:rPr>
        <w:tab/>
        <w:t>dodaje się ust. 2a w brzmieniu:</w:t>
      </w:r>
    </w:p>
    <w:p>
      <w:pPr>
        <w:tabs>
          <w:tab w:val="left" w:pos="1701"/>
        </w:tabs>
        <w:ind w:left="1134"/>
        <w:rPr>
          <w:noProof/>
        </w:rPr>
      </w:pPr>
      <w:r>
        <w:rPr>
          <w:noProof/>
        </w:rPr>
        <w:t>„2a.</w:t>
      </w:r>
      <w:r>
        <w:rPr>
          <w:noProof/>
        </w:rPr>
        <w:tab/>
        <w:t>W ramach konsultacji dotyczących mianowania szefa Sekretariatu ERRS zgodnie z art. 3 ust. 2 rozporządzenia Rady (UE) nr 1096/2010* Rada Generalna powinna ocenić, w drodze otwartej i przejrzystej procedury, czy wyselekcjonowani kandydaci na stanowisko szefa Sekretariatu ERRS posiadają kwalifikacje i doświadczenie niezbędne do zarządzania Sekretariatem ERRS. O procedurze konsultacji Rada Generalna informuje Parlament Europejski i Radę.</w:t>
      </w:r>
    </w:p>
    <w:p>
      <w:pPr>
        <w:tabs>
          <w:tab w:val="left" w:pos="1701"/>
        </w:tabs>
        <w:ind w:left="1134"/>
        <w:rPr>
          <w:rFonts w:eastAsia="Times New Roman"/>
          <w:noProof/>
          <w:sz w:val="20"/>
          <w:szCs w:val="20"/>
        </w:rPr>
      </w:pPr>
      <w:r>
        <w:rPr>
          <w:noProof/>
          <w:sz w:val="20"/>
        </w:rPr>
        <w:t>*</w:t>
      </w:r>
      <w:r>
        <w:rPr>
          <w:noProof/>
        </w:rPr>
        <w:tab/>
      </w:r>
      <w:r>
        <w:rPr>
          <w:noProof/>
          <w:sz w:val="20"/>
        </w:rPr>
        <w:t>Rozporządzenie Rady (UE) nr 1096/2010 z dnia 17 listopada 2010 r. w sprawie powierzenia Europejskiemu Bankowi Centralnemu szczególnych zadań w zakresie funkcjonowania Europejskiej Rady ds. Ryzyka Systemowego (Dz.U. L 331 z 15.12.2010, s. 162).”;</w:t>
      </w:r>
    </w:p>
    <w:p>
      <w:pPr>
        <w:tabs>
          <w:tab w:val="left" w:pos="1701"/>
        </w:tabs>
        <w:ind w:left="1134"/>
        <w:rPr>
          <w:rFonts w:eastAsia="Times New Roman"/>
          <w:noProof/>
          <w:sz w:val="20"/>
          <w:szCs w:val="20"/>
        </w:rPr>
      </w:pPr>
      <w:r>
        <w:rPr>
          <w:noProof/>
          <w:sz w:val="20"/>
        </w:rPr>
        <w:t>_______________________________________________________________________________</w:t>
      </w:r>
    </w:p>
    <w:p>
      <w:pPr>
        <w:ind w:left="1134" w:hanging="567"/>
        <w:rPr>
          <w:noProof/>
        </w:rPr>
      </w:pPr>
      <w:r>
        <w:rPr>
          <w:noProof/>
        </w:rPr>
        <w:t>b)</w:t>
      </w:r>
      <w:r>
        <w:rPr>
          <w:noProof/>
        </w:rPr>
        <w:tab/>
        <w:t>dodaje się ust. 3a w brzmieniu:</w:t>
      </w:r>
    </w:p>
    <w:p>
      <w:pPr>
        <w:tabs>
          <w:tab w:val="left" w:pos="1701"/>
        </w:tabs>
        <w:ind w:left="1134"/>
        <w:rPr>
          <w:noProof/>
        </w:rPr>
      </w:pPr>
      <w:r>
        <w:rPr>
          <w:noProof/>
        </w:rPr>
        <w:t>„3a.</w:t>
      </w:r>
      <w:r>
        <w:rPr>
          <w:noProof/>
        </w:rPr>
        <w:tab/>
        <w:t>Przekazując wskazówki szefowi Sekretariatu ERRS zgodnie z art. 4 ust. 1 rozporządzenia Rady (UE) nr 1096/2010, przewodniczący ERRS i Komitet Sterujący mogą w szczególności poruszać następujące kwestie:</w:t>
      </w:r>
    </w:p>
    <w:p>
      <w:pPr>
        <w:ind w:left="1701" w:hanging="567"/>
        <w:rPr>
          <w:noProof/>
        </w:rPr>
      </w:pPr>
      <w:r>
        <w:rPr>
          <w:noProof/>
        </w:rPr>
        <w:t>a)</w:t>
      </w:r>
      <w:r>
        <w:rPr>
          <w:noProof/>
        </w:rPr>
        <w:tab/>
        <w:t>bieżące zarządzanie Sekretariatem ERRS;</w:t>
      </w:r>
    </w:p>
    <w:p>
      <w:pPr>
        <w:ind w:left="1701" w:hanging="567"/>
        <w:rPr>
          <w:noProof/>
        </w:rPr>
      </w:pPr>
      <w:r>
        <w:rPr>
          <w:noProof/>
        </w:rPr>
        <w:t>b)</w:t>
      </w:r>
      <w:r>
        <w:rPr>
          <w:noProof/>
        </w:rPr>
        <w:tab/>
        <w:t>wszelkie kwestie administracyjne i budżetowe związane z sekretariatem ERRS;</w:t>
      </w:r>
    </w:p>
    <w:p>
      <w:pPr>
        <w:ind w:left="1701" w:hanging="567"/>
        <w:rPr>
          <w:noProof/>
        </w:rPr>
      </w:pPr>
      <w:r>
        <w:rPr>
          <w:noProof/>
        </w:rPr>
        <w:t>c)</w:t>
      </w:r>
      <w:r>
        <w:rPr>
          <w:noProof/>
        </w:rPr>
        <w:tab/>
        <w:t>koordynacja i przygotowywanie prac Rady Generalnej oraz podejmowanie przez nią decyzji;</w:t>
      </w:r>
    </w:p>
    <w:p>
      <w:pPr>
        <w:ind w:left="1701" w:hanging="567"/>
        <w:rPr>
          <w:noProof/>
        </w:rPr>
      </w:pPr>
      <w:r>
        <w:rPr>
          <w:noProof/>
        </w:rPr>
        <w:t>d)</w:t>
      </w:r>
      <w:r>
        <w:rPr>
          <w:noProof/>
        </w:rPr>
        <w:tab/>
        <w:t>przygotowanie wniosku dotyczącego rocznego programu ERRS oraz realizacja tego programu;</w:t>
      </w:r>
    </w:p>
    <w:p>
      <w:pPr>
        <w:ind w:left="1701" w:hanging="567"/>
        <w:rPr>
          <w:noProof/>
        </w:rPr>
      </w:pPr>
      <w:r>
        <w:rPr>
          <w:noProof/>
        </w:rPr>
        <w:t>e)</w:t>
      </w:r>
      <w:r>
        <w:rPr>
          <w:noProof/>
        </w:rPr>
        <w:tab/>
        <w:t>przygotowanie rocznego sprawozdania z działalności ERRS i składanie sprawozdań z jego wykonania Radzie Generalnej.”;</w:t>
      </w:r>
    </w:p>
    <w:p>
      <w:pPr>
        <w:tabs>
          <w:tab w:val="left" w:pos="567"/>
        </w:tabs>
        <w:rPr>
          <w:noProof/>
        </w:rPr>
      </w:pPr>
      <w:r>
        <w:rPr>
          <w:noProof/>
        </w:rPr>
        <w:t>2)</w:t>
      </w:r>
      <w:r>
        <w:rPr>
          <w:noProof/>
        </w:rPr>
        <w:tab/>
        <w:t>w art. 5 wprowadza się następujące zmiany:</w:t>
      </w:r>
    </w:p>
    <w:p>
      <w:pPr>
        <w:ind w:left="1134" w:hanging="567"/>
        <w:rPr>
          <w:noProof/>
        </w:rPr>
      </w:pPr>
      <w:r>
        <w:rPr>
          <w:noProof/>
        </w:rPr>
        <w:t>a)</w:t>
      </w:r>
      <w:r>
        <w:rPr>
          <w:noProof/>
        </w:rPr>
        <w:tab/>
        <w:t>ust. 1 i 2 otrzymują brzmienie:</w:t>
      </w:r>
    </w:p>
    <w:p>
      <w:pPr>
        <w:tabs>
          <w:tab w:val="left" w:pos="1701"/>
        </w:tabs>
        <w:ind w:left="1134"/>
        <w:rPr>
          <w:noProof/>
        </w:rPr>
      </w:pPr>
      <w:r>
        <w:rPr>
          <w:noProof/>
        </w:rPr>
        <w:t>„1.</w:t>
      </w:r>
      <w:r>
        <w:rPr>
          <w:noProof/>
        </w:rPr>
        <w:tab/>
        <w:t>Europejskiej Radzie ds. Ryzyka Systemowego przewodniczy prezes EBC.</w:t>
      </w:r>
    </w:p>
    <w:p>
      <w:pPr>
        <w:tabs>
          <w:tab w:val="left" w:pos="1701"/>
        </w:tabs>
        <w:ind w:left="1134"/>
        <w:rPr>
          <w:rFonts w:eastAsia="Times New Roman"/>
          <w:noProof/>
          <w:szCs w:val="24"/>
        </w:rPr>
      </w:pPr>
      <w:r>
        <w:rPr>
          <w:noProof/>
        </w:rPr>
        <w:t>2.</w:t>
      </w:r>
      <w:r>
        <w:rPr>
          <w:noProof/>
        </w:rPr>
        <w:tab/>
        <w:t>Pierwszy wiceprzewodniczący jest wybierany przez i spośród członków Rady Ogólnej EBC na okres pięciu lat, z uwzględnieniem konieczności zapewnienia zrównoważonej reprezentacji państw członkowskich ogółem oraz przy zapewnieniu równowagi między tymi państwami, które są uczestniczącymi państwami członkowskimi zgodnie z definicją określoną w art. 2 ust. 1 rozporządzenia Rady (UE) nr 1024/2013**, a tymi, które takimi państwami nie są. Pierwszy wiceprzewodniczący może zostać jednokrotnie ponownie wybrany na kolejną kadencję.</w:t>
      </w:r>
    </w:p>
    <w:p>
      <w:pPr>
        <w:ind w:left="1134"/>
        <w:rPr>
          <w:rFonts w:eastAsia="Times New Roman"/>
          <w:noProof/>
          <w:szCs w:val="24"/>
        </w:rPr>
      </w:pPr>
      <w:r>
        <w:rPr>
          <w:noProof/>
        </w:rPr>
        <w:t>__________________________________________________________________</w:t>
      </w:r>
    </w:p>
    <w:p>
      <w:pPr>
        <w:ind w:left="1701" w:hanging="567"/>
        <w:rPr>
          <w:rFonts w:eastAsia="Times New Roman"/>
          <w:noProof/>
          <w:sz w:val="20"/>
          <w:szCs w:val="20"/>
        </w:rPr>
      </w:pPr>
      <w:r>
        <w:rPr>
          <w:noProof/>
          <w:sz w:val="20"/>
        </w:rPr>
        <w:t>**</w:t>
      </w:r>
      <w:r>
        <w:rPr>
          <w:noProof/>
        </w:rPr>
        <w:tab/>
      </w:r>
      <w:r>
        <w:rPr>
          <w:noProof/>
          <w:sz w:val="20"/>
        </w:rPr>
        <w:t>Rozporządzenie Rady (UE) nr 1024/2013 z dnia 15 października 2013 r. powierzające Europejskiemu Bankowi Centralnemu szczególne zadania w odniesieniu do polityki związanej z nadzorem ostrożnościowym nad instytucjami kredytowymi (Dz.U. L 287 z 29.10.2013, s. 63).”;</w:t>
      </w:r>
    </w:p>
    <w:p>
      <w:pPr>
        <w:ind w:left="1134" w:hanging="567"/>
        <w:rPr>
          <w:rFonts w:eastAsia="Times New Roman"/>
          <w:noProof/>
          <w:szCs w:val="24"/>
        </w:rPr>
      </w:pPr>
      <w:r>
        <w:rPr>
          <w:noProof/>
        </w:rPr>
        <w:t>b)</w:t>
      </w:r>
      <w:r>
        <w:rPr>
          <w:noProof/>
        </w:rPr>
        <w:tab/>
        <w:t>ust. 8 otrzymuje brzmienie:</w:t>
      </w:r>
    </w:p>
    <w:p>
      <w:pPr>
        <w:tabs>
          <w:tab w:val="left" w:pos="1701"/>
        </w:tabs>
        <w:ind w:left="1134"/>
        <w:rPr>
          <w:rFonts w:eastAsia="Times New Roman"/>
          <w:noProof/>
          <w:szCs w:val="24"/>
        </w:rPr>
      </w:pPr>
      <w:r>
        <w:rPr>
          <w:noProof/>
        </w:rPr>
        <w:t>„8.</w:t>
      </w:r>
      <w:r>
        <w:rPr>
          <w:noProof/>
        </w:rPr>
        <w:tab/>
        <w:t>Przewodniczący reprezentuje ERRS na zewnątrz. Przewodniczący może delegować zadania związane z zewnętrzną reprezentacją ERRS na rzecz szefa Sekretariatu.”;</w:t>
      </w:r>
    </w:p>
    <w:p>
      <w:pPr>
        <w:tabs>
          <w:tab w:val="left" w:pos="567"/>
        </w:tabs>
        <w:rPr>
          <w:noProof/>
        </w:rPr>
      </w:pPr>
      <w:r>
        <w:rPr>
          <w:noProof/>
        </w:rPr>
        <w:t>3)</w:t>
      </w:r>
      <w:r>
        <w:rPr>
          <w:noProof/>
        </w:rPr>
        <w:tab/>
        <w:t>w art. 6 wprowadza się następujące zmiany:</w:t>
      </w:r>
    </w:p>
    <w:p>
      <w:pPr>
        <w:ind w:left="1134" w:hanging="567"/>
        <w:rPr>
          <w:noProof/>
        </w:rPr>
      </w:pPr>
      <w:r>
        <w:rPr>
          <w:noProof/>
        </w:rPr>
        <w:t>a)</w:t>
      </w:r>
      <w:r>
        <w:rPr>
          <w:noProof/>
        </w:rPr>
        <w:tab/>
        <w:t>w ust. 1 wprowadza się następujące zmiany:</w:t>
      </w:r>
    </w:p>
    <w:p>
      <w:pPr>
        <w:ind w:left="1701" w:hanging="567"/>
        <w:rPr>
          <w:noProof/>
        </w:rPr>
      </w:pPr>
      <w:r>
        <w:rPr>
          <w:noProof/>
        </w:rPr>
        <w:t>(i)</w:t>
      </w:r>
      <w:r>
        <w:rPr>
          <w:noProof/>
        </w:rPr>
        <w:tab/>
        <w:t>dodaje się lit. fa) i fb) w brzmieniu:</w:t>
      </w:r>
    </w:p>
    <w:p>
      <w:pPr>
        <w:ind w:left="2268" w:hanging="567"/>
        <w:rPr>
          <w:rFonts w:eastAsia="Times New Roman"/>
          <w:noProof/>
          <w:szCs w:val="24"/>
        </w:rPr>
      </w:pPr>
      <w:r>
        <w:rPr>
          <w:noProof/>
        </w:rPr>
        <w:t>„fa)</w:t>
      </w:r>
      <w:r>
        <w:rPr>
          <w:noProof/>
        </w:rPr>
        <w:tab/>
        <w:t>przewodniczący Rady ds. Nadzoru EBC;</w:t>
      </w:r>
    </w:p>
    <w:p>
      <w:pPr>
        <w:ind w:left="2268" w:hanging="567"/>
        <w:rPr>
          <w:rFonts w:eastAsia="Times New Roman"/>
          <w:noProof/>
          <w:szCs w:val="24"/>
        </w:rPr>
      </w:pPr>
      <w:r>
        <w:rPr>
          <w:noProof/>
        </w:rPr>
        <w:t>fb)</w:t>
      </w:r>
      <w:r>
        <w:rPr>
          <w:noProof/>
        </w:rPr>
        <w:tab/>
        <w:t>przewodniczący Jednolitej Rady ds. Restrukturyzacji i Uporządkowanej Likwidacji;”;</w:t>
      </w:r>
    </w:p>
    <w:p>
      <w:pPr>
        <w:ind w:left="1701" w:hanging="567"/>
        <w:rPr>
          <w:rFonts w:eastAsia="Times New Roman"/>
          <w:noProof/>
          <w:szCs w:val="24"/>
        </w:rPr>
      </w:pPr>
      <w:r>
        <w:rPr>
          <w:noProof/>
        </w:rPr>
        <w:t>(ii)</w:t>
      </w:r>
      <w:r>
        <w:rPr>
          <w:noProof/>
        </w:rPr>
        <w:tab/>
        <w:t>lit. g) otrzymuje brzmienie:</w:t>
      </w:r>
    </w:p>
    <w:p>
      <w:pPr>
        <w:ind w:left="2268" w:hanging="567"/>
        <w:rPr>
          <w:rFonts w:eastAsia="Times New Roman"/>
          <w:noProof/>
          <w:szCs w:val="24"/>
        </w:rPr>
      </w:pPr>
      <w:r>
        <w:rPr>
          <w:noProof/>
        </w:rPr>
        <w:t xml:space="preserve">„g) </w:t>
      </w:r>
      <w:r>
        <w:rPr>
          <w:noProof/>
        </w:rPr>
        <w:tab/>
        <w:t>przewodniczący Doradczego Komitetu Naukowego;”;</w:t>
      </w:r>
    </w:p>
    <w:p>
      <w:pPr>
        <w:ind w:left="1134" w:hanging="567"/>
        <w:rPr>
          <w:rFonts w:eastAsia="Times New Roman"/>
          <w:noProof/>
          <w:szCs w:val="24"/>
        </w:rPr>
      </w:pPr>
      <w:r>
        <w:rPr>
          <w:noProof/>
        </w:rPr>
        <w:t>b)</w:t>
      </w:r>
      <w:r>
        <w:rPr>
          <w:noProof/>
        </w:rPr>
        <w:tab/>
        <w:t>w ust. 2 wprowadza się następujące zmiany:</w:t>
      </w:r>
    </w:p>
    <w:p>
      <w:pPr>
        <w:ind w:left="1701" w:hanging="567"/>
        <w:rPr>
          <w:noProof/>
        </w:rPr>
      </w:pPr>
      <w:r>
        <w:rPr>
          <w:noProof/>
        </w:rPr>
        <w:t>(i)</w:t>
      </w:r>
      <w:r>
        <w:rPr>
          <w:noProof/>
        </w:rPr>
        <w:tab/>
        <w:t>lit. a) otrzymuje brzmienie:</w:t>
      </w:r>
    </w:p>
    <w:p>
      <w:pPr>
        <w:ind w:left="2268" w:hanging="567"/>
        <w:rPr>
          <w:rFonts w:eastAsia="Times New Roman"/>
          <w:noProof/>
          <w:szCs w:val="24"/>
        </w:rPr>
      </w:pPr>
      <w:r>
        <w:rPr>
          <w:noProof/>
        </w:rPr>
        <w:t>„a)</w:t>
      </w:r>
      <w:r>
        <w:rPr>
          <w:noProof/>
        </w:rPr>
        <w:tab/>
        <w:t>jeden przedstawiciel wysokiego szczebla z każdego państwa członkowskiego reprezentujący albo właściwe organy krajowe albo krajowe organy wyznaczone do stosowania środków służących ograniczaniu ryzyka systemowego lub makroostrożnościowego, zgodnie z ust. 3;”;</w:t>
      </w:r>
    </w:p>
    <w:p>
      <w:pPr>
        <w:ind w:left="1134" w:hanging="567"/>
        <w:rPr>
          <w:rFonts w:eastAsia="Times New Roman"/>
          <w:noProof/>
          <w:szCs w:val="24"/>
        </w:rPr>
      </w:pPr>
      <w:r>
        <w:rPr>
          <w:noProof/>
        </w:rPr>
        <w:t>c)</w:t>
      </w:r>
      <w:r>
        <w:rPr>
          <w:noProof/>
        </w:rPr>
        <w:tab/>
        <w:t>ust. 3 otrzymuje brzmienie:</w:t>
      </w:r>
    </w:p>
    <w:p>
      <w:pPr>
        <w:tabs>
          <w:tab w:val="left" w:pos="1701"/>
        </w:tabs>
        <w:ind w:left="1134"/>
        <w:rPr>
          <w:rFonts w:eastAsia="Times New Roman"/>
          <w:noProof/>
          <w:szCs w:val="24"/>
        </w:rPr>
      </w:pPr>
      <w:r>
        <w:rPr>
          <w:noProof/>
        </w:rPr>
        <w:t>„3.</w:t>
      </w:r>
      <w:r>
        <w:rPr>
          <w:noProof/>
        </w:rPr>
        <w:tab/>
        <w:t>W odniesieniu do reprezentacji krajowych organów, o których mowa w ust. 2 lit. a), właściwy przedstawiciel wysokiego szczebla z każdego państwa członkowskiego podlega rotacji w zależności od omawianej sprawy, chyba że krajowe organy z poszczególnych państw członkowskich zgodziły się na wspólnego przedstawiciela.”;</w:t>
      </w:r>
    </w:p>
    <w:p>
      <w:pPr>
        <w:ind w:left="567" w:hanging="567"/>
        <w:rPr>
          <w:rFonts w:eastAsia="Times New Roman"/>
          <w:noProof/>
          <w:szCs w:val="24"/>
        </w:rPr>
      </w:pPr>
      <w:r>
        <w:rPr>
          <w:noProof/>
        </w:rPr>
        <w:t>4)</w:t>
      </w:r>
      <w:r>
        <w:rPr>
          <w:noProof/>
        </w:rPr>
        <w:tab/>
        <w:t xml:space="preserve">w art. 9 skreśla się ust. 5; </w:t>
      </w:r>
    </w:p>
    <w:p>
      <w:pPr>
        <w:ind w:left="567" w:hanging="567"/>
        <w:rPr>
          <w:rFonts w:eastAsia="Times New Roman"/>
          <w:noProof/>
          <w:szCs w:val="24"/>
        </w:rPr>
      </w:pPr>
      <w:r>
        <w:rPr>
          <w:noProof/>
        </w:rPr>
        <w:t>5)</w:t>
      </w:r>
      <w:r>
        <w:rPr>
          <w:noProof/>
        </w:rPr>
        <w:tab/>
        <w:t>w art. 11 wprowadza się następujące zmiany:</w:t>
      </w:r>
    </w:p>
    <w:p>
      <w:pPr>
        <w:ind w:left="1134" w:hanging="567"/>
        <w:rPr>
          <w:rFonts w:eastAsia="Times New Roman"/>
          <w:noProof/>
          <w:szCs w:val="24"/>
        </w:rPr>
      </w:pPr>
      <w:r>
        <w:rPr>
          <w:noProof/>
        </w:rPr>
        <w:t>a)</w:t>
      </w:r>
      <w:r>
        <w:rPr>
          <w:noProof/>
        </w:rPr>
        <w:tab/>
        <w:t>w ust. 1 wprowadza się następujące zmiany:</w:t>
      </w:r>
    </w:p>
    <w:p>
      <w:pPr>
        <w:ind w:left="1701" w:hanging="567"/>
        <w:rPr>
          <w:rFonts w:eastAsia="Times New Roman"/>
          <w:noProof/>
          <w:szCs w:val="24"/>
        </w:rPr>
      </w:pPr>
      <w:r>
        <w:rPr>
          <w:noProof/>
        </w:rPr>
        <w:t>(i)</w:t>
      </w:r>
      <w:r>
        <w:rPr>
          <w:noProof/>
        </w:rPr>
        <w:tab/>
        <w:t>lit. c) otrzymuje brzmienie:</w:t>
      </w:r>
    </w:p>
    <w:p>
      <w:pPr>
        <w:ind w:left="2268" w:hanging="567"/>
        <w:rPr>
          <w:rFonts w:eastAsia="Times New Roman"/>
          <w:noProof/>
          <w:szCs w:val="24"/>
        </w:rPr>
      </w:pPr>
      <w:r>
        <w:rPr>
          <w:noProof/>
        </w:rPr>
        <w:t>„c)</w:t>
      </w:r>
      <w:r>
        <w:rPr>
          <w:noProof/>
        </w:rPr>
        <w:tab/>
        <w:t xml:space="preserve"> czterech innych członków Rady Generalnej będących jednocześnie członkami Rady Ogólnej EBC, z uwzględnieniem konieczności zapewnienia zrównoważonej reprezentacji państw członkowskich ogółem oraz przy zapewnieniu równowagi między tymi państwami, które są uczestniczącymi państwami członkowskimi zgodnie z definicją określoną w art. 2 ust. 1 rozporządzenia Rady (UE) nr 1024/2013**, a tymi, które takimi państwami nie są. Członkowie ci są wybierani na trzyletnią kadencję przez i spośród członków Rady Generalnej będących jednocześnie członkami Rady Ogólnej EBC;”;</w:t>
      </w:r>
    </w:p>
    <w:p>
      <w:pPr>
        <w:ind w:left="1701" w:hanging="567"/>
        <w:rPr>
          <w:rFonts w:eastAsia="Times New Roman"/>
          <w:noProof/>
          <w:szCs w:val="24"/>
        </w:rPr>
      </w:pPr>
      <w:r>
        <w:rPr>
          <w:noProof/>
        </w:rPr>
        <w:t>(ii)</w:t>
      </w:r>
      <w:r>
        <w:rPr>
          <w:noProof/>
        </w:rPr>
        <w:tab/>
        <w:t>dodaje się lit. ga) i gb) w brzmieniu:</w:t>
      </w:r>
    </w:p>
    <w:p>
      <w:pPr>
        <w:ind w:left="2268" w:hanging="567"/>
        <w:rPr>
          <w:rFonts w:eastAsia="Times New Roman"/>
          <w:noProof/>
          <w:szCs w:val="24"/>
        </w:rPr>
      </w:pPr>
      <w:r>
        <w:rPr>
          <w:noProof/>
        </w:rPr>
        <w:t>„ga)</w:t>
      </w:r>
      <w:r>
        <w:rPr>
          <w:noProof/>
        </w:rPr>
        <w:tab/>
        <w:t>przewodniczący Rady ds. Nadzoru EBC;</w:t>
      </w:r>
    </w:p>
    <w:p>
      <w:pPr>
        <w:ind w:left="2268" w:hanging="567"/>
        <w:rPr>
          <w:rFonts w:eastAsia="Times New Roman"/>
          <w:noProof/>
          <w:szCs w:val="24"/>
        </w:rPr>
      </w:pPr>
      <w:r>
        <w:rPr>
          <w:noProof/>
        </w:rPr>
        <w:t>gb)</w:t>
      </w:r>
      <w:r>
        <w:rPr>
          <w:noProof/>
        </w:rPr>
        <w:tab/>
        <w:t>przewodniczący Jednolitej Rady ds. Restrukturyzacji i Uporządkowanej Likwidacji;”;</w:t>
      </w:r>
    </w:p>
    <w:p>
      <w:pPr>
        <w:tabs>
          <w:tab w:val="left" w:pos="567"/>
        </w:tabs>
        <w:rPr>
          <w:rFonts w:eastAsia="Times New Roman"/>
          <w:noProof/>
          <w:szCs w:val="24"/>
        </w:rPr>
      </w:pPr>
      <w:r>
        <w:rPr>
          <w:noProof/>
        </w:rPr>
        <w:t>6)</w:t>
      </w:r>
      <w:r>
        <w:rPr>
          <w:noProof/>
        </w:rPr>
        <w:tab/>
        <w:t>w art. 12 wprowadza się następujące zmiany:</w:t>
      </w:r>
    </w:p>
    <w:p>
      <w:pPr>
        <w:ind w:left="1134" w:hanging="567"/>
        <w:rPr>
          <w:rFonts w:eastAsia="Times New Roman"/>
          <w:noProof/>
          <w:szCs w:val="24"/>
        </w:rPr>
      </w:pPr>
      <w:r>
        <w:rPr>
          <w:noProof/>
        </w:rPr>
        <w:t>a)</w:t>
      </w:r>
      <w:r>
        <w:rPr>
          <w:noProof/>
        </w:rPr>
        <w:tab/>
        <w:t>ust. 5 otrzymuje brzmienie:</w:t>
      </w:r>
    </w:p>
    <w:p>
      <w:pPr>
        <w:tabs>
          <w:tab w:val="left" w:pos="1701"/>
        </w:tabs>
        <w:ind w:left="1134"/>
        <w:rPr>
          <w:rFonts w:eastAsia="Times New Roman"/>
          <w:noProof/>
          <w:szCs w:val="24"/>
        </w:rPr>
      </w:pPr>
      <w:r>
        <w:rPr>
          <w:noProof/>
        </w:rPr>
        <w:t>„5.</w:t>
      </w:r>
      <w:r>
        <w:rPr>
          <w:noProof/>
        </w:rPr>
        <w:tab/>
        <w:t>W stosownych przypadkach Doradczy Komitet Naukowy organizuje konsultacje z zainteresowanymi stronami, na wczesnym etapie oraz w sposób jawny i otwarty, mając jednocześnie na uwadze wymóg poufności.”;</w:t>
      </w:r>
    </w:p>
    <w:p>
      <w:pPr>
        <w:tabs>
          <w:tab w:val="left" w:pos="567"/>
        </w:tabs>
        <w:rPr>
          <w:rFonts w:eastAsia="Times New Roman"/>
          <w:noProof/>
          <w:szCs w:val="24"/>
        </w:rPr>
      </w:pPr>
      <w:r>
        <w:rPr>
          <w:noProof/>
        </w:rPr>
        <w:t xml:space="preserve"> 7)</w:t>
      </w:r>
      <w:r>
        <w:rPr>
          <w:noProof/>
        </w:rPr>
        <w:tab/>
        <w:t>w art. 13 wprowadza się następujące zmiany:</w:t>
      </w:r>
    </w:p>
    <w:p>
      <w:pPr>
        <w:ind w:left="1134" w:hanging="567"/>
        <w:rPr>
          <w:rFonts w:eastAsia="Times New Roman"/>
          <w:noProof/>
          <w:szCs w:val="24"/>
        </w:rPr>
      </w:pPr>
      <w:r>
        <w:rPr>
          <w:noProof/>
        </w:rPr>
        <w:t>a)</w:t>
      </w:r>
      <w:r>
        <w:rPr>
          <w:noProof/>
        </w:rPr>
        <w:tab/>
        <w:t>w ust. 1 wprowadza się następujące zmiany:</w:t>
      </w:r>
    </w:p>
    <w:p>
      <w:pPr>
        <w:ind w:left="1701" w:hanging="567"/>
        <w:rPr>
          <w:rFonts w:eastAsia="Times New Roman"/>
          <w:noProof/>
          <w:szCs w:val="24"/>
        </w:rPr>
      </w:pPr>
      <w:r>
        <w:rPr>
          <w:noProof/>
        </w:rPr>
        <w:t>(i)</w:t>
      </w:r>
      <w:r>
        <w:rPr>
          <w:noProof/>
        </w:rPr>
        <w:tab/>
        <w:t>lit. f) otrzymuje brzmienie:</w:t>
      </w:r>
    </w:p>
    <w:p>
      <w:pPr>
        <w:ind w:left="2268" w:hanging="567"/>
        <w:rPr>
          <w:rFonts w:eastAsia="Times New Roman"/>
          <w:noProof/>
          <w:szCs w:val="24"/>
        </w:rPr>
      </w:pPr>
      <w:r>
        <w:rPr>
          <w:noProof/>
        </w:rPr>
        <w:t>„f)</w:t>
      </w:r>
      <w:r>
        <w:rPr>
          <w:noProof/>
        </w:rPr>
        <w:tab/>
        <w:t>przedstawiciel Komisji;”;</w:t>
      </w:r>
    </w:p>
    <w:p>
      <w:pPr>
        <w:ind w:left="1701" w:hanging="567"/>
        <w:rPr>
          <w:rFonts w:eastAsia="Times New Roman"/>
          <w:noProof/>
          <w:szCs w:val="24"/>
        </w:rPr>
      </w:pPr>
      <w:r>
        <w:rPr>
          <w:noProof/>
        </w:rPr>
        <w:t>(ii)</w:t>
      </w:r>
      <w:r>
        <w:rPr>
          <w:noProof/>
        </w:rPr>
        <w:tab/>
        <w:t>dodaje się lit. fa) i fb) w brzmieniu:</w:t>
      </w:r>
    </w:p>
    <w:p>
      <w:pPr>
        <w:ind w:left="2268" w:hanging="567"/>
        <w:rPr>
          <w:rFonts w:eastAsia="Times New Roman"/>
          <w:noProof/>
          <w:szCs w:val="24"/>
        </w:rPr>
      </w:pPr>
      <w:r>
        <w:rPr>
          <w:noProof/>
        </w:rPr>
        <w:t>„fa)</w:t>
      </w:r>
      <w:r>
        <w:rPr>
          <w:noProof/>
        </w:rPr>
        <w:tab/>
        <w:t>przedstawiciel Rady ds. Nadzoru EBC;</w:t>
      </w:r>
    </w:p>
    <w:p>
      <w:pPr>
        <w:ind w:left="2268" w:hanging="567"/>
        <w:rPr>
          <w:rFonts w:eastAsia="Times New Roman"/>
          <w:noProof/>
          <w:szCs w:val="24"/>
        </w:rPr>
      </w:pPr>
      <w:r>
        <w:rPr>
          <w:noProof/>
        </w:rPr>
        <w:t>fb)</w:t>
      </w:r>
      <w:r>
        <w:rPr>
          <w:noProof/>
        </w:rPr>
        <w:tab/>
        <w:t>przedstawiciel Jednolitej Rady ds. Restrukturyzacji i Uporządkowanej Likwidacji;”;</w:t>
      </w:r>
    </w:p>
    <w:p>
      <w:pPr>
        <w:ind w:left="1134" w:hanging="567"/>
        <w:rPr>
          <w:rFonts w:eastAsia="Times New Roman"/>
          <w:noProof/>
          <w:szCs w:val="24"/>
        </w:rPr>
      </w:pPr>
      <w:r>
        <w:rPr>
          <w:noProof/>
        </w:rPr>
        <w:t>b)</w:t>
      </w:r>
      <w:r>
        <w:rPr>
          <w:noProof/>
        </w:rPr>
        <w:tab/>
        <w:t>dodaje się ust. 4a w brzmieniu:</w:t>
      </w:r>
    </w:p>
    <w:p>
      <w:pPr>
        <w:tabs>
          <w:tab w:val="left" w:pos="1701"/>
        </w:tabs>
        <w:ind w:left="1134"/>
        <w:rPr>
          <w:rFonts w:eastAsia="Times New Roman"/>
          <w:noProof/>
          <w:szCs w:val="24"/>
        </w:rPr>
      </w:pPr>
      <w:r>
        <w:rPr>
          <w:noProof/>
        </w:rPr>
        <w:t>„4a.</w:t>
      </w:r>
      <w:r>
        <w:rPr>
          <w:noProof/>
        </w:rPr>
        <w:tab/>
        <w:t>W stosownych przypadkach Doradczy Komitet Techniczny organizuje konsultacje z zainteresowanymi stronami, na wczesnym etapie oraz w sposób jawny i otwarty, mając jednocześnie na uwadze wymóg poufności.”;</w:t>
      </w:r>
    </w:p>
    <w:p>
      <w:pPr>
        <w:tabs>
          <w:tab w:val="left" w:pos="567"/>
        </w:tabs>
        <w:rPr>
          <w:rFonts w:eastAsia="Times New Roman"/>
          <w:noProof/>
          <w:szCs w:val="24"/>
        </w:rPr>
      </w:pPr>
      <w:r>
        <w:rPr>
          <w:noProof/>
        </w:rPr>
        <w:t>8)</w:t>
      </w:r>
      <w:r>
        <w:rPr>
          <w:noProof/>
        </w:rPr>
        <w:tab/>
        <w:t>w art. 16 wprowadza się następujące zmiany:</w:t>
      </w:r>
    </w:p>
    <w:p>
      <w:pPr>
        <w:ind w:left="1134" w:hanging="567"/>
        <w:rPr>
          <w:rFonts w:eastAsia="Times New Roman"/>
          <w:noProof/>
          <w:szCs w:val="24"/>
        </w:rPr>
      </w:pPr>
      <w:r>
        <w:rPr>
          <w:noProof/>
        </w:rPr>
        <w:t>a)</w:t>
      </w:r>
      <w:r>
        <w:rPr>
          <w:noProof/>
        </w:rPr>
        <w:tab/>
        <w:t>ust. 2 zdanie pierwsze otrzymuje następujące brzmienie:</w:t>
      </w:r>
    </w:p>
    <w:p>
      <w:pPr>
        <w:ind w:left="1134"/>
        <w:rPr>
          <w:rFonts w:eastAsia="Times New Roman"/>
          <w:noProof/>
          <w:szCs w:val="24"/>
        </w:rPr>
      </w:pPr>
      <w:r>
        <w:rPr>
          <w:noProof/>
        </w:rPr>
        <w:t>„Ostrzeżenia lub zalecenia wydawane przez ERRS zgodnie z art. 3 ust. 2 lit. c) i d) mogą mieć charakter ogólny lub szczegółowy i są kierowane w szczególności do całej Unii, do co najmniej jednego państwa członkowskiego, do co najmniej jednego z Europejskich Urzędów Nadzoru, do co najmniej jednego z właściwych organów krajowych lub do EBC w odniesieniu do zadań powierzonych EBC zgodnie z art. 4 ust. 1 i 2 oraz art. 5 ust. 2 rozporządzenia (UE) nr 1024/2013.”;</w:t>
      </w:r>
    </w:p>
    <w:p>
      <w:pPr>
        <w:ind w:left="1134" w:hanging="567"/>
        <w:rPr>
          <w:rFonts w:eastAsia="Times New Roman"/>
          <w:noProof/>
          <w:szCs w:val="24"/>
        </w:rPr>
      </w:pPr>
      <w:r>
        <w:rPr>
          <w:noProof/>
        </w:rPr>
        <w:t>b)</w:t>
      </w:r>
      <w:r>
        <w:rPr>
          <w:noProof/>
        </w:rPr>
        <w:tab/>
        <w:t>ust. 3 otrzymuje brzmienie:</w:t>
      </w:r>
    </w:p>
    <w:p>
      <w:pPr>
        <w:tabs>
          <w:tab w:val="left" w:pos="1701"/>
        </w:tabs>
        <w:ind w:left="1134"/>
        <w:rPr>
          <w:rFonts w:eastAsia="Times New Roman"/>
          <w:noProof/>
          <w:szCs w:val="24"/>
        </w:rPr>
      </w:pPr>
      <w:r>
        <w:rPr>
          <w:noProof/>
        </w:rPr>
        <w:t>„3.</w:t>
      </w:r>
      <w:r>
        <w:rPr>
          <w:noProof/>
        </w:rPr>
        <w:tab/>
        <w:t xml:space="preserve">Ostrzeżenia lub zalecenia przekazywane adresatom zgodnie z ust. 2 są zgodnie z zasadami ścisłej poufności jednocześnie przekazywane również Radzie, Parlamentowi Europejskiemu, Komisji oraz Europejskim Urzędom Nadzoru.”; </w:t>
      </w:r>
    </w:p>
    <w:p>
      <w:pPr>
        <w:tabs>
          <w:tab w:val="left" w:pos="567"/>
        </w:tabs>
        <w:rPr>
          <w:rFonts w:eastAsia="Times New Roman"/>
          <w:noProof/>
          <w:szCs w:val="24"/>
        </w:rPr>
      </w:pPr>
      <w:r>
        <w:rPr>
          <w:noProof/>
        </w:rPr>
        <w:t>9)</w:t>
      </w:r>
      <w:r>
        <w:rPr>
          <w:noProof/>
        </w:rPr>
        <w:tab/>
        <w:t>art. 17 ust. 1 i 2 otrzymują brzmienie:</w:t>
      </w:r>
    </w:p>
    <w:p>
      <w:pPr>
        <w:tabs>
          <w:tab w:val="left" w:pos="1701"/>
        </w:tabs>
        <w:ind w:left="1134"/>
        <w:rPr>
          <w:rFonts w:eastAsia="Times New Roman"/>
          <w:noProof/>
          <w:szCs w:val="24"/>
        </w:rPr>
      </w:pPr>
      <w:r>
        <w:rPr>
          <w:noProof/>
        </w:rPr>
        <w:t>„1.</w:t>
      </w:r>
      <w:r>
        <w:rPr>
          <w:noProof/>
        </w:rPr>
        <w:tab/>
        <w:t>W przypadku gdy zalecenie, o którym mowa w art. 3 ust. 2 lit. d), jest kierowane do Komisji, do co najmniej jednego państwa członkowskiego, do co najmniej jednego Europejskiego Urzędu Nadzoru lub do co najmniej jednego właściwego organu krajowego, adresaci są zobowiązani poinformować Parlament Europejski, Radę i ERRS o działaniach podjętych w odpowiedzi na zalecenie i uzasadnić ewentualny brak działania. W stosownych przypadkach Europejskie Urzędy Nadzoru są – z zastrzeżeniem zasad ścisłej poufności – bezzwłocznie informowane przez ERRS o otrzymanych odpowiedziach.”;</w:t>
      </w:r>
    </w:p>
    <w:p>
      <w:pPr>
        <w:tabs>
          <w:tab w:val="left" w:pos="1701"/>
        </w:tabs>
        <w:ind w:left="1134"/>
        <w:rPr>
          <w:rFonts w:eastAsia="Times New Roman"/>
          <w:noProof/>
          <w:szCs w:val="24"/>
        </w:rPr>
      </w:pPr>
      <w:r>
        <w:rPr>
          <w:noProof/>
        </w:rPr>
        <w:t>2.</w:t>
      </w:r>
      <w:r>
        <w:rPr>
          <w:noProof/>
        </w:rPr>
        <w:tab/>
        <w:t>W przypadku gdy ERRS ustali, że jej zalecenie nie zostało wykonane, a adresaci nie wyjaśnili odpowiednio swojego braku działania, ERRS informuje o tym – z zastrzeżeniem zasad ścisłej poufności – adresatów, Parlament Europejski, Radę oraz właściwe Europejskie Urzędy Nadzoru.”;</w:t>
      </w:r>
    </w:p>
    <w:p>
      <w:pPr>
        <w:ind w:left="567" w:hanging="567"/>
        <w:rPr>
          <w:rFonts w:eastAsia="Times New Roman"/>
          <w:noProof/>
          <w:szCs w:val="24"/>
        </w:rPr>
      </w:pPr>
      <w:r>
        <w:rPr>
          <w:noProof/>
        </w:rPr>
        <w:t>10)</w:t>
      </w:r>
      <w:r>
        <w:rPr>
          <w:noProof/>
        </w:rPr>
        <w:tab/>
        <w:t>art. 20 otrzymuje brzmienie:</w:t>
      </w:r>
    </w:p>
    <w:p>
      <w:pPr>
        <w:ind w:left="567"/>
        <w:rPr>
          <w:rFonts w:eastAsia="Times New Roman"/>
          <w:noProof/>
          <w:szCs w:val="24"/>
        </w:rPr>
      </w:pPr>
      <w:r>
        <w:rPr>
          <w:noProof/>
        </w:rPr>
        <w:t xml:space="preserve">„Nie wcześniej niż pięć lat po dniu [OJ, please insert the date of entering into force] Komisja dokonuje przeglądu niniejszego rozporządzenia i przedstawia sprawozdanie na temat jego głównych wniosków Parlamentowi Europejskiemu, Radzie i Europejskiemu Komitetowi Ekonomiczno-Społecznemu.”. </w:t>
      </w:r>
    </w:p>
    <w:p>
      <w:pPr>
        <w:pStyle w:val="Titrearticle"/>
        <w:rPr>
          <w:noProof/>
        </w:rPr>
      </w:pPr>
      <w:r>
        <w:rPr>
          <w:noProof/>
        </w:rPr>
        <w:t>Artykuł 2</w:t>
      </w:r>
    </w:p>
    <w:p>
      <w:pPr>
        <w:rPr>
          <w:noProof/>
        </w:rPr>
      </w:pPr>
      <w:r>
        <w:rPr>
          <w:noProof/>
        </w:rPr>
        <w:t>Niniejsze rozporządzenie wchodzi w życie […] dnia po jego opublikowaniu w </w:t>
      </w:r>
      <w:r>
        <w:rPr>
          <w:i/>
          <w:noProof/>
        </w:rPr>
        <w:t>Dzienniku Urzędowym Unii Europejskiej.</w:t>
      </w:r>
    </w:p>
    <w:p>
      <w:pPr>
        <w:pStyle w:val="Applicationdirecte"/>
        <w:rPr>
          <w:noProof/>
        </w:rPr>
      </w:pPr>
      <w:r>
        <w:rPr>
          <w:noProof/>
        </w:rPr>
        <w:t>Niniejsze rozporządzenie wiąże w całości i jest bezpośrednio stosowane we wszystkich państwach członkowskich.</w:t>
      </w:r>
    </w:p>
    <w:p>
      <w:pPr>
        <w:pStyle w:val="Fait"/>
        <w:rPr>
          <w:noProof/>
        </w:rPr>
      </w:pPr>
      <w:r>
        <w:rPr>
          <w:noProof/>
        </w:rPr>
        <w:t>Sporządzono w Brukseli dnia  r.</w:t>
      </w:r>
    </w:p>
    <w:p>
      <w:pPr>
        <w:pStyle w:val="Institutionquisigne"/>
        <w:rPr>
          <w:noProof/>
        </w:rPr>
      </w:pPr>
      <w:r>
        <w:rPr>
          <w:noProof/>
        </w:rPr>
        <w:t>W imieniu Parlamentu Europejskiego</w:t>
      </w:r>
      <w:r>
        <w:rPr>
          <w:noProof/>
        </w:rPr>
        <w:tab/>
        <w:t>W imieniu Rady</w:t>
      </w:r>
    </w:p>
    <w:p>
      <w:pPr>
        <w:pStyle w:val="Personnequisigne"/>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Raport de Larosière’a (raport końcowy przedstawiony w dniu 25 lutego 2009 r.) zalecał ustanowienie unijnego nadzoru nad ryzykiem w systemie finansowym jako całości.</w:t>
      </w:r>
    </w:p>
  </w:footnote>
  <w:footnote w:id="3">
    <w:p>
      <w:pPr>
        <w:pStyle w:val="FootnoteText"/>
        <w:ind w:left="567" w:hanging="567"/>
      </w:pPr>
      <w:r>
        <w:rPr>
          <w:rStyle w:val="FootnoteReference"/>
        </w:rPr>
        <w:footnoteRef/>
      </w:r>
      <w:r>
        <w:tab/>
        <w:t>Dz.U. C z, s. .</w:t>
      </w:r>
    </w:p>
  </w:footnote>
  <w:footnote w:id="4">
    <w:p>
      <w:pPr>
        <w:pStyle w:val="FootnoteText"/>
        <w:ind w:left="567" w:hanging="567"/>
      </w:pPr>
      <w:r>
        <w:rPr>
          <w:rStyle w:val="FootnoteReference"/>
        </w:rPr>
        <w:footnoteRef/>
      </w:r>
      <w:r>
        <w:tab/>
        <w:t>Rozporządzenie Parlamentu Europejskiego i Rady (UE) nr 1092/2010 z dnia 24 listopada 2010 r. w sprawie unijnego nadzoru makroostrożnościowego nad systemem finansowym i ustanowienia Europejskiej Rady ds. Ryzyka Systemowego (Dz.U. L 331 z 15.12.2010, s. 1).</w:t>
      </w:r>
    </w:p>
  </w:footnote>
  <w:footnote w:id="5">
    <w:p>
      <w:pPr>
        <w:pStyle w:val="FootnoteText"/>
        <w:ind w:left="567" w:hanging="567"/>
      </w:pPr>
      <w:r>
        <w:rPr>
          <w:rStyle w:val="FootnoteReference"/>
        </w:rPr>
        <w:footnoteRef/>
      </w:r>
      <w:r>
        <w:tab/>
        <w:t>Sprawozdanie Komisji dla Parlamentu Europejskiego i Rady w sprawie celów i organizacji Europejskiej Rady ds. Ryzyka Systemowego (ERRS), COM(2014) 508 final.</w:t>
      </w:r>
    </w:p>
  </w:footnote>
  <w:footnote w:id="6">
    <w:p>
      <w:pPr>
        <w:pStyle w:val="FootnoteText"/>
        <w:ind w:left="567" w:hanging="567"/>
        <w:jc w:val="left"/>
      </w:pPr>
      <w:r>
        <w:rPr>
          <w:rStyle w:val="FootnoteReference"/>
        </w:rPr>
        <w:footnoteRef/>
      </w:r>
      <w:r>
        <w:tab/>
        <w:t>Dokument roboczy służb Komisji, Analiza skutków, zmiana rozporządzenia w sprawie ERRS, COM(2017).</w:t>
      </w:r>
    </w:p>
  </w:footnote>
  <w:footnote w:id="7">
    <w:p>
      <w:pPr>
        <w:pStyle w:val="FootnoteText"/>
        <w:ind w:left="567" w:hanging="567"/>
      </w:pPr>
      <w:r>
        <w:rPr>
          <w:rStyle w:val="FootnoteReference"/>
        </w:rPr>
        <w:footnoteRef/>
      </w:r>
      <w:r>
        <w:tab/>
        <w:t>Rozporządzenie Rady (UE) nr 1096/2010 z dnia 17 listopada 2010 r. w sprawie powierzenia Europejskiemu Bankowi Centralnemu szczególnych zadań w zakresie funkcjonowania Europejskiej Rady ds. Ryzyka Systemowego (Dz.U. L 331 z 15.12.2010, s. 162).</w:t>
      </w:r>
    </w:p>
  </w:footnote>
  <w:footnote w:id="8">
    <w:p>
      <w:pPr>
        <w:pStyle w:val="FootnoteText"/>
        <w:ind w:left="567" w:hanging="567"/>
      </w:pPr>
      <w:r>
        <w:rPr>
          <w:rStyle w:val="FootnoteReference"/>
        </w:rPr>
        <w:footnoteRef/>
      </w:r>
      <w:r>
        <w:tab/>
        <w:t>Decyzja Wspólnego Komitetu EOG nr 198/2016 z dnia 30 września 2016 r. zmieniająca załącznik IX (Usługi finansowe) do Porozumienia EOG [2017/275] (Dz.U. L 46 z 23.2.2017,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CC48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E2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6B07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369C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B40E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F63D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EABF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7F6B6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num>
  <w:num w:numId="10">
    <w:abstractNumId w:val="17"/>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4"/>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4"/>
  </w:num>
  <w:num w:numId="34">
    <w:abstractNumId w:val="17"/>
  </w:num>
  <w:num w:numId="35">
    <w:abstractNumId w:val="18"/>
  </w:num>
  <w:num w:numId="36">
    <w:abstractNumId w:val="10"/>
  </w:num>
  <w:num w:numId="37">
    <w:abstractNumId w:val="16"/>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7 10:19: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9052EE5F8CE4D1FB9545F016ADFAB34"/>
    <w:docVar w:name="LW_CROSSREFERENCE" w:val="{SWD(2017) 313 final}"/>
    <w:docVar w:name="LW_DocType" w:val="COM"/>
    <w:docVar w:name="LW_EMISSION" w:val="20.9.2017"/>
    <w:docVar w:name="LW_EMISSION_ISODATE" w:val="2017-09-20"/>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TERETEEE.CP" w:val="(Tekst maj\u261?cy znaczenie dla EOG)"/>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232"/>
    <w:docVar w:name="LW_REF.II.NEW.CP_YEAR" w:val="2017"/>
    <w:docVar w:name="LW_REF.INST.NEW" w:val="COM"/>
    <w:docVar w:name="LW_REF.INST.NEW_ADOPTED" w:val="final"/>
    <w:docVar w:name="LW_REF.INST.NEW_TEXT" w:val="(2017) 538"/>
    <w:docVar w:name="LW_REF.INTERNE" w:val="&lt;UNUSED&gt;"/>
    <w:docVar w:name="LW_SOUS.TITRE.OBJ.CP" w:val="&lt;UNUSED&gt;"/>
    <w:docVar w:name="LW_STATUT.CP" w:val="Wniosek"/>
    <w:docVar w:name="LW_SUPERTITRE" w:val="&lt;UNUSED&gt;"/>
    <w:docVar w:name="LW_TITRE.OBJ.CP" w:val="zmieniaj\u261?ce rozporz\u261?dzenie (UE) nr 1092/2010 w sprawie unijnego nadzoru makroostro\u380?no\u347?ciowego nad systemem finansowym i ustanowienia Europejskiej Rady ds. Ryzyka Systemowego"/>
    <w:docVar w:name="LW_TYPE.DOC.CP" w:val="ROZPORZ\u260?DZENIE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pl-PL"/>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pl-PL"/>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08717">
      <w:bodyDiv w:val="1"/>
      <w:marLeft w:val="0"/>
      <w:marRight w:val="0"/>
      <w:marTop w:val="0"/>
      <w:marBottom w:val="0"/>
      <w:divBdr>
        <w:top w:val="none" w:sz="0" w:space="0" w:color="auto"/>
        <w:left w:val="none" w:sz="0" w:space="0" w:color="auto"/>
        <w:bottom w:val="none" w:sz="0" w:space="0" w:color="auto"/>
        <w:right w:val="none" w:sz="0" w:space="0" w:color="auto"/>
      </w:divBdr>
    </w:div>
    <w:div w:id="1915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777fc59-4bfd-4309-88dc-a0c9db34825d">Not Started</EC_Collab_Status>
    <EC_Collab_DocumentLanguage xmlns="9777fc59-4bfd-4309-88dc-a0c9db34825d">EN</EC_Collab_DocumentLanguage>
    <EC_Collab_Reference xmlns="9777fc59-4bfd-4309-88dc-a0c9db348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EF55457B25D324AB5A962373D51122B" ma:contentTypeVersion="12" ma:contentTypeDescription="Create a new document in this library." ma:contentTypeScope="" ma:versionID="ce20a0fec3b8eca0de618e1f293e03d1">
  <xsd:schema xmlns:xsd="http://www.w3.org/2001/XMLSchema" xmlns:xs="http://www.w3.org/2001/XMLSchema" xmlns:p="http://schemas.microsoft.com/office/2006/metadata/properties" xmlns:ns3="9777fc59-4bfd-4309-88dc-a0c9db34825d" targetNamespace="http://schemas.microsoft.com/office/2006/metadata/properties" ma:root="true" ma:fieldsID="241a214c4651a1e2d4036c5aaa3854e7" ns3:_="">
    <xsd:import namespace="9777fc59-4bfd-4309-88dc-a0c9db34825d"/>
    <xsd:element name="properties">
      <xsd:complexType>
        <xsd:sequence>
          <xsd:element name="documentManagement">
            <xsd:complexType>
              <xsd:all>
                <xsd:element ref="ns3:EC_Collab_Status"/>
                <xsd:element ref="ns3:EC_Collab_DocumentLanguage"/>
                <xsd:element ref="ns3:EC_Collab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fc59-4bfd-4309-88dc-a0c9db34825d" elementFormDefault="qualified">
    <xsd:import namespace="http://schemas.microsoft.com/office/2006/documentManagement/types"/>
    <xsd:import namespace="http://schemas.microsoft.com/office/infopath/2007/PartnerControls"/>
    <xsd:element name="EC_Collab_Status" ma:index="12"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Reference" ma:index="14" nillable="true" ma:displayName="Reference" ma:internalName="EC_Collab_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CB00-DD17-40A9-A1BA-3A019C073B01}">
  <ds:schemaRefs>
    <ds:schemaRef ds:uri="http://schemas.microsoft.com/office/2006/metadata/properties"/>
    <ds:schemaRef ds:uri="http://schemas.microsoft.com/office/infopath/2007/PartnerControls"/>
    <ds:schemaRef ds:uri="9777fc59-4bfd-4309-88dc-a0c9db34825d"/>
  </ds:schemaRefs>
</ds:datastoreItem>
</file>

<file path=customXml/itemProps2.xml><?xml version="1.0" encoding="utf-8"?>
<ds:datastoreItem xmlns:ds="http://schemas.openxmlformats.org/officeDocument/2006/customXml" ds:itemID="{62CC6D82-41CF-47C2-A5DD-36AAB184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fc59-4bfd-4309-88dc-a0c9db34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E6CBB-6688-41F2-8BA9-70E2548E3E15}">
  <ds:schemaRefs>
    <ds:schemaRef ds:uri="http://schemas.microsoft.com/sharepoint/v3/contenttype/forms"/>
  </ds:schemaRefs>
</ds:datastoreItem>
</file>

<file path=customXml/itemProps4.xml><?xml version="1.0" encoding="utf-8"?>
<ds:datastoreItem xmlns:ds="http://schemas.openxmlformats.org/officeDocument/2006/customXml" ds:itemID="{131B6B0B-0F13-4C57-B5D9-6899FBA8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3090</Words>
  <Characters>20612</Characters>
  <Application>Microsoft Office Word</Application>
  <DocSecurity>0</DocSecurity>
  <Lines>388</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2017-09-13T13:58:00Z</cp:lastPrinted>
  <dcterms:created xsi:type="dcterms:W3CDTF">2017-10-16T10:19:00Z</dcterms:created>
  <dcterms:modified xsi:type="dcterms:W3CDTF">2017-10-17T08:19:00Z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0x010100258AA79CEB83498886A3A0868112325000EEF55457B25D324AB5A962373D51122B</vt:lpwstr>
  </property>
  <property fmtid="{D5CDD505-2E9C-101B-9397-08002B2CF9AE}" pid="11" name="DQCStatus">
    <vt:lpwstr>Green (DQC version 03)</vt:lpwstr>
  </property>
</Properties>
</file>