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5E6" w:rsidRDefault="00AC6A77" w:rsidP="00AC6A77">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B1115CF7-D0E0-48CF-8463-B45044FCA3BC" style="width:450.9pt;height:361.45pt">
            <v:imagedata r:id="rId8" o:title=""/>
          </v:shape>
        </w:pict>
      </w:r>
    </w:p>
    <w:bookmarkEnd w:id="0"/>
    <w:p w:rsidR="00CA65E6" w:rsidRDefault="00CA65E6">
      <w:pPr>
        <w:rPr>
          <w:noProof/>
        </w:rPr>
        <w:sectPr w:rsidR="00CA65E6" w:rsidSect="00AC6A77">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2"/>
          <w:cols w:space="720"/>
          <w:docGrid w:linePitch="326"/>
        </w:sectPr>
      </w:pPr>
    </w:p>
    <w:p w:rsidR="00CA65E6" w:rsidRDefault="00CA65E6">
      <w:pPr>
        <w:rPr>
          <w:noProof/>
        </w:rPr>
      </w:pPr>
      <w:bookmarkStart w:id="1" w:name="_GoBack"/>
      <w:bookmarkEnd w:id="1"/>
    </w:p>
    <w:bookmarkStart w:id="2" w:name="_Toc493510413"/>
    <w:p w:rsidR="00CA65E6" w:rsidRDefault="00CB294D">
      <w:pPr>
        <w:pStyle w:val="TOC1"/>
        <w:rPr>
          <w:rFonts w:asciiTheme="minorHAnsi" w:eastAsiaTheme="minorEastAsia" w:hAnsiTheme="minorHAnsi" w:cstheme="minorBidi"/>
          <w:caps w:val="0"/>
          <w:noProof/>
          <w:sz w:val="22"/>
          <w:szCs w:val="22"/>
          <w:lang w:val="en-GB" w:eastAsia="en-GB" w:bidi="ar-SA"/>
        </w:rPr>
      </w:pPr>
      <w:r>
        <w:rPr>
          <w:b/>
          <w:caps w:val="0"/>
          <w:smallCaps/>
          <w:noProof/>
        </w:rPr>
        <w:fldChar w:fldCharType="begin"/>
      </w:r>
      <w:r>
        <w:rPr>
          <w:b/>
          <w:caps w:val="0"/>
          <w:smallCaps/>
          <w:noProof/>
        </w:rPr>
        <w:instrText xml:space="preserve"> TOC \o "1-2" \h \z \u </w:instrText>
      </w:r>
      <w:r>
        <w:rPr>
          <w:b/>
          <w:caps w:val="0"/>
          <w:smallCaps/>
          <w:noProof/>
        </w:rPr>
        <w:fldChar w:fldCharType="separate"/>
      </w:r>
      <w:hyperlink w:anchor="_Toc497132348" w:history="1">
        <w:r>
          <w:rPr>
            <w:rStyle w:val="Hyperlink"/>
            <w:noProof/>
          </w:rPr>
          <w:t>1.</w:t>
        </w:r>
        <w:r>
          <w:rPr>
            <w:rFonts w:asciiTheme="minorHAnsi" w:eastAsiaTheme="minorEastAsia" w:hAnsiTheme="minorHAnsi" w:cstheme="minorBidi"/>
            <w:caps w:val="0"/>
            <w:noProof/>
            <w:sz w:val="22"/>
            <w:szCs w:val="22"/>
            <w:lang w:val="en-GB" w:eastAsia="en-GB" w:bidi="ar-SA"/>
          </w:rPr>
          <w:tab/>
        </w:r>
        <w:r>
          <w:rPr>
            <w:rStyle w:val="Hyperlink"/>
            <w:noProof/>
          </w:rPr>
          <w:t>Inledning</w:t>
        </w:r>
        <w:r>
          <w:rPr>
            <w:noProof/>
            <w:webHidden/>
          </w:rPr>
          <w:tab/>
        </w:r>
        <w:r>
          <w:rPr>
            <w:noProof/>
            <w:webHidden/>
          </w:rPr>
          <w:fldChar w:fldCharType="begin"/>
        </w:r>
        <w:r>
          <w:rPr>
            <w:noProof/>
            <w:webHidden/>
          </w:rPr>
          <w:instrText xml:space="preserve"> PAGEREF _Toc497132348 \h </w:instrText>
        </w:r>
        <w:r>
          <w:rPr>
            <w:noProof/>
            <w:webHidden/>
          </w:rPr>
        </w:r>
        <w:r>
          <w:rPr>
            <w:noProof/>
            <w:webHidden/>
          </w:rPr>
          <w:fldChar w:fldCharType="separate"/>
        </w:r>
        <w:r>
          <w:rPr>
            <w:noProof/>
            <w:webHidden/>
          </w:rPr>
          <w:t>4</w:t>
        </w:r>
        <w:r>
          <w:rPr>
            <w:noProof/>
            <w:webHidden/>
          </w:rPr>
          <w:fldChar w:fldCharType="end"/>
        </w:r>
      </w:hyperlink>
    </w:p>
    <w:p w:rsidR="00CA65E6" w:rsidRDefault="00AC6A77">
      <w:pPr>
        <w:pStyle w:val="TOC2"/>
        <w:tabs>
          <w:tab w:val="left" w:pos="1077"/>
        </w:tabs>
        <w:rPr>
          <w:rFonts w:asciiTheme="minorHAnsi" w:eastAsiaTheme="minorEastAsia" w:hAnsiTheme="minorHAnsi" w:cstheme="minorBidi"/>
          <w:noProof/>
          <w:sz w:val="22"/>
          <w:szCs w:val="22"/>
          <w:lang w:val="en-GB" w:eastAsia="en-GB" w:bidi="ar-SA"/>
        </w:rPr>
      </w:pPr>
      <w:hyperlink w:anchor="_Toc497132349" w:history="1">
        <w:r w:rsidR="00CB294D">
          <w:rPr>
            <w:rStyle w:val="Hyperlink"/>
            <w:noProof/>
          </w:rPr>
          <w:t>1.1.</w:t>
        </w:r>
        <w:r w:rsidR="00CB294D">
          <w:rPr>
            <w:rFonts w:asciiTheme="minorHAnsi" w:eastAsiaTheme="minorEastAsia" w:hAnsiTheme="minorHAnsi" w:cstheme="minorBidi"/>
            <w:noProof/>
            <w:sz w:val="22"/>
            <w:szCs w:val="22"/>
            <w:lang w:val="en-GB" w:eastAsia="en-GB" w:bidi="ar-SA"/>
          </w:rPr>
          <w:tab/>
        </w:r>
        <w:r w:rsidR="00CB294D">
          <w:rPr>
            <w:rStyle w:val="Hyperlink"/>
            <w:noProof/>
          </w:rPr>
          <w:t>Ändamålsenlighet, öppenhet, samarbete</w:t>
        </w:r>
        <w:r w:rsidR="00CB294D">
          <w:rPr>
            <w:noProof/>
            <w:webHidden/>
          </w:rPr>
          <w:tab/>
        </w:r>
        <w:r w:rsidR="00CB294D">
          <w:rPr>
            <w:noProof/>
            <w:webHidden/>
          </w:rPr>
          <w:fldChar w:fldCharType="begin"/>
        </w:r>
        <w:r w:rsidR="00CB294D">
          <w:rPr>
            <w:noProof/>
            <w:webHidden/>
          </w:rPr>
          <w:instrText xml:space="preserve"> PAGEREF _Toc497132349 \h </w:instrText>
        </w:r>
        <w:r w:rsidR="00CB294D">
          <w:rPr>
            <w:noProof/>
            <w:webHidden/>
          </w:rPr>
        </w:r>
        <w:r w:rsidR="00CB294D">
          <w:rPr>
            <w:noProof/>
            <w:webHidden/>
          </w:rPr>
          <w:fldChar w:fldCharType="separate"/>
        </w:r>
        <w:r w:rsidR="00CB294D">
          <w:rPr>
            <w:noProof/>
            <w:webHidden/>
          </w:rPr>
          <w:t>4</w:t>
        </w:r>
        <w:r w:rsidR="00CB294D">
          <w:rPr>
            <w:noProof/>
            <w:webHidden/>
          </w:rPr>
          <w:fldChar w:fldCharType="end"/>
        </w:r>
      </w:hyperlink>
    </w:p>
    <w:p w:rsidR="00CA65E6" w:rsidRDefault="00AC6A77">
      <w:pPr>
        <w:pStyle w:val="TOC2"/>
        <w:tabs>
          <w:tab w:val="left" w:pos="1077"/>
        </w:tabs>
        <w:rPr>
          <w:rFonts w:asciiTheme="minorHAnsi" w:eastAsiaTheme="minorEastAsia" w:hAnsiTheme="minorHAnsi" w:cstheme="minorBidi"/>
          <w:noProof/>
          <w:sz w:val="22"/>
          <w:szCs w:val="22"/>
          <w:lang w:val="en-GB" w:eastAsia="en-GB" w:bidi="ar-SA"/>
        </w:rPr>
      </w:pPr>
      <w:hyperlink w:anchor="_Toc497132350" w:history="1">
        <w:r w:rsidR="00CB294D">
          <w:rPr>
            <w:rStyle w:val="Hyperlink"/>
            <w:noProof/>
          </w:rPr>
          <w:t>1.2.</w:t>
        </w:r>
        <w:r w:rsidR="00CB294D">
          <w:rPr>
            <w:rFonts w:asciiTheme="minorHAnsi" w:eastAsiaTheme="minorEastAsia" w:hAnsiTheme="minorHAnsi" w:cstheme="minorBidi"/>
            <w:noProof/>
            <w:sz w:val="22"/>
            <w:szCs w:val="22"/>
            <w:lang w:val="en-GB" w:eastAsia="en-GB" w:bidi="ar-SA"/>
          </w:rPr>
          <w:tab/>
        </w:r>
        <w:r w:rsidR="00CB294D">
          <w:rPr>
            <w:rStyle w:val="Hyperlink"/>
            <w:noProof/>
          </w:rPr>
          <w:t>Rapportens upplägg</w:t>
        </w:r>
        <w:r w:rsidR="00CB294D">
          <w:rPr>
            <w:noProof/>
            <w:webHidden/>
          </w:rPr>
          <w:tab/>
        </w:r>
        <w:r w:rsidR="00CB294D">
          <w:rPr>
            <w:noProof/>
            <w:webHidden/>
          </w:rPr>
          <w:fldChar w:fldCharType="begin"/>
        </w:r>
        <w:r w:rsidR="00CB294D">
          <w:rPr>
            <w:noProof/>
            <w:webHidden/>
          </w:rPr>
          <w:instrText xml:space="preserve"> PAGEREF _Toc497132350 \h </w:instrText>
        </w:r>
        <w:r w:rsidR="00CB294D">
          <w:rPr>
            <w:noProof/>
            <w:webHidden/>
          </w:rPr>
        </w:r>
        <w:r w:rsidR="00CB294D">
          <w:rPr>
            <w:noProof/>
            <w:webHidden/>
          </w:rPr>
          <w:fldChar w:fldCharType="separate"/>
        </w:r>
        <w:r w:rsidR="00CB294D">
          <w:rPr>
            <w:noProof/>
            <w:webHidden/>
          </w:rPr>
          <w:t>4</w:t>
        </w:r>
        <w:r w:rsidR="00CB294D">
          <w:rPr>
            <w:noProof/>
            <w:webHidden/>
          </w:rPr>
          <w:fldChar w:fldCharType="end"/>
        </w:r>
      </w:hyperlink>
    </w:p>
    <w:p w:rsidR="00CA65E6" w:rsidRDefault="00AC6A77">
      <w:pPr>
        <w:pStyle w:val="TOC1"/>
        <w:rPr>
          <w:rFonts w:asciiTheme="minorHAnsi" w:eastAsiaTheme="minorEastAsia" w:hAnsiTheme="minorHAnsi" w:cstheme="minorBidi"/>
          <w:caps w:val="0"/>
          <w:noProof/>
          <w:sz w:val="22"/>
          <w:szCs w:val="22"/>
          <w:lang w:val="en-GB" w:eastAsia="en-GB" w:bidi="ar-SA"/>
        </w:rPr>
      </w:pPr>
      <w:hyperlink w:anchor="_Toc497132351" w:history="1">
        <w:r w:rsidR="00CB294D">
          <w:rPr>
            <w:rStyle w:val="Hyperlink"/>
            <w:noProof/>
          </w:rPr>
          <w:t>2.</w:t>
        </w:r>
        <w:r w:rsidR="00CB294D">
          <w:rPr>
            <w:rFonts w:asciiTheme="minorHAnsi" w:eastAsiaTheme="minorEastAsia" w:hAnsiTheme="minorHAnsi" w:cstheme="minorBidi"/>
            <w:caps w:val="0"/>
            <w:noProof/>
            <w:sz w:val="22"/>
            <w:szCs w:val="22"/>
            <w:lang w:val="en-GB" w:eastAsia="en-GB" w:bidi="ar-SA"/>
          </w:rPr>
          <w:tab/>
        </w:r>
        <w:r w:rsidR="00CB294D">
          <w:rPr>
            <w:rStyle w:val="Hyperlink"/>
            <w:noProof/>
          </w:rPr>
          <w:t>”Den nya generationens” frihandelsavtal – Sydkorea, Colombia-Peru och Centralamerika</w:t>
        </w:r>
        <w:r w:rsidR="00CB294D">
          <w:rPr>
            <w:noProof/>
            <w:webHidden/>
          </w:rPr>
          <w:tab/>
        </w:r>
        <w:r w:rsidR="00CB294D">
          <w:rPr>
            <w:noProof/>
            <w:webHidden/>
          </w:rPr>
          <w:fldChar w:fldCharType="begin"/>
        </w:r>
        <w:r w:rsidR="00CB294D">
          <w:rPr>
            <w:noProof/>
            <w:webHidden/>
          </w:rPr>
          <w:instrText xml:space="preserve"> PAGEREF _Toc497132351 \h </w:instrText>
        </w:r>
        <w:r w:rsidR="00CB294D">
          <w:rPr>
            <w:noProof/>
            <w:webHidden/>
          </w:rPr>
        </w:r>
        <w:r w:rsidR="00CB294D">
          <w:rPr>
            <w:noProof/>
            <w:webHidden/>
          </w:rPr>
          <w:fldChar w:fldCharType="separate"/>
        </w:r>
        <w:r w:rsidR="00CB294D">
          <w:rPr>
            <w:noProof/>
            <w:webHidden/>
          </w:rPr>
          <w:t>7</w:t>
        </w:r>
        <w:r w:rsidR="00CB294D">
          <w:rPr>
            <w:noProof/>
            <w:webHidden/>
          </w:rPr>
          <w:fldChar w:fldCharType="end"/>
        </w:r>
      </w:hyperlink>
    </w:p>
    <w:p w:rsidR="00CA65E6" w:rsidRDefault="00AC6A77">
      <w:pPr>
        <w:pStyle w:val="TOC2"/>
        <w:tabs>
          <w:tab w:val="left" w:pos="1077"/>
        </w:tabs>
        <w:rPr>
          <w:rFonts w:asciiTheme="minorHAnsi" w:eastAsiaTheme="minorEastAsia" w:hAnsiTheme="minorHAnsi" w:cstheme="minorBidi"/>
          <w:noProof/>
          <w:sz w:val="22"/>
          <w:szCs w:val="22"/>
          <w:lang w:val="en-GB" w:eastAsia="en-GB" w:bidi="ar-SA"/>
        </w:rPr>
      </w:pPr>
      <w:hyperlink w:anchor="_Toc497132352" w:history="1">
        <w:r w:rsidR="00CB294D">
          <w:rPr>
            <w:rStyle w:val="Hyperlink"/>
            <w:noProof/>
          </w:rPr>
          <w:t>2.1.</w:t>
        </w:r>
        <w:r w:rsidR="00CB294D">
          <w:rPr>
            <w:rFonts w:asciiTheme="minorHAnsi" w:eastAsiaTheme="minorEastAsia" w:hAnsiTheme="minorHAnsi" w:cstheme="minorBidi"/>
            <w:noProof/>
            <w:sz w:val="22"/>
            <w:szCs w:val="22"/>
            <w:lang w:val="en-GB" w:eastAsia="en-GB" w:bidi="ar-SA"/>
          </w:rPr>
          <w:tab/>
        </w:r>
        <w:r w:rsidR="00CB294D">
          <w:rPr>
            <w:rStyle w:val="Hyperlink"/>
            <w:noProof/>
          </w:rPr>
          <w:t>Handelsflöden</w:t>
        </w:r>
        <w:r w:rsidR="00CB294D">
          <w:rPr>
            <w:noProof/>
            <w:webHidden/>
          </w:rPr>
          <w:tab/>
        </w:r>
        <w:r w:rsidR="00CB294D">
          <w:rPr>
            <w:noProof/>
            <w:webHidden/>
          </w:rPr>
          <w:fldChar w:fldCharType="begin"/>
        </w:r>
        <w:r w:rsidR="00CB294D">
          <w:rPr>
            <w:noProof/>
            <w:webHidden/>
          </w:rPr>
          <w:instrText xml:space="preserve"> PAGEREF _Toc497132352 \h </w:instrText>
        </w:r>
        <w:r w:rsidR="00CB294D">
          <w:rPr>
            <w:noProof/>
            <w:webHidden/>
          </w:rPr>
        </w:r>
        <w:r w:rsidR="00CB294D">
          <w:rPr>
            <w:noProof/>
            <w:webHidden/>
          </w:rPr>
          <w:fldChar w:fldCharType="separate"/>
        </w:r>
        <w:r w:rsidR="00CB294D">
          <w:rPr>
            <w:noProof/>
            <w:webHidden/>
          </w:rPr>
          <w:t>7</w:t>
        </w:r>
        <w:r w:rsidR="00CB294D">
          <w:rPr>
            <w:noProof/>
            <w:webHidden/>
          </w:rPr>
          <w:fldChar w:fldCharType="end"/>
        </w:r>
      </w:hyperlink>
    </w:p>
    <w:p w:rsidR="00CA65E6" w:rsidRDefault="00AC6A77">
      <w:pPr>
        <w:pStyle w:val="TOC2"/>
        <w:tabs>
          <w:tab w:val="left" w:pos="1077"/>
        </w:tabs>
        <w:rPr>
          <w:rFonts w:asciiTheme="minorHAnsi" w:eastAsiaTheme="minorEastAsia" w:hAnsiTheme="minorHAnsi" w:cstheme="minorBidi"/>
          <w:noProof/>
          <w:sz w:val="22"/>
          <w:szCs w:val="22"/>
          <w:lang w:val="en-GB" w:eastAsia="en-GB" w:bidi="ar-SA"/>
        </w:rPr>
      </w:pPr>
      <w:hyperlink w:anchor="_Toc497132353" w:history="1">
        <w:r w:rsidR="00CB294D">
          <w:rPr>
            <w:rStyle w:val="Hyperlink"/>
            <w:noProof/>
          </w:rPr>
          <w:t>2.2.</w:t>
        </w:r>
        <w:r w:rsidR="00CB294D">
          <w:rPr>
            <w:rFonts w:asciiTheme="minorHAnsi" w:eastAsiaTheme="minorEastAsia" w:hAnsiTheme="minorHAnsi" w:cstheme="minorBidi"/>
            <w:noProof/>
            <w:sz w:val="22"/>
            <w:szCs w:val="22"/>
            <w:lang w:val="en-GB" w:eastAsia="en-GB" w:bidi="ar-SA"/>
          </w:rPr>
          <w:tab/>
        </w:r>
        <w:r w:rsidR="00CB294D">
          <w:rPr>
            <w:rStyle w:val="Hyperlink"/>
            <w:noProof/>
          </w:rPr>
          <w:t>Tullkvoter</w:t>
        </w:r>
        <w:r w:rsidR="00CB294D">
          <w:rPr>
            <w:noProof/>
            <w:webHidden/>
          </w:rPr>
          <w:tab/>
        </w:r>
        <w:r w:rsidR="00CB294D">
          <w:rPr>
            <w:noProof/>
            <w:webHidden/>
          </w:rPr>
          <w:fldChar w:fldCharType="begin"/>
        </w:r>
        <w:r w:rsidR="00CB294D">
          <w:rPr>
            <w:noProof/>
            <w:webHidden/>
          </w:rPr>
          <w:instrText xml:space="preserve"> PAGEREF _Toc497132353 \h </w:instrText>
        </w:r>
        <w:r w:rsidR="00CB294D">
          <w:rPr>
            <w:noProof/>
            <w:webHidden/>
          </w:rPr>
        </w:r>
        <w:r w:rsidR="00CB294D">
          <w:rPr>
            <w:noProof/>
            <w:webHidden/>
          </w:rPr>
          <w:fldChar w:fldCharType="separate"/>
        </w:r>
        <w:r w:rsidR="00CB294D">
          <w:rPr>
            <w:noProof/>
            <w:webHidden/>
          </w:rPr>
          <w:t>10</w:t>
        </w:r>
        <w:r w:rsidR="00CB294D">
          <w:rPr>
            <w:noProof/>
            <w:webHidden/>
          </w:rPr>
          <w:fldChar w:fldCharType="end"/>
        </w:r>
      </w:hyperlink>
    </w:p>
    <w:p w:rsidR="00CA65E6" w:rsidRDefault="00AC6A77">
      <w:pPr>
        <w:pStyle w:val="TOC2"/>
        <w:tabs>
          <w:tab w:val="left" w:pos="1077"/>
        </w:tabs>
        <w:rPr>
          <w:rFonts w:asciiTheme="minorHAnsi" w:eastAsiaTheme="minorEastAsia" w:hAnsiTheme="minorHAnsi" w:cstheme="minorBidi"/>
          <w:noProof/>
          <w:sz w:val="22"/>
          <w:szCs w:val="22"/>
          <w:lang w:val="en-GB" w:eastAsia="en-GB" w:bidi="ar-SA"/>
        </w:rPr>
      </w:pPr>
      <w:hyperlink w:anchor="_Toc497132354" w:history="1">
        <w:r w:rsidR="00CB294D">
          <w:rPr>
            <w:rStyle w:val="Hyperlink"/>
            <w:noProof/>
          </w:rPr>
          <w:t>2.3.</w:t>
        </w:r>
        <w:r w:rsidR="00CB294D">
          <w:rPr>
            <w:rFonts w:asciiTheme="minorHAnsi" w:eastAsiaTheme="minorEastAsia" w:hAnsiTheme="minorHAnsi" w:cstheme="minorBidi"/>
            <w:noProof/>
            <w:sz w:val="22"/>
            <w:szCs w:val="22"/>
            <w:lang w:val="en-GB" w:eastAsia="en-GB" w:bidi="ar-SA"/>
          </w:rPr>
          <w:tab/>
        </w:r>
        <w:r w:rsidR="00CB294D">
          <w:rPr>
            <w:rStyle w:val="Hyperlink"/>
            <w:noProof/>
          </w:rPr>
          <w:t>Utnyttjande av förmånstullar</w:t>
        </w:r>
        <w:r w:rsidR="00CB294D">
          <w:rPr>
            <w:noProof/>
            <w:webHidden/>
          </w:rPr>
          <w:tab/>
        </w:r>
        <w:r w:rsidR="00CB294D">
          <w:rPr>
            <w:noProof/>
            <w:webHidden/>
          </w:rPr>
          <w:fldChar w:fldCharType="begin"/>
        </w:r>
        <w:r w:rsidR="00CB294D">
          <w:rPr>
            <w:noProof/>
            <w:webHidden/>
          </w:rPr>
          <w:instrText xml:space="preserve"> PAGEREF _Toc497132354 \h </w:instrText>
        </w:r>
        <w:r w:rsidR="00CB294D">
          <w:rPr>
            <w:noProof/>
            <w:webHidden/>
          </w:rPr>
        </w:r>
        <w:r w:rsidR="00CB294D">
          <w:rPr>
            <w:noProof/>
            <w:webHidden/>
          </w:rPr>
          <w:fldChar w:fldCharType="separate"/>
        </w:r>
        <w:r w:rsidR="00CB294D">
          <w:rPr>
            <w:noProof/>
            <w:webHidden/>
          </w:rPr>
          <w:t>10</w:t>
        </w:r>
        <w:r w:rsidR="00CB294D">
          <w:rPr>
            <w:noProof/>
            <w:webHidden/>
          </w:rPr>
          <w:fldChar w:fldCharType="end"/>
        </w:r>
      </w:hyperlink>
    </w:p>
    <w:p w:rsidR="00CA65E6" w:rsidRDefault="00AC6A77">
      <w:pPr>
        <w:pStyle w:val="TOC2"/>
        <w:tabs>
          <w:tab w:val="left" w:pos="1077"/>
        </w:tabs>
        <w:rPr>
          <w:rFonts w:asciiTheme="minorHAnsi" w:eastAsiaTheme="minorEastAsia" w:hAnsiTheme="minorHAnsi" w:cstheme="minorBidi"/>
          <w:noProof/>
          <w:sz w:val="22"/>
          <w:szCs w:val="22"/>
          <w:lang w:val="en-GB" w:eastAsia="en-GB" w:bidi="ar-SA"/>
        </w:rPr>
      </w:pPr>
      <w:hyperlink w:anchor="_Toc497132355" w:history="1">
        <w:r w:rsidR="00CB294D">
          <w:rPr>
            <w:rStyle w:val="Hyperlink"/>
            <w:noProof/>
          </w:rPr>
          <w:t>2.4.</w:t>
        </w:r>
        <w:r w:rsidR="00CB294D">
          <w:rPr>
            <w:rFonts w:asciiTheme="minorHAnsi" w:eastAsiaTheme="minorEastAsia" w:hAnsiTheme="minorHAnsi" w:cstheme="minorBidi"/>
            <w:noProof/>
            <w:sz w:val="22"/>
            <w:szCs w:val="22"/>
            <w:lang w:val="en-GB" w:eastAsia="en-GB" w:bidi="ar-SA"/>
          </w:rPr>
          <w:tab/>
        </w:r>
        <w:r w:rsidR="00CB294D">
          <w:rPr>
            <w:rStyle w:val="Hyperlink"/>
            <w:noProof/>
          </w:rPr>
          <w:t>Tjänster och investeringar</w:t>
        </w:r>
        <w:r w:rsidR="00CB294D">
          <w:rPr>
            <w:noProof/>
            <w:webHidden/>
          </w:rPr>
          <w:tab/>
        </w:r>
        <w:r w:rsidR="00CB294D">
          <w:rPr>
            <w:noProof/>
            <w:webHidden/>
          </w:rPr>
          <w:fldChar w:fldCharType="begin"/>
        </w:r>
        <w:r w:rsidR="00CB294D">
          <w:rPr>
            <w:noProof/>
            <w:webHidden/>
          </w:rPr>
          <w:instrText xml:space="preserve"> PAGEREF _Toc497132355 \h </w:instrText>
        </w:r>
        <w:r w:rsidR="00CB294D">
          <w:rPr>
            <w:noProof/>
            <w:webHidden/>
          </w:rPr>
        </w:r>
        <w:r w:rsidR="00CB294D">
          <w:rPr>
            <w:noProof/>
            <w:webHidden/>
          </w:rPr>
          <w:fldChar w:fldCharType="separate"/>
        </w:r>
        <w:r w:rsidR="00CB294D">
          <w:rPr>
            <w:noProof/>
            <w:webHidden/>
          </w:rPr>
          <w:t>11</w:t>
        </w:r>
        <w:r w:rsidR="00CB294D">
          <w:rPr>
            <w:noProof/>
            <w:webHidden/>
          </w:rPr>
          <w:fldChar w:fldCharType="end"/>
        </w:r>
      </w:hyperlink>
    </w:p>
    <w:p w:rsidR="00CA65E6" w:rsidRDefault="00AC6A77">
      <w:pPr>
        <w:pStyle w:val="TOC2"/>
        <w:tabs>
          <w:tab w:val="left" w:pos="1077"/>
        </w:tabs>
        <w:rPr>
          <w:rFonts w:asciiTheme="minorHAnsi" w:eastAsiaTheme="minorEastAsia" w:hAnsiTheme="minorHAnsi" w:cstheme="minorBidi"/>
          <w:noProof/>
          <w:sz w:val="22"/>
          <w:szCs w:val="22"/>
          <w:lang w:val="en-GB" w:eastAsia="en-GB" w:bidi="ar-SA"/>
        </w:rPr>
      </w:pPr>
      <w:hyperlink w:anchor="_Toc497132356" w:history="1">
        <w:r w:rsidR="00CB294D">
          <w:rPr>
            <w:rStyle w:val="Hyperlink"/>
            <w:noProof/>
          </w:rPr>
          <w:t>2.5.</w:t>
        </w:r>
        <w:r w:rsidR="00CB294D">
          <w:rPr>
            <w:rFonts w:asciiTheme="minorHAnsi" w:eastAsiaTheme="minorEastAsia" w:hAnsiTheme="minorHAnsi" w:cstheme="minorBidi"/>
            <w:noProof/>
            <w:sz w:val="22"/>
            <w:szCs w:val="22"/>
            <w:lang w:val="en-GB" w:eastAsia="en-GB" w:bidi="ar-SA"/>
          </w:rPr>
          <w:tab/>
        </w:r>
        <w:r w:rsidR="00CB294D">
          <w:rPr>
            <w:rStyle w:val="Hyperlink"/>
            <w:noProof/>
          </w:rPr>
          <w:t>Genomförandeorgan</w:t>
        </w:r>
        <w:r w:rsidR="00CB294D">
          <w:rPr>
            <w:noProof/>
            <w:webHidden/>
          </w:rPr>
          <w:tab/>
        </w:r>
        <w:r w:rsidR="00CB294D">
          <w:rPr>
            <w:noProof/>
            <w:webHidden/>
          </w:rPr>
          <w:fldChar w:fldCharType="begin"/>
        </w:r>
        <w:r w:rsidR="00CB294D">
          <w:rPr>
            <w:noProof/>
            <w:webHidden/>
          </w:rPr>
          <w:instrText xml:space="preserve"> PAGEREF _Toc497132356 \h </w:instrText>
        </w:r>
        <w:r w:rsidR="00CB294D">
          <w:rPr>
            <w:noProof/>
            <w:webHidden/>
          </w:rPr>
        </w:r>
        <w:r w:rsidR="00CB294D">
          <w:rPr>
            <w:noProof/>
            <w:webHidden/>
          </w:rPr>
          <w:fldChar w:fldCharType="separate"/>
        </w:r>
        <w:r w:rsidR="00CB294D">
          <w:rPr>
            <w:noProof/>
            <w:webHidden/>
          </w:rPr>
          <w:t>12</w:t>
        </w:r>
        <w:r w:rsidR="00CB294D">
          <w:rPr>
            <w:noProof/>
            <w:webHidden/>
          </w:rPr>
          <w:fldChar w:fldCharType="end"/>
        </w:r>
      </w:hyperlink>
    </w:p>
    <w:p w:rsidR="00CA65E6" w:rsidRDefault="00AC6A77">
      <w:pPr>
        <w:pStyle w:val="TOC1"/>
        <w:rPr>
          <w:rFonts w:asciiTheme="minorHAnsi" w:eastAsiaTheme="minorEastAsia" w:hAnsiTheme="minorHAnsi" w:cstheme="minorBidi"/>
          <w:caps w:val="0"/>
          <w:noProof/>
          <w:sz w:val="22"/>
          <w:szCs w:val="22"/>
          <w:lang w:val="en-GB" w:eastAsia="en-GB" w:bidi="ar-SA"/>
        </w:rPr>
      </w:pPr>
      <w:hyperlink w:anchor="_Toc497132357" w:history="1">
        <w:r w:rsidR="00CB294D">
          <w:rPr>
            <w:rStyle w:val="Hyperlink"/>
            <w:noProof/>
          </w:rPr>
          <w:t>3.</w:t>
        </w:r>
        <w:r w:rsidR="00CB294D">
          <w:rPr>
            <w:rFonts w:asciiTheme="minorHAnsi" w:eastAsiaTheme="minorEastAsia" w:hAnsiTheme="minorHAnsi" w:cstheme="minorBidi"/>
            <w:caps w:val="0"/>
            <w:noProof/>
            <w:sz w:val="22"/>
            <w:szCs w:val="22"/>
            <w:lang w:val="en-GB" w:eastAsia="en-GB" w:bidi="ar-SA"/>
          </w:rPr>
          <w:tab/>
        </w:r>
        <w:r w:rsidR="00CB294D">
          <w:rPr>
            <w:rStyle w:val="Hyperlink"/>
            <w:noProof/>
          </w:rPr>
          <w:t>Djupgående och omfattande frihandelsavtal – Ukraina, Moldavien, Georgien</w:t>
        </w:r>
        <w:r w:rsidR="00CB294D">
          <w:rPr>
            <w:noProof/>
            <w:webHidden/>
          </w:rPr>
          <w:tab/>
        </w:r>
        <w:r w:rsidR="00CB294D">
          <w:rPr>
            <w:noProof/>
            <w:webHidden/>
          </w:rPr>
          <w:fldChar w:fldCharType="begin"/>
        </w:r>
        <w:r w:rsidR="00CB294D">
          <w:rPr>
            <w:noProof/>
            <w:webHidden/>
          </w:rPr>
          <w:instrText xml:space="preserve"> PAGEREF _Toc497132357 \h </w:instrText>
        </w:r>
        <w:r w:rsidR="00CB294D">
          <w:rPr>
            <w:noProof/>
            <w:webHidden/>
          </w:rPr>
        </w:r>
        <w:r w:rsidR="00CB294D">
          <w:rPr>
            <w:noProof/>
            <w:webHidden/>
          </w:rPr>
          <w:fldChar w:fldCharType="separate"/>
        </w:r>
        <w:r w:rsidR="00CB294D">
          <w:rPr>
            <w:noProof/>
            <w:webHidden/>
          </w:rPr>
          <w:t>14</w:t>
        </w:r>
        <w:r w:rsidR="00CB294D">
          <w:rPr>
            <w:noProof/>
            <w:webHidden/>
          </w:rPr>
          <w:fldChar w:fldCharType="end"/>
        </w:r>
      </w:hyperlink>
    </w:p>
    <w:p w:rsidR="00CA65E6" w:rsidRDefault="00AC6A77">
      <w:pPr>
        <w:pStyle w:val="TOC2"/>
        <w:tabs>
          <w:tab w:val="left" w:pos="1077"/>
        </w:tabs>
        <w:rPr>
          <w:rFonts w:asciiTheme="minorHAnsi" w:eastAsiaTheme="minorEastAsia" w:hAnsiTheme="minorHAnsi" w:cstheme="minorBidi"/>
          <w:noProof/>
          <w:sz w:val="22"/>
          <w:szCs w:val="22"/>
          <w:lang w:val="en-GB" w:eastAsia="en-GB" w:bidi="ar-SA"/>
        </w:rPr>
      </w:pPr>
      <w:hyperlink w:anchor="_Toc497132358" w:history="1">
        <w:r w:rsidR="00CB294D">
          <w:rPr>
            <w:rStyle w:val="Hyperlink"/>
            <w:noProof/>
          </w:rPr>
          <w:t>3.1.</w:t>
        </w:r>
        <w:r w:rsidR="00CB294D">
          <w:rPr>
            <w:rFonts w:asciiTheme="minorHAnsi" w:eastAsiaTheme="minorEastAsia" w:hAnsiTheme="minorHAnsi" w:cstheme="minorBidi"/>
            <w:noProof/>
            <w:sz w:val="22"/>
            <w:szCs w:val="22"/>
            <w:lang w:val="en-GB" w:eastAsia="en-GB" w:bidi="ar-SA"/>
          </w:rPr>
          <w:tab/>
        </w:r>
        <w:r w:rsidR="00CB294D">
          <w:rPr>
            <w:rStyle w:val="Hyperlink"/>
            <w:noProof/>
          </w:rPr>
          <w:t>Handelsflöden</w:t>
        </w:r>
        <w:r w:rsidR="00CB294D">
          <w:rPr>
            <w:noProof/>
            <w:webHidden/>
          </w:rPr>
          <w:tab/>
        </w:r>
        <w:r w:rsidR="00CB294D">
          <w:rPr>
            <w:noProof/>
            <w:webHidden/>
          </w:rPr>
          <w:fldChar w:fldCharType="begin"/>
        </w:r>
        <w:r w:rsidR="00CB294D">
          <w:rPr>
            <w:noProof/>
            <w:webHidden/>
          </w:rPr>
          <w:instrText xml:space="preserve"> PAGEREF _Toc497132358 \h </w:instrText>
        </w:r>
        <w:r w:rsidR="00CB294D">
          <w:rPr>
            <w:noProof/>
            <w:webHidden/>
          </w:rPr>
        </w:r>
        <w:r w:rsidR="00CB294D">
          <w:rPr>
            <w:noProof/>
            <w:webHidden/>
          </w:rPr>
          <w:fldChar w:fldCharType="separate"/>
        </w:r>
        <w:r w:rsidR="00CB294D">
          <w:rPr>
            <w:noProof/>
            <w:webHidden/>
          </w:rPr>
          <w:t>14</w:t>
        </w:r>
        <w:r w:rsidR="00CB294D">
          <w:rPr>
            <w:noProof/>
            <w:webHidden/>
          </w:rPr>
          <w:fldChar w:fldCharType="end"/>
        </w:r>
      </w:hyperlink>
    </w:p>
    <w:p w:rsidR="00CA65E6" w:rsidRDefault="00AC6A77">
      <w:pPr>
        <w:pStyle w:val="TOC2"/>
        <w:tabs>
          <w:tab w:val="left" w:pos="1077"/>
        </w:tabs>
        <w:rPr>
          <w:rFonts w:asciiTheme="minorHAnsi" w:eastAsiaTheme="minorEastAsia" w:hAnsiTheme="minorHAnsi" w:cstheme="minorBidi"/>
          <w:noProof/>
          <w:sz w:val="22"/>
          <w:szCs w:val="22"/>
          <w:lang w:val="en-GB" w:eastAsia="en-GB" w:bidi="ar-SA"/>
        </w:rPr>
      </w:pPr>
      <w:hyperlink w:anchor="_Toc497132359" w:history="1">
        <w:r w:rsidR="00CB294D">
          <w:rPr>
            <w:rStyle w:val="Hyperlink"/>
            <w:noProof/>
          </w:rPr>
          <w:t>3.2.</w:t>
        </w:r>
        <w:r w:rsidR="00CB294D">
          <w:rPr>
            <w:rFonts w:asciiTheme="minorHAnsi" w:eastAsiaTheme="minorEastAsia" w:hAnsiTheme="minorHAnsi" w:cstheme="minorBidi"/>
            <w:noProof/>
            <w:sz w:val="22"/>
            <w:szCs w:val="22"/>
            <w:lang w:val="en-GB" w:eastAsia="en-GB" w:bidi="ar-SA"/>
          </w:rPr>
          <w:tab/>
        </w:r>
        <w:r w:rsidR="00CB294D">
          <w:rPr>
            <w:rStyle w:val="Hyperlink"/>
            <w:noProof/>
          </w:rPr>
          <w:t>Tullkvoter</w:t>
        </w:r>
        <w:r w:rsidR="00CB294D">
          <w:rPr>
            <w:noProof/>
            <w:webHidden/>
          </w:rPr>
          <w:tab/>
        </w:r>
        <w:r w:rsidR="00CB294D">
          <w:rPr>
            <w:noProof/>
            <w:webHidden/>
          </w:rPr>
          <w:fldChar w:fldCharType="begin"/>
        </w:r>
        <w:r w:rsidR="00CB294D">
          <w:rPr>
            <w:noProof/>
            <w:webHidden/>
          </w:rPr>
          <w:instrText xml:space="preserve"> PAGEREF _Toc497132359 \h </w:instrText>
        </w:r>
        <w:r w:rsidR="00CB294D">
          <w:rPr>
            <w:noProof/>
            <w:webHidden/>
          </w:rPr>
        </w:r>
        <w:r w:rsidR="00CB294D">
          <w:rPr>
            <w:noProof/>
            <w:webHidden/>
          </w:rPr>
          <w:fldChar w:fldCharType="separate"/>
        </w:r>
        <w:r w:rsidR="00CB294D">
          <w:rPr>
            <w:noProof/>
            <w:webHidden/>
          </w:rPr>
          <w:t>15</w:t>
        </w:r>
        <w:r w:rsidR="00CB294D">
          <w:rPr>
            <w:noProof/>
            <w:webHidden/>
          </w:rPr>
          <w:fldChar w:fldCharType="end"/>
        </w:r>
      </w:hyperlink>
    </w:p>
    <w:p w:rsidR="00CA65E6" w:rsidRDefault="00AC6A77">
      <w:pPr>
        <w:pStyle w:val="TOC2"/>
        <w:tabs>
          <w:tab w:val="left" w:pos="1077"/>
        </w:tabs>
        <w:rPr>
          <w:rFonts w:asciiTheme="minorHAnsi" w:eastAsiaTheme="minorEastAsia" w:hAnsiTheme="minorHAnsi" w:cstheme="minorBidi"/>
          <w:noProof/>
          <w:sz w:val="22"/>
          <w:szCs w:val="22"/>
          <w:lang w:val="en-GB" w:eastAsia="en-GB" w:bidi="ar-SA"/>
        </w:rPr>
      </w:pPr>
      <w:hyperlink w:anchor="_Toc497132360" w:history="1">
        <w:r w:rsidR="00CB294D">
          <w:rPr>
            <w:rStyle w:val="Hyperlink"/>
            <w:noProof/>
          </w:rPr>
          <w:t>3.3.</w:t>
        </w:r>
        <w:r w:rsidR="00CB294D">
          <w:rPr>
            <w:rFonts w:asciiTheme="minorHAnsi" w:eastAsiaTheme="minorEastAsia" w:hAnsiTheme="minorHAnsi" w:cstheme="minorBidi"/>
            <w:noProof/>
            <w:sz w:val="22"/>
            <w:szCs w:val="22"/>
            <w:lang w:val="en-GB" w:eastAsia="en-GB" w:bidi="ar-SA"/>
          </w:rPr>
          <w:tab/>
        </w:r>
        <w:r w:rsidR="00CB294D">
          <w:rPr>
            <w:rStyle w:val="Hyperlink"/>
            <w:noProof/>
          </w:rPr>
          <w:t>Utnyttjande av förmånstullar</w:t>
        </w:r>
        <w:r w:rsidR="00CB294D">
          <w:rPr>
            <w:noProof/>
            <w:webHidden/>
          </w:rPr>
          <w:tab/>
        </w:r>
        <w:r w:rsidR="00CB294D">
          <w:rPr>
            <w:noProof/>
            <w:webHidden/>
          </w:rPr>
          <w:fldChar w:fldCharType="begin"/>
        </w:r>
        <w:r w:rsidR="00CB294D">
          <w:rPr>
            <w:noProof/>
            <w:webHidden/>
          </w:rPr>
          <w:instrText xml:space="preserve"> PAGEREF _Toc497132360 \h </w:instrText>
        </w:r>
        <w:r w:rsidR="00CB294D">
          <w:rPr>
            <w:noProof/>
            <w:webHidden/>
          </w:rPr>
        </w:r>
        <w:r w:rsidR="00CB294D">
          <w:rPr>
            <w:noProof/>
            <w:webHidden/>
          </w:rPr>
          <w:fldChar w:fldCharType="separate"/>
        </w:r>
        <w:r w:rsidR="00CB294D">
          <w:rPr>
            <w:noProof/>
            <w:webHidden/>
          </w:rPr>
          <w:t>16</w:t>
        </w:r>
        <w:r w:rsidR="00CB294D">
          <w:rPr>
            <w:noProof/>
            <w:webHidden/>
          </w:rPr>
          <w:fldChar w:fldCharType="end"/>
        </w:r>
      </w:hyperlink>
    </w:p>
    <w:p w:rsidR="00CA65E6" w:rsidRDefault="00AC6A77">
      <w:pPr>
        <w:pStyle w:val="TOC2"/>
        <w:tabs>
          <w:tab w:val="left" w:pos="1077"/>
        </w:tabs>
        <w:rPr>
          <w:rFonts w:asciiTheme="minorHAnsi" w:eastAsiaTheme="minorEastAsia" w:hAnsiTheme="minorHAnsi" w:cstheme="minorBidi"/>
          <w:noProof/>
          <w:sz w:val="22"/>
          <w:szCs w:val="22"/>
          <w:lang w:val="en-GB" w:eastAsia="en-GB" w:bidi="ar-SA"/>
        </w:rPr>
      </w:pPr>
      <w:hyperlink w:anchor="_Toc497132361" w:history="1">
        <w:r w:rsidR="00CB294D">
          <w:rPr>
            <w:rStyle w:val="Hyperlink"/>
            <w:noProof/>
          </w:rPr>
          <w:t>3.4.</w:t>
        </w:r>
        <w:r w:rsidR="00CB294D">
          <w:rPr>
            <w:rFonts w:asciiTheme="minorHAnsi" w:eastAsiaTheme="minorEastAsia" w:hAnsiTheme="minorHAnsi" w:cstheme="minorBidi"/>
            <w:noProof/>
            <w:sz w:val="22"/>
            <w:szCs w:val="22"/>
            <w:lang w:val="en-GB" w:eastAsia="en-GB" w:bidi="ar-SA"/>
          </w:rPr>
          <w:tab/>
        </w:r>
        <w:r w:rsidR="00CB294D">
          <w:rPr>
            <w:rStyle w:val="Hyperlink"/>
            <w:noProof/>
          </w:rPr>
          <w:t>Tjänster och investeringar</w:t>
        </w:r>
        <w:r w:rsidR="00CB294D">
          <w:rPr>
            <w:noProof/>
            <w:webHidden/>
          </w:rPr>
          <w:tab/>
        </w:r>
        <w:r w:rsidR="00CB294D">
          <w:rPr>
            <w:noProof/>
            <w:webHidden/>
          </w:rPr>
          <w:fldChar w:fldCharType="begin"/>
        </w:r>
        <w:r w:rsidR="00CB294D">
          <w:rPr>
            <w:noProof/>
            <w:webHidden/>
          </w:rPr>
          <w:instrText xml:space="preserve"> PAGEREF _Toc497132361 \h </w:instrText>
        </w:r>
        <w:r w:rsidR="00CB294D">
          <w:rPr>
            <w:noProof/>
            <w:webHidden/>
          </w:rPr>
        </w:r>
        <w:r w:rsidR="00CB294D">
          <w:rPr>
            <w:noProof/>
            <w:webHidden/>
          </w:rPr>
          <w:fldChar w:fldCharType="separate"/>
        </w:r>
        <w:r w:rsidR="00CB294D">
          <w:rPr>
            <w:noProof/>
            <w:webHidden/>
          </w:rPr>
          <w:t>16</w:t>
        </w:r>
        <w:r w:rsidR="00CB294D">
          <w:rPr>
            <w:noProof/>
            <w:webHidden/>
          </w:rPr>
          <w:fldChar w:fldCharType="end"/>
        </w:r>
      </w:hyperlink>
    </w:p>
    <w:p w:rsidR="00CA65E6" w:rsidRDefault="00AC6A77">
      <w:pPr>
        <w:pStyle w:val="TOC2"/>
        <w:tabs>
          <w:tab w:val="left" w:pos="1077"/>
        </w:tabs>
        <w:rPr>
          <w:rFonts w:asciiTheme="minorHAnsi" w:eastAsiaTheme="minorEastAsia" w:hAnsiTheme="minorHAnsi" w:cstheme="minorBidi"/>
          <w:noProof/>
          <w:sz w:val="22"/>
          <w:szCs w:val="22"/>
          <w:lang w:val="en-GB" w:eastAsia="en-GB" w:bidi="ar-SA"/>
        </w:rPr>
      </w:pPr>
      <w:hyperlink w:anchor="_Toc497132362" w:history="1">
        <w:r w:rsidR="00CB294D">
          <w:rPr>
            <w:rStyle w:val="Hyperlink"/>
            <w:noProof/>
          </w:rPr>
          <w:t>3.5.</w:t>
        </w:r>
        <w:r w:rsidR="00CB294D">
          <w:rPr>
            <w:rFonts w:asciiTheme="minorHAnsi" w:eastAsiaTheme="minorEastAsia" w:hAnsiTheme="minorHAnsi" w:cstheme="minorBidi"/>
            <w:noProof/>
            <w:sz w:val="22"/>
            <w:szCs w:val="22"/>
            <w:lang w:val="en-GB" w:eastAsia="en-GB" w:bidi="ar-SA"/>
          </w:rPr>
          <w:tab/>
        </w:r>
        <w:r w:rsidR="00CB294D">
          <w:rPr>
            <w:rStyle w:val="Hyperlink"/>
            <w:noProof/>
          </w:rPr>
          <w:t>Genomförandeorgan</w:t>
        </w:r>
        <w:r w:rsidR="00CB294D">
          <w:rPr>
            <w:noProof/>
            <w:webHidden/>
          </w:rPr>
          <w:tab/>
        </w:r>
        <w:r w:rsidR="00CB294D">
          <w:rPr>
            <w:noProof/>
            <w:webHidden/>
          </w:rPr>
          <w:fldChar w:fldCharType="begin"/>
        </w:r>
        <w:r w:rsidR="00CB294D">
          <w:rPr>
            <w:noProof/>
            <w:webHidden/>
          </w:rPr>
          <w:instrText xml:space="preserve"> PAGEREF _Toc497132362 \h </w:instrText>
        </w:r>
        <w:r w:rsidR="00CB294D">
          <w:rPr>
            <w:noProof/>
            <w:webHidden/>
          </w:rPr>
        </w:r>
        <w:r w:rsidR="00CB294D">
          <w:rPr>
            <w:noProof/>
            <w:webHidden/>
          </w:rPr>
          <w:fldChar w:fldCharType="separate"/>
        </w:r>
        <w:r w:rsidR="00CB294D">
          <w:rPr>
            <w:noProof/>
            <w:webHidden/>
          </w:rPr>
          <w:t>16</w:t>
        </w:r>
        <w:r w:rsidR="00CB294D">
          <w:rPr>
            <w:noProof/>
            <w:webHidden/>
          </w:rPr>
          <w:fldChar w:fldCharType="end"/>
        </w:r>
      </w:hyperlink>
    </w:p>
    <w:p w:rsidR="00CA65E6" w:rsidRDefault="00AC6A77">
      <w:pPr>
        <w:pStyle w:val="TOC1"/>
        <w:rPr>
          <w:rFonts w:asciiTheme="minorHAnsi" w:eastAsiaTheme="minorEastAsia" w:hAnsiTheme="minorHAnsi" w:cstheme="minorBidi"/>
          <w:caps w:val="0"/>
          <w:noProof/>
          <w:sz w:val="22"/>
          <w:szCs w:val="22"/>
          <w:lang w:val="en-GB" w:eastAsia="en-GB" w:bidi="ar-SA"/>
        </w:rPr>
      </w:pPr>
      <w:hyperlink w:anchor="_Toc497132363" w:history="1">
        <w:r w:rsidR="00CB294D">
          <w:rPr>
            <w:rStyle w:val="Hyperlink"/>
            <w:noProof/>
          </w:rPr>
          <w:t>4.</w:t>
        </w:r>
        <w:r w:rsidR="00CB294D">
          <w:rPr>
            <w:rFonts w:asciiTheme="minorHAnsi" w:eastAsiaTheme="minorEastAsia" w:hAnsiTheme="minorHAnsi" w:cstheme="minorBidi"/>
            <w:caps w:val="0"/>
            <w:noProof/>
            <w:sz w:val="22"/>
            <w:szCs w:val="22"/>
            <w:lang w:val="en-GB" w:eastAsia="en-GB" w:bidi="ar-SA"/>
          </w:rPr>
          <w:tab/>
        </w:r>
        <w:r w:rsidR="00CB294D">
          <w:rPr>
            <w:rStyle w:val="Hyperlink"/>
            <w:noProof/>
          </w:rPr>
          <w:t>Avtal om ekonomiskt partnerskap – Afrika, Västindien och Stillahavsområdet (AVS-staterna)</w:t>
        </w:r>
        <w:r w:rsidR="00CB294D">
          <w:rPr>
            <w:noProof/>
            <w:webHidden/>
          </w:rPr>
          <w:tab/>
        </w:r>
        <w:r w:rsidR="00CB294D">
          <w:rPr>
            <w:noProof/>
            <w:webHidden/>
          </w:rPr>
          <w:fldChar w:fldCharType="begin"/>
        </w:r>
        <w:r w:rsidR="00CB294D">
          <w:rPr>
            <w:noProof/>
            <w:webHidden/>
          </w:rPr>
          <w:instrText xml:space="preserve"> PAGEREF _Toc497132363 \h </w:instrText>
        </w:r>
        <w:r w:rsidR="00CB294D">
          <w:rPr>
            <w:noProof/>
            <w:webHidden/>
          </w:rPr>
        </w:r>
        <w:r w:rsidR="00CB294D">
          <w:rPr>
            <w:noProof/>
            <w:webHidden/>
          </w:rPr>
          <w:fldChar w:fldCharType="separate"/>
        </w:r>
        <w:r w:rsidR="00CB294D">
          <w:rPr>
            <w:noProof/>
            <w:webHidden/>
          </w:rPr>
          <w:t>18</w:t>
        </w:r>
        <w:r w:rsidR="00CB294D">
          <w:rPr>
            <w:noProof/>
            <w:webHidden/>
          </w:rPr>
          <w:fldChar w:fldCharType="end"/>
        </w:r>
      </w:hyperlink>
    </w:p>
    <w:p w:rsidR="00CA65E6" w:rsidRDefault="00AC6A77">
      <w:pPr>
        <w:pStyle w:val="TOC2"/>
        <w:tabs>
          <w:tab w:val="left" w:pos="1077"/>
        </w:tabs>
        <w:rPr>
          <w:rFonts w:asciiTheme="minorHAnsi" w:eastAsiaTheme="minorEastAsia" w:hAnsiTheme="minorHAnsi" w:cstheme="minorBidi"/>
          <w:noProof/>
          <w:sz w:val="22"/>
          <w:szCs w:val="22"/>
          <w:lang w:val="en-GB" w:eastAsia="en-GB" w:bidi="ar-SA"/>
        </w:rPr>
      </w:pPr>
      <w:hyperlink w:anchor="_Toc497132364" w:history="1">
        <w:r w:rsidR="00CB294D">
          <w:rPr>
            <w:rStyle w:val="Hyperlink"/>
            <w:noProof/>
          </w:rPr>
          <w:t>4.1.</w:t>
        </w:r>
        <w:r w:rsidR="00CB294D">
          <w:rPr>
            <w:rFonts w:asciiTheme="minorHAnsi" w:eastAsiaTheme="minorEastAsia" w:hAnsiTheme="minorHAnsi" w:cstheme="minorBidi"/>
            <w:noProof/>
            <w:sz w:val="22"/>
            <w:szCs w:val="22"/>
            <w:lang w:val="en-GB" w:eastAsia="en-GB" w:bidi="ar-SA"/>
          </w:rPr>
          <w:tab/>
        </w:r>
        <w:r w:rsidR="00CB294D">
          <w:rPr>
            <w:rStyle w:val="Hyperlink"/>
            <w:noProof/>
          </w:rPr>
          <w:t>Läget avseende avtalen</w:t>
        </w:r>
        <w:r w:rsidR="00CB294D">
          <w:rPr>
            <w:noProof/>
            <w:webHidden/>
          </w:rPr>
          <w:tab/>
        </w:r>
        <w:r w:rsidR="00CB294D">
          <w:rPr>
            <w:noProof/>
            <w:webHidden/>
          </w:rPr>
          <w:fldChar w:fldCharType="begin"/>
        </w:r>
        <w:r w:rsidR="00CB294D">
          <w:rPr>
            <w:noProof/>
            <w:webHidden/>
          </w:rPr>
          <w:instrText xml:space="preserve"> PAGEREF _Toc497132364 \h </w:instrText>
        </w:r>
        <w:r w:rsidR="00CB294D">
          <w:rPr>
            <w:noProof/>
            <w:webHidden/>
          </w:rPr>
        </w:r>
        <w:r w:rsidR="00CB294D">
          <w:rPr>
            <w:noProof/>
            <w:webHidden/>
          </w:rPr>
          <w:fldChar w:fldCharType="separate"/>
        </w:r>
        <w:r w:rsidR="00CB294D">
          <w:rPr>
            <w:noProof/>
            <w:webHidden/>
          </w:rPr>
          <w:t>18</w:t>
        </w:r>
        <w:r w:rsidR="00CB294D">
          <w:rPr>
            <w:noProof/>
            <w:webHidden/>
          </w:rPr>
          <w:fldChar w:fldCharType="end"/>
        </w:r>
      </w:hyperlink>
    </w:p>
    <w:p w:rsidR="00CA65E6" w:rsidRDefault="00AC6A77">
      <w:pPr>
        <w:pStyle w:val="TOC2"/>
        <w:tabs>
          <w:tab w:val="left" w:pos="1077"/>
        </w:tabs>
        <w:rPr>
          <w:rFonts w:asciiTheme="minorHAnsi" w:eastAsiaTheme="minorEastAsia" w:hAnsiTheme="minorHAnsi" w:cstheme="minorBidi"/>
          <w:noProof/>
          <w:sz w:val="22"/>
          <w:szCs w:val="22"/>
          <w:lang w:val="en-GB" w:eastAsia="en-GB" w:bidi="ar-SA"/>
        </w:rPr>
      </w:pPr>
      <w:hyperlink w:anchor="_Toc497132365" w:history="1">
        <w:r w:rsidR="00CB294D">
          <w:rPr>
            <w:rStyle w:val="Hyperlink"/>
            <w:noProof/>
          </w:rPr>
          <w:t>4.2.</w:t>
        </w:r>
        <w:r w:rsidR="00CB294D">
          <w:rPr>
            <w:rFonts w:asciiTheme="minorHAnsi" w:eastAsiaTheme="minorEastAsia" w:hAnsiTheme="minorHAnsi" w:cstheme="minorBidi"/>
            <w:noProof/>
            <w:sz w:val="22"/>
            <w:szCs w:val="22"/>
            <w:lang w:val="en-GB" w:eastAsia="en-GB" w:bidi="ar-SA"/>
          </w:rPr>
          <w:tab/>
        </w:r>
        <w:r w:rsidR="00CB294D">
          <w:rPr>
            <w:rStyle w:val="Hyperlink"/>
            <w:noProof/>
          </w:rPr>
          <w:t>Handelsflöden</w:t>
        </w:r>
        <w:r w:rsidR="00CB294D">
          <w:rPr>
            <w:noProof/>
            <w:webHidden/>
          </w:rPr>
          <w:tab/>
        </w:r>
        <w:r w:rsidR="00CB294D">
          <w:rPr>
            <w:noProof/>
            <w:webHidden/>
          </w:rPr>
          <w:fldChar w:fldCharType="begin"/>
        </w:r>
        <w:r w:rsidR="00CB294D">
          <w:rPr>
            <w:noProof/>
            <w:webHidden/>
          </w:rPr>
          <w:instrText xml:space="preserve"> PAGEREF _Toc497132365 \h </w:instrText>
        </w:r>
        <w:r w:rsidR="00CB294D">
          <w:rPr>
            <w:noProof/>
            <w:webHidden/>
          </w:rPr>
        </w:r>
        <w:r w:rsidR="00CB294D">
          <w:rPr>
            <w:noProof/>
            <w:webHidden/>
          </w:rPr>
          <w:fldChar w:fldCharType="separate"/>
        </w:r>
        <w:r w:rsidR="00CB294D">
          <w:rPr>
            <w:noProof/>
            <w:webHidden/>
          </w:rPr>
          <w:t>18</w:t>
        </w:r>
        <w:r w:rsidR="00CB294D">
          <w:rPr>
            <w:noProof/>
            <w:webHidden/>
          </w:rPr>
          <w:fldChar w:fldCharType="end"/>
        </w:r>
      </w:hyperlink>
    </w:p>
    <w:p w:rsidR="00CA65E6" w:rsidRDefault="00AC6A77">
      <w:pPr>
        <w:pStyle w:val="TOC2"/>
        <w:tabs>
          <w:tab w:val="left" w:pos="1077"/>
        </w:tabs>
        <w:rPr>
          <w:rFonts w:asciiTheme="minorHAnsi" w:eastAsiaTheme="minorEastAsia" w:hAnsiTheme="minorHAnsi" w:cstheme="minorBidi"/>
          <w:noProof/>
          <w:sz w:val="22"/>
          <w:szCs w:val="22"/>
          <w:lang w:val="en-GB" w:eastAsia="en-GB" w:bidi="ar-SA"/>
        </w:rPr>
      </w:pPr>
      <w:hyperlink w:anchor="_Toc497132366" w:history="1">
        <w:r w:rsidR="00CB294D">
          <w:rPr>
            <w:rStyle w:val="Hyperlink"/>
            <w:noProof/>
          </w:rPr>
          <w:t>4.3.</w:t>
        </w:r>
        <w:r w:rsidR="00CB294D">
          <w:rPr>
            <w:rFonts w:asciiTheme="minorHAnsi" w:eastAsiaTheme="minorEastAsia" w:hAnsiTheme="minorHAnsi" w:cstheme="minorBidi"/>
            <w:noProof/>
            <w:sz w:val="22"/>
            <w:szCs w:val="22"/>
            <w:lang w:val="en-GB" w:eastAsia="en-GB" w:bidi="ar-SA"/>
          </w:rPr>
          <w:tab/>
        </w:r>
        <w:r w:rsidR="00CB294D">
          <w:rPr>
            <w:rStyle w:val="Hyperlink"/>
            <w:noProof/>
          </w:rPr>
          <w:t>Investeringar</w:t>
        </w:r>
        <w:r w:rsidR="00CB294D">
          <w:rPr>
            <w:noProof/>
            <w:webHidden/>
          </w:rPr>
          <w:tab/>
        </w:r>
        <w:r w:rsidR="00CB294D">
          <w:rPr>
            <w:noProof/>
            <w:webHidden/>
          </w:rPr>
          <w:fldChar w:fldCharType="begin"/>
        </w:r>
        <w:r w:rsidR="00CB294D">
          <w:rPr>
            <w:noProof/>
            <w:webHidden/>
          </w:rPr>
          <w:instrText xml:space="preserve"> PAGEREF _Toc497132366 \h </w:instrText>
        </w:r>
        <w:r w:rsidR="00CB294D">
          <w:rPr>
            <w:noProof/>
            <w:webHidden/>
          </w:rPr>
        </w:r>
        <w:r w:rsidR="00CB294D">
          <w:rPr>
            <w:noProof/>
            <w:webHidden/>
          </w:rPr>
          <w:fldChar w:fldCharType="separate"/>
        </w:r>
        <w:r w:rsidR="00CB294D">
          <w:rPr>
            <w:noProof/>
            <w:webHidden/>
          </w:rPr>
          <w:t>21</w:t>
        </w:r>
        <w:r w:rsidR="00CB294D">
          <w:rPr>
            <w:noProof/>
            <w:webHidden/>
          </w:rPr>
          <w:fldChar w:fldCharType="end"/>
        </w:r>
      </w:hyperlink>
    </w:p>
    <w:p w:rsidR="00CA65E6" w:rsidRDefault="00AC6A77">
      <w:pPr>
        <w:pStyle w:val="TOC2"/>
        <w:tabs>
          <w:tab w:val="left" w:pos="1077"/>
        </w:tabs>
        <w:rPr>
          <w:rFonts w:asciiTheme="minorHAnsi" w:eastAsiaTheme="minorEastAsia" w:hAnsiTheme="minorHAnsi" w:cstheme="minorBidi"/>
          <w:noProof/>
          <w:sz w:val="22"/>
          <w:szCs w:val="22"/>
          <w:lang w:val="en-GB" w:eastAsia="en-GB" w:bidi="ar-SA"/>
        </w:rPr>
      </w:pPr>
      <w:hyperlink w:anchor="_Toc497132367" w:history="1">
        <w:r w:rsidR="00CB294D">
          <w:rPr>
            <w:rStyle w:val="Hyperlink"/>
            <w:noProof/>
          </w:rPr>
          <w:t>4.4.</w:t>
        </w:r>
        <w:r w:rsidR="00CB294D">
          <w:rPr>
            <w:rFonts w:asciiTheme="minorHAnsi" w:eastAsiaTheme="minorEastAsia" w:hAnsiTheme="minorHAnsi" w:cstheme="minorBidi"/>
            <w:noProof/>
            <w:sz w:val="22"/>
            <w:szCs w:val="22"/>
            <w:lang w:val="en-GB" w:eastAsia="en-GB" w:bidi="ar-SA"/>
          </w:rPr>
          <w:tab/>
        </w:r>
        <w:r w:rsidR="00CB294D">
          <w:rPr>
            <w:rStyle w:val="Hyperlink"/>
            <w:noProof/>
          </w:rPr>
          <w:t>EU-stöd till genomförande av avtal om ekonomiskt partnerskap</w:t>
        </w:r>
        <w:r w:rsidR="00CB294D">
          <w:rPr>
            <w:noProof/>
            <w:webHidden/>
          </w:rPr>
          <w:tab/>
        </w:r>
        <w:r w:rsidR="00CB294D">
          <w:rPr>
            <w:noProof/>
            <w:webHidden/>
          </w:rPr>
          <w:fldChar w:fldCharType="begin"/>
        </w:r>
        <w:r w:rsidR="00CB294D">
          <w:rPr>
            <w:noProof/>
            <w:webHidden/>
          </w:rPr>
          <w:instrText xml:space="preserve"> PAGEREF _Toc497132367 \h </w:instrText>
        </w:r>
        <w:r w:rsidR="00CB294D">
          <w:rPr>
            <w:noProof/>
            <w:webHidden/>
          </w:rPr>
        </w:r>
        <w:r w:rsidR="00CB294D">
          <w:rPr>
            <w:noProof/>
            <w:webHidden/>
          </w:rPr>
          <w:fldChar w:fldCharType="separate"/>
        </w:r>
        <w:r w:rsidR="00CB294D">
          <w:rPr>
            <w:noProof/>
            <w:webHidden/>
          </w:rPr>
          <w:t>21</w:t>
        </w:r>
        <w:r w:rsidR="00CB294D">
          <w:rPr>
            <w:noProof/>
            <w:webHidden/>
          </w:rPr>
          <w:fldChar w:fldCharType="end"/>
        </w:r>
      </w:hyperlink>
    </w:p>
    <w:p w:rsidR="00CA65E6" w:rsidRDefault="00AC6A77">
      <w:pPr>
        <w:pStyle w:val="TOC2"/>
        <w:tabs>
          <w:tab w:val="left" w:pos="1077"/>
        </w:tabs>
        <w:rPr>
          <w:rFonts w:asciiTheme="minorHAnsi" w:eastAsiaTheme="minorEastAsia" w:hAnsiTheme="minorHAnsi" w:cstheme="minorBidi"/>
          <w:noProof/>
          <w:sz w:val="22"/>
          <w:szCs w:val="22"/>
          <w:lang w:val="en-GB" w:eastAsia="en-GB" w:bidi="ar-SA"/>
        </w:rPr>
      </w:pPr>
      <w:hyperlink w:anchor="_Toc497132368" w:history="1">
        <w:r w:rsidR="00CB294D">
          <w:rPr>
            <w:rStyle w:val="Hyperlink"/>
            <w:noProof/>
          </w:rPr>
          <w:t>4.5.</w:t>
        </w:r>
        <w:r w:rsidR="00CB294D">
          <w:rPr>
            <w:rFonts w:asciiTheme="minorHAnsi" w:eastAsiaTheme="minorEastAsia" w:hAnsiTheme="minorHAnsi" w:cstheme="minorBidi"/>
            <w:noProof/>
            <w:sz w:val="22"/>
            <w:szCs w:val="22"/>
            <w:lang w:val="en-GB" w:eastAsia="en-GB" w:bidi="ar-SA"/>
          </w:rPr>
          <w:tab/>
        </w:r>
        <w:r w:rsidR="00CB294D">
          <w:rPr>
            <w:rStyle w:val="Hyperlink"/>
            <w:noProof/>
          </w:rPr>
          <w:t>Utvecklingsstöd</w:t>
        </w:r>
        <w:r w:rsidR="00CB294D">
          <w:rPr>
            <w:noProof/>
            <w:webHidden/>
          </w:rPr>
          <w:tab/>
        </w:r>
        <w:r w:rsidR="00CB294D">
          <w:rPr>
            <w:noProof/>
            <w:webHidden/>
          </w:rPr>
          <w:fldChar w:fldCharType="begin"/>
        </w:r>
        <w:r w:rsidR="00CB294D">
          <w:rPr>
            <w:noProof/>
            <w:webHidden/>
          </w:rPr>
          <w:instrText xml:space="preserve"> PAGEREF _Toc497132368 \h </w:instrText>
        </w:r>
        <w:r w:rsidR="00CB294D">
          <w:rPr>
            <w:noProof/>
            <w:webHidden/>
          </w:rPr>
        </w:r>
        <w:r w:rsidR="00CB294D">
          <w:rPr>
            <w:noProof/>
            <w:webHidden/>
          </w:rPr>
          <w:fldChar w:fldCharType="separate"/>
        </w:r>
        <w:r w:rsidR="00CB294D">
          <w:rPr>
            <w:noProof/>
            <w:webHidden/>
          </w:rPr>
          <w:t>22</w:t>
        </w:r>
        <w:r w:rsidR="00CB294D">
          <w:rPr>
            <w:noProof/>
            <w:webHidden/>
          </w:rPr>
          <w:fldChar w:fldCharType="end"/>
        </w:r>
      </w:hyperlink>
    </w:p>
    <w:p w:rsidR="00CA65E6" w:rsidRDefault="00AC6A77">
      <w:pPr>
        <w:pStyle w:val="TOC2"/>
        <w:tabs>
          <w:tab w:val="left" w:pos="1077"/>
        </w:tabs>
        <w:rPr>
          <w:rFonts w:asciiTheme="minorHAnsi" w:eastAsiaTheme="minorEastAsia" w:hAnsiTheme="minorHAnsi" w:cstheme="minorBidi"/>
          <w:noProof/>
          <w:sz w:val="22"/>
          <w:szCs w:val="22"/>
          <w:lang w:val="en-GB" w:eastAsia="en-GB" w:bidi="ar-SA"/>
        </w:rPr>
      </w:pPr>
      <w:hyperlink w:anchor="_Toc497132369" w:history="1">
        <w:r w:rsidR="00CB294D">
          <w:rPr>
            <w:rStyle w:val="Hyperlink"/>
            <w:noProof/>
          </w:rPr>
          <w:t>4.6.</w:t>
        </w:r>
        <w:r w:rsidR="00CB294D">
          <w:rPr>
            <w:rFonts w:asciiTheme="minorHAnsi" w:eastAsiaTheme="minorEastAsia" w:hAnsiTheme="minorHAnsi" w:cstheme="minorBidi"/>
            <w:noProof/>
            <w:sz w:val="22"/>
            <w:szCs w:val="22"/>
            <w:lang w:val="en-GB" w:eastAsia="en-GB" w:bidi="ar-SA"/>
          </w:rPr>
          <w:tab/>
        </w:r>
        <w:r w:rsidR="00CB294D">
          <w:rPr>
            <w:rStyle w:val="Hyperlink"/>
            <w:noProof/>
          </w:rPr>
          <w:t>Institutionell verksamhet</w:t>
        </w:r>
        <w:r w:rsidR="00CB294D">
          <w:rPr>
            <w:noProof/>
            <w:webHidden/>
          </w:rPr>
          <w:tab/>
        </w:r>
        <w:r w:rsidR="00CB294D">
          <w:rPr>
            <w:noProof/>
            <w:webHidden/>
          </w:rPr>
          <w:fldChar w:fldCharType="begin"/>
        </w:r>
        <w:r w:rsidR="00CB294D">
          <w:rPr>
            <w:noProof/>
            <w:webHidden/>
          </w:rPr>
          <w:instrText xml:space="preserve"> PAGEREF _Toc497132369 \h </w:instrText>
        </w:r>
        <w:r w:rsidR="00CB294D">
          <w:rPr>
            <w:noProof/>
            <w:webHidden/>
          </w:rPr>
        </w:r>
        <w:r w:rsidR="00CB294D">
          <w:rPr>
            <w:noProof/>
            <w:webHidden/>
          </w:rPr>
          <w:fldChar w:fldCharType="separate"/>
        </w:r>
        <w:r w:rsidR="00CB294D">
          <w:rPr>
            <w:noProof/>
            <w:webHidden/>
          </w:rPr>
          <w:t>22</w:t>
        </w:r>
        <w:r w:rsidR="00CB294D">
          <w:rPr>
            <w:noProof/>
            <w:webHidden/>
          </w:rPr>
          <w:fldChar w:fldCharType="end"/>
        </w:r>
      </w:hyperlink>
    </w:p>
    <w:p w:rsidR="00CA65E6" w:rsidRDefault="00AC6A77">
      <w:pPr>
        <w:pStyle w:val="TOC1"/>
        <w:rPr>
          <w:rFonts w:asciiTheme="minorHAnsi" w:eastAsiaTheme="minorEastAsia" w:hAnsiTheme="minorHAnsi" w:cstheme="minorBidi"/>
          <w:caps w:val="0"/>
          <w:noProof/>
          <w:sz w:val="22"/>
          <w:szCs w:val="22"/>
          <w:lang w:val="en-GB" w:eastAsia="en-GB" w:bidi="ar-SA"/>
        </w:rPr>
      </w:pPr>
      <w:hyperlink w:anchor="_Toc497132370" w:history="1">
        <w:r w:rsidR="00CB294D">
          <w:rPr>
            <w:rStyle w:val="Hyperlink"/>
            <w:noProof/>
          </w:rPr>
          <w:t>5.</w:t>
        </w:r>
        <w:r w:rsidR="00CB294D">
          <w:rPr>
            <w:rFonts w:asciiTheme="minorHAnsi" w:eastAsiaTheme="minorEastAsia" w:hAnsiTheme="minorHAnsi" w:cstheme="minorBidi"/>
            <w:caps w:val="0"/>
            <w:noProof/>
            <w:sz w:val="22"/>
            <w:szCs w:val="22"/>
            <w:lang w:val="en-GB" w:eastAsia="en-GB" w:bidi="ar-SA"/>
          </w:rPr>
          <w:tab/>
        </w:r>
        <w:r w:rsidR="00CB294D">
          <w:rPr>
            <w:rStyle w:val="Hyperlink"/>
            <w:noProof/>
          </w:rPr>
          <w:t>”Första generationens” frihandelsavtal</w:t>
        </w:r>
        <w:r w:rsidR="00CB294D">
          <w:rPr>
            <w:noProof/>
            <w:webHidden/>
          </w:rPr>
          <w:tab/>
        </w:r>
        <w:r w:rsidR="00CB294D">
          <w:rPr>
            <w:noProof/>
            <w:webHidden/>
          </w:rPr>
          <w:fldChar w:fldCharType="begin"/>
        </w:r>
        <w:r w:rsidR="00CB294D">
          <w:rPr>
            <w:noProof/>
            <w:webHidden/>
          </w:rPr>
          <w:instrText xml:space="preserve"> PAGEREF _Toc497132370 \h </w:instrText>
        </w:r>
        <w:r w:rsidR="00CB294D">
          <w:rPr>
            <w:noProof/>
            <w:webHidden/>
          </w:rPr>
        </w:r>
        <w:r w:rsidR="00CB294D">
          <w:rPr>
            <w:noProof/>
            <w:webHidden/>
          </w:rPr>
          <w:fldChar w:fldCharType="separate"/>
        </w:r>
        <w:r w:rsidR="00CB294D">
          <w:rPr>
            <w:noProof/>
            <w:webHidden/>
          </w:rPr>
          <w:t>23</w:t>
        </w:r>
        <w:r w:rsidR="00CB294D">
          <w:rPr>
            <w:noProof/>
            <w:webHidden/>
          </w:rPr>
          <w:fldChar w:fldCharType="end"/>
        </w:r>
      </w:hyperlink>
    </w:p>
    <w:p w:rsidR="00CA65E6" w:rsidRDefault="00AC6A77">
      <w:pPr>
        <w:pStyle w:val="TOC2"/>
        <w:tabs>
          <w:tab w:val="left" w:pos="1077"/>
        </w:tabs>
        <w:rPr>
          <w:rFonts w:asciiTheme="minorHAnsi" w:eastAsiaTheme="minorEastAsia" w:hAnsiTheme="minorHAnsi" w:cstheme="minorBidi"/>
          <w:noProof/>
          <w:sz w:val="22"/>
          <w:szCs w:val="22"/>
          <w:lang w:val="en-GB" w:eastAsia="en-GB" w:bidi="ar-SA"/>
        </w:rPr>
      </w:pPr>
      <w:hyperlink w:anchor="_Toc497132371" w:history="1">
        <w:r w:rsidR="00CB294D">
          <w:rPr>
            <w:rStyle w:val="Hyperlink"/>
            <w:noProof/>
          </w:rPr>
          <w:t>5.1.</w:t>
        </w:r>
        <w:r w:rsidR="00CB294D">
          <w:rPr>
            <w:rFonts w:asciiTheme="minorHAnsi" w:eastAsiaTheme="minorEastAsia" w:hAnsiTheme="minorHAnsi" w:cstheme="minorBidi"/>
            <w:noProof/>
            <w:sz w:val="22"/>
            <w:szCs w:val="22"/>
            <w:lang w:val="en-GB" w:eastAsia="en-GB" w:bidi="ar-SA"/>
          </w:rPr>
          <w:tab/>
        </w:r>
        <w:r w:rsidR="00CB294D">
          <w:rPr>
            <w:rStyle w:val="Hyperlink"/>
            <w:noProof/>
          </w:rPr>
          <w:t>Handelsflöden</w:t>
        </w:r>
        <w:r w:rsidR="00CB294D">
          <w:rPr>
            <w:noProof/>
            <w:webHidden/>
          </w:rPr>
          <w:tab/>
        </w:r>
        <w:r w:rsidR="00CB294D">
          <w:rPr>
            <w:noProof/>
            <w:webHidden/>
          </w:rPr>
          <w:fldChar w:fldCharType="begin"/>
        </w:r>
        <w:r w:rsidR="00CB294D">
          <w:rPr>
            <w:noProof/>
            <w:webHidden/>
          </w:rPr>
          <w:instrText xml:space="preserve"> PAGEREF _Toc497132371 \h </w:instrText>
        </w:r>
        <w:r w:rsidR="00CB294D">
          <w:rPr>
            <w:noProof/>
            <w:webHidden/>
          </w:rPr>
        </w:r>
        <w:r w:rsidR="00CB294D">
          <w:rPr>
            <w:noProof/>
            <w:webHidden/>
          </w:rPr>
          <w:fldChar w:fldCharType="separate"/>
        </w:r>
        <w:r w:rsidR="00CB294D">
          <w:rPr>
            <w:noProof/>
            <w:webHidden/>
          </w:rPr>
          <w:t>23</w:t>
        </w:r>
        <w:r w:rsidR="00CB294D">
          <w:rPr>
            <w:noProof/>
            <w:webHidden/>
          </w:rPr>
          <w:fldChar w:fldCharType="end"/>
        </w:r>
      </w:hyperlink>
    </w:p>
    <w:p w:rsidR="00CA65E6" w:rsidRDefault="00AC6A77">
      <w:pPr>
        <w:pStyle w:val="TOC2"/>
        <w:tabs>
          <w:tab w:val="left" w:pos="1077"/>
        </w:tabs>
        <w:rPr>
          <w:rFonts w:asciiTheme="minorHAnsi" w:eastAsiaTheme="minorEastAsia" w:hAnsiTheme="minorHAnsi" w:cstheme="minorBidi"/>
          <w:noProof/>
          <w:sz w:val="22"/>
          <w:szCs w:val="22"/>
          <w:lang w:val="en-GB" w:eastAsia="en-GB" w:bidi="ar-SA"/>
        </w:rPr>
      </w:pPr>
      <w:hyperlink w:anchor="_Toc497132372" w:history="1">
        <w:r w:rsidR="00CB294D">
          <w:rPr>
            <w:rStyle w:val="Hyperlink"/>
            <w:noProof/>
          </w:rPr>
          <w:t>5.2.</w:t>
        </w:r>
        <w:r w:rsidR="00CB294D">
          <w:rPr>
            <w:rFonts w:asciiTheme="minorHAnsi" w:eastAsiaTheme="minorEastAsia" w:hAnsiTheme="minorHAnsi" w:cstheme="minorBidi"/>
            <w:noProof/>
            <w:sz w:val="22"/>
            <w:szCs w:val="22"/>
            <w:lang w:val="en-GB" w:eastAsia="en-GB" w:bidi="ar-SA"/>
          </w:rPr>
          <w:tab/>
        </w:r>
        <w:r w:rsidR="00CB294D">
          <w:rPr>
            <w:rStyle w:val="Hyperlink"/>
            <w:noProof/>
          </w:rPr>
          <w:t>Tullkvoter</w:t>
        </w:r>
        <w:r w:rsidR="00CB294D">
          <w:rPr>
            <w:noProof/>
            <w:webHidden/>
          </w:rPr>
          <w:tab/>
        </w:r>
        <w:r w:rsidR="00CB294D">
          <w:rPr>
            <w:noProof/>
            <w:webHidden/>
          </w:rPr>
          <w:fldChar w:fldCharType="begin"/>
        </w:r>
        <w:r w:rsidR="00CB294D">
          <w:rPr>
            <w:noProof/>
            <w:webHidden/>
          </w:rPr>
          <w:instrText xml:space="preserve"> PAGEREF _Toc497132372 \h </w:instrText>
        </w:r>
        <w:r w:rsidR="00CB294D">
          <w:rPr>
            <w:noProof/>
            <w:webHidden/>
          </w:rPr>
        </w:r>
        <w:r w:rsidR="00CB294D">
          <w:rPr>
            <w:noProof/>
            <w:webHidden/>
          </w:rPr>
          <w:fldChar w:fldCharType="separate"/>
        </w:r>
        <w:r w:rsidR="00CB294D">
          <w:rPr>
            <w:noProof/>
            <w:webHidden/>
          </w:rPr>
          <w:t>25</w:t>
        </w:r>
        <w:r w:rsidR="00CB294D">
          <w:rPr>
            <w:noProof/>
            <w:webHidden/>
          </w:rPr>
          <w:fldChar w:fldCharType="end"/>
        </w:r>
      </w:hyperlink>
    </w:p>
    <w:p w:rsidR="00CA65E6" w:rsidRDefault="00AC6A77">
      <w:pPr>
        <w:pStyle w:val="TOC2"/>
        <w:tabs>
          <w:tab w:val="left" w:pos="1077"/>
        </w:tabs>
        <w:rPr>
          <w:rFonts w:asciiTheme="minorHAnsi" w:eastAsiaTheme="minorEastAsia" w:hAnsiTheme="minorHAnsi" w:cstheme="minorBidi"/>
          <w:noProof/>
          <w:sz w:val="22"/>
          <w:szCs w:val="22"/>
          <w:lang w:val="en-GB" w:eastAsia="en-GB" w:bidi="ar-SA"/>
        </w:rPr>
      </w:pPr>
      <w:hyperlink w:anchor="_Toc497132373" w:history="1">
        <w:r w:rsidR="00CB294D">
          <w:rPr>
            <w:rStyle w:val="Hyperlink"/>
            <w:noProof/>
          </w:rPr>
          <w:t>5.3.</w:t>
        </w:r>
        <w:r w:rsidR="00CB294D">
          <w:rPr>
            <w:rFonts w:asciiTheme="minorHAnsi" w:eastAsiaTheme="minorEastAsia" w:hAnsiTheme="minorHAnsi" w:cstheme="minorBidi"/>
            <w:noProof/>
            <w:sz w:val="22"/>
            <w:szCs w:val="22"/>
            <w:lang w:val="en-GB" w:eastAsia="en-GB" w:bidi="ar-SA"/>
          </w:rPr>
          <w:tab/>
        </w:r>
        <w:r w:rsidR="00CB294D">
          <w:rPr>
            <w:rStyle w:val="Hyperlink"/>
            <w:noProof/>
          </w:rPr>
          <w:t>Utnyttjande av förmånstullar</w:t>
        </w:r>
        <w:r w:rsidR="00CB294D">
          <w:rPr>
            <w:noProof/>
            <w:webHidden/>
          </w:rPr>
          <w:tab/>
        </w:r>
        <w:r w:rsidR="00CB294D">
          <w:rPr>
            <w:noProof/>
            <w:webHidden/>
          </w:rPr>
          <w:fldChar w:fldCharType="begin"/>
        </w:r>
        <w:r w:rsidR="00CB294D">
          <w:rPr>
            <w:noProof/>
            <w:webHidden/>
          </w:rPr>
          <w:instrText xml:space="preserve"> PAGEREF _Toc497132373 \h </w:instrText>
        </w:r>
        <w:r w:rsidR="00CB294D">
          <w:rPr>
            <w:noProof/>
            <w:webHidden/>
          </w:rPr>
        </w:r>
        <w:r w:rsidR="00CB294D">
          <w:rPr>
            <w:noProof/>
            <w:webHidden/>
          </w:rPr>
          <w:fldChar w:fldCharType="separate"/>
        </w:r>
        <w:r w:rsidR="00CB294D">
          <w:rPr>
            <w:noProof/>
            <w:webHidden/>
          </w:rPr>
          <w:t>25</w:t>
        </w:r>
        <w:r w:rsidR="00CB294D">
          <w:rPr>
            <w:noProof/>
            <w:webHidden/>
          </w:rPr>
          <w:fldChar w:fldCharType="end"/>
        </w:r>
      </w:hyperlink>
    </w:p>
    <w:p w:rsidR="00CA65E6" w:rsidRDefault="00AC6A77">
      <w:pPr>
        <w:pStyle w:val="TOC2"/>
        <w:tabs>
          <w:tab w:val="left" w:pos="1077"/>
        </w:tabs>
        <w:rPr>
          <w:rFonts w:asciiTheme="minorHAnsi" w:eastAsiaTheme="minorEastAsia" w:hAnsiTheme="minorHAnsi" w:cstheme="minorBidi"/>
          <w:noProof/>
          <w:sz w:val="22"/>
          <w:szCs w:val="22"/>
          <w:lang w:val="en-GB" w:eastAsia="en-GB" w:bidi="ar-SA"/>
        </w:rPr>
      </w:pPr>
      <w:hyperlink w:anchor="_Toc497132374" w:history="1">
        <w:r w:rsidR="00CB294D">
          <w:rPr>
            <w:rStyle w:val="Hyperlink"/>
            <w:noProof/>
          </w:rPr>
          <w:t>5.4.</w:t>
        </w:r>
        <w:r w:rsidR="00CB294D">
          <w:rPr>
            <w:rFonts w:asciiTheme="minorHAnsi" w:eastAsiaTheme="minorEastAsia" w:hAnsiTheme="minorHAnsi" w:cstheme="minorBidi"/>
            <w:noProof/>
            <w:sz w:val="22"/>
            <w:szCs w:val="22"/>
            <w:lang w:val="en-GB" w:eastAsia="en-GB" w:bidi="ar-SA"/>
          </w:rPr>
          <w:tab/>
        </w:r>
        <w:r w:rsidR="00CB294D">
          <w:rPr>
            <w:rStyle w:val="Hyperlink"/>
            <w:noProof/>
          </w:rPr>
          <w:t>Tjänster och investeringar</w:t>
        </w:r>
        <w:r w:rsidR="00CB294D">
          <w:rPr>
            <w:noProof/>
            <w:webHidden/>
          </w:rPr>
          <w:tab/>
        </w:r>
        <w:r w:rsidR="00CB294D">
          <w:rPr>
            <w:noProof/>
            <w:webHidden/>
          </w:rPr>
          <w:fldChar w:fldCharType="begin"/>
        </w:r>
        <w:r w:rsidR="00CB294D">
          <w:rPr>
            <w:noProof/>
            <w:webHidden/>
          </w:rPr>
          <w:instrText xml:space="preserve"> PAGEREF _Toc497132374 \h </w:instrText>
        </w:r>
        <w:r w:rsidR="00CB294D">
          <w:rPr>
            <w:noProof/>
            <w:webHidden/>
          </w:rPr>
        </w:r>
        <w:r w:rsidR="00CB294D">
          <w:rPr>
            <w:noProof/>
            <w:webHidden/>
          </w:rPr>
          <w:fldChar w:fldCharType="separate"/>
        </w:r>
        <w:r w:rsidR="00CB294D">
          <w:rPr>
            <w:noProof/>
            <w:webHidden/>
          </w:rPr>
          <w:t>26</w:t>
        </w:r>
        <w:r w:rsidR="00CB294D">
          <w:rPr>
            <w:noProof/>
            <w:webHidden/>
          </w:rPr>
          <w:fldChar w:fldCharType="end"/>
        </w:r>
      </w:hyperlink>
    </w:p>
    <w:p w:rsidR="00CA65E6" w:rsidRDefault="00AC6A77">
      <w:pPr>
        <w:pStyle w:val="TOC2"/>
        <w:tabs>
          <w:tab w:val="left" w:pos="1077"/>
        </w:tabs>
        <w:rPr>
          <w:rFonts w:asciiTheme="minorHAnsi" w:eastAsiaTheme="minorEastAsia" w:hAnsiTheme="minorHAnsi" w:cstheme="minorBidi"/>
          <w:noProof/>
          <w:sz w:val="22"/>
          <w:szCs w:val="22"/>
          <w:lang w:val="en-GB" w:eastAsia="en-GB" w:bidi="ar-SA"/>
        </w:rPr>
      </w:pPr>
      <w:hyperlink w:anchor="_Toc497132375" w:history="1">
        <w:r w:rsidR="00CB294D">
          <w:rPr>
            <w:rStyle w:val="Hyperlink"/>
            <w:rFonts w:eastAsia="Calibri"/>
            <w:noProof/>
          </w:rPr>
          <w:t>5.5.</w:t>
        </w:r>
        <w:r w:rsidR="00CB294D">
          <w:rPr>
            <w:rFonts w:asciiTheme="minorHAnsi" w:eastAsiaTheme="minorEastAsia" w:hAnsiTheme="minorHAnsi" w:cstheme="minorBidi"/>
            <w:noProof/>
            <w:sz w:val="22"/>
            <w:szCs w:val="22"/>
            <w:lang w:val="en-GB" w:eastAsia="en-GB" w:bidi="ar-SA"/>
          </w:rPr>
          <w:tab/>
        </w:r>
        <w:r w:rsidR="00CB294D">
          <w:rPr>
            <w:rStyle w:val="Hyperlink"/>
            <w:noProof/>
          </w:rPr>
          <w:t>Genomförandeorgan</w:t>
        </w:r>
        <w:r w:rsidR="00CB294D">
          <w:rPr>
            <w:noProof/>
            <w:webHidden/>
          </w:rPr>
          <w:tab/>
        </w:r>
        <w:r w:rsidR="00CB294D">
          <w:rPr>
            <w:noProof/>
            <w:webHidden/>
          </w:rPr>
          <w:fldChar w:fldCharType="begin"/>
        </w:r>
        <w:r w:rsidR="00CB294D">
          <w:rPr>
            <w:noProof/>
            <w:webHidden/>
          </w:rPr>
          <w:instrText xml:space="preserve"> PAGEREF _Toc497132375 \h </w:instrText>
        </w:r>
        <w:r w:rsidR="00CB294D">
          <w:rPr>
            <w:noProof/>
            <w:webHidden/>
          </w:rPr>
        </w:r>
        <w:r w:rsidR="00CB294D">
          <w:rPr>
            <w:noProof/>
            <w:webHidden/>
          </w:rPr>
          <w:fldChar w:fldCharType="separate"/>
        </w:r>
        <w:r w:rsidR="00CB294D">
          <w:rPr>
            <w:noProof/>
            <w:webHidden/>
          </w:rPr>
          <w:t>26</w:t>
        </w:r>
        <w:r w:rsidR="00CB294D">
          <w:rPr>
            <w:noProof/>
            <w:webHidden/>
          </w:rPr>
          <w:fldChar w:fldCharType="end"/>
        </w:r>
      </w:hyperlink>
    </w:p>
    <w:p w:rsidR="00CA65E6" w:rsidRDefault="00AC6A77">
      <w:pPr>
        <w:pStyle w:val="TOC1"/>
        <w:rPr>
          <w:rFonts w:asciiTheme="minorHAnsi" w:eastAsiaTheme="minorEastAsia" w:hAnsiTheme="minorHAnsi" w:cstheme="minorBidi"/>
          <w:caps w:val="0"/>
          <w:noProof/>
          <w:sz w:val="22"/>
          <w:szCs w:val="22"/>
          <w:lang w:val="en-GB" w:eastAsia="en-GB" w:bidi="ar-SA"/>
        </w:rPr>
      </w:pPr>
      <w:hyperlink w:anchor="_Toc497132376" w:history="1">
        <w:r w:rsidR="00CB294D">
          <w:rPr>
            <w:rStyle w:val="Hyperlink"/>
            <w:noProof/>
          </w:rPr>
          <w:t>6.</w:t>
        </w:r>
        <w:r w:rsidR="00CB294D">
          <w:rPr>
            <w:rFonts w:asciiTheme="minorHAnsi" w:eastAsiaTheme="minorEastAsia" w:hAnsiTheme="minorHAnsi" w:cstheme="minorBidi"/>
            <w:caps w:val="0"/>
            <w:noProof/>
            <w:sz w:val="22"/>
            <w:szCs w:val="22"/>
            <w:lang w:val="en-GB" w:eastAsia="en-GB" w:bidi="ar-SA"/>
          </w:rPr>
          <w:tab/>
        </w:r>
        <w:r w:rsidR="00CB294D">
          <w:rPr>
            <w:rStyle w:val="Hyperlink"/>
            <w:noProof/>
          </w:rPr>
          <w:t>I blickpunkten: Kapitlen om handel och hållbar utveckling</w:t>
        </w:r>
        <w:r w:rsidR="00CB294D">
          <w:rPr>
            <w:noProof/>
            <w:webHidden/>
          </w:rPr>
          <w:tab/>
        </w:r>
        <w:r w:rsidR="00CB294D">
          <w:rPr>
            <w:noProof/>
            <w:webHidden/>
          </w:rPr>
          <w:fldChar w:fldCharType="begin"/>
        </w:r>
        <w:r w:rsidR="00CB294D">
          <w:rPr>
            <w:noProof/>
            <w:webHidden/>
          </w:rPr>
          <w:instrText xml:space="preserve"> PAGEREF _Toc497132376 \h </w:instrText>
        </w:r>
        <w:r w:rsidR="00CB294D">
          <w:rPr>
            <w:noProof/>
            <w:webHidden/>
          </w:rPr>
        </w:r>
        <w:r w:rsidR="00CB294D">
          <w:rPr>
            <w:noProof/>
            <w:webHidden/>
          </w:rPr>
          <w:fldChar w:fldCharType="separate"/>
        </w:r>
        <w:r w:rsidR="00CB294D">
          <w:rPr>
            <w:noProof/>
            <w:webHidden/>
          </w:rPr>
          <w:t>27</w:t>
        </w:r>
        <w:r w:rsidR="00CB294D">
          <w:rPr>
            <w:noProof/>
            <w:webHidden/>
          </w:rPr>
          <w:fldChar w:fldCharType="end"/>
        </w:r>
      </w:hyperlink>
    </w:p>
    <w:p w:rsidR="00CA65E6" w:rsidRDefault="00AC6A77">
      <w:pPr>
        <w:pStyle w:val="TOC2"/>
        <w:tabs>
          <w:tab w:val="left" w:pos="1077"/>
        </w:tabs>
        <w:rPr>
          <w:rFonts w:asciiTheme="minorHAnsi" w:eastAsiaTheme="minorEastAsia" w:hAnsiTheme="minorHAnsi" w:cstheme="minorBidi"/>
          <w:noProof/>
          <w:sz w:val="22"/>
          <w:szCs w:val="22"/>
          <w:lang w:val="en-GB" w:eastAsia="en-GB" w:bidi="ar-SA"/>
        </w:rPr>
      </w:pPr>
      <w:hyperlink w:anchor="_Toc497132377" w:history="1">
        <w:r w:rsidR="00CB294D">
          <w:rPr>
            <w:rStyle w:val="Hyperlink"/>
            <w:noProof/>
          </w:rPr>
          <w:t>6.1.</w:t>
        </w:r>
        <w:r w:rsidR="00CB294D">
          <w:rPr>
            <w:rFonts w:asciiTheme="minorHAnsi" w:eastAsiaTheme="minorEastAsia" w:hAnsiTheme="minorHAnsi" w:cstheme="minorBidi"/>
            <w:noProof/>
            <w:sz w:val="22"/>
            <w:szCs w:val="22"/>
            <w:lang w:val="en-GB" w:eastAsia="en-GB" w:bidi="ar-SA"/>
          </w:rPr>
          <w:tab/>
        </w:r>
        <w:r w:rsidR="00CB294D">
          <w:rPr>
            <w:rStyle w:val="Hyperlink"/>
            <w:noProof/>
          </w:rPr>
          <w:t>Verksamheten inom ramen för den ”nya generationens” frihandelsavtal</w:t>
        </w:r>
        <w:r w:rsidR="00CB294D">
          <w:rPr>
            <w:noProof/>
            <w:webHidden/>
          </w:rPr>
          <w:tab/>
        </w:r>
        <w:r w:rsidR="00CB294D">
          <w:rPr>
            <w:noProof/>
            <w:webHidden/>
          </w:rPr>
          <w:fldChar w:fldCharType="begin"/>
        </w:r>
        <w:r w:rsidR="00CB294D">
          <w:rPr>
            <w:noProof/>
            <w:webHidden/>
          </w:rPr>
          <w:instrText xml:space="preserve"> PAGEREF _Toc497132377 \h </w:instrText>
        </w:r>
        <w:r w:rsidR="00CB294D">
          <w:rPr>
            <w:noProof/>
            <w:webHidden/>
          </w:rPr>
        </w:r>
        <w:r w:rsidR="00CB294D">
          <w:rPr>
            <w:noProof/>
            <w:webHidden/>
          </w:rPr>
          <w:fldChar w:fldCharType="separate"/>
        </w:r>
        <w:r w:rsidR="00CB294D">
          <w:rPr>
            <w:noProof/>
            <w:webHidden/>
          </w:rPr>
          <w:t>27</w:t>
        </w:r>
        <w:r w:rsidR="00CB294D">
          <w:rPr>
            <w:noProof/>
            <w:webHidden/>
          </w:rPr>
          <w:fldChar w:fldCharType="end"/>
        </w:r>
      </w:hyperlink>
    </w:p>
    <w:p w:rsidR="00CA65E6" w:rsidRDefault="00AC6A77">
      <w:pPr>
        <w:pStyle w:val="TOC2"/>
        <w:tabs>
          <w:tab w:val="left" w:pos="1077"/>
        </w:tabs>
        <w:rPr>
          <w:rFonts w:asciiTheme="minorHAnsi" w:eastAsiaTheme="minorEastAsia" w:hAnsiTheme="minorHAnsi" w:cstheme="minorBidi"/>
          <w:noProof/>
          <w:sz w:val="22"/>
          <w:szCs w:val="22"/>
          <w:lang w:val="en-GB" w:eastAsia="en-GB" w:bidi="ar-SA"/>
        </w:rPr>
      </w:pPr>
      <w:hyperlink w:anchor="_Toc497132378" w:history="1">
        <w:r w:rsidR="00CB294D">
          <w:rPr>
            <w:rStyle w:val="Hyperlink"/>
            <w:noProof/>
          </w:rPr>
          <w:t>6.2.</w:t>
        </w:r>
        <w:r w:rsidR="00CB294D">
          <w:rPr>
            <w:rFonts w:asciiTheme="minorHAnsi" w:eastAsiaTheme="minorEastAsia" w:hAnsiTheme="minorHAnsi" w:cstheme="minorBidi"/>
            <w:noProof/>
            <w:sz w:val="22"/>
            <w:szCs w:val="22"/>
            <w:lang w:val="en-GB" w:eastAsia="en-GB" w:bidi="ar-SA"/>
          </w:rPr>
          <w:tab/>
        </w:r>
        <w:r w:rsidR="00CB294D">
          <w:rPr>
            <w:rStyle w:val="Hyperlink"/>
            <w:noProof/>
          </w:rPr>
          <w:t>Möten mellan regeringar om handel och hållbar utveckling</w:t>
        </w:r>
        <w:r w:rsidR="00CB294D">
          <w:rPr>
            <w:noProof/>
            <w:webHidden/>
          </w:rPr>
          <w:tab/>
        </w:r>
        <w:r w:rsidR="00CB294D">
          <w:rPr>
            <w:noProof/>
            <w:webHidden/>
          </w:rPr>
          <w:fldChar w:fldCharType="begin"/>
        </w:r>
        <w:r w:rsidR="00CB294D">
          <w:rPr>
            <w:noProof/>
            <w:webHidden/>
          </w:rPr>
          <w:instrText xml:space="preserve"> PAGEREF _Toc497132378 \h </w:instrText>
        </w:r>
        <w:r w:rsidR="00CB294D">
          <w:rPr>
            <w:noProof/>
            <w:webHidden/>
          </w:rPr>
        </w:r>
        <w:r w:rsidR="00CB294D">
          <w:rPr>
            <w:noProof/>
            <w:webHidden/>
          </w:rPr>
          <w:fldChar w:fldCharType="separate"/>
        </w:r>
        <w:r w:rsidR="00CB294D">
          <w:rPr>
            <w:noProof/>
            <w:webHidden/>
          </w:rPr>
          <w:t>27</w:t>
        </w:r>
        <w:r w:rsidR="00CB294D">
          <w:rPr>
            <w:noProof/>
            <w:webHidden/>
          </w:rPr>
          <w:fldChar w:fldCharType="end"/>
        </w:r>
      </w:hyperlink>
    </w:p>
    <w:p w:rsidR="00CA65E6" w:rsidRDefault="00AC6A77">
      <w:pPr>
        <w:pStyle w:val="TOC2"/>
        <w:tabs>
          <w:tab w:val="left" w:pos="1077"/>
        </w:tabs>
        <w:rPr>
          <w:rFonts w:asciiTheme="minorHAnsi" w:eastAsiaTheme="minorEastAsia" w:hAnsiTheme="minorHAnsi" w:cstheme="minorBidi"/>
          <w:noProof/>
          <w:sz w:val="22"/>
          <w:szCs w:val="22"/>
          <w:lang w:val="en-GB" w:eastAsia="en-GB" w:bidi="ar-SA"/>
        </w:rPr>
      </w:pPr>
      <w:hyperlink w:anchor="_Toc497132379" w:history="1">
        <w:r w:rsidR="00CB294D">
          <w:rPr>
            <w:rStyle w:val="Hyperlink"/>
            <w:noProof/>
          </w:rPr>
          <w:t>6.3.</w:t>
        </w:r>
        <w:r w:rsidR="00CB294D">
          <w:rPr>
            <w:rFonts w:asciiTheme="minorHAnsi" w:eastAsiaTheme="minorEastAsia" w:hAnsiTheme="minorHAnsi" w:cstheme="minorBidi"/>
            <w:noProof/>
            <w:sz w:val="22"/>
            <w:szCs w:val="22"/>
            <w:lang w:val="en-GB" w:eastAsia="en-GB" w:bidi="ar-SA"/>
          </w:rPr>
          <w:tab/>
        </w:r>
        <w:r w:rsidR="00CB294D">
          <w:rPr>
            <w:rStyle w:val="Hyperlink"/>
            <w:noProof/>
          </w:rPr>
          <w:t>Andra sammanträden</w:t>
        </w:r>
        <w:r w:rsidR="00CB294D">
          <w:rPr>
            <w:noProof/>
            <w:webHidden/>
          </w:rPr>
          <w:tab/>
        </w:r>
        <w:r w:rsidR="00CB294D">
          <w:rPr>
            <w:noProof/>
            <w:webHidden/>
          </w:rPr>
          <w:fldChar w:fldCharType="begin"/>
        </w:r>
        <w:r w:rsidR="00CB294D">
          <w:rPr>
            <w:noProof/>
            <w:webHidden/>
          </w:rPr>
          <w:instrText xml:space="preserve"> PAGEREF _Toc497132379 \h </w:instrText>
        </w:r>
        <w:r w:rsidR="00CB294D">
          <w:rPr>
            <w:noProof/>
            <w:webHidden/>
          </w:rPr>
        </w:r>
        <w:r w:rsidR="00CB294D">
          <w:rPr>
            <w:noProof/>
            <w:webHidden/>
          </w:rPr>
          <w:fldChar w:fldCharType="separate"/>
        </w:r>
        <w:r w:rsidR="00CB294D">
          <w:rPr>
            <w:noProof/>
            <w:webHidden/>
          </w:rPr>
          <w:t>28</w:t>
        </w:r>
        <w:r w:rsidR="00CB294D">
          <w:rPr>
            <w:noProof/>
            <w:webHidden/>
          </w:rPr>
          <w:fldChar w:fldCharType="end"/>
        </w:r>
      </w:hyperlink>
    </w:p>
    <w:p w:rsidR="00CA65E6" w:rsidRDefault="00AC6A77">
      <w:pPr>
        <w:pStyle w:val="TOC2"/>
        <w:tabs>
          <w:tab w:val="left" w:pos="1077"/>
        </w:tabs>
        <w:rPr>
          <w:rFonts w:asciiTheme="minorHAnsi" w:eastAsiaTheme="minorEastAsia" w:hAnsiTheme="minorHAnsi" w:cstheme="minorBidi"/>
          <w:noProof/>
          <w:sz w:val="22"/>
          <w:szCs w:val="22"/>
          <w:lang w:val="en-GB" w:eastAsia="en-GB" w:bidi="ar-SA"/>
        </w:rPr>
      </w:pPr>
      <w:hyperlink w:anchor="_Toc497132380" w:history="1">
        <w:r w:rsidR="00CB294D">
          <w:rPr>
            <w:rStyle w:val="Hyperlink"/>
            <w:noProof/>
          </w:rPr>
          <w:t>6.4.</w:t>
        </w:r>
        <w:r w:rsidR="00CB294D">
          <w:rPr>
            <w:rFonts w:asciiTheme="minorHAnsi" w:eastAsiaTheme="minorEastAsia" w:hAnsiTheme="minorHAnsi" w:cstheme="minorBidi"/>
            <w:noProof/>
            <w:sz w:val="22"/>
            <w:szCs w:val="22"/>
            <w:lang w:val="en-GB" w:eastAsia="en-GB" w:bidi="ar-SA"/>
          </w:rPr>
          <w:tab/>
        </w:r>
        <w:r w:rsidR="00CB294D">
          <w:rPr>
            <w:rStyle w:val="Hyperlink"/>
            <w:noProof/>
          </w:rPr>
          <w:t>Nuläge och utmaningar</w:t>
        </w:r>
        <w:r w:rsidR="00CB294D">
          <w:rPr>
            <w:noProof/>
            <w:webHidden/>
          </w:rPr>
          <w:tab/>
        </w:r>
        <w:r w:rsidR="00CB294D">
          <w:rPr>
            <w:noProof/>
            <w:webHidden/>
          </w:rPr>
          <w:fldChar w:fldCharType="begin"/>
        </w:r>
        <w:r w:rsidR="00CB294D">
          <w:rPr>
            <w:noProof/>
            <w:webHidden/>
          </w:rPr>
          <w:instrText xml:space="preserve"> PAGEREF _Toc497132380 \h </w:instrText>
        </w:r>
        <w:r w:rsidR="00CB294D">
          <w:rPr>
            <w:noProof/>
            <w:webHidden/>
          </w:rPr>
        </w:r>
        <w:r w:rsidR="00CB294D">
          <w:rPr>
            <w:noProof/>
            <w:webHidden/>
          </w:rPr>
          <w:fldChar w:fldCharType="separate"/>
        </w:r>
        <w:r w:rsidR="00CB294D">
          <w:rPr>
            <w:noProof/>
            <w:webHidden/>
          </w:rPr>
          <w:t>28</w:t>
        </w:r>
        <w:r w:rsidR="00CB294D">
          <w:rPr>
            <w:noProof/>
            <w:webHidden/>
          </w:rPr>
          <w:fldChar w:fldCharType="end"/>
        </w:r>
      </w:hyperlink>
    </w:p>
    <w:p w:rsidR="00CA65E6" w:rsidRDefault="00AC6A77">
      <w:pPr>
        <w:pStyle w:val="TOC1"/>
        <w:rPr>
          <w:rFonts w:asciiTheme="minorHAnsi" w:eastAsiaTheme="minorEastAsia" w:hAnsiTheme="minorHAnsi" w:cstheme="minorBidi"/>
          <w:caps w:val="0"/>
          <w:noProof/>
          <w:sz w:val="22"/>
          <w:szCs w:val="22"/>
          <w:lang w:val="en-GB" w:eastAsia="en-GB" w:bidi="ar-SA"/>
        </w:rPr>
      </w:pPr>
      <w:hyperlink w:anchor="_Toc497132381" w:history="1">
        <w:r w:rsidR="00CB294D">
          <w:rPr>
            <w:rStyle w:val="Hyperlink"/>
            <w:noProof/>
          </w:rPr>
          <w:t>7.</w:t>
        </w:r>
        <w:r w:rsidR="00CB294D">
          <w:rPr>
            <w:rFonts w:asciiTheme="minorHAnsi" w:eastAsiaTheme="minorEastAsia" w:hAnsiTheme="minorHAnsi" w:cstheme="minorBidi"/>
            <w:caps w:val="0"/>
            <w:noProof/>
            <w:sz w:val="22"/>
            <w:szCs w:val="22"/>
            <w:lang w:val="en-GB" w:eastAsia="en-GB" w:bidi="ar-SA"/>
          </w:rPr>
          <w:tab/>
        </w:r>
        <w:r w:rsidR="00CB294D">
          <w:rPr>
            <w:rStyle w:val="Hyperlink"/>
            <w:noProof/>
          </w:rPr>
          <w:t>Efterhandsutvärdering av frihandelsavtalens effekter – Chile och Mexiko</w:t>
        </w:r>
        <w:r w:rsidR="00CB294D">
          <w:rPr>
            <w:noProof/>
            <w:webHidden/>
          </w:rPr>
          <w:tab/>
        </w:r>
        <w:r w:rsidR="00CB294D">
          <w:rPr>
            <w:noProof/>
            <w:webHidden/>
          </w:rPr>
          <w:fldChar w:fldCharType="begin"/>
        </w:r>
        <w:r w:rsidR="00CB294D">
          <w:rPr>
            <w:noProof/>
            <w:webHidden/>
          </w:rPr>
          <w:instrText xml:space="preserve"> PAGEREF _Toc497132381 \h </w:instrText>
        </w:r>
        <w:r w:rsidR="00CB294D">
          <w:rPr>
            <w:noProof/>
            <w:webHidden/>
          </w:rPr>
        </w:r>
        <w:r w:rsidR="00CB294D">
          <w:rPr>
            <w:noProof/>
            <w:webHidden/>
          </w:rPr>
          <w:fldChar w:fldCharType="separate"/>
        </w:r>
        <w:r w:rsidR="00CB294D">
          <w:rPr>
            <w:noProof/>
            <w:webHidden/>
          </w:rPr>
          <w:t>30</w:t>
        </w:r>
        <w:r w:rsidR="00CB294D">
          <w:rPr>
            <w:noProof/>
            <w:webHidden/>
          </w:rPr>
          <w:fldChar w:fldCharType="end"/>
        </w:r>
      </w:hyperlink>
    </w:p>
    <w:p w:rsidR="00CA65E6" w:rsidRDefault="00AC6A77">
      <w:pPr>
        <w:pStyle w:val="TOC2"/>
        <w:tabs>
          <w:tab w:val="left" w:pos="1077"/>
        </w:tabs>
        <w:rPr>
          <w:rFonts w:asciiTheme="minorHAnsi" w:eastAsiaTheme="minorEastAsia" w:hAnsiTheme="minorHAnsi" w:cstheme="minorBidi"/>
          <w:noProof/>
          <w:sz w:val="22"/>
          <w:szCs w:val="22"/>
          <w:lang w:val="en-GB" w:eastAsia="en-GB" w:bidi="ar-SA"/>
        </w:rPr>
      </w:pPr>
      <w:hyperlink w:anchor="_Toc497132382" w:history="1">
        <w:r w:rsidR="00CB294D">
          <w:rPr>
            <w:rStyle w:val="Hyperlink"/>
            <w:noProof/>
          </w:rPr>
          <w:t>7.1.</w:t>
        </w:r>
        <w:r w:rsidR="00CB294D">
          <w:rPr>
            <w:rFonts w:asciiTheme="minorHAnsi" w:eastAsiaTheme="minorEastAsia" w:hAnsiTheme="minorHAnsi" w:cstheme="minorBidi"/>
            <w:noProof/>
            <w:sz w:val="22"/>
            <w:szCs w:val="22"/>
            <w:lang w:val="en-GB" w:eastAsia="en-GB" w:bidi="ar-SA"/>
          </w:rPr>
          <w:tab/>
        </w:r>
        <w:r w:rsidR="00CB294D">
          <w:rPr>
            <w:rStyle w:val="Hyperlink"/>
            <w:noProof/>
          </w:rPr>
          <w:t>Chile</w:t>
        </w:r>
        <w:r w:rsidR="00CB294D">
          <w:rPr>
            <w:noProof/>
            <w:webHidden/>
          </w:rPr>
          <w:tab/>
        </w:r>
        <w:r w:rsidR="00CB294D">
          <w:rPr>
            <w:noProof/>
            <w:webHidden/>
          </w:rPr>
          <w:fldChar w:fldCharType="begin"/>
        </w:r>
        <w:r w:rsidR="00CB294D">
          <w:rPr>
            <w:noProof/>
            <w:webHidden/>
          </w:rPr>
          <w:instrText xml:space="preserve"> PAGEREF _Toc497132382 \h </w:instrText>
        </w:r>
        <w:r w:rsidR="00CB294D">
          <w:rPr>
            <w:noProof/>
            <w:webHidden/>
          </w:rPr>
        </w:r>
        <w:r w:rsidR="00CB294D">
          <w:rPr>
            <w:noProof/>
            <w:webHidden/>
          </w:rPr>
          <w:fldChar w:fldCharType="separate"/>
        </w:r>
        <w:r w:rsidR="00CB294D">
          <w:rPr>
            <w:noProof/>
            <w:webHidden/>
          </w:rPr>
          <w:t>30</w:t>
        </w:r>
        <w:r w:rsidR="00CB294D">
          <w:rPr>
            <w:noProof/>
            <w:webHidden/>
          </w:rPr>
          <w:fldChar w:fldCharType="end"/>
        </w:r>
      </w:hyperlink>
    </w:p>
    <w:p w:rsidR="00CA65E6" w:rsidRDefault="00AC6A77">
      <w:pPr>
        <w:pStyle w:val="TOC2"/>
        <w:tabs>
          <w:tab w:val="left" w:pos="1077"/>
        </w:tabs>
        <w:rPr>
          <w:rFonts w:asciiTheme="minorHAnsi" w:eastAsiaTheme="minorEastAsia" w:hAnsiTheme="minorHAnsi" w:cstheme="minorBidi"/>
          <w:noProof/>
          <w:sz w:val="22"/>
          <w:szCs w:val="22"/>
          <w:lang w:val="en-GB" w:eastAsia="en-GB" w:bidi="ar-SA"/>
        </w:rPr>
      </w:pPr>
      <w:hyperlink w:anchor="_Toc497132383" w:history="1">
        <w:r w:rsidR="00CB294D">
          <w:rPr>
            <w:rStyle w:val="Hyperlink"/>
            <w:noProof/>
          </w:rPr>
          <w:t>7.2.</w:t>
        </w:r>
        <w:r w:rsidR="00CB294D">
          <w:rPr>
            <w:rFonts w:asciiTheme="minorHAnsi" w:eastAsiaTheme="minorEastAsia" w:hAnsiTheme="minorHAnsi" w:cstheme="minorBidi"/>
            <w:noProof/>
            <w:sz w:val="22"/>
            <w:szCs w:val="22"/>
            <w:lang w:val="en-GB" w:eastAsia="en-GB" w:bidi="ar-SA"/>
          </w:rPr>
          <w:tab/>
        </w:r>
        <w:r w:rsidR="00CB294D">
          <w:rPr>
            <w:rStyle w:val="Hyperlink"/>
            <w:noProof/>
          </w:rPr>
          <w:t>Mexiko</w:t>
        </w:r>
        <w:r w:rsidR="00CB294D">
          <w:rPr>
            <w:noProof/>
            <w:webHidden/>
          </w:rPr>
          <w:tab/>
        </w:r>
        <w:r w:rsidR="00CB294D">
          <w:rPr>
            <w:noProof/>
            <w:webHidden/>
          </w:rPr>
          <w:fldChar w:fldCharType="begin"/>
        </w:r>
        <w:r w:rsidR="00CB294D">
          <w:rPr>
            <w:noProof/>
            <w:webHidden/>
          </w:rPr>
          <w:instrText xml:space="preserve"> PAGEREF _Toc497132383 \h </w:instrText>
        </w:r>
        <w:r w:rsidR="00CB294D">
          <w:rPr>
            <w:noProof/>
            <w:webHidden/>
          </w:rPr>
        </w:r>
        <w:r w:rsidR="00CB294D">
          <w:rPr>
            <w:noProof/>
            <w:webHidden/>
          </w:rPr>
          <w:fldChar w:fldCharType="separate"/>
        </w:r>
        <w:r w:rsidR="00CB294D">
          <w:rPr>
            <w:noProof/>
            <w:webHidden/>
          </w:rPr>
          <w:t>31</w:t>
        </w:r>
        <w:r w:rsidR="00CB294D">
          <w:rPr>
            <w:noProof/>
            <w:webHidden/>
          </w:rPr>
          <w:fldChar w:fldCharType="end"/>
        </w:r>
      </w:hyperlink>
    </w:p>
    <w:p w:rsidR="00CA65E6" w:rsidRDefault="00AC6A77">
      <w:pPr>
        <w:pStyle w:val="TOC1"/>
        <w:rPr>
          <w:rFonts w:asciiTheme="minorHAnsi" w:eastAsiaTheme="minorEastAsia" w:hAnsiTheme="minorHAnsi" w:cstheme="minorBidi"/>
          <w:caps w:val="0"/>
          <w:noProof/>
          <w:sz w:val="22"/>
          <w:szCs w:val="22"/>
          <w:lang w:val="en-GB" w:eastAsia="en-GB" w:bidi="ar-SA"/>
        </w:rPr>
      </w:pPr>
      <w:hyperlink w:anchor="_Toc497132384" w:history="1">
        <w:r w:rsidR="00CB294D">
          <w:rPr>
            <w:rStyle w:val="Hyperlink"/>
            <w:noProof/>
          </w:rPr>
          <w:t>8.</w:t>
        </w:r>
        <w:r w:rsidR="00CB294D">
          <w:rPr>
            <w:rFonts w:asciiTheme="minorHAnsi" w:eastAsiaTheme="minorEastAsia" w:hAnsiTheme="minorHAnsi" w:cstheme="minorBidi"/>
            <w:caps w:val="0"/>
            <w:noProof/>
            <w:sz w:val="22"/>
            <w:szCs w:val="22"/>
            <w:lang w:val="en-GB" w:eastAsia="en-GB" w:bidi="ar-SA"/>
          </w:rPr>
          <w:tab/>
        </w:r>
        <w:r w:rsidR="00CB294D">
          <w:rPr>
            <w:rStyle w:val="Hyperlink"/>
            <w:noProof/>
          </w:rPr>
          <w:t>Förberedelser för ett ändamålsenligt genomförande av frihandelsavtalen</w:t>
        </w:r>
        <w:r w:rsidR="00CB294D">
          <w:rPr>
            <w:noProof/>
            <w:webHidden/>
          </w:rPr>
          <w:tab/>
        </w:r>
        <w:r w:rsidR="00CB294D">
          <w:rPr>
            <w:noProof/>
            <w:webHidden/>
          </w:rPr>
          <w:fldChar w:fldCharType="begin"/>
        </w:r>
        <w:r w:rsidR="00CB294D">
          <w:rPr>
            <w:noProof/>
            <w:webHidden/>
          </w:rPr>
          <w:instrText xml:space="preserve"> PAGEREF _Toc497132384 \h </w:instrText>
        </w:r>
        <w:r w:rsidR="00CB294D">
          <w:rPr>
            <w:noProof/>
            <w:webHidden/>
          </w:rPr>
        </w:r>
        <w:r w:rsidR="00CB294D">
          <w:rPr>
            <w:noProof/>
            <w:webHidden/>
          </w:rPr>
          <w:fldChar w:fldCharType="separate"/>
        </w:r>
        <w:r w:rsidR="00CB294D">
          <w:rPr>
            <w:noProof/>
            <w:webHidden/>
          </w:rPr>
          <w:t>32</w:t>
        </w:r>
        <w:r w:rsidR="00CB294D">
          <w:rPr>
            <w:noProof/>
            <w:webHidden/>
          </w:rPr>
          <w:fldChar w:fldCharType="end"/>
        </w:r>
      </w:hyperlink>
    </w:p>
    <w:p w:rsidR="00CA65E6" w:rsidRDefault="00AC6A77">
      <w:pPr>
        <w:pStyle w:val="TOC1"/>
        <w:rPr>
          <w:rFonts w:asciiTheme="minorHAnsi" w:eastAsiaTheme="minorEastAsia" w:hAnsiTheme="minorHAnsi" w:cstheme="minorBidi"/>
          <w:caps w:val="0"/>
          <w:noProof/>
          <w:sz w:val="22"/>
          <w:szCs w:val="22"/>
          <w:lang w:val="en-GB" w:eastAsia="en-GB" w:bidi="ar-SA"/>
        </w:rPr>
      </w:pPr>
      <w:hyperlink w:anchor="_Toc497132385" w:history="1">
        <w:r w:rsidR="00CB294D">
          <w:rPr>
            <w:rStyle w:val="Hyperlink"/>
            <w:noProof/>
          </w:rPr>
          <w:t>9.</w:t>
        </w:r>
        <w:r w:rsidR="00CB294D">
          <w:rPr>
            <w:rFonts w:asciiTheme="minorHAnsi" w:eastAsiaTheme="minorEastAsia" w:hAnsiTheme="minorHAnsi" w:cstheme="minorBidi"/>
            <w:caps w:val="0"/>
            <w:noProof/>
            <w:sz w:val="22"/>
            <w:szCs w:val="22"/>
            <w:lang w:val="en-GB" w:eastAsia="en-GB" w:bidi="ar-SA"/>
          </w:rPr>
          <w:tab/>
        </w:r>
        <w:r w:rsidR="00CB294D">
          <w:rPr>
            <w:rStyle w:val="Hyperlink"/>
            <w:noProof/>
          </w:rPr>
          <w:t>Kraftfullare informationsåtgärder</w:t>
        </w:r>
        <w:r w:rsidR="00CB294D">
          <w:rPr>
            <w:noProof/>
            <w:webHidden/>
          </w:rPr>
          <w:tab/>
        </w:r>
        <w:r w:rsidR="00CB294D">
          <w:rPr>
            <w:noProof/>
            <w:webHidden/>
          </w:rPr>
          <w:fldChar w:fldCharType="begin"/>
        </w:r>
        <w:r w:rsidR="00CB294D">
          <w:rPr>
            <w:noProof/>
            <w:webHidden/>
          </w:rPr>
          <w:instrText xml:space="preserve"> PAGEREF _Toc497132385 \h </w:instrText>
        </w:r>
        <w:r w:rsidR="00CB294D">
          <w:rPr>
            <w:noProof/>
            <w:webHidden/>
          </w:rPr>
        </w:r>
        <w:r w:rsidR="00CB294D">
          <w:rPr>
            <w:noProof/>
            <w:webHidden/>
          </w:rPr>
          <w:fldChar w:fldCharType="separate"/>
        </w:r>
        <w:r w:rsidR="00CB294D">
          <w:rPr>
            <w:noProof/>
            <w:webHidden/>
          </w:rPr>
          <w:t>33</w:t>
        </w:r>
        <w:r w:rsidR="00CB294D">
          <w:rPr>
            <w:noProof/>
            <w:webHidden/>
          </w:rPr>
          <w:fldChar w:fldCharType="end"/>
        </w:r>
      </w:hyperlink>
    </w:p>
    <w:p w:rsidR="00CA65E6" w:rsidRDefault="00AC6A77">
      <w:pPr>
        <w:pStyle w:val="TOC1"/>
        <w:rPr>
          <w:rFonts w:asciiTheme="minorHAnsi" w:eastAsiaTheme="minorEastAsia" w:hAnsiTheme="minorHAnsi" w:cstheme="minorBidi"/>
          <w:caps w:val="0"/>
          <w:noProof/>
          <w:sz w:val="22"/>
          <w:szCs w:val="22"/>
          <w:lang w:val="en-GB" w:eastAsia="en-GB" w:bidi="ar-SA"/>
        </w:rPr>
      </w:pPr>
      <w:hyperlink w:anchor="_Toc497132386" w:history="1">
        <w:r w:rsidR="00CB294D">
          <w:rPr>
            <w:rStyle w:val="Hyperlink"/>
            <w:noProof/>
          </w:rPr>
          <w:t>10.</w:t>
        </w:r>
        <w:r w:rsidR="00CB294D">
          <w:rPr>
            <w:rFonts w:asciiTheme="minorHAnsi" w:eastAsiaTheme="minorEastAsia" w:hAnsiTheme="minorHAnsi" w:cstheme="minorBidi"/>
            <w:caps w:val="0"/>
            <w:noProof/>
            <w:sz w:val="22"/>
            <w:szCs w:val="22"/>
            <w:lang w:val="en-GB" w:eastAsia="en-GB" w:bidi="ar-SA"/>
          </w:rPr>
          <w:tab/>
        </w:r>
        <w:r w:rsidR="00CB294D">
          <w:rPr>
            <w:rStyle w:val="Hyperlink"/>
            <w:noProof/>
          </w:rPr>
          <w:t>Slutsatser</w:t>
        </w:r>
        <w:r w:rsidR="00CB294D">
          <w:rPr>
            <w:noProof/>
            <w:webHidden/>
          </w:rPr>
          <w:tab/>
        </w:r>
        <w:r w:rsidR="00CB294D">
          <w:rPr>
            <w:noProof/>
            <w:webHidden/>
          </w:rPr>
          <w:fldChar w:fldCharType="begin"/>
        </w:r>
        <w:r w:rsidR="00CB294D">
          <w:rPr>
            <w:noProof/>
            <w:webHidden/>
          </w:rPr>
          <w:instrText xml:space="preserve"> PAGEREF _Toc497132386 \h </w:instrText>
        </w:r>
        <w:r w:rsidR="00CB294D">
          <w:rPr>
            <w:noProof/>
            <w:webHidden/>
          </w:rPr>
        </w:r>
        <w:r w:rsidR="00CB294D">
          <w:rPr>
            <w:noProof/>
            <w:webHidden/>
          </w:rPr>
          <w:fldChar w:fldCharType="separate"/>
        </w:r>
        <w:r w:rsidR="00CB294D">
          <w:rPr>
            <w:noProof/>
            <w:webHidden/>
          </w:rPr>
          <w:t>34</w:t>
        </w:r>
        <w:r w:rsidR="00CB294D">
          <w:rPr>
            <w:noProof/>
            <w:webHidden/>
          </w:rPr>
          <w:fldChar w:fldCharType="end"/>
        </w:r>
      </w:hyperlink>
    </w:p>
    <w:p w:rsidR="00CA65E6" w:rsidRDefault="00AC6A77">
      <w:pPr>
        <w:pStyle w:val="TOC2"/>
        <w:tabs>
          <w:tab w:val="left" w:pos="1916"/>
        </w:tabs>
        <w:rPr>
          <w:rFonts w:asciiTheme="minorHAnsi" w:eastAsiaTheme="minorEastAsia" w:hAnsiTheme="minorHAnsi" w:cstheme="minorBidi"/>
          <w:noProof/>
          <w:sz w:val="22"/>
          <w:szCs w:val="22"/>
          <w:lang w:val="en-GB" w:eastAsia="en-GB" w:bidi="ar-SA"/>
        </w:rPr>
      </w:pPr>
      <w:hyperlink w:anchor="_Toc497132387" w:history="1">
        <w:r w:rsidR="00CB294D">
          <w:rPr>
            <w:rStyle w:val="Hyperlink"/>
            <w:noProof/>
          </w:rPr>
          <w:t>10.1.</w:t>
        </w:r>
        <w:r w:rsidR="00CB294D">
          <w:rPr>
            <w:rFonts w:asciiTheme="minorHAnsi" w:eastAsiaTheme="minorEastAsia" w:hAnsiTheme="minorHAnsi" w:cstheme="minorBidi"/>
            <w:noProof/>
            <w:sz w:val="22"/>
            <w:szCs w:val="22"/>
            <w:lang w:val="en-GB" w:eastAsia="en-GB" w:bidi="ar-SA"/>
          </w:rPr>
          <w:tab/>
        </w:r>
        <w:r w:rsidR="00CB294D">
          <w:rPr>
            <w:rStyle w:val="Hyperlink"/>
            <w:noProof/>
          </w:rPr>
          <w:t>Handelsflöden</w:t>
        </w:r>
        <w:r w:rsidR="00CB294D">
          <w:rPr>
            <w:noProof/>
            <w:webHidden/>
          </w:rPr>
          <w:tab/>
        </w:r>
        <w:r w:rsidR="00CB294D">
          <w:rPr>
            <w:noProof/>
            <w:webHidden/>
          </w:rPr>
          <w:fldChar w:fldCharType="begin"/>
        </w:r>
        <w:r w:rsidR="00CB294D">
          <w:rPr>
            <w:noProof/>
            <w:webHidden/>
          </w:rPr>
          <w:instrText xml:space="preserve"> PAGEREF _Toc497132387 \h </w:instrText>
        </w:r>
        <w:r w:rsidR="00CB294D">
          <w:rPr>
            <w:noProof/>
            <w:webHidden/>
          </w:rPr>
        </w:r>
        <w:r w:rsidR="00CB294D">
          <w:rPr>
            <w:noProof/>
            <w:webHidden/>
          </w:rPr>
          <w:fldChar w:fldCharType="separate"/>
        </w:r>
        <w:r w:rsidR="00CB294D">
          <w:rPr>
            <w:noProof/>
            <w:webHidden/>
          </w:rPr>
          <w:t>34</w:t>
        </w:r>
        <w:r w:rsidR="00CB294D">
          <w:rPr>
            <w:noProof/>
            <w:webHidden/>
          </w:rPr>
          <w:fldChar w:fldCharType="end"/>
        </w:r>
      </w:hyperlink>
    </w:p>
    <w:p w:rsidR="00CA65E6" w:rsidRDefault="00AC6A77">
      <w:pPr>
        <w:pStyle w:val="TOC2"/>
        <w:tabs>
          <w:tab w:val="left" w:pos="1916"/>
        </w:tabs>
        <w:rPr>
          <w:rFonts w:asciiTheme="minorHAnsi" w:eastAsiaTheme="minorEastAsia" w:hAnsiTheme="minorHAnsi" w:cstheme="minorBidi"/>
          <w:noProof/>
          <w:sz w:val="22"/>
          <w:szCs w:val="22"/>
          <w:lang w:val="en-GB" w:eastAsia="en-GB" w:bidi="ar-SA"/>
        </w:rPr>
      </w:pPr>
      <w:hyperlink w:anchor="_Toc497132388" w:history="1">
        <w:r w:rsidR="00CB294D">
          <w:rPr>
            <w:rStyle w:val="Hyperlink"/>
            <w:noProof/>
          </w:rPr>
          <w:t>10.2.</w:t>
        </w:r>
        <w:r w:rsidR="00CB294D">
          <w:rPr>
            <w:rFonts w:asciiTheme="minorHAnsi" w:eastAsiaTheme="minorEastAsia" w:hAnsiTheme="minorHAnsi" w:cstheme="minorBidi"/>
            <w:noProof/>
            <w:sz w:val="22"/>
            <w:szCs w:val="22"/>
            <w:lang w:val="en-GB" w:eastAsia="en-GB" w:bidi="ar-SA"/>
          </w:rPr>
          <w:tab/>
        </w:r>
        <w:r w:rsidR="00CB294D">
          <w:rPr>
            <w:rStyle w:val="Hyperlink"/>
            <w:noProof/>
          </w:rPr>
          <w:t>Tullkvoter</w:t>
        </w:r>
        <w:r w:rsidR="00CB294D">
          <w:rPr>
            <w:noProof/>
            <w:webHidden/>
          </w:rPr>
          <w:tab/>
        </w:r>
        <w:r w:rsidR="00CB294D">
          <w:rPr>
            <w:noProof/>
            <w:webHidden/>
          </w:rPr>
          <w:fldChar w:fldCharType="begin"/>
        </w:r>
        <w:r w:rsidR="00CB294D">
          <w:rPr>
            <w:noProof/>
            <w:webHidden/>
          </w:rPr>
          <w:instrText xml:space="preserve"> PAGEREF _Toc497132388 \h </w:instrText>
        </w:r>
        <w:r w:rsidR="00CB294D">
          <w:rPr>
            <w:noProof/>
            <w:webHidden/>
          </w:rPr>
        </w:r>
        <w:r w:rsidR="00CB294D">
          <w:rPr>
            <w:noProof/>
            <w:webHidden/>
          </w:rPr>
          <w:fldChar w:fldCharType="separate"/>
        </w:r>
        <w:r w:rsidR="00CB294D">
          <w:rPr>
            <w:noProof/>
            <w:webHidden/>
          </w:rPr>
          <w:t>34</w:t>
        </w:r>
        <w:r w:rsidR="00CB294D">
          <w:rPr>
            <w:noProof/>
            <w:webHidden/>
          </w:rPr>
          <w:fldChar w:fldCharType="end"/>
        </w:r>
      </w:hyperlink>
    </w:p>
    <w:p w:rsidR="00CA65E6" w:rsidRDefault="00AC6A77">
      <w:pPr>
        <w:pStyle w:val="TOC2"/>
        <w:tabs>
          <w:tab w:val="left" w:pos="1916"/>
        </w:tabs>
        <w:rPr>
          <w:rFonts w:asciiTheme="minorHAnsi" w:eastAsiaTheme="minorEastAsia" w:hAnsiTheme="minorHAnsi" w:cstheme="minorBidi"/>
          <w:noProof/>
          <w:sz w:val="22"/>
          <w:szCs w:val="22"/>
          <w:lang w:val="en-GB" w:eastAsia="en-GB" w:bidi="ar-SA"/>
        </w:rPr>
      </w:pPr>
      <w:hyperlink w:anchor="_Toc497132389" w:history="1">
        <w:r w:rsidR="00CB294D">
          <w:rPr>
            <w:rStyle w:val="Hyperlink"/>
            <w:noProof/>
          </w:rPr>
          <w:t>10.3.</w:t>
        </w:r>
        <w:r w:rsidR="00CB294D">
          <w:rPr>
            <w:rFonts w:asciiTheme="minorHAnsi" w:eastAsiaTheme="minorEastAsia" w:hAnsiTheme="minorHAnsi" w:cstheme="minorBidi"/>
            <w:noProof/>
            <w:sz w:val="22"/>
            <w:szCs w:val="22"/>
            <w:lang w:val="en-GB" w:eastAsia="en-GB" w:bidi="ar-SA"/>
          </w:rPr>
          <w:tab/>
        </w:r>
        <w:r w:rsidR="00CB294D">
          <w:rPr>
            <w:rStyle w:val="Hyperlink"/>
            <w:noProof/>
          </w:rPr>
          <w:t>Utnyttjande av förmånstullar</w:t>
        </w:r>
        <w:r w:rsidR="00CB294D">
          <w:rPr>
            <w:noProof/>
            <w:webHidden/>
          </w:rPr>
          <w:tab/>
        </w:r>
        <w:r w:rsidR="00CB294D">
          <w:rPr>
            <w:noProof/>
            <w:webHidden/>
          </w:rPr>
          <w:fldChar w:fldCharType="begin"/>
        </w:r>
        <w:r w:rsidR="00CB294D">
          <w:rPr>
            <w:noProof/>
            <w:webHidden/>
          </w:rPr>
          <w:instrText xml:space="preserve"> PAGEREF _Toc497132389 \h </w:instrText>
        </w:r>
        <w:r w:rsidR="00CB294D">
          <w:rPr>
            <w:noProof/>
            <w:webHidden/>
          </w:rPr>
        </w:r>
        <w:r w:rsidR="00CB294D">
          <w:rPr>
            <w:noProof/>
            <w:webHidden/>
          </w:rPr>
          <w:fldChar w:fldCharType="separate"/>
        </w:r>
        <w:r w:rsidR="00CB294D">
          <w:rPr>
            <w:noProof/>
            <w:webHidden/>
          </w:rPr>
          <w:t>34</w:t>
        </w:r>
        <w:r w:rsidR="00CB294D">
          <w:rPr>
            <w:noProof/>
            <w:webHidden/>
          </w:rPr>
          <w:fldChar w:fldCharType="end"/>
        </w:r>
      </w:hyperlink>
    </w:p>
    <w:p w:rsidR="00CA65E6" w:rsidRDefault="00AC6A77">
      <w:pPr>
        <w:pStyle w:val="TOC2"/>
        <w:tabs>
          <w:tab w:val="left" w:pos="1916"/>
        </w:tabs>
        <w:rPr>
          <w:rFonts w:asciiTheme="minorHAnsi" w:eastAsiaTheme="minorEastAsia" w:hAnsiTheme="minorHAnsi" w:cstheme="minorBidi"/>
          <w:noProof/>
          <w:sz w:val="22"/>
          <w:szCs w:val="22"/>
          <w:lang w:val="en-GB" w:eastAsia="en-GB" w:bidi="ar-SA"/>
        </w:rPr>
      </w:pPr>
      <w:hyperlink w:anchor="_Toc497132390" w:history="1">
        <w:r w:rsidR="00CB294D">
          <w:rPr>
            <w:rStyle w:val="Hyperlink"/>
            <w:noProof/>
          </w:rPr>
          <w:t>10.4.</w:t>
        </w:r>
        <w:r w:rsidR="00CB294D">
          <w:rPr>
            <w:rFonts w:asciiTheme="minorHAnsi" w:eastAsiaTheme="minorEastAsia" w:hAnsiTheme="minorHAnsi" w:cstheme="minorBidi"/>
            <w:noProof/>
            <w:sz w:val="22"/>
            <w:szCs w:val="22"/>
            <w:lang w:val="en-GB" w:eastAsia="en-GB" w:bidi="ar-SA"/>
          </w:rPr>
          <w:tab/>
        </w:r>
        <w:r w:rsidR="00CB294D">
          <w:rPr>
            <w:rStyle w:val="Hyperlink"/>
            <w:noProof/>
          </w:rPr>
          <w:t>Tjänster och investeringar</w:t>
        </w:r>
        <w:r w:rsidR="00CB294D">
          <w:rPr>
            <w:noProof/>
            <w:webHidden/>
          </w:rPr>
          <w:tab/>
        </w:r>
        <w:r w:rsidR="00CB294D">
          <w:rPr>
            <w:noProof/>
            <w:webHidden/>
          </w:rPr>
          <w:fldChar w:fldCharType="begin"/>
        </w:r>
        <w:r w:rsidR="00CB294D">
          <w:rPr>
            <w:noProof/>
            <w:webHidden/>
          </w:rPr>
          <w:instrText xml:space="preserve"> PAGEREF _Toc497132390 \h </w:instrText>
        </w:r>
        <w:r w:rsidR="00CB294D">
          <w:rPr>
            <w:noProof/>
            <w:webHidden/>
          </w:rPr>
        </w:r>
        <w:r w:rsidR="00CB294D">
          <w:rPr>
            <w:noProof/>
            <w:webHidden/>
          </w:rPr>
          <w:fldChar w:fldCharType="separate"/>
        </w:r>
        <w:r w:rsidR="00CB294D">
          <w:rPr>
            <w:noProof/>
            <w:webHidden/>
          </w:rPr>
          <w:t>35</w:t>
        </w:r>
        <w:r w:rsidR="00CB294D">
          <w:rPr>
            <w:noProof/>
            <w:webHidden/>
          </w:rPr>
          <w:fldChar w:fldCharType="end"/>
        </w:r>
      </w:hyperlink>
    </w:p>
    <w:p w:rsidR="00CA65E6" w:rsidRDefault="00AC6A77">
      <w:pPr>
        <w:pStyle w:val="TOC2"/>
        <w:tabs>
          <w:tab w:val="left" w:pos="1916"/>
        </w:tabs>
        <w:rPr>
          <w:rFonts w:asciiTheme="minorHAnsi" w:eastAsiaTheme="minorEastAsia" w:hAnsiTheme="minorHAnsi" w:cstheme="minorBidi"/>
          <w:noProof/>
          <w:sz w:val="22"/>
          <w:szCs w:val="22"/>
          <w:lang w:val="en-GB" w:eastAsia="en-GB" w:bidi="ar-SA"/>
        </w:rPr>
      </w:pPr>
      <w:hyperlink w:anchor="_Toc497132391" w:history="1">
        <w:r w:rsidR="00CB294D">
          <w:rPr>
            <w:rStyle w:val="Hyperlink"/>
            <w:noProof/>
          </w:rPr>
          <w:t>10.5.</w:t>
        </w:r>
        <w:r w:rsidR="00CB294D">
          <w:rPr>
            <w:rFonts w:asciiTheme="minorHAnsi" w:eastAsiaTheme="minorEastAsia" w:hAnsiTheme="minorHAnsi" w:cstheme="minorBidi"/>
            <w:noProof/>
            <w:sz w:val="22"/>
            <w:szCs w:val="22"/>
            <w:lang w:val="en-GB" w:eastAsia="en-GB" w:bidi="ar-SA"/>
          </w:rPr>
          <w:tab/>
        </w:r>
        <w:r w:rsidR="00CB294D">
          <w:rPr>
            <w:rStyle w:val="Hyperlink"/>
            <w:noProof/>
          </w:rPr>
          <w:t>Handel och hållbar utveckling</w:t>
        </w:r>
        <w:r w:rsidR="00CB294D">
          <w:rPr>
            <w:noProof/>
            <w:webHidden/>
          </w:rPr>
          <w:tab/>
        </w:r>
        <w:r w:rsidR="00CB294D">
          <w:rPr>
            <w:noProof/>
            <w:webHidden/>
          </w:rPr>
          <w:fldChar w:fldCharType="begin"/>
        </w:r>
        <w:r w:rsidR="00CB294D">
          <w:rPr>
            <w:noProof/>
            <w:webHidden/>
          </w:rPr>
          <w:instrText xml:space="preserve"> PAGEREF _Toc497132391 \h </w:instrText>
        </w:r>
        <w:r w:rsidR="00CB294D">
          <w:rPr>
            <w:noProof/>
            <w:webHidden/>
          </w:rPr>
        </w:r>
        <w:r w:rsidR="00CB294D">
          <w:rPr>
            <w:noProof/>
            <w:webHidden/>
          </w:rPr>
          <w:fldChar w:fldCharType="separate"/>
        </w:r>
        <w:r w:rsidR="00CB294D">
          <w:rPr>
            <w:noProof/>
            <w:webHidden/>
          </w:rPr>
          <w:t>35</w:t>
        </w:r>
        <w:r w:rsidR="00CB294D">
          <w:rPr>
            <w:noProof/>
            <w:webHidden/>
          </w:rPr>
          <w:fldChar w:fldCharType="end"/>
        </w:r>
      </w:hyperlink>
    </w:p>
    <w:p w:rsidR="00CA65E6" w:rsidRDefault="00AC6A77">
      <w:pPr>
        <w:pStyle w:val="TOC2"/>
        <w:tabs>
          <w:tab w:val="left" w:pos="1916"/>
        </w:tabs>
        <w:rPr>
          <w:rFonts w:asciiTheme="minorHAnsi" w:eastAsiaTheme="minorEastAsia" w:hAnsiTheme="minorHAnsi" w:cstheme="minorBidi"/>
          <w:noProof/>
          <w:sz w:val="22"/>
          <w:szCs w:val="22"/>
          <w:lang w:val="en-GB" w:eastAsia="en-GB" w:bidi="ar-SA"/>
        </w:rPr>
      </w:pPr>
      <w:hyperlink w:anchor="_Toc497132392" w:history="1">
        <w:r w:rsidR="00CB294D">
          <w:rPr>
            <w:rStyle w:val="Hyperlink"/>
            <w:noProof/>
          </w:rPr>
          <w:t>10.6.</w:t>
        </w:r>
        <w:r w:rsidR="00CB294D">
          <w:rPr>
            <w:rFonts w:asciiTheme="minorHAnsi" w:eastAsiaTheme="minorEastAsia" w:hAnsiTheme="minorHAnsi" w:cstheme="minorBidi"/>
            <w:noProof/>
            <w:sz w:val="22"/>
            <w:szCs w:val="22"/>
            <w:lang w:val="en-GB" w:eastAsia="en-GB" w:bidi="ar-SA"/>
          </w:rPr>
          <w:tab/>
        </w:r>
        <w:r w:rsidR="00CB294D">
          <w:rPr>
            <w:rStyle w:val="Hyperlink"/>
            <w:noProof/>
          </w:rPr>
          <w:t>Olösta frågor</w:t>
        </w:r>
        <w:r w:rsidR="00CB294D">
          <w:rPr>
            <w:noProof/>
            <w:webHidden/>
          </w:rPr>
          <w:tab/>
        </w:r>
        <w:r w:rsidR="00CB294D">
          <w:rPr>
            <w:noProof/>
            <w:webHidden/>
          </w:rPr>
          <w:fldChar w:fldCharType="begin"/>
        </w:r>
        <w:r w:rsidR="00CB294D">
          <w:rPr>
            <w:noProof/>
            <w:webHidden/>
          </w:rPr>
          <w:instrText xml:space="preserve"> PAGEREF _Toc497132392 \h </w:instrText>
        </w:r>
        <w:r w:rsidR="00CB294D">
          <w:rPr>
            <w:noProof/>
            <w:webHidden/>
          </w:rPr>
        </w:r>
        <w:r w:rsidR="00CB294D">
          <w:rPr>
            <w:noProof/>
            <w:webHidden/>
          </w:rPr>
          <w:fldChar w:fldCharType="separate"/>
        </w:r>
        <w:r w:rsidR="00CB294D">
          <w:rPr>
            <w:noProof/>
            <w:webHidden/>
          </w:rPr>
          <w:t>35</w:t>
        </w:r>
        <w:r w:rsidR="00CB294D">
          <w:rPr>
            <w:noProof/>
            <w:webHidden/>
          </w:rPr>
          <w:fldChar w:fldCharType="end"/>
        </w:r>
      </w:hyperlink>
    </w:p>
    <w:p w:rsidR="00CA65E6" w:rsidRDefault="00AC6A77">
      <w:pPr>
        <w:pStyle w:val="TOC2"/>
        <w:tabs>
          <w:tab w:val="left" w:pos="1916"/>
        </w:tabs>
        <w:rPr>
          <w:rFonts w:asciiTheme="minorHAnsi" w:eastAsiaTheme="minorEastAsia" w:hAnsiTheme="minorHAnsi" w:cstheme="minorBidi"/>
          <w:noProof/>
          <w:sz w:val="22"/>
          <w:szCs w:val="22"/>
          <w:lang w:val="en-GB" w:eastAsia="en-GB" w:bidi="ar-SA"/>
        </w:rPr>
      </w:pPr>
      <w:hyperlink w:anchor="_Toc497132393" w:history="1">
        <w:r w:rsidR="00CB294D">
          <w:rPr>
            <w:rStyle w:val="Hyperlink"/>
            <w:noProof/>
          </w:rPr>
          <w:t>10.7.</w:t>
        </w:r>
        <w:r w:rsidR="00CB294D">
          <w:rPr>
            <w:rFonts w:asciiTheme="minorHAnsi" w:eastAsiaTheme="minorEastAsia" w:hAnsiTheme="minorHAnsi" w:cstheme="minorBidi"/>
            <w:noProof/>
            <w:sz w:val="22"/>
            <w:szCs w:val="22"/>
            <w:lang w:val="en-GB" w:eastAsia="en-GB" w:bidi="ar-SA"/>
          </w:rPr>
          <w:tab/>
        </w:r>
        <w:r w:rsidR="00CB294D">
          <w:rPr>
            <w:rStyle w:val="Hyperlink"/>
            <w:noProof/>
          </w:rPr>
          <w:t>Rättsliga verkställighetsåtgärder</w:t>
        </w:r>
        <w:r w:rsidR="00CB294D">
          <w:rPr>
            <w:noProof/>
            <w:webHidden/>
          </w:rPr>
          <w:tab/>
        </w:r>
        <w:r w:rsidR="00CB294D">
          <w:rPr>
            <w:noProof/>
            <w:webHidden/>
          </w:rPr>
          <w:fldChar w:fldCharType="begin"/>
        </w:r>
        <w:r w:rsidR="00CB294D">
          <w:rPr>
            <w:noProof/>
            <w:webHidden/>
          </w:rPr>
          <w:instrText xml:space="preserve"> PAGEREF _Toc497132393 \h </w:instrText>
        </w:r>
        <w:r w:rsidR="00CB294D">
          <w:rPr>
            <w:noProof/>
            <w:webHidden/>
          </w:rPr>
        </w:r>
        <w:r w:rsidR="00CB294D">
          <w:rPr>
            <w:noProof/>
            <w:webHidden/>
          </w:rPr>
          <w:fldChar w:fldCharType="separate"/>
        </w:r>
        <w:r w:rsidR="00CB294D">
          <w:rPr>
            <w:noProof/>
            <w:webHidden/>
          </w:rPr>
          <w:t>36</w:t>
        </w:r>
        <w:r w:rsidR="00CB294D">
          <w:rPr>
            <w:noProof/>
            <w:webHidden/>
          </w:rPr>
          <w:fldChar w:fldCharType="end"/>
        </w:r>
      </w:hyperlink>
    </w:p>
    <w:p w:rsidR="00CA65E6" w:rsidRDefault="00AC6A77">
      <w:pPr>
        <w:pStyle w:val="TOC1"/>
        <w:rPr>
          <w:rFonts w:asciiTheme="minorHAnsi" w:eastAsiaTheme="minorEastAsia" w:hAnsiTheme="minorHAnsi" w:cstheme="minorBidi"/>
          <w:caps w:val="0"/>
          <w:noProof/>
          <w:sz w:val="22"/>
          <w:szCs w:val="22"/>
          <w:lang w:val="en-GB" w:eastAsia="en-GB" w:bidi="ar-SA"/>
        </w:rPr>
      </w:pPr>
      <w:hyperlink w:anchor="_Toc497132394" w:history="1">
        <w:r w:rsidR="00CB294D">
          <w:rPr>
            <w:rStyle w:val="Hyperlink"/>
            <w:noProof/>
          </w:rPr>
          <w:t>Bilaga 1 – Rapportens omfattning och använda data</w:t>
        </w:r>
        <w:r w:rsidR="00CB294D">
          <w:rPr>
            <w:noProof/>
            <w:webHidden/>
          </w:rPr>
          <w:tab/>
        </w:r>
        <w:r w:rsidR="00CB294D">
          <w:rPr>
            <w:noProof/>
            <w:webHidden/>
          </w:rPr>
          <w:fldChar w:fldCharType="begin"/>
        </w:r>
        <w:r w:rsidR="00CB294D">
          <w:rPr>
            <w:noProof/>
            <w:webHidden/>
          </w:rPr>
          <w:instrText xml:space="preserve"> PAGEREF _Toc497132394 \h </w:instrText>
        </w:r>
        <w:r w:rsidR="00CB294D">
          <w:rPr>
            <w:noProof/>
            <w:webHidden/>
          </w:rPr>
        </w:r>
        <w:r w:rsidR="00CB294D">
          <w:rPr>
            <w:noProof/>
            <w:webHidden/>
          </w:rPr>
          <w:fldChar w:fldCharType="separate"/>
        </w:r>
        <w:r w:rsidR="00CB294D">
          <w:rPr>
            <w:noProof/>
            <w:webHidden/>
          </w:rPr>
          <w:t>37</w:t>
        </w:r>
        <w:r w:rsidR="00CB294D">
          <w:rPr>
            <w:noProof/>
            <w:webHidden/>
          </w:rPr>
          <w:fldChar w:fldCharType="end"/>
        </w:r>
      </w:hyperlink>
    </w:p>
    <w:p w:rsidR="00CA65E6" w:rsidRDefault="00AC6A77">
      <w:pPr>
        <w:pStyle w:val="TOC1"/>
        <w:rPr>
          <w:rFonts w:asciiTheme="minorHAnsi" w:eastAsiaTheme="minorEastAsia" w:hAnsiTheme="minorHAnsi" w:cstheme="minorBidi"/>
          <w:caps w:val="0"/>
          <w:noProof/>
          <w:sz w:val="22"/>
          <w:szCs w:val="22"/>
          <w:lang w:val="en-GB" w:eastAsia="en-GB" w:bidi="ar-SA"/>
        </w:rPr>
      </w:pPr>
      <w:hyperlink w:anchor="_Toc497132395" w:history="1">
        <w:r w:rsidR="00CB294D">
          <w:rPr>
            <w:rStyle w:val="Hyperlink"/>
            <w:noProof/>
          </w:rPr>
          <w:t>Bilaga 2 – En överblick över de frihandelsavtal som tas upp i rapporten</w:t>
        </w:r>
        <w:r w:rsidR="00CB294D">
          <w:rPr>
            <w:noProof/>
            <w:webHidden/>
          </w:rPr>
          <w:tab/>
        </w:r>
        <w:r w:rsidR="00CB294D">
          <w:rPr>
            <w:noProof/>
            <w:webHidden/>
          </w:rPr>
          <w:fldChar w:fldCharType="begin"/>
        </w:r>
        <w:r w:rsidR="00CB294D">
          <w:rPr>
            <w:noProof/>
            <w:webHidden/>
          </w:rPr>
          <w:instrText xml:space="preserve"> PAGEREF _Toc497132395 \h </w:instrText>
        </w:r>
        <w:r w:rsidR="00CB294D">
          <w:rPr>
            <w:noProof/>
            <w:webHidden/>
          </w:rPr>
        </w:r>
        <w:r w:rsidR="00CB294D">
          <w:rPr>
            <w:noProof/>
            <w:webHidden/>
          </w:rPr>
          <w:fldChar w:fldCharType="separate"/>
        </w:r>
        <w:r w:rsidR="00CB294D">
          <w:rPr>
            <w:noProof/>
            <w:webHidden/>
          </w:rPr>
          <w:t>38</w:t>
        </w:r>
        <w:r w:rsidR="00CB294D">
          <w:rPr>
            <w:noProof/>
            <w:webHidden/>
          </w:rPr>
          <w:fldChar w:fldCharType="end"/>
        </w:r>
      </w:hyperlink>
    </w:p>
    <w:p w:rsidR="00CA65E6" w:rsidRDefault="00AC6A77">
      <w:pPr>
        <w:pStyle w:val="TOC1"/>
        <w:rPr>
          <w:rFonts w:asciiTheme="minorHAnsi" w:eastAsiaTheme="minorEastAsia" w:hAnsiTheme="minorHAnsi" w:cstheme="minorBidi"/>
          <w:caps w:val="0"/>
          <w:noProof/>
          <w:sz w:val="22"/>
          <w:szCs w:val="22"/>
          <w:lang w:val="en-GB" w:eastAsia="en-GB" w:bidi="ar-SA"/>
        </w:rPr>
      </w:pPr>
      <w:hyperlink w:anchor="_Toc497132396" w:history="1">
        <w:r w:rsidR="00CB294D">
          <w:rPr>
            <w:rStyle w:val="Hyperlink"/>
            <w:noProof/>
          </w:rPr>
          <w:t>Bilaga 3 – Statistik om utnyttjande av förmånstullar</w:t>
        </w:r>
        <w:r w:rsidR="00CB294D">
          <w:rPr>
            <w:noProof/>
            <w:webHidden/>
          </w:rPr>
          <w:tab/>
        </w:r>
        <w:r w:rsidR="00CB294D">
          <w:rPr>
            <w:noProof/>
            <w:webHidden/>
          </w:rPr>
          <w:fldChar w:fldCharType="begin"/>
        </w:r>
        <w:r w:rsidR="00CB294D">
          <w:rPr>
            <w:noProof/>
            <w:webHidden/>
          </w:rPr>
          <w:instrText xml:space="preserve"> PAGEREF _Toc497132396 \h </w:instrText>
        </w:r>
        <w:r w:rsidR="00CB294D">
          <w:rPr>
            <w:noProof/>
            <w:webHidden/>
          </w:rPr>
        </w:r>
        <w:r w:rsidR="00CB294D">
          <w:rPr>
            <w:noProof/>
            <w:webHidden/>
          </w:rPr>
          <w:fldChar w:fldCharType="separate"/>
        </w:r>
        <w:r w:rsidR="00CB294D">
          <w:rPr>
            <w:noProof/>
            <w:webHidden/>
          </w:rPr>
          <w:t>40</w:t>
        </w:r>
        <w:r w:rsidR="00CB294D">
          <w:rPr>
            <w:noProof/>
            <w:webHidden/>
          </w:rPr>
          <w:fldChar w:fldCharType="end"/>
        </w:r>
      </w:hyperlink>
    </w:p>
    <w:p w:rsidR="00CA65E6" w:rsidRDefault="00AC6A77">
      <w:pPr>
        <w:pStyle w:val="TOC1"/>
        <w:rPr>
          <w:rFonts w:asciiTheme="minorHAnsi" w:eastAsiaTheme="minorEastAsia" w:hAnsiTheme="minorHAnsi" w:cstheme="minorBidi"/>
          <w:caps w:val="0"/>
          <w:noProof/>
          <w:sz w:val="22"/>
          <w:szCs w:val="22"/>
          <w:lang w:val="en-GB" w:eastAsia="en-GB" w:bidi="ar-SA"/>
        </w:rPr>
      </w:pPr>
      <w:hyperlink w:anchor="_Toc497132397" w:history="1">
        <w:r w:rsidR="00CB294D">
          <w:rPr>
            <w:rStyle w:val="Hyperlink"/>
            <w:noProof/>
          </w:rPr>
          <w:t>Bilaga 4 – Utnyttjande av förmånstullar vid import till EU</w:t>
        </w:r>
        <w:r w:rsidR="00CB294D">
          <w:rPr>
            <w:noProof/>
            <w:webHidden/>
          </w:rPr>
          <w:tab/>
        </w:r>
        <w:r w:rsidR="00CB294D">
          <w:rPr>
            <w:noProof/>
            <w:webHidden/>
          </w:rPr>
          <w:fldChar w:fldCharType="begin"/>
        </w:r>
        <w:r w:rsidR="00CB294D">
          <w:rPr>
            <w:noProof/>
            <w:webHidden/>
          </w:rPr>
          <w:instrText xml:space="preserve"> PAGEREF _Toc497132397 \h </w:instrText>
        </w:r>
        <w:r w:rsidR="00CB294D">
          <w:rPr>
            <w:noProof/>
            <w:webHidden/>
          </w:rPr>
        </w:r>
        <w:r w:rsidR="00CB294D">
          <w:rPr>
            <w:noProof/>
            <w:webHidden/>
          </w:rPr>
          <w:fldChar w:fldCharType="separate"/>
        </w:r>
        <w:r w:rsidR="00CB294D">
          <w:rPr>
            <w:noProof/>
            <w:webHidden/>
          </w:rPr>
          <w:t>41</w:t>
        </w:r>
        <w:r w:rsidR="00CB294D">
          <w:rPr>
            <w:noProof/>
            <w:webHidden/>
          </w:rPr>
          <w:fldChar w:fldCharType="end"/>
        </w:r>
      </w:hyperlink>
    </w:p>
    <w:p w:rsidR="00CA65E6" w:rsidRDefault="00AC6A77">
      <w:pPr>
        <w:pStyle w:val="TOC1"/>
        <w:rPr>
          <w:rFonts w:asciiTheme="minorHAnsi" w:eastAsiaTheme="minorEastAsia" w:hAnsiTheme="minorHAnsi" w:cstheme="minorBidi"/>
          <w:caps w:val="0"/>
          <w:noProof/>
          <w:sz w:val="22"/>
          <w:szCs w:val="22"/>
          <w:lang w:val="en-GB" w:eastAsia="en-GB" w:bidi="ar-SA"/>
        </w:rPr>
      </w:pPr>
      <w:hyperlink w:anchor="_Toc497132398" w:history="1">
        <w:r w:rsidR="00CB294D">
          <w:rPr>
            <w:rStyle w:val="Hyperlink"/>
            <w:noProof/>
          </w:rPr>
          <w:t>Bilaga 5 – Utnyttjande av förmånstullar vid export från EU</w:t>
        </w:r>
        <w:r w:rsidR="00CB294D">
          <w:rPr>
            <w:noProof/>
            <w:webHidden/>
          </w:rPr>
          <w:tab/>
        </w:r>
        <w:r w:rsidR="00CB294D">
          <w:rPr>
            <w:noProof/>
            <w:webHidden/>
          </w:rPr>
          <w:fldChar w:fldCharType="begin"/>
        </w:r>
        <w:r w:rsidR="00CB294D">
          <w:rPr>
            <w:noProof/>
            <w:webHidden/>
          </w:rPr>
          <w:instrText xml:space="preserve"> PAGEREF _Toc497132398 \h </w:instrText>
        </w:r>
        <w:r w:rsidR="00CB294D">
          <w:rPr>
            <w:noProof/>
            <w:webHidden/>
          </w:rPr>
        </w:r>
        <w:r w:rsidR="00CB294D">
          <w:rPr>
            <w:noProof/>
            <w:webHidden/>
          </w:rPr>
          <w:fldChar w:fldCharType="separate"/>
        </w:r>
        <w:r w:rsidR="00CB294D">
          <w:rPr>
            <w:noProof/>
            <w:webHidden/>
          </w:rPr>
          <w:t>42</w:t>
        </w:r>
        <w:r w:rsidR="00CB294D">
          <w:rPr>
            <w:noProof/>
            <w:webHidden/>
          </w:rPr>
          <w:fldChar w:fldCharType="end"/>
        </w:r>
      </w:hyperlink>
    </w:p>
    <w:p w:rsidR="00CA65E6" w:rsidRDefault="00CB294D">
      <w:pPr>
        <w:pStyle w:val="TOC1"/>
        <w:rPr>
          <w:rFonts w:asciiTheme="minorHAnsi" w:eastAsiaTheme="minorEastAsia" w:hAnsiTheme="minorHAnsi" w:cstheme="minorBidi"/>
          <w:caps w:val="0"/>
          <w:noProof/>
          <w:sz w:val="22"/>
          <w:szCs w:val="22"/>
        </w:rPr>
      </w:pPr>
      <w:r>
        <w:rPr>
          <w:noProof/>
        </w:rPr>
        <w:fldChar w:fldCharType="end"/>
      </w:r>
    </w:p>
    <w:p w:rsidR="00CA65E6" w:rsidRDefault="00CB294D">
      <w:pPr>
        <w:rPr>
          <w:noProof/>
        </w:rPr>
      </w:pPr>
      <w:r>
        <w:rPr>
          <w:noProof/>
        </w:rPr>
        <w:br w:type="page"/>
      </w:r>
    </w:p>
    <w:p w:rsidR="00CA65E6" w:rsidRDefault="00CB294D">
      <w:pPr>
        <w:pStyle w:val="Heading1"/>
        <w:rPr>
          <w:noProof/>
        </w:rPr>
      </w:pPr>
      <w:bookmarkStart w:id="3" w:name="_Toc493510792"/>
      <w:bookmarkStart w:id="4" w:name="_Toc494126114"/>
      <w:bookmarkStart w:id="5" w:name="_Toc497132348"/>
      <w:r>
        <w:rPr>
          <w:noProof/>
        </w:rPr>
        <w:lastRenderedPageBreak/>
        <w:t>Inledning</w:t>
      </w:r>
      <w:bookmarkEnd w:id="2"/>
      <w:bookmarkEnd w:id="3"/>
      <w:bookmarkEnd w:id="4"/>
      <w:bookmarkEnd w:id="5"/>
    </w:p>
    <w:p w:rsidR="00CA65E6" w:rsidRDefault="00CB294D">
      <w:pPr>
        <w:pStyle w:val="Heading2"/>
        <w:rPr>
          <w:noProof/>
        </w:rPr>
      </w:pPr>
      <w:bookmarkStart w:id="6" w:name="_Toc494126115"/>
      <w:bookmarkStart w:id="7" w:name="_Toc497132349"/>
      <w:r>
        <w:rPr>
          <w:noProof/>
        </w:rPr>
        <w:t>Ändamålsenlighet, öppenhet, samarbete</w:t>
      </w:r>
      <w:bookmarkEnd w:id="6"/>
      <w:bookmarkEnd w:id="7"/>
    </w:p>
    <w:p w:rsidR="00CA65E6" w:rsidRDefault="00CB294D">
      <w:pPr>
        <w:autoSpaceDE w:val="0"/>
        <w:autoSpaceDN w:val="0"/>
        <w:adjustRightInd w:val="0"/>
        <w:rPr>
          <w:noProof/>
        </w:rPr>
      </w:pPr>
      <w:r>
        <w:rPr>
          <w:noProof/>
        </w:rPr>
        <w:t xml:space="preserve">På senare tid har många ifrågasatt handelspolitikens förmåga att utnyttja globaliseringens krafter på bästa sätt och stödja människor och företag i EU och resten av världen. Att dra </w:t>
      </w:r>
      <w:r>
        <w:rPr>
          <w:b/>
          <w:noProof/>
        </w:rPr>
        <w:t>största möjliga fördel</w:t>
      </w:r>
      <w:r>
        <w:rPr>
          <w:noProof/>
        </w:rPr>
        <w:t xml:space="preserve"> av EU:s frihandelsavtal är en av kommissionens centrala målsättningar. </w:t>
      </w:r>
    </w:p>
    <w:p w:rsidR="00CA65E6" w:rsidRDefault="00CB294D">
      <w:pPr>
        <w:autoSpaceDE w:val="0"/>
        <w:autoSpaceDN w:val="0"/>
        <w:adjustRightInd w:val="0"/>
        <w:rPr>
          <w:noProof/>
        </w:rPr>
      </w:pPr>
      <w:r>
        <w:rPr>
          <w:noProof/>
        </w:rPr>
        <w:t xml:space="preserve">Med detta i åtanke framhöll kommissionen i sitt meddelande </w:t>
      </w:r>
      <w:r>
        <w:rPr>
          <w:i/>
          <w:noProof/>
        </w:rPr>
        <w:t>Handel för alla</w:t>
      </w:r>
      <w:r>
        <w:rPr>
          <w:rStyle w:val="FootnoteReference"/>
          <w:noProof/>
        </w:rPr>
        <w:footnoteReference w:id="1"/>
      </w:r>
      <w:r>
        <w:rPr>
          <w:noProof/>
        </w:rPr>
        <w:t xml:space="preserve"> vikten av att genomföra och verkställa frihandelsavtalen på ett ändamålsenligt sätt. Den åtog sig också att ta fram en årlig genomföranderapport om frihandelsavtalen, varav denna rapport är den första i raden.</w:t>
      </w:r>
    </w:p>
    <w:p w:rsidR="00CA65E6" w:rsidRDefault="00CB294D">
      <w:pPr>
        <w:autoSpaceDE w:val="0"/>
        <w:autoSpaceDN w:val="0"/>
        <w:adjustRightInd w:val="0"/>
        <w:rPr>
          <w:noProof/>
        </w:rPr>
      </w:pPr>
      <w:r>
        <w:rPr>
          <w:noProof/>
        </w:rPr>
        <w:t xml:space="preserve">Rapportens huvudsyfte är att säkerställa </w:t>
      </w:r>
      <w:r>
        <w:rPr>
          <w:b/>
          <w:noProof/>
        </w:rPr>
        <w:t>öppenhet</w:t>
      </w:r>
      <w:r>
        <w:rPr>
          <w:noProof/>
        </w:rPr>
        <w:t xml:space="preserve">. Både framsteg och problem och brister presenteras. Målet är att göra det möjligt för övriga EU-institutioner, civilsamhället och alla de som på ett eller annat sätt deltar i EU:s handelspolitik att granska och diskutera EU:s praktiska genomförande av sina frihandelsavtal. </w:t>
      </w:r>
    </w:p>
    <w:p w:rsidR="00CA65E6" w:rsidRDefault="00CB294D">
      <w:pPr>
        <w:autoSpaceDE w:val="0"/>
        <w:autoSpaceDN w:val="0"/>
        <w:adjustRightInd w:val="0"/>
        <w:rPr>
          <w:noProof/>
        </w:rPr>
      </w:pPr>
      <w:r>
        <w:rPr>
          <w:noProof/>
        </w:rPr>
        <w:t xml:space="preserve">Kommissionen strävar också efter ett </w:t>
      </w:r>
      <w:r>
        <w:rPr>
          <w:b/>
          <w:noProof/>
        </w:rPr>
        <w:t>närmare samarbete</w:t>
      </w:r>
      <w:r>
        <w:rPr>
          <w:noProof/>
        </w:rPr>
        <w:t xml:space="preserve"> med övriga EU-institutioner, EU-medlemsstaterna, näringslivsorganisationer och andra organisationer för att finna nya idéer om hur frihandelsavtalen kan blir mer ändamålsenliga. Den vill också hitta sätt att hjälpa företag i hela EU liksom i partnerländer att utnyttja avtalen på bästa sätt.</w:t>
      </w:r>
    </w:p>
    <w:p w:rsidR="00CA65E6" w:rsidRDefault="00CB294D">
      <w:pPr>
        <w:autoSpaceDE w:val="0"/>
        <w:autoSpaceDN w:val="0"/>
        <w:adjustRightInd w:val="0"/>
        <w:rPr>
          <w:noProof/>
        </w:rPr>
      </w:pPr>
      <w:r>
        <w:rPr>
          <w:noProof/>
        </w:rPr>
        <w:t>För närvarande finns ingen heltäckande överblick över genomförandet av EU:s alla frihandelsavtal.  För en del bland dem utfärdas emellertid årsrapporter.</w:t>
      </w:r>
      <w:r>
        <w:rPr>
          <w:rStyle w:val="FootnoteReference"/>
          <w:noProof/>
        </w:rPr>
        <w:footnoteReference w:id="2"/>
      </w:r>
      <w:r>
        <w:rPr>
          <w:noProof/>
        </w:rPr>
        <w:t xml:space="preserve"> Denna rapport har utformats i enlighet med befintlig praxis. Den är tänkt att ge en heltäckande bild av EU:s arbete för att genomföra sina frihandelsavtal.</w:t>
      </w:r>
    </w:p>
    <w:p w:rsidR="00CA65E6" w:rsidRDefault="00CB294D">
      <w:pPr>
        <w:pStyle w:val="Heading2"/>
        <w:rPr>
          <w:noProof/>
        </w:rPr>
      </w:pPr>
      <w:bookmarkStart w:id="8" w:name="_Toc494126116"/>
      <w:bookmarkStart w:id="9" w:name="_Toc497132350"/>
      <w:r>
        <w:rPr>
          <w:noProof/>
        </w:rPr>
        <w:t>Rapportens upplägg</w:t>
      </w:r>
      <w:bookmarkEnd w:id="8"/>
      <w:bookmarkEnd w:id="9"/>
      <w:r>
        <w:rPr>
          <w:noProof/>
        </w:rPr>
        <w:t xml:space="preserve">  </w:t>
      </w:r>
    </w:p>
    <w:p w:rsidR="00CA65E6" w:rsidRDefault="00CB294D">
      <w:pPr>
        <w:spacing w:after="0"/>
        <w:rPr>
          <w:noProof/>
        </w:rPr>
      </w:pPr>
      <w:r>
        <w:rPr>
          <w:noProof/>
        </w:rPr>
        <w:t>I rapporten ges en kortfattad överblick över de viktigaste resultaten i fråga om EU:s aktuella frihandelsavtal. Dessa delas in i följande kategorier:</w:t>
      </w:r>
    </w:p>
    <w:p w:rsidR="00CA65E6" w:rsidRDefault="00CB294D">
      <w:pPr>
        <w:pStyle w:val="ListParagraph"/>
        <w:numPr>
          <w:ilvl w:val="0"/>
          <w:numId w:val="44"/>
        </w:numPr>
        <w:spacing w:after="0" w:line="240" w:lineRule="auto"/>
        <w:rPr>
          <w:noProof/>
          <w:szCs w:val="24"/>
        </w:rPr>
      </w:pPr>
      <w:r>
        <w:rPr>
          <w:noProof/>
        </w:rPr>
        <w:t>”Den nya generationens” frihandelsavtal.</w:t>
      </w:r>
    </w:p>
    <w:p w:rsidR="00CA65E6" w:rsidRDefault="00CB294D">
      <w:pPr>
        <w:pStyle w:val="ListParagraph"/>
        <w:numPr>
          <w:ilvl w:val="0"/>
          <w:numId w:val="44"/>
        </w:numPr>
        <w:spacing w:after="0" w:line="240" w:lineRule="auto"/>
        <w:rPr>
          <w:noProof/>
          <w:szCs w:val="24"/>
        </w:rPr>
      </w:pPr>
      <w:r>
        <w:rPr>
          <w:noProof/>
        </w:rPr>
        <w:t>Djupgående och omfattande frihandelsavtal.</w:t>
      </w:r>
    </w:p>
    <w:p w:rsidR="00CA65E6" w:rsidRDefault="00CB294D">
      <w:pPr>
        <w:pStyle w:val="ListParagraph"/>
        <w:numPr>
          <w:ilvl w:val="0"/>
          <w:numId w:val="44"/>
        </w:numPr>
        <w:spacing w:after="0" w:line="240" w:lineRule="auto"/>
        <w:rPr>
          <w:noProof/>
          <w:szCs w:val="24"/>
        </w:rPr>
      </w:pPr>
      <w:r>
        <w:rPr>
          <w:noProof/>
        </w:rPr>
        <w:t>Avtal om ekonomiskt partnerskap.</w:t>
      </w:r>
    </w:p>
    <w:p w:rsidR="00CA65E6" w:rsidRDefault="00CB294D">
      <w:pPr>
        <w:pStyle w:val="ListParagraph"/>
        <w:numPr>
          <w:ilvl w:val="0"/>
          <w:numId w:val="44"/>
        </w:numPr>
        <w:spacing w:after="0" w:line="240" w:lineRule="auto"/>
        <w:rPr>
          <w:noProof/>
          <w:szCs w:val="24"/>
        </w:rPr>
      </w:pPr>
      <w:r>
        <w:rPr>
          <w:noProof/>
        </w:rPr>
        <w:t xml:space="preserve">”Första generationens” frihandelsavtal. </w:t>
      </w:r>
    </w:p>
    <w:p w:rsidR="00CA65E6" w:rsidRDefault="00CA65E6">
      <w:pPr>
        <w:pStyle w:val="ListParagraph"/>
        <w:spacing w:after="0" w:line="240" w:lineRule="auto"/>
        <w:ind w:left="360"/>
        <w:rPr>
          <w:noProof/>
          <w:szCs w:val="24"/>
        </w:rPr>
      </w:pPr>
    </w:p>
    <w:p w:rsidR="00CA65E6" w:rsidRDefault="00CB294D">
      <w:pPr>
        <w:spacing w:after="0"/>
        <w:rPr>
          <w:noProof/>
          <w:szCs w:val="24"/>
        </w:rPr>
      </w:pPr>
      <w:r>
        <w:rPr>
          <w:noProof/>
        </w:rPr>
        <w:t>I rapporten finns också följande:</w:t>
      </w:r>
    </w:p>
    <w:p w:rsidR="00CA65E6" w:rsidRDefault="00CB294D">
      <w:pPr>
        <w:pStyle w:val="ListParagraph"/>
        <w:numPr>
          <w:ilvl w:val="0"/>
          <w:numId w:val="45"/>
        </w:numPr>
        <w:spacing w:after="0" w:line="240" w:lineRule="auto"/>
        <w:rPr>
          <w:noProof/>
          <w:szCs w:val="24"/>
        </w:rPr>
      </w:pPr>
      <w:r>
        <w:rPr>
          <w:noProof/>
        </w:rPr>
        <w:t>Berättelser från företag, särskilt småföretag, som visar fördelarna med EU:s frihandelsavtal.</w:t>
      </w:r>
    </w:p>
    <w:p w:rsidR="00CA65E6" w:rsidRDefault="00CB294D">
      <w:pPr>
        <w:pStyle w:val="ListParagraph"/>
        <w:numPr>
          <w:ilvl w:val="0"/>
          <w:numId w:val="45"/>
        </w:numPr>
        <w:spacing w:after="0" w:line="240" w:lineRule="auto"/>
        <w:rPr>
          <w:noProof/>
          <w:szCs w:val="24"/>
        </w:rPr>
      </w:pPr>
      <w:r>
        <w:rPr>
          <w:noProof/>
        </w:rPr>
        <w:t>Ett avsnitt om genomförandet av avtalens bestämmelser om handel och hållbar utveckling.</w:t>
      </w:r>
    </w:p>
    <w:p w:rsidR="00CA65E6" w:rsidRDefault="00CB294D">
      <w:pPr>
        <w:pStyle w:val="ListParagraph"/>
        <w:numPr>
          <w:ilvl w:val="0"/>
          <w:numId w:val="45"/>
        </w:numPr>
        <w:spacing w:after="0" w:line="240" w:lineRule="auto"/>
        <w:rPr>
          <w:noProof/>
          <w:szCs w:val="24"/>
        </w:rPr>
      </w:pPr>
      <w:r>
        <w:rPr>
          <w:noProof/>
        </w:rPr>
        <w:t>Information om kommissionens efterhandsutvärderingar av avtalens effekter.</w:t>
      </w:r>
    </w:p>
    <w:p w:rsidR="00CA65E6" w:rsidRDefault="00CB294D">
      <w:pPr>
        <w:pStyle w:val="ListParagraph"/>
        <w:numPr>
          <w:ilvl w:val="0"/>
          <w:numId w:val="45"/>
        </w:numPr>
        <w:spacing w:after="0" w:line="240" w:lineRule="auto"/>
        <w:rPr>
          <w:noProof/>
          <w:szCs w:val="24"/>
        </w:rPr>
      </w:pPr>
      <w:r>
        <w:rPr>
          <w:noProof/>
        </w:rPr>
        <w:t>Ett avsnitt om förberedelserna inför genomförandet av nya frihandelsavtal.</w:t>
      </w:r>
    </w:p>
    <w:p w:rsidR="00CA65E6" w:rsidRDefault="00CB294D">
      <w:pPr>
        <w:rPr>
          <w:noProof/>
        </w:rPr>
      </w:pPr>
      <w:r>
        <w:rPr>
          <w:noProof/>
        </w:rPr>
        <w:t>I ett arbetsdokument från kommissionens avdelningar som kompletterar rapporten finns mer detaljerade årsrapporter för vart och ett av de djupgående och omfattande frihandelsavtalen med Georgien, Moldavien och Ukraina samt faktablad om ”den första generationens” frihandelsavtal och avtalen om ekonomiskt partnerskap.</w:t>
      </w:r>
    </w:p>
    <w:p w:rsidR="00CA65E6" w:rsidRDefault="00CB294D">
      <w:pPr>
        <w:rPr>
          <w:noProof/>
        </w:rPr>
      </w:pPr>
      <w:r>
        <w:rPr>
          <w:noProof/>
        </w:rPr>
        <w:t>Kommissionen ser fram emot att diskutera rapportens slutsatser och uppmanar alla berörda aktörer att bidra till diskussionen.</w:t>
      </w:r>
    </w:p>
    <w:p w:rsidR="00CA65E6" w:rsidRDefault="00CB294D">
      <w:pPr>
        <w:spacing w:after="0"/>
        <w:jc w:val="left"/>
        <w:rPr>
          <w:noProof/>
        </w:rPr>
      </w:pPr>
      <w:r>
        <w:rPr>
          <w:noProof/>
        </w:rPr>
        <w:br w:type="page"/>
      </w:r>
    </w:p>
    <w:p w:rsidR="00CA65E6" w:rsidRDefault="00CA65E6">
      <w:pPr>
        <w:rPr>
          <w:noProof/>
        </w:rPr>
        <w:sectPr w:rsidR="00CA65E6">
          <w:headerReference w:type="even" r:id="rId15"/>
          <w:headerReference w:type="default" r:id="rId16"/>
          <w:footerReference w:type="even" r:id="rId17"/>
          <w:footerReference w:type="default" r:id="rId18"/>
          <w:headerReference w:type="first" r:id="rId19"/>
          <w:footerReference w:type="first" r:id="rId20"/>
          <w:pgSz w:w="11906" w:h="16838"/>
          <w:pgMar w:top="1021" w:right="1701" w:bottom="1021" w:left="1588" w:header="601" w:footer="1077" w:gutter="0"/>
          <w:pgNumType w:start="2"/>
          <w:cols w:space="720"/>
          <w:titlePg/>
        </w:sectPr>
      </w:pPr>
    </w:p>
    <w:p w:rsidR="00CA65E6" w:rsidRDefault="00CB294D">
      <w:pPr>
        <w:rPr>
          <w:noProof/>
        </w:rPr>
        <w:sectPr w:rsidR="00CA65E6">
          <w:headerReference w:type="even" r:id="rId21"/>
          <w:headerReference w:type="default" r:id="rId22"/>
          <w:footerReference w:type="even" r:id="rId23"/>
          <w:footerReference w:type="default" r:id="rId24"/>
          <w:headerReference w:type="first" r:id="rId25"/>
          <w:footerReference w:type="first" r:id="rId26"/>
          <w:pgSz w:w="16838" w:h="11906" w:orient="landscape"/>
          <w:pgMar w:top="1588" w:right="1021" w:bottom="1701" w:left="1021" w:header="601" w:footer="1077" w:gutter="0"/>
          <w:cols w:space="720"/>
          <w:titlePg/>
        </w:sectPr>
      </w:pPr>
      <w:bookmarkStart w:id="10" w:name="_Toc493510414"/>
      <w:bookmarkStart w:id="11" w:name="_Toc493510793"/>
      <w:r>
        <w:rPr>
          <w:noProof/>
          <w:lang w:val="en-GB" w:eastAsia="en-GB" w:bidi="ar-SA"/>
        </w:rPr>
        <w:drawing>
          <wp:inline distT="0" distB="0" distL="0" distR="0" wp14:anchorId="38A7AB2E" wp14:editId="135ECE7E">
            <wp:extent cx="9136380" cy="4845992"/>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9134438" cy="4844962"/>
                    </a:xfrm>
                    <a:prstGeom prst="rect">
                      <a:avLst/>
                    </a:prstGeom>
                  </pic:spPr>
                </pic:pic>
              </a:graphicData>
            </a:graphic>
          </wp:inline>
        </w:drawing>
      </w:r>
    </w:p>
    <w:p w:rsidR="00CA65E6" w:rsidRDefault="00CB294D">
      <w:pPr>
        <w:pStyle w:val="Heading1"/>
        <w:ind w:left="482" w:hanging="482"/>
        <w:rPr>
          <w:noProof/>
        </w:rPr>
      </w:pPr>
      <w:bookmarkStart w:id="12" w:name="_Toc494126117"/>
      <w:bookmarkStart w:id="13" w:name="_Toc497132351"/>
      <w:r>
        <w:rPr>
          <w:noProof/>
        </w:rPr>
        <w:t>”Den nya generationens” frihandelsavtal</w:t>
      </w:r>
      <w:bookmarkEnd w:id="10"/>
      <w:bookmarkEnd w:id="11"/>
      <w:r>
        <w:rPr>
          <w:noProof/>
        </w:rPr>
        <w:t xml:space="preserve"> – Sydkorea, Colombia-Peru och Centralamerika</w:t>
      </w:r>
      <w:bookmarkEnd w:id="12"/>
      <w:bookmarkEnd w:id="13"/>
    </w:p>
    <w:p w:rsidR="00CA65E6" w:rsidRDefault="00CB294D">
      <w:pPr>
        <w:rPr>
          <w:noProof/>
        </w:rPr>
      </w:pPr>
      <w:r>
        <w:rPr>
          <w:noProof/>
        </w:rPr>
        <w:t xml:space="preserve">Med ”den nya generationens” frihandelsavtal avses avtal som slutits efter 2006, som är det år då kommissionen offentliggjorde sitt meddelande </w:t>
      </w:r>
      <w:r>
        <w:rPr>
          <w:i/>
          <w:noProof/>
        </w:rPr>
        <w:t>Ett konkurrenskraftigt Europa i världen</w:t>
      </w:r>
      <w:r>
        <w:rPr>
          <w:rStyle w:val="FootnoteReference"/>
          <w:noProof/>
        </w:rPr>
        <w:footnoteReference w:id="3"/>
      </w:r>
      <w:r>
        <w:rPr>
          <w:noProof/>
        </w:rPr>
        <w:t>, där den presenterade sin avsikt att börja förhandla om heltäckande frihandelsavtal med utvalda tredjeländer. Bland de nuvarande avtalen tillhör de som slutits med Sydkorea (Korea), Colombia-Peru och Centralamerika denna kategori.</w:t>
      </w:r>
    </w:p>
    <w:p w:rsidR="00CA65E6" w:rsidRDefault="00CB294D">
      <w:pPr>
        <w:pStyle w:val="Heading2"/>
        <w:ind w:left="1202"/>
        <w:rPr>
          <w:noProof/>
        </w:rPr>
      </w:pPr>
      <w:bookmarkStart w:id="14" w:name="_Toc493510415"/>
      <w:bookmarkStart w:id="15" w:name="_Toc493510794"/>
      <w:bookmarkStart w:id="16" w:name="_Toc494126118"/>
      <w:bookmarkStart w:id="17" w:name="_Toc497132352"/>
      <w:r>
        <w:rPr>
          <w:noProof/>
        </w:rPr>
        <w:t>Handelsflöden</w:t>
      </w:r>
      <w:bookmarkEnd w:id="14"/>
      <w:bookmarkEnd w:id="15"/>
      <w:bookmarkEnd w:id="16"/>
      <w:bookmarkEnd w:id="17"/>
      <w:r>
        <w:rPr>
          <w:noProof/>
        </w:rPr>
        <w:t xml:space="preserve"> </w:t>
      </w:r>
    </w:p>
    <w:p w:rsidR="00CA65E6" w:rsidRDefault="00CB294D">
      <w:pPr>
        <w:rPr>
          <w:noProof/>
        </w:rPr>
      </w:pPr>
      <w:r>
        <w:rPr>
          <w:noProof/>
        </w:rPr>
        <w:t xml:space="preserve">När det gäller utveckling av handeln har frihandelsavtalet med Korea varit en stor framgång för europeiska exportföretag. </w:t>
      </w:r>
    </w:p>
    <w:p w:rsidR="00CA65E6" w:rsidRDefault="00CB294D">
      <w:pPr>
        <w:pStyle w:val="Heading3"/>
        <w:ind w:left="1922"/>
        <w:rPr>
          <w:noProof/>
        </w:rPr>
      </w:pPr>
      <w:r>
        <w:rPr>
          <w:noProof/>
        </w:rPr>
        <w:t xml:space="preserve">Sydkorea </w:t>
      </w:r>
    </w:p>
    <w:p w:rsidR="00CA65E6" w:rsidRDefault="00CB294D">
      <w:pPr>
        <w:rPr>
          <w:noProof/>
        </w:rPr>
      </w:pPr>
      <w:r>
        <w:rPr>
          <w:noProof/>
        </w:rPr>
        <w:t xml:space="preserve">EU:s export till Korea har </w:t>
      </w:r>
      <w:r>
        <w:rPr>
          <w:b/>
          <w:noProof/>
        </w:rPr>
        <w:t>ökat</w:t>
      </w:r>
      <w:r>
        <w:rPr>
          <w:noProof/>
        </w:rPr>
        <w:t xml:space="preserve"> med 59,2 % sedan frihandelsavtalet började tillämpas.</w:t>
      </w:r>
      <w:r>
        <w:rPr>
          <w:rStyle w:val="FootnoteReference"/>
          <w:noProof/>
        </w:rPr>
        <w:footnoteReference w:id="4"/>
      </w:r>
      <w:r>
        <w:rPr>
          <w:noProof/>
        </w:rPr>
        <w:t xml:space="preserve"> År 2010 hade EU ett handelsbalansunderskott på 11,6 miljarder euro, men detta har förvandlats till ett </w:t>
      </w:r>
      <w:r>
        <w:rPr>
          <w:b/>
          <w:noProof/>
        </w:rPr>
        <w:t>överskott</w:t>
      </w:r>
      <w:r>
        <w:rPr>
          <w:noProof/>
        </w:rPr>
        <w:t xml:space="preserve"> som 2016 uppgick till 3,1 miljarder euro. </w:t>
      </w:r>
    </w:p>
    <w:p w:rsidR="00CA65E6" w:rsidRDefault="00CB294D">
      <w:pPr>
        <w:rPr>
          <w:noProof/>
        </w:rPr>
      </w:pPr>
      <w:r>
        <w:rPr>
          <w:noProof/>
        </w:rPr>
        <w:t xml:space="preserve">Under 2016 minskade emellertid EU:s export med 6,9 % för första gången sedan frihandelsavtalet trädde i kraft. EU:s export minskade särskilt på områdena </w:t>
      </w:r>
      <w:r>
        <w:rPr>
          <w:b/>
          <w:noProof/>
        </w:rPr>
        <w:t>maskiner och apparater</w:t>
      </w:r>
      <w:r>
        <w:rPr>
          <w:noProof/>
        </w:rPr>
        <w:t xml:space="preserve"> (med 8,2 %) och </w:t>
      </w:r>
      <w:r>
        <w:rPr>
          <w:b/>
          <w:noProof/>
        </w:rPr>
        <w:t>transportutrustning</w:t>
      </w:r>
      <w:r>
        <w:rPr>
          <w:noProof/>
        </w:rPr>
        <w:t xml:space="preserve"> (med 6,4 %). Dessa två sektorer utgör över 50 % av EU:s export till Korea. </w:t>
      </w:r>
    </w:p>
    <w:p w:rsidR="00CA65E6" w:rsidRDefault="00CB294D">
      <w:pPr>
        <w:rPr>
          <w:noProof/>
        </w:rPr>
      </w:pPr>
      <w:r>
        <w:rPr>
          <w:noProof/>
        </w:rPr>
        <w:t xml:space="preserve">Importen från Korea har förblivit relativt </w:t>
      </w:r>
      <w:r>
        <w:rPr>
          <w:b/>
          <w:noProof/>
        </w:rPr>
        <w:t>stabil</w:t>
      </w:r>
      <w:r>
        <w:rPr>
          <w:noProof/>
        </w:rPr>
        <w:t xml:space="preserve">. Under 2016 minskade också importen från Korea, med 2,2 %. Inom sektorerna </w:t>
      </w:r>
      <w:r>
        <w:rPr>
          <w:b/>
          <w:noProof/>
        </w:rPr>
        <w:t>maskiner och apparater</w:t>
      </w:r>
      <w:r>
        <w:rPr>
          <w:noProof/>
        </w:rPr>
        <w:t xml:space="preserve"> och </w:t>
      </w:r>
      <w:r>
        <w:rPr>
          <w:b/>
          <w:noProof/>
        </w:rPr>
        <w:t>transportutrustning</w:t>
      </w:r>
      <w:r>
        <w:rPr>
          <w:noProof/>
        </w:rPr>
        <w:t xml:space="preserve"> minskade importen från Korea med 4,9 %.</w:t>
      </w:r>
    </w:p>
    <w:p w:rsidR="00CA65E6" w:rsidRDefault="00CB294D">
      <w:pPr>
        <w:rPr>
          <w:noProof/>
        </w:rPr>
      </w:pPr>
      <w:r>
        <w:rPr>
          <w:b/>
          <w:noProof/>
        </w:rPr>
        <w:t>Motorfordon</w:t>
      </w:r>
      <w:r>
        <w:rPr>
          <w:noProof/>
        </w:rPr>
        <w:t xml:space="preserve"> har varit en särskilt intressant sektor i samband med frihandelsavtalet mellan EU och Korea, och på detta område har EU-exporten gått </w:t>
      </w:r>
      <w:r>
        <w:rPr>
          <w:b/>
          <w:noProof/>
        </w:rPr>
        <w:t>extremt bra</w:t>
      </w:r>
      <w:r>
        <w:rPr>
          <w:noProof/>
        </w:rPr>
        <w:t xml:space="preserve">. </w:t>
      </w:r>
    </w:p>
    <w:p w:rsidR="00CA65E6" w:rsidRDefault="00CB294D">
      <w:pPr>
        <w:rPr>
          <w:noProof/>
        </w:rPr>
      </w:pPr>
      <w:r>
        <w:rPr>
          <w:noProof/>
        </w:rPr>
        <w:t xml:space="preserve">EU:s </w:t>
      </w:r>
      <w:r>
        <w:rPr>
          <w:b/>
          <w:noProof/>
        </w:rPr>
        <w:t>export</w:t>
      </w:r>
      <w:r>
        <w:rPr>
          <w:noProof/>
        </w:rPr>
        <w:t xml:space="preserve"> av motorfordon har ökat med 244 % sedan avtalet trädde i kraft och står nu för 13 % av EU:s totala export till Korea. </w:t>
      </w:r>
    </w:p>
    <w:p w:rsidR="00CA65E6" w:rsidRDefault="00CB294D">
      <w:pPr>
        <w:rPr>
          <w:noProof/>
        </w:rPr>
      </w:pPr>
      <w:r>
        <w:rPr>
          <w:noProof/>
        </w:rPr>
        <w:t xml:space="preserve">EU:s </w:t>
      </w:r>
      <w:r>
        <w:rPr>
          <w:b/>
          <w:noProof/>
        </w:rPr>
        <w:t>import</w:t>
      </w:r>
      <w:r>
        <w:rPr>
          <w:noProof/>
        </w:rPr>
        <w:t xml:space="preserve"> från Korea har ökat med 53 %, vilket motsvarar 10 % av EU:s totala import från Korea.</w:t>
      </w:r>
    </w:p>
    <w:p w:rsidR="00CA65E6" w:rsidRDefault="00CB294D">
      <w:pPr>
        <w:rPr>
          <w:noProof/>
        </w:rPr>
      </w:pPr>
      <w:r>
        <w:rPr>
          <w:noProof/>
        </w:rPr>
        <w:t>Under 2016 minskade emellertid EU:s export av motorfordon med 7,5 % (delvis p.g.a. dieselmotorskandalen) och importen minskade med 9 %.</w:t>
      </w:r>
    </w:p>
    <w:p w:rsidR="00CA65E6" w:rsidRDefault="00CB294D">
      <w:pPr>
        <w:rPr>
          <w:noProof/>
        </w:rPr>
      </w:pPr>
      <w:r>
        <w:rPr>
          <w:noProof/>
        </w:rPr>
        <w:t xml:space="preserve">Andra skäl till den generella nedgången i EU:s export är </w:t>
      </w:r>
      <w:r>
        <w:rPr>
          <w:b/>
          <w:noProof/>
        </w:rPr>
        <w:t>Storbritanniens</w:t>
      </w:r>
      <w:r>
        <w:rPr>
          <w:noProof/>
        </w:rPr>
        <w:t xml:space="preserve"> minskade </w:t>
      </w:r>
      <w:r>
        <w:rPr>
          <w:b/>
          <w:noProof/>
        </w:rPr>
        <w:t>oljeexport</w:t>
      </w:r>
      <w:r>
        <w:rPr>
          <w:noProof/>
        </w:rPr>
        <w:t xml:space="preserve"> (p.g.a. upphävandet av sanktionerna mot Iran) och det lägre antalet levererade </w:t>
      </w:r>
      <w:r>
        <w:rPr>
          <w:b/>
          <w:noProof/>
        </w:rPr>
        <w:t>luftfartyg</w:t>
      </w:r>
      <w:r>
        <w:rPr>
          <w:noProof/>
        </w:rPr>
        <w:t xml:space="preserve"> (fler leveranser planeras under de kommande åren).</w:t>
      </w:r>
    </w:p>
    <w:tbl>
      <w:tblPr>
        <w:tblStyle w:val="TableGrid"/>
        <w:tblW w:w="0" w:type="auto"/>
        <w:tblInd w:w="108" w:type="dxa"/>
        <w:tblBorders>
          <w:insideH w:val="none" w:sz="0" w:space="0" w:color="auto"/>
        </w:tblBorders>
        <w:tblLook w:val="04A0" w:firstRow="1" w:lastRow="0" w:firstColumn="1" w:lastColumn="0" w:noHBand="0" w:noVBand="1"/>
      </w:tblPr>
      <w:tblGrid>
        <w:gridCol w:w="8647"/>
      </w:tblGrid>
      <w:tr w:rsidR="00CA65E6">
        <w:tc>
          <w:tcPr>
            <w:tcW w:w="8647" w:type="dxa"/>
          </w:tcPr>
          <w:p w:rsidR="00CA65E6" w:rsidRDefault="00CB294D">
            <w:pPr>
              <w:rPr>
                <w:rFonts w:ascii="Times New Roman" w:hAnsi="Times New Roman" w:cs="Times New Roman"/>
                <w:b/>
                <w:bCs/>
                <w:noProof/>
                <w:sz w:val="27"/>
                <w:szCs w:val="27"/>
              </w:rPr>
            </w:pPr>
            <w:r>
              <w:rPr>
                <w:b/>
                <w:noProof/>
              </w:rPr>
              <w:t>Export tar österrikisk klätterutrustning till toppen</w:t>
            </w:r>
          </w:p>
        </w:tc>
      </w:tr>
      <w:tr w:rsidR="00CA65E6">
        <w:tc>
          <w:tcPr>
            <w:tcW w:w="8647" w:type="dxa"/>
          </w:tcPr>
          <w:p w:rsidR="00CA65E6" w:rsidRDefault="00CB294D">
            <w:pPr>
              <w:rPr>
                <w:noProof/>
              </w:rPr>
            </w:pPr>
            <w:r>
              <w:rPr>
                <w:noProof/>
              </w:rPr>
              <w:t>När tullavgifterna avskaffades genom avtalet mellan EU och Korea kunde AustriAlpin börja exportera till Sydkorea och stärka sin ställning på de asiatiska och globala marknaderna. Denna tillverkare av klätterutrustning exporterar nu omkring 80 % av sina produkter, mycket tack vare EU:s handelsavtal.</w:t>
            </w:r>
          </w:p>
          <w:p w:rsidR="00CA65E6" w:rsidRDefault="00CB294D">
            <w:pPr>
              <w:rPr>
                <w:rFonts w:ascii="Times New Roman" w:hAnsi="Times New Roman" w:cs="Times New Roman"/>
                <w:noProof/>
              </w:rPr>
            </w:pPr>
            <w:r>
              <w:rPr>
                <w:noProof/>
              </w:rPr>
              <w:t>Mindre än 100 personer arbetar för företaget, men under 2015 sålde AustriAlpin varor för 8,5 miljoner euro, varav 7,1 miljoner euro kom från export.</w:t>
            </w:r>
          </w:p>
        </w:tc>
      </w:tr>
    </w:tbl>
    <w:p w:rsidR="00CA65E6" w:rsidRDefault="00CA65E6">
      <w:pPr>
        <w:spacing w:after="0" w:line="276" w:lineRule="auto"/>
        <w:rPr>
          <w:rFonts w:eastAsiaTheme="minorHAnsi"/>
          <w:noProof/>
          <w:sz w:val="22"/>
          <w:szCs w:val="22"/>
        </w:rPr>
      </w:pPr>
    </w:p>
    <w:tbl>
      <w:tblPr>
        <w:tblStyle w:val="TableGrid"/>
        <w:tblW w:w="0" w:type="auto"/>
        <w:tblInd w:w="108" w:type="dxa"/>
        <w:tblBorders>
          <w:insideH w:val="none" w:sz="0" w:space="0" w:color="auto"/>
        </w:tblBorders>
        <w:tblLook w:val="04A0" w:firstRow="1" w:lastRow="0" w:firstColumn="1" w:lastColumn="0" w:noHBand="0" w:noVBand="1"/>
      </w:tblPr>
      <w:tblGrid>
        <w:gridCol w:w="8647"/>
      </w:tblGrid>
      <w:tr w:rsidR="00CA65E6">
        <w:tc>
          <w:tcPr>
            <w:tcW w:w="8647" w:type="dxa"/>
          </w:tcPr>
          <w:p w:rsidR="00CA65E6" w:rsidRDefault="00CB294D">
            <w:pPr>
              <w:rPr>
                <w:rFonts w:ascii="Times New Roman" w:hAnsi="Times New Roman" w:cs="Times New Roman"/>
                <w:b/>
                <w:bCs/>
                <w:noProof/>
                <w:sz w:val="27"/>
                <w:szCs w:val="27"/>
              </w:rPr>
            </w:pPr>
            <w:r>
              <w:rPr>
                <w:b/>
                <w:noProof/>
              </w:rPr>
              <w:t>Fransk ekologisk kosmetika skördar framgångar i Sydkorea</w:t>
            </w:r>
          </w:p>
        </w:tc>
      </w:tr>
      <w:tr w:rsidR="00CA65E6">
        <w:tc>
          <w:tcPr>
            <w:tcW w:w="8647" w:type="dxa"/>
          </w:tcPr>
          <w:p w:rsidR="00CA65E6" w:rsidRDefault="00CB294D">
            <w:pPr>
              <w:rPr>
                <w:rFonts w:ascii="Times New Roman" w:hAnsi="Times New Roman" w:cs="Times New Roman"/>
                <w:noProof/>
              </w:rPr>
            </w:pPr>
            <w:r>
              <w:rPr>
                <w:noProof/>
              </w:rPr>
              <w:t xml:space="preserve">Laboratoire Sonam tillverkar växtextrakt för kosmetikaindustrin. Detta lilla företag drog nytta av handelsavtalet mellan EU och Korea eftersom de minskade tullavgifterna gjorde att man kunde erbjuda sina produkter till mer attraktiva priser. </w:t>
            </w:r>
          </w:p>
          <w:p w:rsidR="00CA65E6" w:rsidRDefault="00CB294D">
            <w:pPr>
              <w:rPr>
                <w:rFonts w:ascii="Times New Roman" w:hAnsi="Times New Roman" w:cs="Times New Roman"/>
                <w:noProof/>
              </w:rPr>
            </w:pPr>
            <w:r>
              <w:rPr>
                <w:noProof/>
              </w:rPr>
              <w:t>Soniams ekologiska produktion har certifierats av Ecocert och varorna bär också märkningen ”Made in France”, vilket bidrar till deras popularitet. Företagets export ökade med 20 % under 2016.</w:t>
            </w:r>
          </w:p>
        </w:tc>
      </w:tr>
    </w:tbl>
    <w:p w:rsidR="00CA65E6" w:rsidRDefault="00CB294D">
      <w:pPr>
        <w:pStyle w:val="Heading3"/>
        <w:spacing w:before="240"/>
        <w:ind w:left="1922"/>
        <w:rPr>
          <w:noProof/>
        </w:rPr>
      </w:pPr>
      <w:r>
        <w:rPr>
          <w:noProof/>
        </w:rPr>
        <w:t xml:space="preserve">Colombia och Peru </w:t>
      </w:r>
    </w:p>
    <w:p w:rsidR="00CA65E6" w:rsidRDefault="00CB294D">
      <w:pPr>
        <w:rPr>
          <w:noProof/>
        </w:rPr>
      </w:pPr>
      <w:r>
        <w:rPr>
          <w:noProof/>
        </w:rPr>
        <w:t xml:space="preserve">EU är Colombias näst största handelspartner och den tredje största för Peru. Den </w:t>
      </w:r>
      <w:r>
        <w:rPr>
          <w:b/>
          <w:noProof/>
        </w:rPr>
        <w:t>bilaterala handeln</w:t>
      </w:r>
      <w:r>
        <w:rPr>
          <w:noProof/>
        </w:rPr>
        <w:t xml:space="preserve"> mellan EU och Colombia har </w:t>
      </w:r>
      <w:r>
        <w:rPr>
          <w:b/>
          <w:noProof/>
        </w:rPr>
        <w:t>minskat</w:t>
      </w:r>
      <w:r>
        <w:rPr>
          <w:noProof/>
        </w:rPr>
        <w:t xml:space="preserve"> med 23,5 % och handeln mellan EU och Peru har minskat med 11 % sedan frihandelsavtalet trädde i kraft.</w:t>
      </w:r>
      <w:r>
        <w:rPr>
          <w:rStyle w:val="FootnoteReference"/>
          <w:noProof/>
        </w:rPr>
        <w:footnoteReference w:id="5"/>
      </w:r>
      <w:r>
        <w:rPr>
          <w:noProof/>
        </w:rPr>
        <w:t xml:space="preserve"> Det beror till största delen på den ekonomiska </w:t>
      </w:r>
      <w:r>
        <w:rPr>
          <w:b/>
          <w:noProof/>
        </w:rPr>
        <w:t>nedgången</w:t>
      </w:r>
      <w:r>
        <w:rPr>
          <w:noProof/>
        </w:rPr>
        <w:t xml:space="preserve"> i Latinamerika och de </w:t>
      </w:r>
      <w:r>
        <w:rPr>
          <w:b/>
          <w:noProof/>
        </w:rPr>
        <w:t>minskade råvarupriserna</w:t>
      </w:r>
      <w:r>
        <w:rPr>
          <w:noProof/>
        </w:rPr>
        <w:t xml:space="preserve"> på världsmarknaden, vilket har påverkat båda ländernas export. </w:t>
      </w:r>
    </w:p>
    <w:p w:rsidR="00CA65E6" w:rsidRDefault="00CB294D">
      <w:pPr>
        <w:rPr>
          <w:noProof/>
        </w:rPr>
      </w:pPr>
      <w:r>
        <w:rPr>
          <w:noProof/>
        </w:rPr>
        <w:t xml:space="preserve">Frihandelsavtalet hade emellertid en </w:t>
      </w:r>
      <w:r>
        <w:rPr>
          <w:b/>
          <w:noProof/>
        </w:rPr>
        <w:t>stabiliserande effekt</w:t>
      </w:r>
      <w:r>
        <w:rPr>
          <w:noProof/>
        </w:rPr>
        <w:t>: den totala minskningen av de två ländernas handel med andra länder under samma period (omkring 36 % för Colombia och 18 % för Peru) är större än minskningen av handeln med EU. Man kan därmed dra slutsatsen att handeln med EU troligtvis hade minskat ännu mer utan frihandelsavtalet.</w:t>
      </w:r>
    </w:p>
    <w:p w:rsidR="00CA65E6" w:rsidRDefault="00CB294D">
      <w:pPr>
        <w:rPr>
          <w:noProof/>
        </w:rPr>
      </w:pPr>
      <w:r>
        <w:rPr>
          <w:noProof/>
        </w:rPr>
        <w:t xml:space="preserve">EU:s export till </w:t>
      </w:r>
      <w:r>
        <w:rPr>
          <w:b/>
          <w:noProof/>
        </w:rPr>
        <w:t>Colombia</w:t>
      </w:r>
      <w:r>
        <w:rPr>
          <w:noProof/>
        </w:rPr>
        <w:t xml:space="preserve"> ökade med 18 % under de första två åren efter avtalets ikraftträdande, men minskade med 17 % 2016 på grund av en nedgång i efterfrågan. EU:s import från Colombia har minskat med 37,5 % sedan avtalet trädde i kraft. </w:t>
      </w:r>
    </w:p>
    <w:p w:rsidR="00CA65E6" w:rsidRDefault="00CB294D">
      <w:pPr>
        <w:rPr>
          <w:noProof/>
        </w:rPr>
      </w:pPr>
      <w:r>
        <w:rPr>
          <w:noProof/>
        </w:rPr>
        <w:t xml:space="preserve">När det gäller </w:t>
      </w:r>
      <w:r>
        <w:rPr>
          <w:b/>
          <w:noProof/>
        </w:rPr>
        <w:t>Peru</w:t>
      </w:r>
      <w:r>
        <w:rPr>
          <w:noProof/>
        </w:rPr>
        <w:t xml:space="preserve"> har EU:s export ökat med 4 % sedan 2012, medan importen hade minskat, också med 4 %, i slutet av 2016.</w:t>
      </w:r>
    </w:p>
    <w:p w:rsidR="00CA65E6" w:rsidRDefault="00CB294D">
      <w:pPr>
        <w:rPr>
          <w:noProof/>
        </w:rPr>
      </w:pPr>
      <w:r>
        <w:rPr>
          <w:noProof/>
        </w:rPr>
        <w:t xml:space="preserve">Den generella ökningen av handeln har visserligen varit blygsam, men EU:s export av </w:t>
      </w:r>
      <w:r>
        <w:rPr>
          <w:b/>
          <w:noProof/>
        </w:rPr>
        <w:t>jordbruksprodukter</w:t>
      </w:r>
      <w:r>
        <w:rPr>
          <w:noProof/>
        </w:rPr>
        <w:t xml:space="preserve"> till båda marknaderna har </w:t>
      </w:r>
      <w:r>
        <w:rPr>
          <w:b/>
          <w:noProof/>
        </w:rPr>
        <w:t>ökat</w:t>
      </w:r>
      <w:r>
        <w:rPr>
          <w:noProof/>
        </w:rPr>
        <w:t xml:space="preserve"> betydligt, med 82 % till Colombia och 73 % till Peru. Detsamma gäller EU:s import från Colombia och Peru, som ökade med 33 % från Colombia (45 % för kaffe) och 19 % från Peru (120 % för frukt, 30 % för fisk och blötdjur och 226 % för kakao).</w:t>
      </w:r>
    </w:p>
    <w:p w:rsidR="00CA65E6" w:rsidRDefault="00CB294D">
      <w:pPr>
        <w:rPr>
          <w:noProof/>
        </w:rPr>
      </w:pPr>
      <w:r>
        <w:rPr>
          <w:noProof/>
        </w:rPr>
        <w:t xml:space="preserve">Under samma period </w:t>
      </w:r>
      <w:r>
        <w:rPr>
          <w:b/>
          <w:noProof/>
        </w:rPr>
        <w:t>minskade importen av råmaterial och mineraler</w:t>
      </w:r>
      <w:r>
        <w:rPr>
          <w:noProof/>
        </w:rPr>
        <w:t xml:space="preserve"> från dessa två länder.</w:t>
      </w:r>
    </w:p>
    <w:tbl>
      <w:tblPr>
        <w:tblStyle w:val="TableGrid"/>
        <w:tblW w:w="0" w:type="auto"/>
        <w:tblBorders>
          <w:insideH w:val="none" w:sz="0" w:space="0" w:color="auto"/>
        </w:tblBorders>
        <w:tblLook w:val="04A0" w:firstRow="1" w:lastRow="0" w:firstColumn="1" w:lastColumn="0" w:noHBand="0" w:noVBand="1"/>
      </w:tblPr>
      <w:tblGrid>
        <w:gridCol w:w="8833"/>
      </w:tblGrid>
      <w:tr w:rsidR="00CA65E6">
        <w:tc>
          <w:tcPr>
            <w:tcW w:w="8833" w:type="dxa"/>
          </w:tcPr>
          <w:p w:rsidR="00CA65E6" w:rsidRDefault="00CB294D">
            <w:pPr>
              <w:rPr>
                <w:rFonts w:ascii="Times New Roman" w:hAnsi="Times New Roman" w:cs="Times New Roman"/>
                <w:b/>
                <w:noProof/>
                <w:sz w:val="27"/>
                <w:szCs w:val="27"/>
              </w:rPr>
            </w:pPr>
            <w:r>
              <w:rPr>
                <w:b/>
                <w:noProof/>
              </w:rPr>
              <w:t>Öl från Luxemburg på colombianska barer</w:t>
            </w:r>
          </w:p>
        </w:tc>
      </w:tr>
      <w:tr w:rsidR="00CA65E6">
        <w:tc>
          <w:tcPr>
            <w:tcW w:w="8833" w:type="dxa"/>
          </w:tcPr>
          <w:p w:rsidR="00CA65E6" w:rsidRDefault="00CB294D">
            <w:pPr>
              <w:rPr>
                <w:noProof/>
              </w:rPr>
            </w:pPr>
            <w:r>
              <w:rPr>
                <w:noProof/>
              </w:rPr>
              <w:t>När EU:s handelsavtal med Colombia och Peru trädde i kraft kunde det luxemburgska bryggeriet Brasserie Nationale, känt för sitt öl Bofferding, börja exportera till Colombia, vars marknad är 100 gånger större än Luxemburgs. Tack vare avtalet kan företaget hantera alla exportförfaranden direkt, utan att behöva kontakta experter eller förhandla med mellanhänder varje gång en container ska sändas till Colombia.</w:t>
            </w:r>
          </w:p>
          <w:p w:rsidR="00CA65E6" w:rsidRDefault="00CB294D">
            <w:pPr>
              <w:rPr>
                <w:rFonts w:ascii="Times New Roman" w:hAnsi="Times New Roman" w:cs="Times New Roman"/>
                <w:noProof/>
                <w:sz w:val="22"/>
              </w:rPr>
            </w:pPr>
            <w:r>
              <w:rPr>
                <w:noProof/>
              </w:rPr>
              <w:t xml:space="preserve">Den stora exporten till Colombia har ökat tillväxten för bryggeriet, som nu exporterar 34 000 hektoliter öl varje år. </w:t>
            </w:r>
          </w:p>
        </w:tc>
      </w:tr>
    </w:tbl>
    <w:p w:rsidR="00CA65E6" w:rsidRDefault="00CA65E6">
      <w:pPr>
        <w:spacing w:after="0" w:line="276" w:lineRule="auto"/>
        <w:rPr>
          <w:rFonts w:eastAsiaTheme="minorHAnsi"/>
          <w:noProof/>
          <w:sz w:val="22"/>
          <w:szCs w:val="22"/>
        </w:rPr>
      </w:pPr>
    </w:p>
    <w:tbl>
      <w:tblPr>
        <w:tblStyle w:val="TableGrid"/>
        <w:tblW w:w="0" w:type="auto"/>
        <w:tblBorders>
          <w:insideH w:val="none" w:sz="0" w:space="0" w:color="auto"/>
        </w:tblBorders>
        <w:tblLook w:val="04A0" w:firstRow="1" w:lastRow="0" w:firstColumn="1" w:lastColumn="0" w:noHBand="0" w:noVBand="1"/>
      </w:tblPr>
      <w:tblGrid>
        <w:gridCol w:w="8833"/>
      </w:tblGrid>
      <w:tr w:rsidR="00CA65E6">
        <w:tc>
          <w:tcPr>
            <w:tcW w:w="8833" w:type="dxa"/>
          </w:tcPr>
          <w:p w:rsidR="00CA65E6" w:rsidRDefault="00CB294D">
            <w:pPr>
              <w:rPr>
                <w:rFonts w:ascii="Times New Roman" w:hAnsi="Times New Roman" w:cs="Times New Roman"/>
                <w:b/>
                <w:noProof/>
              </w:rPr>
            </w:pPr>
            <w:r>
              <w:rPr>
                <w:b/>
                <w:noProof/>
              </w:rPr>
              <w:t>Österrikiskt vin går hem i Anderna</w:t>
            </w:r>
          </w:p>
        </w:tc>
      </w:tr>
      <w:tr w:rsidR="00CA65E6">
        <w:tc>
          <w:tcPr>
            <w:tcW w:w="8833" w:type="dxa"/>
          </w:tcPr>
          <w:p w:rsidR="00CA65E6" w:rsidRDefault="00CB294D">
            <w:pPr>
              <w:rPr>
                <w:rFonts w:ascii="Times New Roman" w:hAnsi="Times New Roman" w:cs="Times New Roman"/>
                <w:noProof/>
              </w:rPr>
            </w:pPr>
            <w:r>
              <w:rPr>
                <w:noProof/>
              </w:rPr>
              <w:t xml:space="preserve">Vintillverkaren Rainer Wess ligger i Wachaudalen i Österrike. Företaget har tillverkat vin sedan 2003 och exporterar 65 % av sin produktion till ett tjugotal länder. </w:t>
            </w:r>
          </w:p>
          <w:p w:rsidR="00CA65E6" w:rsidRDefault="00CB294D">
            <w:pPr>
              <w:rPr>
                <w:rFonts w:ascii="Times New Roman" w:hAnsi="Times New Roman" w:cs="Times New Roman"/>
                <w:noProof/>
                <w:sz w:val="22"/>
              </w:rPr>
            </w:pPr>
            <w:r>
              <w:rPr>
                <w:noProof/>
              </w:rPr>
              <w:t>Tack vare EU:s handelsavtal med Colombia och Peru har företaget dragit fördel av de sänkta tullavgifterna och den minskade administrativa bördan. Dess vin blir nu allt populärare på de elegantaste restaurangerna i Lima, Perus huvudstad.</w:t>
            </w:r>
          </w:p>
        </w:tc>
      </w:tr>
    </w:tbl>
    <w:p w:rsidR="00CA65E6" w:rsidRDefault="00CB294D">
      <w:pPr>
        <w:pStyle w:val="Heading3"/>
        <w:spacing w:before="240"/>
        <w:ind w:left="1922"/>
        <w:rPr>
          <w:noProof/>
        </w:rPr>
      </w:pPr>
      <w:r>
        <w:rPr>
          <w:noProof/>
        </w:rPr>
        <w:t xml:space="preserve">Centralamerika </w:t>
      </w:r>
    </w:p>
    <w:p w:rsidR="00CA65E6" w:rsidRDefault="00CB294D">
      <w:pPr>
        <w:rPr>
          <w:noProof/>
        </w:rPr>
      </w:pPr>
      <w:r>
        <w:rPr>
          <w:noProof/>
        </w:rPr>
        <w:t>Frihandelsavtalet med Centralamerika</w:t>
      </w:r>
      <w:r>
        <w:rPr>
          <w:rStyle w:val="FootnoteReference"/>
          <w:b/>
          <w:noProof/>
        </w:rPr>
        <w:footnoteReference w:id="6"/>
      </w:r>
      <w:r>
        <w:rPr>
          <w:noProof/>
        </w:rPr>
        <w:t xml:space="preserve"> har lett till </w:t>
      </w:r>
      <w:r>
        <w:rPr>
          <w:b/>
          <w:noProof/>
        </w:rPr>
        <w:t>ökad handel</w:t>
      </w:r>
      <w:r>
        <w:rPr>
          <w:noProof/>
        </w:rPr>
        <w:t xml:space="preserve">. EU:s export har ökat med 22 %, och importen från fem centralamerikanska länder har ökat med 18,3 %. </w:t>
      </w:r>
    </w:p>
    <w:p w:rsidR="00CA65E6" w:rsidRDefault="00CB294D">
      <w:pPr>
        <w:rPr>
          <w:noProof/>
        </w:rPr>
      </w:pPr>
      <w:r>
        <w:rPr>
          <w:noProof/>
        </w:rPr>
        <w:t>Det enda</w:t>
      </w:r>
      <w:r>
        <w:rPr>
          <w:b/>
          <w:noProof/>
        </w:rPr>
        <w:t xml:space="preserve"> undantaget är Costa Rica</w:t>
      </w:r>
      <w:r>
        <w:rPr>
          <w:noProof/>
        </w:rPr>
        <w:t>, som lidit skada av att dess tidigare största exportör av it</w:t>
      </w:r>
      <w:r>
        <w:rPr>
          <w:noProof/>
        </w:rPr>
        <w:noBreakHyphen/>
        <w:t>komponenter flyttat sin verksamhet till Asien. Costa Ricas export av kontors- och telekommunikationsutrustning minskade med nästan 94 % år 2015. Landets export till EU minskade med 40 % samma år, vilket också ledde till att det totala handelsflödet mellan EU och Centralamerika minskade med 0,78 %.</w:t>
      </w:r>
    </w:p>
    <w:p w:rsidR="00CA65E6" w:rsidRDefault="00CB294D">
      <w:pPr>
        <w:rPr>
          <w:noProof/>
        </w:rPr>
      </w:pPr>
      <w:r>
        <w:rPr>
          <w:noProof/>
        </w:rPr>
        <w:t>Den största delen av EU-exporten till Centralamerika går till Costa Rica (25 %), följt av Panama (24 %) och Guatemala (22 %).</w:t>
      </w:r>
    </w:p>
    <w:tbl>
      <w:tblPr>
        <w:tblStyle w:val="TableGrid"/>
        <w:tblW w:w="0" w:type="auto"/>
        <w:tblBorders>
          <w:insideH w:val="none" w:sz="0" w:space="0" w:color="auto"/>
        </w:tblBorders>
        <w:tblLook w:val="04A0" w:firstRow="1" w:lastRow="0" w:firstColumn="1" w:lastColumn="0" w:noHBand="0" w:noVBand="1"/>
      </w:tblPr>
      <w:tblGrid>
        <w:gridCol w:w="8833"/>
      </w:tblGrid>
      <w:tr w:rsidR="00CA65E6">
        <w:tc>
          <w:tcPr>
            <w:tcW w:w="8833" w:type="dxa"/>
          </w:tcPr>
          <w:p w:rsidR="00CA65E6" w:rsidRDefault="00CB294D">
            <w:pPr>
              <w:rPr>
                <w:rFonts w:ascii="Times New Roman" w:hAnsi="Times New Roman" w:cs="Times New Roman"/>
                <w:b/>
                <w:noProof/>
              </w:rPr>
            </w:pPr>
            <w:r>
              <w:rPr>
                <w:b/>
                <w:noProof/>
              </w:rPr>
              <w:t>Belgiskt kafferosteri skaffar sig partner runtom i världen</w:t>
            </w:r>
          </w:p>
        </w:tc>
      </w:tr>
      <w:tr w:rsidR="00CA65E6">
        <w:tc>
          <w:tcPr>
            <w:tcW w:w="8833" w:type="dxa"/>
          </w:tcPr>
          <w:p w:rsidR="00CA65E6" w:rsidRDefault="00CB294D">
            <w:pPr>
              <w:rPr>
                <w:rFonts w:ascii="Times New Roman" w:hAnsi="Times New Roman" w:cs="Times New Roman"/>
                <w:noProof/>
              </w:rPr>
            </w:pPr>
            <w:r>
              <w:rPr>
                <w:noProof/>
              </w:rPr>
              <w:t xml:space="preserve">Det belgiska kafferosteriet OR startades 2001 och har sedan dess expanderat internationellt. Företagets verksamhet utgår från den centrala idén att de bästa kaffebönorna kommer direkt från odlarna. </w:t>
            </w:r>
          </w:p>
          <w:p w:rsidR="00CA65E6" w:rsidRDefault="00CB294D">
            <w:pPr>
              <w:rPr>
                <w:rFonts w:ascii="Times New Roman" w:hAnsi="Times New Roman" w:cs="Times New Roman"/>
                <w:noProof/>
              </w:rPr>
            </w:pPr>
            <w:r>
              <w:rPr>
                <w:noProof/>
              </w:rPr>
              <w:t xml:space="preserve">EU:s handelsavtal med länder i Central- och Sydamerika har gjort det enklare för europeiska företag att få tag på kaffe därifrån. Genom att kräva att exportörer i dessa länder uppfyller EU-standarder i fråga om arbetsvillkor och miljöskydd har avtalen dessutom fört med sig förbättringar för lokalbefolkningen. </w:t>
            </w:r>
          </w:p>
        </w:tc>
      </w:tr>
    </w:tbl>
    <w:p w:rsidR="00CA65E6" w:rsidRDefault="00CB294D">
      <w:pPr>
        <w:pStyle w:val="Heading2"/>
        <w:spacing w:before="360"/>
        <w:ind w:left="1202"/>
        <w:rPr>
          <w:noProof/>
        </w:rPr>
      </w:pPr>
      <w:bookmarkStart w:id="18" w:name="_Toc493510416"/>
      <w:bookmarkStart w:id="19" w:name="_Toc493510795"/>
      <w:bookmarkStart w:id="20" w:name="_Toc494126119"/>
      <w:bookmarkStart w:id="21" w:name="_Toc497132353"/>
      <w:r>
        <w:rPr>
          <w:noProof/>
        </w:rPr>
        <w:t>Tullkvoter</w:t>
      </w:r>
      <w:bookmarkEnd w:id="18"/>
      <w:bookmarkEnd w:id="19"/>
      <w:bookmarkEnd w:id="20"/>
      <w:bookmarkEnd w:id="21"/>
    </w:p>
    <w:p w:rsidR="00CA65E6" w:rsidRDefault="00CB294D">
      <w:pPr>
        <w:rPr>
          <w:noProof/>
        </w:rPr>
      </w:pPr>
      <w:r>
        <w:rPr>
          <w:noProof/>
        </w:rPr>
        <w:t>När varor som är föremål för tullkvoter importeras, tillämpas lägre tullavgifter för den mängd som ligger innanför de överenskomna kvoterna. Efter att kvoten fyllts tillämpas emellertid högre tullavgifter.</w:t>
      </w:r>
    </w:p>
    <w:p w:rsidR="00CA65E6" w:rsidRDefault="00CB294D">
      <w:pPr>
        <w:pStyle w:val="Heading3"/>
        <w:rPr>
          <w:noProof/>
        </w:rPr>
      </w:pPr>
      <w:r>
        <w:rPr>
          <w:noProof/>
        </w:rPr>
        <w:t xml:space="preserve">Colombia och Peru </w:t>
      </w:r>
    </w:p>
    <w:p w:rsidR="00CA65E6" w:rsidRDefault="00CB294D">
      <w:pPr>
        <w:rPr>
          <w:noProof/>
        </w:rPr>
      </w:pPr>
      <w:r>
        <w:rPr>
          <w:noProof/>
        </w:rPr>
        <w:t xml:space="preserve">Både </w:t>
      </w:r>
      <w:r>
        <w:rPr>
          <w:b/>
          <w:noProof/>
        </w:rPr>
        <w:t>Colombia</w:t>
      </w:r>
      <w:r>
        <w:rPr>
          <w:noProof/>
        </w:rPr>
        <w:t xml:space="preserve"> och </w:t>
      </w:r>
      <w:r>
        <w:rPr>
          <w:b/>
          <w:noProof/>
        </w:rPr>
        <w:t>Peru</w:t>
      </w:r>
      <w:r>
        <w:rPr>
          <w:noProof/>
        </w:rPr>
        <w:t xml:space="preserve"> utnyttjar sina tullkvoter för </w:t>
      </w:r>
      <w:r>
        <w:rPr>
          <w:b/>
          <w:noProof/>
        </w:rPr>
        <w:t>socker</w:t>
      </w:r>
      <w:r>
        <w:rPr>
          <w:noProof/>
        </w:rPr>
        <w:t xml:space="preserve">. Peru utnyttjar också i allt högre grad kvoterna för majs och vitlök, medan tullkvoterna för andra varor utnyttjas mycket lite. </w:t>
      </w:r>
    </w:p>
    <w:p w:rsidR="00CA65E6" w:rsidRDefault="00CB294D">
      <w:pPr>
        <w:rPr>
          <w:noProof/>
        </w:rPr>
      </w:pPr>
      <w:r>
        <w:rPr>
          <w:b/>
          <w:noProof/>
        </w:rPr>
        <w:t>EU</w:t>
      </w:r>
      <w:r>
        <w:rPr>
          <w:noProof/>
        </w:rPr>
        <w:t xml:space="preserve"> utnyttjade en stor del av sina tullkvoter enligt avtalet. För vissa produkter är utnyttjandegraden emellertid mycket låg. Exempelvis användes bara 7,9 % av den totala kvoten för export av </w:t>
      </w:r>
      <w:r>
        <w:rPr>
          <w:b/>
          <w:noProof/>
        </w:rPr>
        <w:t>ost</w:t>
      </w:r>
      <w:r>
        <w:rPr>
          <w:noProof/>
        </w:rPr>
        <w:t xml:space="preserve"> till Colombia, och 4,3 % för Peru, och när det gäller export av </w:t>
      </w:r>
      <w:r>
        <w:rPr>
          <w:b/>
          <w:noProof/>
        </w:rPr>
        <w:t>konfektyr</w:t>
      </w:r>
      <w:r>
        <w:rPr>
          <w:noProof/>
        </w:rPr>
        <w:t xml:space="preserve"> till Colombia användes bara 3,8 % av den totala kvoten. </w:t>
      </w:r>
    </w:p>
    <w:p w:rsidR="00CA65E6" w:rsidRDefault="00CB294D">
      <w:pPr>
        <w:pStyle w:val="Heading3"/>
        <w:rPr>
          <w:noProof/>
        </w:rPr>
      </w:pPr>
      <w:r>
        <w:rPr>
          <w:noProof/>
        </w:rPr>
        <w:t xml:space="preserve">Centralamerika </w:t>
      </w:r>
    </w:p>
    <w:p w:rsidR="00CA65E6" w:rsidRDefault="00CB294D">
      <w:pPr>
        <w:rPr>
          <w:noProof/>
        </w:rPr>
      </w:pPr>
      <w:r>
        <w:rPr>
          <w:noProof/>
        </w:rPr>
        <w:t>Centralamerika utnyttjade bara sina tullkvoter för</w:t>
      </w:r>
      <w:r>
        <w:rPr>
          <w:b/>
          <w:noProof/>
        </w:rPr>
        <w:t xml:space="preserve"> socker</w:t>
      </w:r>
      <w:r>
        <w:rPr>
          <w:noProof/>
        </w:rPr>
        <w:t xml:space="preserve"> och </w:t>
      </w:r>
      <w:r>
        <w:rPr>
          <w:b/>
          <w:noProof/>
        </w:rPr>
        <w:t>rom</w:t>
      </w:r>
      <w:r>
        <w:rPr>
          <w:noProof/>
        </w:rPr>
        <w:t xml:space="preserve">. Övriga tullkvoter förblev outnyttjade. </w:t>
      </w:r>
    </w:p>
    <w:p w:rsidR="00CA65E6" w:rsidRDefault="00CB294D">
      <w:pPr>
        <w:rPr>
          <w:noProof/>
        </w:rPr>
      </w:pPr>
      <w:r>
        <w:rPr>
          <w:b/>
          <w:noProof/>
        </w:rPr>
        <w:t>EU</w:t>
      </w:r>
      <w:r>
        <w:rPr>
          <w:noProof/>
        </w:rPr>
        <w:t xml:space="preserve"> har beviljats tullkvoter för fyra produkter men </w:t>
      </w:r>
      <w:r>
        <w:rPr>
          <w:b/>
          <w:noProof/>
        </w:rPr>
        <w:t>utnyttjar dessa i liten utsträckning</w:t>
      </w:r>
      <w:r>
        <w:rPr>
          <w:noProof/>
        </w:rPr>
        <w:t xml:space="preserve">: 26 % av den totala tullkvoten för skinka användes, 14 % av kvoten för mjölkpulver, 44 % för ost och 4,9 % för charkuterivaror av svinkött. </w:t>
      </w:r>
    </w:p>
    <w:p w:rsidR="00CA65E6" w:rsidRDefault="00CB294D">
      <w:pPr>
        <w:pStyle w:val="Heading2"/>
        <w:rPr>
          <w:noProof/>
        </w:rPr>
      </w:pPr>
      <w:bookmarkStart w:id="22" w:name="_Toc493510417"/>
      <w:bookmarkStart w:id="23" w:name="_Toc493510796"/>
      <w:bookmarkStart w:id="24" w:name="_Toc494126120"/>
      <w:bookmarkStart w:id="25" w:name="_Toc497132354"/>
      <w:r>
        <w:rPr>
          <w:noProof/>
        </w:rPr>
        <w:t>Utnyttjande av förmånstullar</w:t>
      </w:r>
      <w:bookmarkEnd w:id="22"/>
      <w:bookmarkEnd w:id="23"/>
      <w:bookmarkEnd w:id="24"/>
      <w:bookmarkEnd w:id="25"/>
      <w:r>
        <w:rPr>
          <w:noProof/>
        </w:rPr>
        <w:t xml:space="preserve"> </w:t>
      </w:r>
    </w:p>
    <w:p w:rsidR="00CA65E6" w:rsidRDefault="00CB294D">
      <w:pPr>
        <w:rPr>
          <w:noProof/>
        </w:rPr>
      </w:pPr>
      <w:r>
        <w:rPr>
          <w:noProof/>
        </w:rPr>
        <w:t xml:space="preserve">Nivån på utnyttjandet av förmånstullar visar i vilken utsträckning företag använder sig av de förmånstullar som ett frihandelsavtal med EU ger tillgång till. </w:t>
      </w:r>
    </w:p>
    <w:p w:rsidR="00CA65E6" w:rsidRDefault="00CB294D">
      <w:pPr>
        <w:rPr>
          <w:noProof/>
        </w:rPr>
      </w:pPr>
      <w:r>
        <w:rPr>
          <w:noProof/>
        </w:rPr>
        <w:t xml:space="preserve">Vid beräkningen tittar man på den totala import från ett partnerland till EU (eller vice versa) som var </w:t>
      </w:r>
      <w:r>
        <w:rPr>
          <w:i/>
          <w:noProof/>
        </w:rPr>
        <w:t>berättigad</w:t>
      </w:r>
      <w:r>
        <w:rPr>
          <w:noProof/>
        </w:rPr>
        <w:t xml:space="preserve"> till förmåner i form av lägre tullavgifter. Denna siffra jämförs med den totala mängden importerade varor för vilka de minskade tullavgifterna </w:t>
      </w:r>
      <w:r>
        <w:rPr>
          <w:i/>
          <w:noProof/>
        </w:rPr>
        <w:t>faktiskt användes</w:t>
      </w:r>
      <w:r>
        <w:rPr>
          <w:noProof/>
        </w:rPr>
        <w:t>.</w:t>
      </w:r>
      <w:r>
        <w:rPr>
          <w:rStyle w:val="FootnoteReference"/>
          <w:noProof/>
        </w:rPr>
        <w:footnoteReference w:id="7"/>
      </w:r>
    </w:p>
    <w:p w:rsidR="00CA65E6" w:rsidRDefault="00CB294D">
      <w:pPr>
        <w:rPr>
          <w:b/>
          <w:noProof/>
        </w:rPr>
      </w:pPr>
      <w:r>
        <w:rPr>
          <w:noProof/>
        </w:rPr>
        <w:t>Den utsträckning i vilken exportföretag i EU använder sig av förmånstullarna enligt frihandelsavtalen är ett viktigt mått på avtalens ändamålsenlighet.</w:t>
      </w:r>
      <w:r>
        <w:rPr>
          <w:b/>
          <w:noProof/>
        </w:rPr>
        <w:t xml:space="preserve"> </w:t>
      </w:r>
    </w:p>
    <w:p w:rsidR="00CA65E6" w:rsidRDefault="00CB294D">
      <w:pPr>
        <w:pStyle w:val="Heading3"/>
        <w:rPr>
          <w:noProof/>
        </w:rPr>
      </w:pPr>
      <w:r>
        <w:rPr>
          <w:noProof/>
        </w:rPr>
        <w:t xml:space="preserve">Sydkorea </w:t>
      </w:r>
    </w:p>
    <w:p w:rsidR="00CA65E6" w:rsidRDefault="00CB294D">
      <w:pPr>
        <w:rPr>
          <w:noProof/>
        </w:rPr>
      </w:pPr>
      <w:r>
        <w:rPr>
          <w:noProof/>
        </w:rPr>
        <w:t xml:space="preserve">Utnyttjandet av förmånstullar för </w:t>
      </w:r>
      <w:r>
        <w:rPr>
          <w:b/>
          <w:noProof/>
        </w:rPr>
        <w:t>EU-exporter</w:t>
      </w:r>
      <w:r>
        <w:rPr>
          <w:noProof/>
        </w:rPr>
        <w:t xml:space="preserve"> till Korea var 71 % 2016 – den högsta nivån hittills. 2015 var denna siffra 68 % och 2014 och 2013 var den 65 %. Förmånstullarna utnyttjades i högre grad för jordbruksprodukter än för industriprodukter (86 % respektive 64 %). De områden där förmånstullarna utnyttjas mest är </w:t>
      </w:r>
      <w:r>
        <w:rPr>
          <w:b/>
          <w:noProof/>
        </w:rPr>
        <w:t>transportutrustning</w:t>
      </w:r>
      <w:r>
        <w:rPr>
          <w:noProof/>
        </w:rPr>
        <w:t xml:space="preserve"> och </w:t>
      </w:r>
      <w:r>
        <w:rPr>
          <w:b/>
          <w:noProof/>
        </w:rPr>
        <w:t>levande djur och djurprodukter</w:t>
      </w:r>
      <w:r>
        <w:rPr>
          <w:noProof/>
        </w:rPr>
        <w:t xml:space="preserve"> (93 %). Användningen av minskade tullavgifter låg under 50 % för EU-export av mineralprodukter, pärlor och ädelstenar, basmetaller och maskiner. </w:t>
      </w:r>
    </w:p>
    <w:p w:rsidR="00CA65E6" w:rsidRDefault="00CB294D">
      <w:pPr>
        <w:rPr>
          <w:noProof/>
        </w:rPr>
      </w:pPr>
      <w:r>
        <w:rPr>
          <w:noProof/>
        </w:rPr>
        <w:t xml:space="preserve">Under 2016 utnyttjade </w:t>
      </w:r>
      <w:r>
        <w:rPr>
          <w:b/>
          <w:noProof/>
        </w:rPr>
        <w:t>koreanska exportörer</w:t>
      </w:r>
      <w:r>
        <w:rPr>
          <w:noProof/>
        </w:rPr>
        <w:t xml:space="preserve"> förmånstullarna för 87 % av sin berättigade export. Utnyttjandet av förmånstullarna var mer än 90 % för mineralprodukter, transportutrustning och plast och gummi, men bara 9 % för trä och 34 % för pärlor. Koreanerna utnyttjade de lägre tullavgifterna för maskiner i betydligt högre grad än de EU-aktörer som exporterade till Korea (72 % respektive 48 %).</w:t>
      </w:r>
    </w:p>
    <w:p w:rsidR="00CA65E6" w:rsidRDefault="00CB294D">
      <w:pPr>
        <w:pStyle w:val="Heading3"/>
        <w:rPr>
          <w:noProof/>
        </w:rPr>
      </w:pPr>
      <w:r>
        <w:rPr>
          <w:noProof/>
        </w:rPr>
        <w:t xml:space="preserve">Colombia och Peru </w:t>
      </w:r>
    </w:p>
    <w:p w:rsidR="00CA65E6" w:rsidRDefault="00CB294D">
      <w:pPr>
        <w:rPr>
          <w:noProof/>
        </w:rPr>
      </w:pPr>
      <w:r>
        <w:rPr>
          <w:noProof/>
        </w:rPr>
        <w:t xml:space="preserve">Enligt colombiansk statistik utnyttjades 70,6 % av förmånstullarna för </w:t>
      </w:r>
      <w:r>
        <w:rPr>
          <w:b/>
          <w:noProof/>
        </w:rPr>
        <w:t>EU-exporter</w:t>
      </w:r>
      <w:r>
        <w:rPr>
          <w:noProof/>
        </w:rPr>
        <w:t xml:space="preserve"> till Colombia under 2016 (jämfört med 50,7 % 2014). Det finns inga data tillgängliga för Peru. </w:t>
      </w:r>
    </w:p>
    <w:p w:rsidR="00CA65E6" w:rsidRDefault="00CB294D">
      <w:pPr>
        <w:rPr>
          <w:noProof/>
        </w:rPr>
      </w:pPr>
      <w:r>
        <w:rPr>
          <w:noProof/>
        </w:rPr>
        <w:t xml:space="preserve">När det gäller </w:t>
      </w:r>
      <w:r>
        <w:rPr>
          <w:b/>
          <w:noProof/>
        </w:rPr>
        <w:t>export från Colombia och Peru</w:t>
      </w:r>
      <w:r>
        <w:rPr>
          <w:noProof/>
        </w:rPr>
        <w:t xml:space="preserve"> till EU:s marknad tillämpades förmånstullar för över 95 % av exporten.</w:t>
      </w:r>
    </w:p>
    <w:p w:rsidR="00CA65E6" w:rsidRDefault="00CB294D">
      <w:pPr>
        <w:pStyle w:val="Heading3"/>
        <w:rPr>
          <w:noProof/>
        </w:rPr>
      </w:pPr>
      <w:r>
        <w:rPr>
          <w:noProof/>
        </w:rPr>
        <w:t xml:space="preserve">Centralamerika </w:t>
      </w:r>
    </w:p>
    <w:p w:rsidR="00CA65E6" w:rsidRDefault="00CB294D">
      <w:pPr>
        <w:rPr>
          <w:noProof/>
        </w:rPr>
      </w:pPr>
      <w:r>
        <w:rPr>
          <w:noProof/>
        </w:rPr>
        <w:t xml:space="preserve">För de centralamerikanska länderna finns bara statistik över EU:s export tillgänglig från Costa Rica: endast 16,6 % av den berättigade </w:t>
      </w:r>
      <w:r>
        <w:rPr>
          <w:b/>
          <w:noProof/>
        </w:rPr>
        <w:t>exporten från EU</w:t>
      </w:r>
      <w:r>
        <w:rPr>
          <w:noProof/>
        </w:rPr>
        <w:t xml:space="preserve"> till Costa Rica drog fördel av frihandelsavtalet. </w:t>
      </w:r>
    </w:p>
    <w:p w:rsidR="00CA65E6" w:rsidRDefault="00CB294D">
      <w:pPr>
        <w:rPr>
          <w:noProof/>
        </w:rPr>
      </w:pPr>
      <w:r>
        <w:rPr>
          <w:noProof/>
        </w:rPr>
        <w:t xml:space="preserve">När det gäller </w:t>
      </w:r>
      <w:r>
        <w:rPr>
          <w:b/>
          <w:noProof/>
        </w:rPr>
        <w:t>exporten från Costa Rica</w:t>
      </w:r>
      <w:r>
        <w:rPr>
          <w:noProof/>
        </w:rPr>
        <w:t xml:space="preserve"> till EU var denna siffra 92 %.</w:t>
      </w:r>
    </w:p>
    <w:p w:rsidR="00CA65E6" w:rsidRDefault="00CB294D">
      <w:pPr>
        <w:pStyle w:val="Heading2"/>
        <w:rPr>
          <w:noProof/>
        </w:rPr>
      </w:pPr>
      <w:bookmarkStart w:id="26" w:name="_Toc493510418"/>
      <w:bookmarkStart w:id="27" w:name="_Toc493510797"/>
      <w:bookmarkStart w:id="28" w:name="_Toc494126121"/>
      <w:bookmarkStart w:id="29" w:name="_Toc497132355"/>
      <w:r>
        <w:rPr>
          <w:noProof/>
        </w:rPr>
        <w:t>Tjänster och investeringar</w:t>
      </w:r>
      <w:bookmarkEnd w:id="26"/>
      <w:bookmarkEnd w:id="27"/>
      <w:bookmarkEnd w:id="28"/>
      <w:bookmarkEnd w:id="29"/>
      <w:r>
        <w:rPr>
          <w:noProof/>
        </w:rPr>
        <w:t xml:space="preserve"> </w:t>
      </w:r>
    </w:p>
    <w:p w:rsidR="00CA65E6" w:rsidRDefault="00CB294D">
      <w:pPr>
        <w:pStyle w:val="Heading3"/>
        <w:rPr>
          <w:noProof/>
        </w:rPr>
      </w:pPr>
      <w:r>
        <w:rPr>
          <w:noProof/>
        </w:rPr>
        <w:t xml:space="preserve">Sydkorea </w:t>
      </w:r>
    </w:p>
    <w:p w:rsidR="00CA65E6" w:rsidRDefault="00CB294D">
      <w:pPr>
        <w:rPr>
          <w:noProof/>
        </w:rPr>
      </w:pPr>
      <w:r>
        <w:rPr>
          <w:noProof/>
        </w:rPr>
        <w:t xml:space="preserve">EU:s </w:t>
      </w:r>
      <w:r>
        <w:rPr>
          <w:b/>
          <w:noProof/>
        </w:rPr>
        <w:t>tjänsteexport</w:t>
      </w:r>
      <w:r>
        <w:rPr>
          <w:noProof/>
        </w:rPr>
        <w:t xml:space="preserve"> till Korea har ökat med 49 % sedan frihandelsavtalet började tillämpas, trots att exporten minskade med 7 % år 2015. </w:t>
      </w:r>
      <w:r>
        <w:rPr>
          <w:b/>
          <w:noProof/>
        </w:rPr>
        <w:t>Tjänsteimporten</w:t>
      </w:r>
      <w:r>
        <w:rPr>
          <w:noProof/>
        </w:rPr>
        <w:t xml:space="preserve"> från Korea har också ökat, med sammanlagt 32 % och med 7,3 % år 2015. </w:t>
      </w:r>
    </w:p>
    <w:p w:rsidR="00CA65E6" w:rsidRDefault="00CB294D">
      <w:pPr>
        <w:rPr>
          <w:noProof/>
        </w:rPr>
      </w:pPr>
      <w:r>
        <w:rPr>
          <w:noProof/>
        </w:rPr>
        <w:t xml:space="preserve">EU:s </w:t>
      </w:r>
      <w:r>
        <w:rPr>
          <w:b/>
          <w:noProof/>
        </w:rPr>
        <w:t>investeringar</w:t>
      </w:r>
      <w:r>
        <w:rPr>
          <w:noProof/>
        </w:rPr>
        <w:t xml:space="preserve"> i Korea har ökat med 32,8 % sedan frihandelsavtalet började tillämpas och de koreanska investeringarna i EU har ökat med 60 %. EU:s investeringar i Korea (49,7 miljarder euro 2015) är ungefär 2,5 gånger så stora som de koreanska investeringarna i EU (20,9 miljarder euro 2016).</w:t>
      </w:r>
    </w:p>
    <w:p w:rsidR="00CA65E6" w:rsidRDefault="00CB294D">
      <w:pPr>
        <w:pStyle w:val="Heading3"/>
        <w:rPr>
          <w:noProof/>
        </w:rPr>
      </w:pPr>
      <w:r>
        <w:rPr>
          <w:noProof/>
        </w:rPr>
        <w:t>Colombia och Peru</w:t>
      </w:r>
    </w:p>
    <w:p w:rsidR="00CA65E6" w:rsidRDefault="00CB294D">
      <w:pPr>
        <w:rPr>
          <w:noProof/>
        </w:rPr>
      </w:pPr>
      <w:r>
        <w:rPr>
          <w:noProof/>
        </w:rPr>
        <w:t xml:space="preserve">När det gäller de latinamerikanska länderna kan vissa framsteg konstateras. EU:s </w:t>
      </w:r>
      <w:r>
        <w:rPr>
          <w:b/>
          <w:noProof/>
        </w:rPr>
        <w:t>tjänsteexport</w:t>
      </w:r>
      <w:r>
        <w:rPr>
          <w:noProof/>
        </w:rPr>
        <w:t xml:space="preserve"> förblev stabil för Colombia och ökade med 11 % till Peru. </w:t>
      </w:r>
      <w:r>
        <w:rPr>
          <w:b/>
          <w:noProof/>
        </w:rPr>
        <w:t>Importen</w:t>
      </w:r>
      <w:r>
        <w:rPr>
          <w:noProof/>
        </w:rPr>
        <w:t xml:space="preserve"> från Colombia ökade med 3 % och minskade med 6 % från Peru. </w:t>
      </w:r>
    </w:p>
    <w:p w:rsidR="00CA65E6" w:rsidRDefault="00CB294D">
      <w:pPr>
        <w:rPr>
          <w:noProof/>
        </w:rPr>
      </w:pPr>
      <w:r>
        <w:rPr>
          <w:noProof/>
        </w:rPr>
        <w:t xml:space="preserve">EU:s </w:t>
      </w:r>
      <w:r>
        <w:rPr>
          <w:b/>
          <w:noProof/>
        </w:rPr>
        <w:t>investeringar</w:t>
      </w:r>
      <w:r>
        <w:rPr>
          <w:noProof/>
        </w:rPr>
        <w:t xml:space="preserve"> ökade med 4 % i Colombia och med 15 % i Peru. EU är den största utländska investeraren i båda dessa länder. </w:t>
      </w:r>
    </w:p>
    <w:p w:rsidR="00CA65E6" w:rsidRDefault="00CB294D">
      <w:pPr>
        <w:pStyle w:val="Heading3"/>
        <w:rPr>
          <w:noProof/>
        </w:rPr>
      </w:pPr>
      <w:r>
        <w:rPr>
          <w:noProof/>
        </w:rPr>
        <w:t xml:space="preserve">Centralamerika </w:t>
      </w:r>
    </w:p>
    <w:p w:rsidR="00CA65E6" w:rsidRDefault="00CB294D">
      <w:pPr>
        <w:rPr>
          <w:noProof/>
        </w:rPr>
      </w:pPr>
      <w:r>
        <w:rPr>
          <w:b/>
          <w:noProof/>
        </w:rPr>
        <w:t>EU:s</w:t>
      </w:r>
      <w:r>
        <w:rPr>
          <w:noProof/>
        </w:rPr>
        <w:t xml:space="preserve"> totala </w:t>
      </w:r>
      <w:r>
        <w:rPr>
          <w:b/>
          <w:noProof/>
        </w:rPr>
        <w:t>handel med tjänster</w:t>
      </w:r>
      <w:r>
        <w:rPr>
          <w:noProof/>
        </w:rPr>
        <w:t xml:space="preserve"> med Centralamerika </w:t>
      </w:r>
      <w:r>
        <w:rPr>
          <w:b/>
          <w:noProof/>
        </w:rPr>
        <w:t>minskade</w:t>
      </w:r>
      <w:r>
        <w:rPr>
          <w:noProof/>
        </w:rPr>
        <w:t xml:space="preserve"> med 3 %. Det förekom stora </w:t>
      </w:r>
      <w:r>
        <w:rPr>
          <w:b/>
          <w:noProof/>
        </w:rPr>
        <w:t>fluktuationer</w:t>
      </w:r>
      <w:r>
        <w:rPr>
          <w:noProof/>
        </w:rPr>
        <w:t xml:space="preserve"> i exporten och importen från olika centralamerikanska länder, men både för Costa Rica och Panama ökade handeln med tjänster i båda riktningar.</w:t>
      </w:r>
    </w:p>
    <w:p w:rsidR="00CA65E6" w:rsidRDefault="00CB294D">
      <w:pPr>
        <w:rPr>
          <w:noProof/>
        </w:rPr>
      </w:pPr>
      <w:r>
        <w:rPr>
          <w:noProof/>
        </w:rPr>
        <w:t>I denna region är Panama den största handelspartnern vad gäller tjänster (53 %), följt av Costa Rica (21 %) och Guatemala (13 %).</w:t>
      </w:r>
    </w:p>
    <w:p w:rsidR="00CA65E6" w:rsidRDefault="00CB294D">
      <w:pPr>
        <w:pStyle w:val="Heading2"/>
        <w:rPr>
          <w:noProof/>
        </w:rPr>
      </w:pPr>
      <w:bookmarkStart w:id="30" w:name="_Toc493510419"/>
      <w:bookmarkStart w:id="31" w:name="_Toc493510798"/>
      <w:bookmarkStart w:id="32" w:name="_Toc494126122"/>
      <w:bookmarkStart w:id="33" w:name="_Toc497132356"/>
      <w:r>
        <w:rPr>
          <w:noProof/>
        </w:rPr>
        <w:t>Genomförandeorgan</w:t>
      </w:r>
      <w:bookmarkEnd w:id="30"/>
      <w:bookmarkEnd w:id="31"/>
      <w:bookmarkEnd w:id="32"/>
      <w:bookmarkEnd w:id="33"/>
      <w:r>
        <w:rPr>
          <w:noProof/>
        </w:rPr>
        <w:t xml:space="preserve"> </w:t>
      </w:r>
    </w:p>
    <w:p w:rsidR="00CA65E6" w:rsidRDefault="00CB294D">
      <w:pPr>
        <w:rPr>
          <w:noProof/>
        </w:rPr>
      </w:pPr>
      <w:r>
        <w:rPr>
          <w:noProof/>
        </w:rPr>
        <w:t xml:space="preserve">Den nya generationens frihandelsavtal omfattar ett heltäckande system av genomförandeorgan. Ett antal </w:t>
      </w:r>
      <w:r>
        <w:rPr>
          <w:b/>
          <w:noProof/>
        </w:rPr>
        <w:t>underkommittéer</w:t>
      </w:r>
      <w:r>
        <w:rPr>
          <w:noProof/>
        </w:rPr>
        <w:t xml:space="preserve"> och </w:t>
      </w:r>
      <w:r>
        <w:rPr>
          <w:b/>
          <w:noProof/>
        </w:rPr>
        <w:t>arbetsgrupper</w:t>
      </w:r>
      <w:r>
        <w:rPr>
          <w:noProof/>
        </w:rPr>
        <w:t xml:space="preserve"> sammanträder årligen och rapporterar till en handelskommitté (eller, när det gäller Centralamerika, en associeringskommitté). Handelskommittéerna sammanträder ofta på ministernivå för att se över utvecklingen på alla områden och diskutera genomförandeproblem med frihandelsavtalen i syfte att finna lösningar.</w:t>
      </w:r>
    </w:p>
    <w:p w:rsidR="00CA65E6" w:rsidRDefault="00CB294D">
      <w:pPr>
        <w:pStyle w:val="Heading3"/>
        <w:rPr>
          <w:noProof/>
        </w:rPr>
      </w:pPr>
      <w:r>
        <w:rPr>
          <w:noProof/>
        </w:rPr>
        <w:t xml:space="preserve">Sydkorea </w:t>
      </w:r>
    </w:p>
    <w:p w:rsidR="00CA65E6" w:rsidRDefault="00CB294D">
      <w:pPr>
        <w:rPr>
          <w:noProof/>
        </w:rPr>
      </w:pPr>
      <w:r>
        <w:rPr>
          <w:noProof/>
        </w:rPr>
        <w:t xml:space="preserve">De viktigaste frågor som togs upp i handelskommittén för Korea under rapporteringsperioden gällde </w:t>
      </w:r>
      <w:r>
        <w:rPr>
          <w:b/>
          <w:noProof/>
        </w:rPr>
        <w:t>sanitära och fytosanitära åtgärder</w:t>
      </w:r>
      <w:r>
        <w:rPr>
          <w:noProof/>
        </w:rPr>
        <w:t xml:space="preserve">, närmare bestämt marknadstillträde för nötkött och regionalisering av svinköttsexporten. Dessa problem har ännu inte lösts. Det välfungerande samarbetet med Korea i </w:t>
      </w:r>
      <w:r>
        <w:rPr>
          <w:b/>
          <w:noProof/>
        </w:rPr>
        <w:t>djurskyddsfrågor</w:t>
      </w:r>
      <w:r>
        <w:rPr>
          <w:noProof/>
        </w:rPr>
        <w:t xml:space="preserve"> är emellertid ett gott exempel som bör följas. Erfarenheten från Korea i fråga om sanitära och fytosanitära åtgärder visar hur viktigt det är att frihandelsavtalen innehåller tydliga och detaljerade kapitel om sanitära och fytosanitära förhållanden.</w:t>
      </w:r>
    </w:p>
    <w:p w:rsidR="00CA65E6" w:rsidRDefault="00CB294D">
      <w:pPr>
        <w:rPr>
          <w:noProof/>
        </w:rPr>
      </w:pPr>
      <w:r>
        <w:rPr>
          <w:noProof/>
        </w:rPr>
        <w:t xml:space="preserve">När det gäller skydd av </w:t>
      </w:r>
      <w:r>
        <w:rPr>
          <w:b/>
          <w:noProof/>
        </w:rPr>
        <w:t>immateriella rättigheter</w:t>
      </w:r>
      <w:r>
        <w:rPr>
          <w:noProof/>
        </w:rPr>
        <w:t xml:space="preserve"> har frågan om rättigheterna till offentligt framförande ännu inte lösts. Nya skyddade geografiska beteckningar har heller inte lagts till i frihandelsavtalet, trots att EU har begärt detta sedan 2014.</w:t>
      </w:r>
    </w:p>
    <w:p w:rsidR="00CA65E6" w:rsidRDefault="00CB294D">
      <w:pPr>
        <w:rPr>
          <w:noProof/>
        </w:rPr>
      </w:pPr>
      <w:r>
        <w:rPr>
          <w:noProof/>
        </w:rPr>
        <w:t xml:space="preserve">Handel och </w:t>
      </w:r>
      <w:r>
        <w:rPr>
          <w:b/>
          <w:noProof/>
        </w:rPr>
        <w:t>hållbar utveckling</w:t>
      </w:r>
      <w:r>
        <w:rPr>
          <w:noProof/>
        </w:rPr>
        <w:t xml:space="preserve"> diskuterades också ingående, med tonvikt på ratificering och genomförande av Internationella arbetsorganisationens (ILO) konventioner och Koreas skydd av arbetstagares rättigheter. Tyvärr har dessa diskussioner ännu inte lett till en lösning på de problem som man konstaterat. </w:t>
      </w:r>
    </w:p>
    <w:p w:rsidR="00CA65E6" w:rsidRDefault="00CB294D">
      <w:pPr>
        <w:rPr>
          <w:noProof/>
        </w:rPr>
      </w:pPr>
      <w:r>
        <w:rPr>
          <w:noProof/>
        </w:rPr>
        <w:t xml:space="preserve">Frihandelsavtalet innehåller också tydliga bestämmelser om öppenhet vid </w:t>
      </w:r>
      <w:r>
        <w:rPr>
          <w:b/>
          <w:noProof/>
        </w:rPr>
        <w:t>offentlig upphandling</w:t>
      </w:r>
      <w:r>
        <w:rPr>
          <w:noProof/>
        </w:rPr>
        <w:t xml:space="preserve"> som skulle göra det möjligt att övervaka EU-företagens faktiska marknadstillträde i Korea. Korea har emellertid ännu inte lämnat in några data om offentliga kontrakt som beviljats EU-företag. Denna fråga kommer att tas upp vid nästa sammanträde i arbetsgruppen för offentlig upphandling. </w:t>
      </w:r>
    </w:p>
    <w:p w:rsidR="00CA65E6" w:rsidRDefault="00CB294D">
      <w:pPr>
        <w:pStyle w:val="Heading3"/>
        <w:rPr>
          <w:noProof/>
        </w:rPr>
      </w:pPr>
      <w:r>
        <w:rPr>
          <w:noProof/>
        </w:rPr>
        <w:t>Colombia och Peru</w:t>
      </w:r>
    </w:p>
    <w:p w:rsidR="00CA65E6" w:rsidRDefault="00CB294D">
      <w:pPr>
        <w:rPr>
          <w:noProof/>
        </w:rPr>
      </w:pPr>
      <w:r>
        <w:rPr>
          <w:noProof/>
        </w:rPr>
        <w:t xml:space="preserve">Colombia gjorde stora framsteg 2016 för att lösa </w:t>
      </w:r>
      <w:r>
        <w:rPr>
          <w:b/>
          <w:noProof/>
        </w:rPr>
        <w:t>sanitära och fytosanitära</w:t>
      </w:r>
      <w:r>
        <w:rPr>
          <w:noProof/>
        </w:rPr>
        <w:t xml:space="preserve"> problem (bl.a. införandet av principen om en enda enhet och förfarandet med "förlistning") och det diskriminerande systemet för spritdrycker genom att anta en ny lag som trädde i kraft den 1 januari 2017. EU exporterade spritdrycker till Colombia för 43,7 miljoner euro 2016, vilket motsvarar 12 % av EU:s totala jordbruksexport till Colombia. Även Peru gjorde framsteg vad gäller sanitära och fytosanitära förhållanden, trots att vissa brister ännu kvarstår.</w:t>
      </w:r>
    </w:p>
    <w:p w:rsidR="00CA65E6" w:rsidRDefault="00CB294D">
      <w:pPr>
        <w:rPr>
          <w:noProof/>
        </w:rPr>
      </w:pPr>
      <w:r>
        <w:rPr>
          <w:noProof/>
        </w:rPr>
        <w:t>Regionaliseringsprincipen fastställdes i kapitlet om sanitära och fytosanitära åtgärder och tillämpades av både Colombia och Peru för deras import från EU.</w:t>
      </w:r>
    </w:p>
    <w:p w:rsidR="00CA65E6" w:rsidRDefault="00CB294D">
      <w:pPr>
        <w:rPr>
          <w:noProof/>
        </w:rPr>
      </w:pPr>
      <w:r>
        <w:rPr>
          <w:noProof/>
        </w:rPr>
        <w:t xml:space="preserve">Framsteg gjordes också i diskussionerna om tillträde till </w:t>
      </w:r>
      <w:r>
        <w:rPr>
          <w:b/>
          <w:noProof/>
        </w:rPr>
        <w:t>offentliga upphandlingar</w:t>
      </w:r>
      <w:r>
        <w:rPr>
          <w:noProof/>
        </w:rPr>
        <w:t xml:space="preserve"> på regional nivå i Colombia.</w:t>
      </w:r>
    </w:p>
    <w:p w:rsidR="00CA65E6" w:rsidRDefault="00CB294D">
      <w:pPr>
        <w:rPr>
          <w:noProof/>
        </w:rPr>
      </w:pPr>
      <w:r>
        <w:rPr>
          <w:noProof/>
        </w:rPr>
        <w:t xml:space="preserve">I Peru kvarstår problem när det gäller diskriminering av importerade </w:t>
      </w:r>
      <w:r>
        <w:rPr>
          <w:b/>
          <w:noProof/>
        </w:rPr>
        <w:t>spritdrycker</w:t>
      </w:r>
      <w:r>
        <w:rPr>
          <w:noProof/>
        </w:rPr>
        <w:t xml:space="preserve"> och </w:t>
      </w:r>
      <w:r>
        <w:rPr>
          <w:b/>
          <w:noProof/>
        </w:rPr>
        <w:t>rättigheter till offentligt framförande</w:t>
      </w:r>
      <w:r>
        <w:rPr>
          <w:noProof/>
        </w:rPr>
        <w:t xml:space="preserve">. </w:t>
      </w:r>
    </w:p>
    <w:p w:rsidR="00CA65E6" w:rsidRDefault="00CB294D">
      <w:pPr>
        <w:rPr>
          <w:noProof/>
        </w:rPr>
      </w:pPr>
      <w:r>
        <w:rPr>
          <w:noProof/>
        </w:rPr>
        <w:t xml:space="preserve">Verkställandet av </w:t>
      </w:r>
      <w:r>
        <w:rPr>
          <w:b/>
          <w:noProof/>
        </w:rPr>
        <w:t>geografiska beteckningar</w:t>
      </w:r>
      <w:r>
        <w:rPr>
          <w:noProof/>
        </w:rPr>
        <w:t xml:space="preserve"> är också fortfarande problematiskt i båda länderna. Frågan om </w:t>
      </w:r>
      <w:r>
        <w:rPr>
          <w:b/>
          <w:noProof/>
        </w:rPr>
        <w:t>direkttransporter</w:t>
      </w:r>
      <w:r>
        <w:rPr>
          <w:noProof/>
        </w:rPr>
        <w:t>, där EU vill behålla förmånstullarna enligt frihandelsavtalet för leveranser som delas under transiteringen, har ännu inte lösts.</w:t>
      </w:r>
    </w:p>
    <w:p w:rsidR="00CA65E6" w:rsidRDefault="00CB294D">
      <w:pPr>
        <w:pStyle w:val="Heading3"/>
        <w:rPr>
          <w:noProof/>
        </w:rPr>
      </w:pPr>
      <w:r>
        <w:rPr>
          <w:noProof/>
        </w:rPr>
        <w:t xml:space="preserve">Centralamerika </w:t>
      </w:r>
    </w:p>
    <w:p w:rsidR="00CA65E6" w:rsidRDefault="00CB294D">
      <w:pPr>
        <w:spacing w:after="0"/>
        <w:rPr>
          <w:noProof/>
        </w:rPr>
      </w:pPr>
      <w:r>
        <w:rPr>
          <w:noProof/>
        </w:rPr>
        <w:t>För Centralamerika är de främsta problemen</w:t>
      </w:r>
    </w:p>
    <w:p w:rsidR="00CA65E6" w:rsidRDefault="00CB294D">
      <w:pPr>
        <w:pStyle w:val="ListParagraph"/>
        <w:numPr>
          <w:ilvl w:val="0"/>
          <w:numId w:val="23"/>
        </w:numPr>
        <w:rPr>
          <w:noProof/>
        </w:rPr>
      </w:pPr>
      <w:r>
        <w:rPr>
          <w:noProof/>
        </w:rPr>
        <w:t xml:space="preserve">verkställande av </w:t>
      </w:r>
      <w:r>
        <w:rPr>
          <w:b/>
          <w:noProof/>
        </w:rPr>
        <w:t>geografiska beteckningar</w:t>
      </w:r>
      <w:r>
        <w:rPr>
          <w:noProof/>
        </w:rPr>
        <w:t xml:space="preserve"> (särskilt i Guatemala och Honduras), </w:t>
      </w:r>
    </w:p>
    <w:p w:rsidR="00CA65E6" w:rsidRDefault="00CB294D">
      <w:pPr>
        <w:pStyle w:val="ListParagraph"/>
        <w:numPr>
          <w:ilvl w:val="0"/>
          <w:numId w:val="23"/>
        </w:numPr>
        <w:rPr>
          <w:noProof/>
        </w:rPr>
      </w:pPr>
      <w:r>
        <w:rPr>
          <w:noProof/>
        </w:rPr>
        <w:t xml:space="preserve">offentliga </w:t>
      </w:r>
      <w:r>
        <w:rPr>
          <w:b/>
          <w:noProof/>
        </w:rPr>
        <w:t>upphandlingar</w:t>
      </w:r>
      <w:r>
        <w:rPr>
          <w:noProof/>
        </w:rPr>
        <w:t xml:space="preserve"> (Panama), </w:t>
      </w:r>
    </w:p>
    <w:p w:rsidR="00CA65E6" w:rsidRDefault="00CB294D">
      <w:pPr>
        <w:pStyle w:val="ListParagraph"/>
        <w:numPr>
          <w:ilvl w:val="0"/>
          <w:numId w:val="23"/>
        </w:numPr>
        <w:rPr>
          <w:noProof/>
        </w:rPr>
      </w:pPr>
      <w:r>
        <w:rPr>
          <w:noProof/>
        </w:rPr>
        <w:t xml:space="preserve">skattediskriminering av </w:t>
      </w:r>
      <w:r>
        <w:rPr>
          <w:b/>
          <w:noProof/>
        </w:rPr>
        <w:t>öl</w:t>
      </w:r>
      <w:r>
        <w:rPr>
          <w:noProof/>
        </w:rPr>
        <w:t xml:space="preserve"> (Costa Rica), och  </w:t>
      </w:r>
    </w:p>
    <w:p w:rsidR="00CA65E6" w:rsidRDefault="00CB294D">
      <w:pPr>
        <w:pStyle w:val="ListParagraph"/>
        <w:numPr>
          <w:ilvl w:val="0"/>
          <w:numId w:val="23"/>
        </w:numPr>
        <w:rPr>
          <w:noProof/>
        </w:rPr>
      </w:pPr>
      <w:r>
        <w:rPr>
          <w:noProof/>
        </w:rPr>
        <w:t xml:space="preserve">genomförande av åtaganden om bättre regional integration av vissa </w:t>
      </w:r>
      <w:r>
        <w:rPr>
          <w:b/>
          <w:noProof/>
        </w:rPr>
        <w:t>tekniska föreskrifter</w:t>
      </w:r>
      <w:r>
        <w:rPr>
          <w:noProof/>
        </w:rPr>
        <w:t xml:space="preserve">. </w:t>
      </w:r>
    </w:p>
    <w:p w:rsidR="00CA65E6" w:rsidRDefault="00CB294D">
      <w:pPr>
        <w:spacing w:after="0"/>
        <w:jc w:val="left"/>
        <w:rPr>
          <w:b/>
          <w:smallCaps/>
          <w:noProof/>
        </w:rPr>
      </w:pPr>
      <w:r>
        <w:rPr>
          <w:noProof/>
        </w:rPr>
        <w:br w:type="page"/>
      </w:r>
    </w:p>
    <w:p w:rsidR="00CA65E6" w:rsidRDefault="00CB294D">
      <w:pPr>
        <w:pStyle w:val="Heading1"/>
        <w:rPr>
          <w:noProof/>
        </w:rPr>
      </w:pPr>
      <w:bookmarkStart w:id="34" w:name="_Toc493510420"/>
      <w:bookmarkStart w:id="35" w:name="_Toc493510799"/>
      <w:bookmarkStart w:id="36" w:name="_Toc494126123"/>
      <w:bookmarkStart w:id="37" w:name="_Toc497132357"/>
      <w:r>
        <w:rPr>
          <w:noProof/>
        </w:rPr>
        <w:t>Djupgående och omfattande frihandelsavtal – Ukraina, Moldavien, Georgien</w:t>
      </w:r>
      <w:bookmarkEnd w:id="34"/>
      <w:bookmarkEnd w:id="35"/>
      <w:bookmarkEnd w:id="36"/>
      <w:bookmarkEnd w:id="37"/>
    </w:p>
    <w:p w:rsidR="00CA65E6" w:rsidRDefault="00CB294D">
      <w:pPr>
        <w:spacing w:before="120" w:after="0"/>
        <w:rPr>
          <w:rFonts w:eastAsia="Calibri"/>
          <w:noProof/>
        </w:rPr>
      </w:pPr>
      <w:r>
        <w:rPr>
          <w:noProof/>
        </w:rPr>
        <w:t xml:space="preserve">Ukraina, Republiken Moldavien (Moldavien) och Georgien har slutit varsitt </w:t>
      </w:r>
      <w:r>
        <w:rPr>
          <w:b/>
          <w:noProof/>
        </w:rPr>
        <w:t>associeringsavtal</w:t>
      </w:r>
      <w:r>
        <w:rPr>
          <w:noProof/>
        </w:rPr>
        <w:t xml:space="preserve"> med EU. Dessa avtal är avsedda att leda till djupare </w:t>
      </w:r>
      <w:r>
        <w:rPr>
          <w:b/>
          <w:noProof/>
        </w:rPr>
        <w:t>politiskt samarbete</w:t>
      </w:r>
      <w:r>
        <w:rPr>
          <w:noProof/>
        </w:rPr>
        <w:t xml:space="preserve"> och en stegvis </w:t>
      </w:r>
      <w:r>
        <w:rPr>
          <w:b/>
          <w:noProof/>
        </w:rPr>
        <w:t>ekonomisk integration</w:t>
      </w:r>
      <w:r>
        <w:rPr>
          <w:noProof/>
        </w:rPr>
        <w:t xml:space="preserve"> mellan EU och de östliga partnerländerna.</w:t>
      </w:r>
    </w:p>
    <w:p w:rsidR="00CA65E6" w:rsidRDefault="00CB294D">
      <w:pPr>
        <w:spacing w:before="120" w:after="0"/>
        <w:rPr>
          <w:noProof/>
          <w:color w:val="000000"/>
        </w:rPr>
      </w:pPr>
      <w:r>
        <w:rPr>
          <w:noProof/>
        </w:rPr>
        <w:t xml:space="preserve">De djupgående och omfattande frihandelsavtalen är associeringsavtalens </w:t>
      </w:r>
      <w:r>
        <w:rPr>
          <w:b/>
          <w:noProof/>
        </w:rPr>
        <w:t>ekonomiska pelare</w:t>
      </w:r>
      <w:r>
        <w:rPr>
          <w:noProof/>
        </w:rPr>
        <w:t xml:space="preserve"> och omfattar villkor för ökat ekonomiskt och handelsmässigt samarbete. </w:t>
      </w:r>
      <w:r>
        <w:rPr>
          <w:noProof/>
          <w:color w:val="000000"/>
        </w:rPr>
        <w:t xml:space="preserve">De skapar en bredare, progressiv </w:t>
      </w:r>
      <w:r>
        <w:rPr>
          <w:b/>
          <w:noProof/>
          <w:color w:val="000000"/>
        </w:rPr>
        <w:t>tillnärmning av partnerländernas lagstiftning</w:t>
      </w:r>
      <w:r>
        <w:rPr>
          <w:noProof/>
          <w:color w:val="000000"/>
        </w:rPr>
        <w:t xml:space="preserve"> till EU:s lagar. </w:t>
      </w:r>
    </w:p>
    <w:p w:rsidR="00CA65E6" w:rsidRDefault="00CB294D">
      <w:pPr>
        <w:spacing w:before="120" w:after="0"/>
        <w:rPr>
          <w:noProof/>
          <w:szCs w:val="24"/>
        </w:rPr>
      </w:pPr>
      <w:r>
        <w:rPr>
          <w:noProof/>
        </w:rPr>
        <w:t xml:space="preserve">Syftet med djupgående och omfattande frihandelsavtal är att skapa ett </w:t>
      </w:r>
      <w:r>
        <w:rPr>
          <w:b/>
          <w:noProof/>
        </w:rPr>
        <w:t>nytt regelverk</w:t>
      </w:r>
      <w:r>
        <w:rPr>
          <w:noProof/>
        </w:rPr>
        <w:t xml:space="preserve"> och ett nytt handels- och investeringsklimat med dessa partner samt bidra till ekonomisk omstrukturering, modernisering och diversifiering i de berörda länderna. </w:t>
      </w:r>
      <w:r>
        <w:rPr>
          <w:noProof/>
          <w:color w:val="000000"/>
        </w:rPr>
        <w:t xml:space="preserve">Eftersom de har som mål att uppnå stegvis </w:t>
      </w:r>
      <w:r>
        <w:rPr>
          <w:b/>
          <w:noProof/>
          <w:color w:val="000000"/>
        </w:rPr>
        <w:t>integration med EU:s inre marknad</w:t>
      </w:r>
      <w:r>
        <w:rPr>
          <w:noProof/>
          <w:color w:val="000000"/>
        </w:rPr>
        <w:t xml:space="preserve"> är djupgående och omfattande frihandelsavtal mer långtgående än den ”nya generationens” frihandelsavtal, och de utgör en unik typ av handelsavtal.</w:t>
      </w:r>
    </w:p>
    <w:p w:rsidR="00CA65E6" w:rsidRDefault="00CB294D">
      <w:pPr>
        <w:pStyle w:val="CM1"/>
        <w:spacing w:before="120" w:after="120"/>
        <w:jc w:val="both"/>
        <w:rPr>
          <w:rFonts w:ascii="Times New Roman" w:eastAsia="Calibri" w:hAnsi="Times New Roman" w:cs="Times New Roman"/>
          <w:noProof/>
        </w:rPr>
      </w:pPr>
      <w:r>
        <w:rPr>
          <w:rFonts w:ascii="Times New Roman" w:hAnsi="Times New Roman"/>
          <w:noProof/>
        </w:rPr>
        <w:t>De djupgående och omfattande frihandelsavtalen består av följande två huvuddelar:</w:t>
      </w:r>
    </w:p>
    <w:p w:rsidR="00CA65E6" w:rsidRDefault="00CB294D">
      <w:pPr>
        <w:pStyle w:val="CM1"/>
        <w:spacing w:before="120" w:after="120"/>
        <w:jc w:val="both"/>
        <w:rPr>
          <w:rFonts w:ascii="Times New Roman" w:eastAsia="Calibri" w:hAnsi="Times New Roman" w:cs="Times New Roman"/>
          <w:noProof/>
        </w:rPr>
      </w:pPr>
      <w:r>
        <w:rPr>
          <w:rFonts w:ascii="Times New Roman" w:hAnsi="Times New Roman"/>
          <w:noProof/>
        </w:rPr>
        <w:t xml:space="preserve">1) Ett stegvist </w:t>
      </w:r>
      <w:r>
        <w:rPr>
          <w:rFonts w:ascii="Times New Roman" w:hAnsi="Times New Roman"/>
          <w:b/>
          <w:noProof/>
        </w:rPr>
        <w:t>öppnande av marknaderna</w:t>
      </w:r>
      <w:r>
        <w:rPr>
          <w:rFonts w:ascii="Times New Roman" w:hAnsi="Times New Roman"/>
          <w:noProof/>
        </w:rPr>
        <w:t xml:space="preserve"> (avskaffade/minskade tullavgifter och avskaffade icke-tariffära handelshinder) från båda parternas sida, med viss asymmetri till fördel för de östliga partnerländerna.  </w:t>
      </w:r>
    </w:p>
    <w:p w:rsidR="00CA65E6" w:rsidRDefault="00CB294D">
      <w:pPr>
        <w:pStyle w:val="CM1"/>
        <w:spacing w:before="120" w:after="120"/>
        <w:jc w:val="both"/>
        <w:rPr>
          <w:rFonts w:ascii="Times New Roman" w:eastAsia="Calibri" w:hAnsi="Times New Roman" w:cs="Times New Roman"/>
          <w:noProof/>
        </w:rPr>
      </w:pPr>
      <w:r>
        <w:rPr>
          <w:rFonts w:ascii="Times New Roman" w:hAnsi="Times New Roman"/>
          <w:noProof/>
        </w:rPr>
        <w:t xml:space="preserve">2) Långtgående </w:t>
      </w:r>
      <w:r>
        <w:rPr>
          <w:rFonts w:ascii="Times New Roman" w:hAnsi="Times New Roman"/>
          <w:b/>
          <w:noProof/>
        </w:rPr>
        <w:t>tillnärmning av ländernas lagstiftning</w:t>
      </w:r>
      <w:r>
        <w:rPr>
          <w:rFonts w:ascii="Times New Roman" w:hAnsi="Times New Roman"/>
          <w:noProof/>
        </w:rPr>
        <w:t xml:space="preserve"> till EU:s lagstiftning på handelsområdet.</w:t>
      </w:r>
    </w:p>
    <w:p w:rsidR="00CA65E6" w:rsidRDefault="00CB294D">
      <w:pPr>
        <w:pStyle w:val="Heading2"/>
        <w:spacing w:before="360"/>
        <w:ind w:left="1202"/>
        <w:rPr>
          <w:noProof/>
        </w:rPr>
      </w:pPr>
      <w:bookmarkStart w:id="38" w:name="_Toc493510421"/>
      <w:bookmarkStart w:id="39" w:name="_Toc493510800"/>
      <w:bookmarkStart w:id="40" w:name="_Toc494126124"/>
      <w:bookmarkStart w:id="41" w:name="_Toc497132358"/>
      <w:r>
        <w:rPr>
          <w:noProof/>
        </w:rPr>
        <w:t>Handelsflöden</w:t>
      </w:r>
      <w:bookmarkEnd w:id="38"/>
      <w:bookmarkEnd w:id="39"/>
      <w:bookmarkEnd w:id="40"/>
      <w:bookmarkEnd w:id="41"/>
      <w:r>
        <w:rPr>
          <w:noProof/>
        </w:rPr>
        <w:t xml:space="preserve"> </w:t>
      </w:r>
    </w:p>
    <w:p w:rsidR="00CA65E6" w:rsidRDefault="00CB294D">
      <w:pPr>
        <w:rPr>
          <w:noProof/>
        </w:rPr>
      </w:pPr>
      <w:r>
        <w:rPr>
          <w:noProof/>
        </w:rPr>
        <w:t>EU är samtliga tre länders största handelspartner och stod för 55 % (Moldavien), 41 % (Ukraina) och 30 % (Georgien) av ländernas totala handel under 2016. EU har en positiv handelsbalans med alla tre länderna.</w:t>
      </w:r>
    </w:p>
    <w:p w:rsidR="00CA65E6" w:rsidRDefault="00CB294D">
      <w:pPr>
        <w:pStyle w:val="Heading3"/>
        <w:rPr>
          <w:noProof/>
        </w:rPr>
      </w:pPr>
      <w:r>
        <w:rPr>
          <w:noProof/>
        </w:rPr>
        <w:t xml:space="preserve">Ukraina </w:t>
      </w:r>
    </w:p>
    <w:p w:rsidR="00CA65E6" w:rsidRDefault="00CB294D">
      <w:pPr>
        <w:rPr>
          <w:noProof/>
        </w:rPr>
      </w:pPr>
      <w:r>
        <w:rPr>
          <w:noProof/>
        </w:rPr>
        <w:t xml:space="preserve">Både EU:s </w:t>
      </w:r>
      <w:r>
        <w:rPr>
          <w:b/>
          <w:noProof/>
        </w:rPr>
        <w:t>export</w:t>
      </w:r>
      <w:r>
        <w:rPr>
          <w:noProof/>
        </w:rPr>
        <w:t xml:space="preserve"> till och</w:t>
      </w:r>
      <w:r>
        <w:rPr>
          <w:b/>
          <w:noProof/>
        </w:rPr>
        <w:t xml:space="preserve"> import</w:t>
      </w:r>
      <w:r>
        <w:rPr>
          <w:noProof/>
        </w:rPr>
        <w:t xml:space="preserve"> från Ukraina </w:t>
      </w:r>
      <w:r>
        <w:rPr>
          <w:b/>
          <w:noProof/>
        </w:rPr>
        <w:t>ökade</w:t>
      </w:r>
      <w:r>
        <w:rPr>
          <w:noProof/>
        </w:rPr>
        <w:t xml:space="preserve"> med 17,6 % respektive 1,9 % 2016, vilket var det första året som det djupgående och omfattande frihandelsavtalet tillämpades.</w:t>
      </w:r>
      <w:r>
        <w:rPr>
          <w:rStyle w:val="FootnoteReference"/>
          <w:noProof/>
        </w:rPr>
        <w:footnoteReference w:id="8"/>
      </w:r>
      <w:r>
        <w:rPr>
          <w:noProof/>
        </w:rPr>
        <w:t xml:space="preserve"> Det berodde främst på att den ukrainska ekonomin långsamt håller på att återhämta sig efter en nedgång 2015, när BNP minskade med 9,9 % och de utländska nettodirektinvesteringarna minskade från 8,2 miljarder euro (2012) till 3 miljarder euro (2015).</w:t>
      </w:r>
    </w:p>
    <w:p w:rsidR="00CA65E6" w:rsidRDefault="00CB294D">
      <w:pPr>
        <w:pStyle w:val="Heading3"/>
        <w:rPr>
          <w:noProof/>
        </w:rPr>
      </w:pPr>
      <w:r>
        <w:rPr>
          <w:noProof/>
        </w:rPr>
        <w:t xml:space="preserve">Moldavien </w:t>
      </w:r>
    </w:p>
    <w:p w:rsidR="00CA65E6" w:rsidRDefault="00CB294D">
      <w:pPr>
        <w:rPr>
          <w:noProof/>
        </w:rPr>
      </w:pPr>
      <w:r>
        <w:rPr>
          <w:b/>
          <w:noProof/>
        </w:rPr>
        <w:t>Exporten</w:t>
      </w:r>
      <w:r>
        <w:rPr>
          <w:noProof/>
        </w:rPr>
        <w:t xml:space="preserve"> till Moldavien </w:t>
      </w:r>
      <w:r>
        <w:rPr>
          <w:b/>
          <w:noProof/>
        </w:rPr>
        <w:t>minskade</w:t>
      </w:r>
      <w:r>
        <w:rPr>
          <w:noProof/>
        </w:rPr>
        <w:t xml:space="preserve"> med 13 % under perioden 2014–2016 på grund av minskad inhemsk efterfrågan, interna problem (bedrägerier i banksektorn) och ekonomiska svårigheter i regionen. EU:s </w:t>
      </w:r>
      <w:r>
        <w:rPr>
          <w:b/>
          <w:noProof/>
        </w:rPr>
        <w:t>import</w:t>
      </w:r>
      <w:r>
        <w:rPr>
          <w:noProof/>
        </w:rPr>
        <w:t xml:space="preserve"> från Moldavien </w:t>
      </w:r>
      <w:r>
        <w:rPr>
          <w:b/>
          <w:noProof/>
        </w:rPr>
        <w:t>ökade</w:t>
      </w:r>
      <w:r>
        <w:rPr>
          <w:noProof/>
        </w:rPr>
        <w:t xml:space="preserve"> med 13,5 % under samma period, särskilt för jordbruksprodukter men även maskiner, möbler och kläder.</w:t>
      </w:r>
    </w:p>
    <w:p w:rsidR="00CA65E6" w:rsidRDefault="00CB294D">
      <w:pPr>
        <w:pStyle w:val="Heading3"/>
        <w:rPr>
          <w:noProof/>
        </w:rPr>
      </w:pPr>
      <w:r>
        <w:rPr>
          <w:noProof/>
        </w:rPr>
        <w:t xml:space="preserve">Georgien </w:t>
      </w:r>
    </w:p>
    <w:p w:rsidR="00CA65E6" w:rsidRDefault="00CB294D">
      <w:pPr>
        <w:rPr>
          <w:noProof/>
          <w:szCs w:val="24"/>
        </w:rPr>
      </w:pPr>
      <w:r>
        <w:rPr>
          <w:noProof/>
        </w:rPr>
        <w:t xml:space="preserve">EU:s </w:t>
      </w:r>
      <w:r>
        <w:rPr>
          <w:b/>
          <w:noProof/>
        </w:rPr>
        <w:t>export</w:t>
      </w:r>
      <w:r>
        <w:rPr>
          <w:noProof/>
        </w:rPr>
        <w:t xml:space="preserve"> till Georgien </w:t>
      </w:r>
      <w:r>
        <w:rPr>
          <w:b/>
          <w:noProof/>
        </w:rPr>
        <w:t>ökade</w:t>
      </w:r>
      <w:r>
        <w:rPr>
          <w:noProof/>
        </w:rPr>
        <w:t xml:space="preserve"> med 2,8 % 2014–2016, medan EU:s </w:t>
      </w:r>
      <w:r>
        <w:rPr>
          <w:b/>
          <w:noProof/>
        </w:rPr>
        <w:t>import</w:t>
      </w:r>
      <w:r>
        <w:rPr>
          <w:noProof/>
        </w:rPr>
        <w:t xml:space="preserve"> från detta land </w:t>
      </w:r>
      <w:r>
        <w:rPr>
          <w:b/>
          <w:noProof/>
        </w:rPr>
        <w:t>minskade</w:t>
      </w:r>
      <w:r>
        <w:rPr>
          <w:noProof/>
        </w:rPr>
        <w:t xml:space="preserve"> med 16,4 %. Den globala nedgången i råvarupriserna var en av huvudorsakerna till att Georgiens export minskade i värde, eftersom landet främst exporterar råvaror och halvfabrikat. Exportens volym låg emellertid kvar på samma nivå.</w:t>
      </w:r>
    </w:p>
    <w:tbl>
      <w:tblPr>
        <w:tblStyle w:val="TableGrid1"/>
        <w:tblW w:w="0" w:type="auto"/>
        <w:tblBorders>
          <w:insideH w:val="none" w:sz="0" w:space="0" w:color="auto"/>
        </w:tblBorders>
        <w:tblLook w:val="04A0" w:firstRow="1" w:lastRow="0" w:firstColumn="1" w:lastColumn="0" w:noHBand="0" w:noVBand="1"/>
      </w:tblPr>
      <w:tblGrid>
        <w:gridCol w:w="8833"/>
      </w:tblGrid>
      <w:tr w:rsidR="00CA65E6">
        <w:tc>
          <w:tcPr>
            <w:tcW w:w="8833" w:type="dxa"/>
          </w:tcPr>
          <w:p w:rsidR="00CA65E6" w:rsidRDefault="00CB294D">
            <w:pPr>
              <w:rPr>
                <w:rFonts w:ascii="Times New Roman" w:hAnsi="Times New Roman" w:cs="Times New Roman"/>
                <w:b/>
                <w:noProof/>
                <w:sz w:val="27"/>
                <w:szCs w:val="27"/>
                <w:highlight w:val="yellow"/>
              </w:rPr>
            </w:pPr>
            <w:r>
              <w:rPr>
                <w:b/>
                <w:noProof/>
              </w:rPr>
              <w:t>På områdena geodesi och topografi använder EU ukrainska drönare och tjänster efter köpet</w:t>
            </w:r>
          </w:p>
        </w:tc>
      </w:tr>
      <w:tr w:rsidR="00CA65E6">
        <w:tc>
          <w:tcPr>
            <w:tcW w:w="8833" w:type="dxa"/>
          </w:tcPr>
          <w:p w:rsidR="00CA65E6" w:rsidRDefault="00CB294D">
            <w:pPr>
              <w:rPr>
                <w:rFonts w:ascii="Times New Roman" w:hAnsi="Times New Roman" w:cs="Times New Roman"/>
                <w:noProof/>
              </w:rPr>
            </w:pPr>
            <w:r>
              <w:rPr>
                <w:noProof/>
              </w:rPr>
              <w:t xml:space="preserve">Kievföretaget Drone.ua tillverkar obemannade luftfartyg, s.k. drönare, som säljs i Europa. Företaget har också startat ett samriskföretag i Litauen vid namn UAV.tools för att sprida sin teknik i femton länder i Europa. Snart kommer man dessutom att </w:t>
            </w:r>
            <w:hyperlink r:id="rId28">
              <w:r>
                <w:rPr>
                  <w:noProof/>
                </w:rPr>
                <w:t>öppna kontor</w:t>
              </w:r>
            </w:hyperlink>
            <w:r>
              <w:rPr>
                <w:noProof/>
              </w:rPr>
              <w:t xml:space="preserve"> i Storbritannien och Moldavien.</w:t>
            </w:r>
          </w:p>
        </w:tc>
      </w:tr>
      <w:tr w:rsidR="00CA65E6">
        <w:tc>
          <w:tcPr>
            <w:tcW w:w="8833" w:type="dxa"/>
          </w:tcPr>
          <w:p w:rsidR="00CA65E6" w:rsidRDefault="00CB294D">
            <w:pPr>
              <w:rPr>
                <w:rFonts w:ascii="Times New Roman" w:hAnsi="Times New Roman" w:cs="Times New Roman"/>
                <w:noProof/>
              </w:rPr>
            </w:pPr>
            <w:r>
              <w:rPr>
                <w:noProof/>
              </w:rPr>
              <w:t>Företaget exporterar inte bara luftfartyg utan tillhandahåller även tekniskt stöd, utbildning och datahantering. I Ukraina används drönarna i jordbruket, medan de i EU främst används för geodesi och topografi.</w:t>
            </w:r>
          </w:p>
        </w:tc>
      </w:tr>
    </w:tbl>
    <w:p w:rsidR="00CA65E6" w:rsidRDefault="00CA65E6">
      <w:pPr>
        <w:spacing w:after="0"/>
        <w:rPr>
          <w:noProof/>
          <w:szCs w:val="24"/>
        </w:rPr>
      </w:pPr>
    </w:p>
    <w:tbl>
      <w:tblPr>
        <w:tblStyle w:val="TableGrid1"/>
        <w:tblW w:w="0" w:type="auto"/>
        <w:tblBorders>
          <w:insideH w:val="none" w:sz="0" w:space="0" w:color="auto"/>
        </w:tblBorders>
        <w:tblLook w:val="04A0" w:firstRow="1" w:lastRow="0" w:firstColumn="1" w:lastColumn="0" w:noHBand="0" w:noVBand="1"/>
      </w:tblPr>
      <w:tblGrid>
        <w:gridCol w:w="8833"/>
      </w:tblGrid>
      <w:tr w:rsidR="00CA65E6">
        <w:tc>
          <w:tcPr>
            <w:tcW w:w="8833" w:type="dxa"/>
          </w:tcPr>
          <w:p w:rsidR="00CA65E6" w:rsidRDefault="00CB294D">
            <w:pPr>
              <w:rPr>
                <w:rFonts w:ascii="Times New Roman" w:hAnsi="Times New Roman" w:cs="Times New Roman"/>
                <w:b/>
                <w:noProof/>
              </w:rPr>
            </w:pPr>
            <w:r>
              <w:rPr>
                <w:b/>
                <w:noProof/>
              </w:rPr>
              <w:t>Ukrainskt djurfoder flyttar fram ställningarna i Europa</w:t>
            </w:r>
          </w:p>
        </w:tc>
      </w:tr>
      <w:tr w:rsidR="00CA65E6">
        <w:tc>
          <w:tcPr>
            <w:tcW w:w="8833" w:type="dxa"/>
          </w:tcPr>
          <w:p w:rsidR="00CA65E6" w:rsidRDefault="00CB294D">
            <w:pPr>
              <w:rPr>
                <w:rFonts w:eastAsia="Calibri"/>
                <w:noProof/>
              </w:rPr>
            </w:pPr>
            <w:r>
              <w:rPr>
                <w:noProof/>
              </w:rPr>
              <w:t>I maj 2017 togs det ukrainska företaget Kormotech LLC upp på listan över de 50 största djurfodertillverkarna i världen och Europa (på listan finns bara tre företag från Central- och Östeuropa).</w:t>
            </w:r>
          </w:p>
          <w:p w:rsidR="00CA65E6" w:rsidRDefault="00CB294D">
            <w:pPr>
              <w:rPr>
                <w:rFonts w:ascii="Times New Roman" w:hAnsi="Times New Roman" w:cs="Times New Roman"/>
                <w:noProof/>
              </w:rPr>
            </w:pPr>
            <w:r>
              <w:rPr>
                <w:noProof/>
              </w:rPr>
              <w:t>Under de senaste två åren har företaget tack vare det djupgående och omfattande frihandelsavtalet kunnat sprida sina produkter (katt- och hundfoder) till nya marknader i EU, eftersom deras produktionsanläggningar uppfyller europeiska livsmedelssäkerhets- och kvalitetsnormer. Kormotech LLC producerar 16 000 ton våtfoder och 30 000 ton torrfoder per år och exporterar till femton länder.</w:t>
            </w:r>
          </w:p>
        </w:tc>
      </w:tr>
    </w:tbl>
    <w:p w:rsidR="00CA65E6" w:rsidRDefault="00CB294D">
      <w:pPr>
        <w:pStyle w:val="Heading2"/>
        <w:spacing w:before="240"/>
        <w:ind w:left="1202"/>
        <w:rPr>
          <w:noProof/>
        </w:rPr>
      </w:pPr>
      <w:bookmarkStart w:id="42" w:name="_Toc493698571"/>
      <w:bookmarkStart w:id="43" w:name="_Toc493510422"/>
      <w:bookmarkStart w:id="44" w:name="_Toc493510801"/>
      <w:bookmarkStart w:id="45" w:name="_Toc494126125"/>
      <w:bookmarkStart w:id="46" w:name="_Toc497132359"/>
      <w:bookmarkEnd w:id="42"/>
      <w:r>
        <w:rPr>
          <w:noProof/>
        </w:rPr>
        <w:t>Tullkvoter</w:t>
      </w:r>
      <w:bookmarkEnd w:id="43"/>
      <w:bookmarkEnd w:id="44"/>
      <w:bookmarkEnd w:id="45"/>
      <w:bookmarkEnd w:id="46"/>
    </w:p>
    <w:p w:rsidR="00CA65E6" w:rsidRDefault="00CB294D">
      <w:pPr>
        <w:rPr>
          <w:noProof/>
          <w:szCs w:val="24"/>
        </w:rPr>
      </w:pPr>
      <w:r>
        <w:rPr>
          <w:noProof/>
        </w:rPr>
        <w:t xml:space="preserve">Tullkvoterna för jordbruksprodukter utnyttjades inte fullt ut av de tre partnerna med djupgående och omfattande frihandelsavtal. Det berodde på bristande efterlevnad av EU:s sanitära och fytosanitära krav. </w:t>
      </w:r>
    </w:p>
    <w:p w:rsidR="00CA65E6" w:rsidRDefault="00CB294D">
      <w:pPr>
        <w:rPr>
          <w:noProof/>
          <w:szCs w:val="24"/>
        </w:rPr>
      </w:pPr>
      <w:r>
        <w:rPr>
          <w:b/>
          <w:noProof/>
        </w:rPr>
        <w:t>Ukraina</w:t>
      </w:r>
      <w:r>
        <w:rPr>
          <w:noProof/>
        </w:rPr>
        <w:t xml:space="preserve"> utnyttjade elva av de totalt 36 tullkvoterna fullt ut. </w:t>
      </w:r>
    </w:p>
    <w:p w:rsidR="00CA65E6" w:rsidRDefault="00CB294D">
      <w:pPr>
        <w:rPr>
          <w:noProof/>
          <w:szCs w:val="24"/>
        </w:rPr>
      </w:pPr>
      <w:r>
        <w:rPr>
          <w:b/>
          <w:noProof/>
        </w:rPr>
        <w:t>Moldavien</w:t>
      </w:r>
      <w:r>
        <w:rPr>
          <w:noProof/>
        </w:rPr>
        <w:t xml:space="preserve"> använde tullkvoter för två av de sex produktgrupperna. </w:t>
      </w:r>
    </w:p>
    <w:p w:rsidR="00CA65E6" w:rsidRDefault="00CB294D">
      <w:pPr>
        <w:rPr>
          <w:noProof/>
          <w:szCs w:val="24"/>
        </w:rPr>
      </w:pPr>
      <w:r>
        <w:rPr>
          <w:b/>
          <w:noProof/>
        </w:rPr>
        <w:t>Georgien</w:t>
      </w:r>
      <w:r>
        <w:rPr>
          <w:noProof/>
        </w:rPr>
        <w:t xml:space="preserve"> utnyttjade inte heller den enda tullfria kvot – för färsk och kyld vitlök – som tilldelats.</w:t>
      </w:r>
    </w:p>
    <w:p w:rsidR="00CA65E6" w:rsidRDefault="00CB294D">
      <w:pPr>
        <w:pStyle w:val="Heading2"/>
        <w:rPr>
          <w:noProof/>
        </w:rPr>
      </w:pPr>
      <w:bookmarkStart w:id="47" w:name="_Toc493510423"/>
      <w:bookmarkStart w:id="48" w:name="_Toc493510802"/>
      <w:bookmarkStart w:id="49" w:name="_Toc494126126"/>
      <w:bookmarkStart w:id="50" w:name="_Toc497132360"/>
      <w:r>
        <w:rPr>
          <w:noProof/>
        </w:rPr>
        <w:t>Utnyttjande av förmånstullar</w:t>
      </w:r>
      <w:bookmarkEnd w:id="47"/>
      <w:bookmarkEnd w:id="48"/>
      <w:bookmarkEnd w:id="49"/>
      <w:bookmarkEnd w:id="50"/>
      <w:r>
        <w:rPr>
          <w:noProof/>
        </w:rPr>
        <w:t xml:space="preserve"> </w:t>
      </w:r>
    </w:p>
    <w:p w:rsidR="00CA65E6" w:rsidRDefault="00CB294D">
      <w:pPr>
        <w:rPr>
          <w:noProof/>
        </w:rPr>
      </w:pPr>
      <w:r>
        <w:rPr>
          <w:noProof/>
        </w:rPr>
        <w:t>Data om förmånstullar finns bara för export från de östliga partnerländerna till EU. Utnyttjandenivån är mycket</w:t>
      </w:r>
      <w:r>
        <w:rPr>
          <w:b/>
          <w:noProof/>
        </w:rPr>
        <w:t xml:space="preserve"> hög</w:t>
      </w:r>
      <w:r>
        <w:rPr>
          <w:noProof/>
        </w:rPr>
        <w:t>, omkring 80 % för Georgien och 90 % för Moldavien.</w:t>
      </w:r>
    </w:p>
    <w:p w:rsidR="00CA65E6" w:rsidRDefault="00CB294D">
      <w:pPr>
        <w:pStyle w:val="Heading2"/>
        <w:rPr>
          <w:noProof/>
        </w:rPr>
      </w:pPr>
      <w:bookmarkStart w:id="51" w:name="_Toc493510424"/>
      <w:bookmarkStart w:id="52" w:name="_Toc493510803"/>
      <w:bookmarkStart w:id="53" w:name="_Toc494126127"/>
      <w:bookmarkStart w:id="54" w:name="_Toc497132361"/>
      <w:r>
        <w:rPr>
          <w:noProof/>
        </w:rPr>
        <w:t>Tjänster och investeringar</w:t>
      </w:r>
      <w:bookmarkEnd w:id="51"/>
      <w:bookmarkEnd w:id="52"/>
      <w:bookmarkEnd w:id="53"/>
      <w:bookmarkEnd w:id="54"/>
      <w:r>
        <w:rPr>
          <w:noProof/>
        </w:rPr>
        <w:t xml:space="preserve"> </w:t>
      </w:r>
    </w:p>
    <w:p w:rsidR="00CA65E6" w:rsidRDefault="00CB294D">
      <w:pPr>
        <w:rPr>
          <w:noProof/>
        </w:rPr>
      </w:pPr>
      <w:r>
        <w:rPr>
          <w:noProof/>
        </w:rPr>
        <w:t xml:space="preserve">När det gäller </w:t>
      </w:r>
      <w:r>
        <w:rPr>
          <w:b/>
          <w:noProof/>
        </w:rPr>
        <w:t>tjänster</w:t>
      </w:r>
      <w:r>
        <w:rPr>
          <w:noProof/>
        </w:rPr>
        <w:t xml:space="preserve"> </w:t>
      </w:r>
      <w:r>
        <w:rPr>
          <w:b/>
          <w:noProof/>
        </w:rPr>
        <w:t>ökade</w:t>
      </w:r>
      <w:r>
        <w:rPr>
          <w:noProof/>
        </w:rPr>
        <w:t xml:space="preserve"> både </w:t>
      </w:r>
      <w:r>
        <w:rPr>
          <w:b/>
          <w:noProof/>
        </w:rPr>
        <w:t>exporten</w:t>
      </w:r>
      <w:r>
        <w:rPr>
          <w:noProof/>
        </w:rPr>
        <w:t xml:space="preserve"> till och </w:t>
      </w:r>
      <w:r>
        <w:rPr>
          <w:b/>
          <w:noProof/>
        </w:rPr>
        <w:t>importen</w:t>
      </w:r>
      <w:r>
        <w:rPr>
          <w:noProof/>
        </w:rPr>
        <w:t xml:space="preserve"> från Moldavien med 3 % respektive 17 % under 2014–2015. Siffrorna för Georgien var </w:t>
      </w:r>
      <w:r>
        <w:rPr>
          <w:b/>
          <w:noProof/>
        </w:rPr>
        <w:t>stabila</w:t>
      </w:r>
      <w:r>
        <w:rPr>
          <w:noProof/>
        </w:rPr>
        <w:t>.</w:t>
      </w:r>
    </w:p>
    <w:p w:rsidR="00CA65E6" w:rsidRDefault="00CB294D">
      <w:pPr>
        <w:rPr>
          <w:noProof/>
        </w:rPr>
      </w:pPr>
      <w:r>
        <w:rPr>
          <w:b/>
          <w:noProof/>
        </w:rPr>
        <w:t>Investeringsflödena</w:t>
      </w:r>
      <w:r>
        <w:rPr>
          <w:noProof/>
        </w:rPr>
        <w:t xml:space="preserve"> till och från Moldavien </w:t>
      </w:r>
      <w:r>
        <w:rPr>
          <w:b/>
          <w:noProof/>
        </w:rPr>
        <w:t>ökade</w:t>
      </w:r>
      <w:r>
        <w:rPr>
          <w:noProof/>
        </w:rPr>
        <w:t xml:space="preserve"> också i både riktningar (EU:s investeringar i Moldavien ökade med 127 %, medan de moldaviska investeringarna i EU ökade med 67 %). Emellertid är investeringarna mycket små i absoluta tal. Investeringsflödena till och från Georgien låg kvar på samma nivåer som tidigare.</w:t>
      </w:r>
      <w:r>
        <w:rPr>
          <w:rStyle w:val="FootnoteReference"/>
          <w:noProof/>
        </w:rPr>
        <w:footnoteReference w:id="9"/>
      </w:r>
    </w:p>
    <w:p w:rsidR="00CA65E6" w:rsidRDefault="00CB294D">
      <w:pPr>
        <w:pStyle w:val="Heading2"/>
        <w:rPr>
          <w:noProof/>
        </w:rPr>
      </w:pPr>
      <w:bookmarkStart w:id="55" w:name="_Toc493510425"/>
      <w:bookmarkStart w:id="56" w:name="_Toc493510804"/>
      <w:bookmarkStart w:id="57" w:name="_Toc494126128"/>
      <w:bookmarkStart w:id="58" w:name="_Toc497132362"/>
      <w:r>
        <w:rPr>
          <w:noProof/>
        </w:rPr>
        <w:t>Genomförandeorgan</w:t>
      </w:r>
      <w:bookmarkEnd w:id="55"/>
      <w:bookmarkEnd w:id="56"/>
      <w:bookmarkEnd w:id="57"/>
      <w:bookmarkEnd w:id="58"/>
      <w:r>
        <w:rPr>
          <w:noProof/>
        </w:rPr>
        <w:t xml:space="preserve"> </w:t>
      </w:r>
    </w:p>
    <w:p w:rsidR="00CA65E6" w:rsidRDefault="00CB294D">
      <w:pPr>
        <w:spacing w:after="0"/>
        <w:rPr>
          <w:noProof/>
        </w:rPr>
      </w:pPr>
      <w:r>
        <w:rPr>
          <w:b/>
          <w:noProof/>
        </w:rPr>
        <w:t>Tillnärmning av lagstiftningen</w:t>
      </w:r>
      <w:r>
        <w:rPr>
          <w:noProof/>
        </w:rPr>
        <w:t xml:space="preserve"> är en viktig del av genomförandet av de djupgående och omfattande frihandelsavtalen. Detta var också den mest diskuterade frågan vid sammanträdena i genomförandeorganen –associeringskommittéer i deras konstellation för handelsfrågor och de fyra tematiska underkommittéerna om</w:t>
      </w:r>
    </w:p>
    <w:p w:rsidR="00CA65E6" w:rsidRDefault="00CB294D">
      <w:pPr>
        <w:pStyle w:val="ListParagraph"/>
        <w:numPr>
          <w:ilvl w:val="0"/>
          <w:numId w:val="24"/>
        </w:numPr>
        <w:spacing w:after="0" w:line="240" w:lineRule="auto"/>
        <w:ind w:left="357" w:hanging="357"/>
        <w:rPr>
          <w:noProof/>
        </w:rPr>
      </w:pPr>
      <w:r>
        <w:rPr>
          <w:noProof/>
        </w:rPr>
        <w:t>tullar,</w:t>
      </w:r>
    </w:p>
    <w:p w:rsidR="00CA65E6" w:rsidRDefault="00CB294D">
      <w:pPr>
        <w:pStyle w:val="ListParagraph"/>
        <w:numPr>
          <w:ilvl w:val="0"/>
          <w:numId w:val="24"/>
        </w:numPr>
        <w:spacing w:after="0" w:line="240" w:lineRule="auto"/>
        <w:ind w:left="357" w:hanging="357"/>
        <w:rPr>
          <w:noProof/>
        </w:rPr>
      </w:pPr>
      <w:r>
        <w:rPr>
          <w:noProof/>
        </w:rPr>
        <w:t>geografiska beteckningar,</w:t>
      </w:r>
    </w:p>
    <w:p w:rsidR="00CA65E6" w:rsidRDefault="00CB294D">
      <w:pPr>
        <w:pStyle w:val="ListParagraph"/>
        <w:numPr>
          <w:ilvl w:val="0"/>
          <w:numId w:val="24"/>
        </w:numPr>
        <w:spacing w:after="0" w:line="240" w:lineRule="auto"/>
        <w:ind w:left="357" w:hanging="357"/>
        <w:rPr>
          <w:noProof/>
        </w:rPr>
      </w:pPr>
      <w:r>
        <w:rPr>
          <w:noProof/>
        </w:rPr>
        <w:t xml:space="preserve">sanitära och fytosanitära åtgärder, och </w:t>
      </w:r>
    </w:p>
    <w:p w:rsidR="00CA65E6" w:rsidRDefault="00CB294D">
      <w:pPr>
        <w:pStyle w:val="ListParagraph"/>
        <w:numPr>
          <w:ilvl w:val="0"/>
          <w:numId w:val="24"/>
        </w:numPr>
        <w:spacing w:after="240" w:line="240" w:lineRule="auto"/>
        <w:ind w:left="357" w:hanging="357"/>
        <w:contextualSpacing w:val="0"/>
        <w:rPr>
          <w:noProof/>
        </w:rPr>
      </w:pPr>
      <w:r>
        <w:rPr>
          <w:noProof/>
        </w:rPr>
        <w:t xml:space="preserve">handel och hållbar utveckling. </w:t>
      </w:r>
    </w:p>
    <w:p w:rsidR="00CA65E6" w:rsidRDefault="00CB294D">
      <w:pPr>
        <w:rPr>
          <w:noProof/>
        </w:rPr>
      </w:pPr>
      <w:r>
        <w:rPr>
          <w:noProof/>
        </w:rPr>
        <w:t xml:space="preserve">En strategi för </w:t>
      </w:r>
      <w:r>
        <w:rPr>
          <w:b/>
          <w:noProof/>
        </w:rPr>
        <w:t>sanitära och fytosanitära åtgärder</w:t>
      </w:r>
      <w:r>
        <w:rPr>
          <w:noProof/>
        </w:rPr>
        <w:t xml:space="preserve"> har antagits gemensamt av EU och Moldavien, och för Georgien har en färdplan för lagstiftningen antagits. Ukrainas formella antagande av strategin för sanitära och fytosanitära åtgärder planeras till den andra halvan av 2017. Dessa dokument införlivas i associeringsavtalen/de djupgående och omfattande frihandelsavtalen och ska vägleda partnerländerna vid deras tillnärmning av lagstiftningen och den institutionella kapacitetsuppbyggnaden under de kommande åren. </w:t>
      </w:r>
    </w:p>
    <w:p w:rsidR="00CA65E6" w:rsidRDefault="00CB294D">
      <w:pPr>
        <w:rPr>
          <w:noProof/>
        </w:rPr>
      </w:pPr>
      <w:r>
        <w:rPr>
          <w:noProof/>
        </w:rPr>
        <w:t xml:space="preserve">Liknande reformplaner har antagits för </w:t>
      </w:r>
      <w:r>
        <w:rPr>
          <w:b/>
          <w:noProof/>
        </w:rPr>
        <w:t>tekniska föreskrifter</w:t>
      </w:r>
      <w:r>
        <w:rPr>
          <w:noProof/>
        </w:rPr>
        <w:t xml:space="preserve"> och </w:t>
      </w:r>
      <w:r>
        <w:rPr>
          <w:b/>
          <w:noProof/>
        </w:rPr>
        <w:t>standarder</w:t>
      </w:r>
      <w:r>
        <w:rPr>
          <w:noProof/>
        </w:rPr>
        <w:t xml:space="preserve">. På båda dessa områden måste emellertid alla tre länders administrativa kapacitet stärkas om det återstående arbetet ska kunna utföras och om man ska kunna säkerställa genomförande och verkställande av lagstiftningen. </w:t>
      </w:r>
    </w:p>
    <w:p w:rsidR="00CA65E6" w:rsidRDefault="00CB294D">
      <w:pPr>
        <w:rPr>
          <w:noProof/>
        </w:rPr>
      </w:pPr>
      <w:r>
        <w:rPr>
          <w:noProof/>
        </w:rPr>
        <w:t xml:space="preserve">I fråga om </w:t>
      </w:r>
      <w:r>
        <w:rPr>
          <w:b/>
          <w:noProof/>
        </w:rPr>
        <w:t>offentliga upphandlingar</w:t>
      </w:r>
      <w:r>
        <w:rPr>
          <w:noProof/>
        </w:rPr>
        <w:t xml:space="preserve"> har omfattande reformstrategier förberetts i samtliga länder. Det bör också noteras att både Moldavien och Ukraina anslöt sig till WTO:s avtal om offentlig upphandling 2016.</w:t>
      </w:r>
    </w:p>
    <w:p w:rsidR="00CA65E6" w:rsidRDefault="00CB294D">
      <w:pPr>
        <w:rPr>
          <w:noProof/>
        </w:rPr>
      </w:pPr>
      <w:r>
        <w:rPr>
          <w:noProof/>
        </w:rPr>
        <w:t xml:space="preserve">När det gäller </w:t>
      </w:r>
      <w:r>
        <w:rPr>
          <w:b/>
          <w:noProof/>
        </w:rPr>
        <w:t>handelshinder</w:t>
      </w:r>
      <w:r>
        <w:rPr>
          <w:noProof/>
        </w:rPr>
        <w:t xml:space="preserve"> tillämpade Ukraina exporttullar på metallskrot mellan juli 2016 och juli 2017, och landet tillämpar fortfarande ett exportförbud på trä, vilket strider mot både det djupgående och omfattande frihandelsavtalet och WTO:s bestämmelser. I Georgien gjordes stora insatser för att ta bort namn från marknaden som inte respekterar geografiska beteckningar som är skyddade i EU. I Moldavien finns problem med vissa geografiska beteckningar från EU; t.ex. Prosecco, och förekomsten av icke-transparenta och diskriminerande åtgärder inom eldistributionssektorn. Diskussioner om att åtgärda dessa problem pågår inom genomförandeorganen för de djupgående och omfattande frihandelsavtalen och på politisk nivå.</w:t>
      </w:r>
    </w:p>
    <w:p w:rsidR="00CA65E6" w:rsidRDefault="00CB294D">
      <w:pPr>
        <w:spacing w:after="0"/>
        <w:rPr>
          <w:noProof/>
          <w:szCs w:val="24"/>
        </w:rPr>
      </w:pPr>
      <w:r>
        <w:rPr>
          <w:b/>
          <w:noProof/>
        </w:rPr>
        <w:t>Tillnärmningen av lagstiftningen</w:t>
      </w:r>
      <w:r>
        <w:rPr>
          <w:noProof/>
        </w:rPr>
        <w:t xml:space="preserve"> och den institutionella </w:t>
      </w:r>
      <w:r>
        <w:rPr>
          <w:b/>
          <w:noProof/>
        </w:rPr>
        <w:t>kapacitetsuppbyggnaden</w:t>
      </w:r>
      <w:r>
        <w:rPr>
          <w:noProof/>
        </w:rPr>
        <w:t xml:space="preserve"> kommer att kräva fortgående ansträngningar från myndigheternas, partnerländernas och EU:s sida. Detta arbete är nödvändigt om de djupgående och omfattande frihandelsavtalen ska kunna genomföras effektivt och handeln mellan EU och partnerländerna underlättas.</w:t>
      </w:r>
    </w:p>
    <w:p w:rsidR="00CA65E6" w:rsidRDefault="00CA65E6">
      <w:pPr>
        <w:spacing w:after="0"/>
        <w:rPr>
          <w:noProof/>
          <w:szCs w:val="24"/>
        </w:rPr>
      </w:pPr>
    </w:p>
    <w:p w:rsidR="00CA65E6" w:rsidRDefault="00CB294D">
      <w:pPr>
        <w:spacing w:after="0"/>
        <w:rPr>
          <w:noProof/>
          <w:szCs w:val="24"/>
        </w:rPr>
      </w:pPr>
      <w:r>
        <w:rPr>
          <w:noProof/>
        </w:rPr>
        <w:t xml:space="preserve">EU bidrar med </w:t>
      </w:r>
      <w:r>
        <w:rPr>
          <w:b/>
          <w:noProof/>
        </w:rPr>
        <w:t>ekonomiskt och tekniskt stöd</w:t>
      </w:r>
      <w:r>
        <w:rPr>
          <w:noProof/>
        </w:rPr>
        <w:t xml:space="preserve"> till reformerna och den administrativa kapacitetsuppbyggnaden på handelsområdet, exempelvis</w:t>
      </w:r>
    </w:p>
    <w:p w:rsidR="00CA65E6" w:rsidRDefault="00CB294D">
      <w:pPr>
        <w:pStyle w:val="ListParagraph"/>
        <w:numPr>
          <w:ilvl w:val="0"/>
          <w:numId w:val="25"/>
        </w:numPr>
        <w:spacing w:after="0" w:line="240" w:lineRule="auto"/>
        <w:ind w:left="357" w:hanging="357"/>
        <w:rPr>
          <w:noProof/>
          <w:szCs w:val="24"/>
        </w:rPr>
      </w:pPr>
      <w:r>
        <w:rPr>
          <w:noProof/>
        </w:rPr>
        <w:t>undanröjande av tekniska handelshinder (genom tillnärmning av standardisering och metrologisk infrastruktur), ett system för bedömning av överensstämmelse (inklusive ackreditering av bedömningsorgan) och ett system för marknadskontroll som uppfyller EU-normerna,</w:t>
      </w:r>
    </w:p>
    <w:p w:rsidR="00CA65E6" w:rsidRDefault="00CB294D">
      <w:pPr>
        <w:pStyle w:val="ListParagraph"/>
        <w:numPr>
          <w:ilvl w:val="0"/>
          <w:numId w:val="25"/>
        </w:numPr>
        <w:spacing w:after="0" w:line="240" w:lineRule="auto"/>
        <w:ind w:left="357" w:hanging="357"/>
        <w:rPr>
          <w:noProof/>
          <w:szCs w:val="24"/>
        </w:rPr>
      </w:pPr>
      <w:r>
        <w:rPr>
          <w:noProof/>
        </w:rPr>
        <w:t>införande av konkurrensbestämmelser (bl.a. om statligt stöd),</w:t>
      </w:r>
    </w:p>
    <w:p w:rsidR="00CA65E6" w:rsidRDefault="00CB294D">
      <w:pPr>
        <w:pStyle w:val="ListParagraph"/>
        <w:numPr>
          <w:ilvl w:val="0"/>
          <w:numId w:val="25"/>
        </w:numPr>
        <w:spacing w:after="0" w:line="240" w:lineRule="auto"/>
        <w:ind w:left="357" w:hanging="357"/>
        <w:rPr>
          <w:noProof/>
          <w:szCs w:val="24"/>
        </w:rPr>
      </w:pPr>
      <w:r>
        <w:rPr>
          <w:noProof/>
        </w:rPr>
        <w:t>tillnärmning av sanitära och fytosanitära åtgärder till EU:s system (särskilt genom institutionell kapacitetsuppbyggnad för kontroller av livsmedelssäkerhet),</w:t>
      </w:r>
    </w:p>
    <w:p w:rsidR="00CA65E6" w:rsidRDefault="00CB294D">
      <w:pPr>
        <w:pStyle w:val="ListParagraph"/>
        <w:numPr>
          <w:ilvl w:val="0"/>
          <w:numId w:val="25"/>
        </w:numPr>
        <w:spacing w:after="0" w:line="240" w:lineRule="auto"/>
        <w:ind w:left="357" w:hanging="357"/>
        <w:rPr>
          <w:noProof/>
          <w:szCs w:val="24"/>
        </w:rPr>
      </w:pPr>
      <w:r>
        <w:rPr>
          <w:noProof/>
        </w:rPr>
        <w:t>skydd och verkställande av immateriella rättigheter,</w:t>
      </w:r>
    </w:p>
    <w:p w:rsidR="00CA65E6" w:rsidRDefault="00CB294D">
      <w:pPr>
        <w:pStyle w:val="ListParagraph"/>
        <w:numPr>
          <w:ilvl w:val="0"/>
          <w:numId w:val="25"/>
        </w:numPr>
        <w:spacing w:after="0" w:line="240" w:lineRule="auto"/>
        <w:ind w:left="357" w:hanging="357"/>
        <w:rPr>
          <w:noProof/>
          <w:szCs w:val="24"/>
        </w:rPr>
      </w:pPr>
      <w:r>
        <w:rPr>
          <w:noProof/>
        </w:rPr>
        <w:t>anpassning av systemet för offentlig upphandling med målet om ömsesidig tillgång till varandras marknader,</w:t>
      </w:r>
    </w:p>
    <w:p w:rsidR="00CA65E6" w:rsidRDefault="00CB294D">
      <w:pPr>
        <w:pStyle w:val="ListParagraph"/>
        <w:numPr>
          <w:ilvl w:val="0"/>
          <w:numId w:val="25"/>
        </w:numPr>
        <w:spacing w:after="0" w:line="240" w:lineRule="auto"/>
        <w:ind w:left="357" w:hanging="357"/>
        <w:rPr>
          <w:noProof/>
          <w:szCs w:val="24"/>
        </w:rPr>
      </w:pPr>
      <w:r>
        <w:rPr>
          <w:noProof/>
        </w:rPr>
        <w:t xml:space="preserve">främjande av producentorganisationer och optimering av värdekedjan, </w:t>
      </w:r>
    </w:p>
    <w:p w:rsidR="00CA65E6" w:rsidRDefault="00CB294D">
      <w:pPr>
        <w:pStyle w:val="ListParagraph"/>
        <w:numPr>
          <w:ilvl w:val="0"/>
          <w:numId w:val="25"/>
        </w:numPr>
        <w:spacing w:after="240" w:line="240" w:lineRule="auto"/>
        <w:ind w:left="357" w:hanging="357"/>
        <w:contextualSpacing w:val="0"/>
        <w:rPr>
          <w:noProof/>
          <w:szCs w:val="24"/>
        </w:rPr>
      </w:pPr>
      <w:r>
        <w:rPr>
          <w:noProof/>
        </w:rPr>
        <w:t>utveckling av små och medelstora företag.</w:t>
      </w:r>
    </w:p>
    <w:p w:rsidR="00CA65E6" w:rsidRDefault="00CB294D">
      <w:pPr>
        <w:spacing w:after="0"/>
        <w:rPr>
          <w:noProof/>
          <w:szCs w:val="24"/>
        </w:rPr>
      </w:pPr>
      <w:r>
        <w:rPr>
          <w:noProof/>
        </w:rPr>
        <w:t xml:space="preserve">När det gäller det sistnämnda området har de tre länderna tillgång till ett </w:t>
      </w:r>
      <w:r>
        <w:rPr>
          <w:b/>
          <w:noProof/>
        </w:rPr>
        <w:t>instrument för små och medelstora företag inom ramen för de djupgående och omfattande frihandelsavtalen</w:t>
      </w:r>
      <w:r>
        <w:rPr>
          <w:noProof/>
        </w:rPr>
        <w:t xml:space="preserve"> (sammanlagt 200 miljoner euro för de tre länderna).</w:t>
      </w:r>
    </w:p>
    <w:p w:rsidR="00CA65E6" w:rsidRDefault="00CB294D">
      <w:pPr>
        <w:spacing w:after="0"/>
        <w:jc w:val="left"/>
        <w:rPr>
          <w:b/>
          <w:smallCaps/>
          <w:noProof/>
        </w:rPr>
      </w:pPr>
      <w:r>
        <w:rPr>
          <w:noProof/>
        </w:rPr>
        <w:br w:type="page"/>
      </w:r>
    </w:p>
    <w:p w:rsidR="00CA65E6" w:rsidRDefault="00CB294D">
      <w:pPr>
        <w:pStyle w:val="Heading1"/>
        <w:rPr>
          <w:noProof/>
        </w:rPr>
      </w:pPr>
      <w:bookmarkStart w:id="59" w:name="_Toc493510426"/>
      <w:bookmarkStart w:id="60" w:name="_Toc493510805"/>
      <w:bookmarkStart w:id="61" w:name="_Toc494126129"/>
      <w:bookmarkStart w:id="62" w:name="_Toc497132363"/>
      <w:r>
        <w:rPr>
          <w:noProof/>
        </w:rPr>
        <w:t>Avtal om ekonomiskt partnerskap – Afrika, Västindien och Stillahavsområdet (AVS-staterna)</w:t>
      </w:r>
      <w:bookmarkEnd w:id="59"/>
      <w:bookmarkEnd w:id="60"/>
      <w:bookmarkEnd w:id="61"/>
      <w:bookmarkEnd w:id="62"/>
      <w:r>
        <w:rPr>
          <w:noProof/>
        </w:rPr>
        <w:t xml:space="preserve"> </w:t>
      </w:r>
    </w:p>
    <w:p w:rsidR="00CA65E6" w:rsidRDefault="00CB294D">
      <w:pPr>
        <w:spacing w:after="0"/>
        <w:rPr>
          <w:noProof/>
        </w:rPr>
      </w:pPr>
      <w:r>
        <w:rPr>
          <w:noProof/>
        </w:rPr>
        <w:t>År 2016 ökade antalet avtal om ekonomiskt partnerskap till sju, och de omfattar 28 länder i</w:t>
      </w:r>
    </w:p>
    <w:p w:rsidR="00CA65E6" w:rsidRDefault="00CB294D">
      <w:pPr>
        <w:pStyle w:val="ListParagraph"/>
        <w:numPr>
          <w:ilvl w:val="0"/>
          <w:numId w:val="37"/>
        </w:numPr>
        <w:spacing w:after="0" w:line="240" w:lineRule="auto"/>
        <w:rPr>
          <w:noProof/>
        </w:rPr>
      </w:pPr>
      <w:r>
        <w:rPr>
          <w:noProof/>
        </w:rPr>
        <w:t>Västindien, Stillahavsområdet samt östra och södra Afrika,</w:t>
      </w:r>
    </w:p>
    <w:p w:rsidR="00CA65E6" w:rsidRDefault="00CB294D">
      <w:pPr>
        <w:pStyle w:val="ListParagraph"/>
        <w:numPr>
          <w:ilvl w:val="0"/>
          <w:numId w:val="37"/>
        </w:numPr>
        <w:spacing w:after="0" w:line="240" w:lineRule="auto"/>
        <w:rPr>
          <w:noProof/>
        </w:rPr>
      </w:pPr>
      <w:r>
        <w:rPr>
          <w:noProof/>
        </w:rPr>
        <w:t>Kamerun i Centralafrika,</w:t>
      </w:r>
    </w:p>
    <w:p w:rsidR="00CA65E6" w:rsidRDefault="00CB294D">
      <w:pPr>
        <w:pStyle w:val="ListParagraph"/>
        <w:numPr>
          <w:ilvl w:val="0"/>
          <w:numId w:val="37"/>
        </w:numPr>
        <w:spacing w:after="0" w:line="240" w:lineRule="auto"/>
        <w:rPr>
          <w:noProof/>
        </w:rPr>
      </w:pPr>
      <w:r>
        <w:rPr>
          <w:noProof/>
        </w:rPr>
        <w:t>en grupp av stater i Södra Afrikas utvecklingsgemenskap (SADC),</w:t>
      </w:r>
    </w:p>
    <w:p w:rsidR="00CA65E6" w:rsidRDefault="00CB294D">
      <w:pPr>
        <w:pStyle w:val="ListParagraph"/>
        <w:numPr>
          <w:ilvl w:val="0"/>
          <w:numId w:val="37"/>
        </w:numPr>
        <w:spacing w:after="240" w:line="240" w:lineRule="auto"/>
        <w:ind w:left="357" w:hanging="357"/>
        <w:rPr>
          <w:noProof/>
        </w:rPr>
      </w:pPr>
      <w:r>
        <w:rPr>
          <w:noProof/>
        </w:rPr>
        <w:t>Ghana och Elfenbenskusten i Västafrika.</w:t>
      </w:r>
    </w:p>
    <w:p w:rsidR="00CA65E6" w:rsidRDefault="00CB294D">
      <w:pPr>
        <w:pStyle w:val="Heading2"/>
        <w:rPr>
          <w:noProof/>
        </w:rPr>
      </w:pPr>
      <w:bookmarkStart w:id="63" w:name="_Toc494126130"/>
      <w:bookmarkStart w:id="64" w:name="_Toc497132364"/>
      <w:r>
        <w:rPr>
          <w:noProof/>
        </w:rPr>
        <w:t>Läget avseende avtalen</w:t>
      </w:r>
      <w:bookmarkEnd w:id="63"/>
      <w:bookmarkEnd w:id="64"/>
    </w:p>
    <w:p w:rsidR="00CA65E6" w:rsidRDefault="00CB294D">
      <w:pPr>
        <w:pStyle w:val="Heading3"/>
        <w:rPr>
          <w:noProof/>
        </w:rPr>
      </w:pPr>
      <w:r>
        <w:rPr>
          <w:noProof/>
        </w:rPr>
        <w:t xml:space="preserve">Södra Afrikas utvecklingsgemenskap </w:t>
      </w:r>
    </w:p>
    <w:p w:rsidR="00CA65E6" w:rsidRDefault="00CB294D">
      <w:pPr>
        <w:rPr>
          <w:noProof/>
        </w:rPr>
      </w:pPr>
      <w:r>
        <w:rPr>
          <w:noProof/>
        </w:rPr>
        <w:t xml:space="preserve">I juni 2016 nåddes en milstolpe när </w:t>
      </w:r>
      <w:r>
        <w:rPr>
          <w:b/>
          <w:noProof/>
        </w:rPr>
        <w:t>EU slöt ett avtal om ekonomiskt partnerskap</w:t>
      </w:r>
      <w:r>
        <w:rPr>
          <w:noProof/>
        </w:rPr>
        <w:t xml:space="preserve"> med sex länder i Södra Afrikas utvecklingsgemenskap (SADC). Avtalet började tillämpas preliminärt i oktober 2016. Utöver </w:t>
      </w:r>
      <w:r>
        <w:rPr>
          <w:b/>
          <w:noProof/>
        </w:rPr>
        <w:t>klassiska handelsbestämmelser</w:t>
      </w:r>
      <w:r>
        <w:rPr>
          <w:noProof/>
        </w:rPr>
        <w:t xml:space="preserve"> har de deltagande SADC-länderna (Botswana, Lesotho, Namibia, Sydafrika, Swaziland och Moçambique) och EU gjort åtaganden om ett partnerskap som grundas på </w:t>
      </w:r>
      <w:r>
        <w:rPr>
          <w:b/>
          <w:noProof/>
        </w:rPr>
        <w:t>hållbar utveckling</w:t>
      </w:r>
      <w:r>
        <w:rPr>
          <w:noProof/>
        </w:rPr>
        <w:t xml:space="preserve">, däribland att upprätthålla sociala och miljömässiga standarder. </w:t>
      </w:r>
    </w:p>
    <w:p w:rsidR="00CA65E6" w:rsidRDefault="00CB294D">
      <w:pPr>
        <w:rPr>
          <w:noProof/>
        </w:rPr>
      </w:pPr>
      <w:r>
        <w:rPr>
          <w:noProof/>
        </w:rPr>
        <w:t xml:space="preserve">Avtalet stöder på ett direkt sätt ekonomisk integration i regionen och närmare förbindelser mellan de sex länderna. Det enda landet som ännu inte hade ratificerat avtalet 2016 var </w:t>
      </w:r>
      <w:r>
        <w:rPr>
          <w:b/>
          <w:noProof/>
        </w:rPr>
        <w:t>Moçambique</w:t>
      </w:r>
      <w:r>
        <w:rPr>
          <w:noProof/>
        </w:rPr>
        <w:t xml:space="preserve"> (det sjunde SADC-landet), som inte heller tillämpade det.</w:t>
      </w:r>
    </w:p>
    <w:p w:rsidR="00CA65E6" w:rsidRDefault="00CB294D">
      <w:pPr>
        <w:pStyle w:val="Heading3"/>
        <w:rPr>
          <w:noProof/>
        </w:rPr>
      </w:pPr>
      <w:r>
        <w:rPr>
          <w:noProof/>
        </w:rPr>
        <w:t xml:space="preserve">Västafrika </w:t>
      </w:r>
    </w:p>
    <w:p w:rsidR="00CA65E6" w:rsidRDefault="00CB294D">
      <w:pPr>
        <w:rPr>
          <w:noProof/>
        </w:rPr>
      </w:pPr>
      <w:r>
        <w:rPr>
          <w:noProof/>
        </w:rPr>
        <w:t xml:space="preserve">Den preliminära tillämpningen av avtalet om ekonomiskt partnerskap med Västafrika hindras av att tre (av 16) länder ännu </w:t>
      </w:r>
      <w:r>
        <w:rPr>
          <w:b/>
          <w:noProof/>
        </w:rPr>
        <w:t>inte har skrivit under</w:t>
      </w:r>
      <w:r>
        <w:rPr>
          <w:noProof/>
        </w:rPr>
        <w:t xml:space="preserve"> avtalet. Två länder i denna region – </w:t>
      </w:r>
      <w:r>
        <w:rPr>
          <w:b/>
          <w:noProof/>
        </w:rPr>
        <w:t>Elfenbenskusten</w:t>
      </w:r>
      <w:r>
        <w:rPr>
          <w:noProof/>
        </w:rPr>
        <w:t xml:space="preserve"> och </w:t>
      </w:r>
      <w:r>
        <w:rPr>
          <w:b/>
          <w:noProof/>
        </w:rPr>
        <w:t>Ghana</w:t>
      </w:r>
      <w:r>
        <w:rPr>
          <w:noProof/>
        </w:rPr>
        <w:t xml:space="preserve"> – skrev emellertid under och </w:t>
      </w:r>
      <w:r>
        <w:rPr>
          <w:b/>
          <w:noProof/>
        </w:rPr>
        <w:t>ratificerade</w:t>
      </w:r>
      <w:r>
        <w:rPr>
          <w:noProof/>
        </w:rPr>
        <w:t xml:space="preserve"> individuella avtal om ekonomiskt partnerskap.</w:t>
      </w:r>
      <w:r>
        <w:rPr>
          <w:rStyle w:val="FootnoteReference"/>
          <w:noProof/>
        </w:rPr>
        <w:footnoteReference w:id="10"/>
      </w:r>
      <w:r>
        <w:rPr>
          <w:noProof/>
        </w:rPr>
        <w:t xml:space="preserve"> Elfenbenskusten började tillämpa sitt avtal i september 2016 och Europaparlamentet godkände avtalet med Ghana den 1 december 2016, vilket innebar att det kunde börja tillämpas preliminärt.</w:t>
      </w:r>
    </w:p>
    <w:p w:rsidR="00CA65E6" w:rsidRDefault="00CB294D">
      <w:pPr>
        <w:pStyle w:val="Heading3"/>
        <w:rPr>
          <w:noProof/>
        </w:rPr>
      </w:pPr>
      <w:r>
        <w:rPr>
          <w:noProof/>
        </w:rPr>
        <w:t xml:space="preserve">Östafrikanska gemenskapen (EAC) </w:t>
      </w:r>
    </w:p>
    <w:p w:rsidR="00CA65E6" w:rsidRDefault="00CB294D">
      <w:pPr>
        <w:rPr>
          <w:noProof/>
        </w:rPr>
      </w:pPr>
      <w:r>
        <w:rPr>
          <w:noProof/>
        </w:rPr>
        <w:t xml:space="preserve">Här saknas </w:t>
      </w:r>
      <w:r>
        <w:rPr>
          <w:b/>
          <w:noProof/>
        </w:rPr>
        <w:t>underskrifter från tre länder</w:t>
      </w:r>
      <w:r>
        <w:rPr>
          <w:noProof/>
        </w:rPr>
        <w:t xml:space="preserve"> (av fem) för att Europaparlamentet ska kunna godkänna avtalet och den preliminära tillämpningen ska kunna börja. </w:t>
      </w:r>
    </w:p>
    <w:p w:rsidR="00CA65E6" w:rsidRDefault="00CB294D">
      <w:pPr>
        <w:pStyle w:val="Heading2"/>
        <w:rPr>
          <w:noProof/>
        </w:rPr>
      </w:pPr>
      <w:bookmarkStart w:id="65" w:name="_Toc494126131"/>
      <w:bookmarkStart w:id="66" w:name="_Toc497132365"/>
      <w:r>
        <w:rPr>
          <w:noProof/>
        </w:rPr>
        <w:t>Handelsflöden</w:t>
      </w:r>
      <w:bookmarkEnd w:id="65"/>
      <w:bookmarkEnd w:id="66"/>
      <w:r>
        <w:rPr>
          <w:noProof/>
        </w:rPr>
        <w:t xml:space="preserve"> </w:t>
      </w:r>
    </w:p>
    <w:p w:rsidR="00CA65E6" w:rsidRDefault="00CB294D">
      <w:pPr>
        <w:rPr>
          <w:noProof/>
        </w:rPr>
      </w:pPr>
      <w:r>
        <w:rPr>
          <w:noProof/>
        </w:rPr>
        <w:t xml:space="preserve">Handelsutvecklingen inom ramen för de avtal om ekonomiskt partnerskap som omfattas av denna rapport (med Västindien (Cariforum), Stillahavsområdet, partnerländer i östra och södra Afrika samt Kamerun) fortskrider i </w:t>
      </w:r>
      <w:r>
        <w:rPr>
          <w:b/>
          <w:noProof/>
        </w:rPr>
        <w:t>olika takt</w:t>
      </w:r>
      <w:r>
        <w:rPr>
          <w:noProof/>
        </w:rPr>
        <w:t xml:space="preserve">. Vissa länder, t.ex. Kamerun och Fiji, har inte tillämpat avtalen om ekonomiskt partnerskap tillräckligt länge för att man ska kunna dra några slutsatser. I andra länder har det förekommit </w:t>
      </w:r>
      <w:r>
        <w:rPr>
          <w:b/>
          <w:noProof/>
        </w:rPr>
        <w:t>handelsfluktuationer</w:t>
      </w:r>
      <w:r>
        <w:rPr>
          <w:noProof/>
        </w:rPr>
        <w:t xml:space="preserve"> i båda riktningar på senare år, vilka i vissa fall har att göra med </w:t>
      </w:r>
      <w:r>
        <w:rPr>
          <w:b/>
          <w:noProof/>
        </w:rPr>
        <w:t>fluktuationerna i råvarupriser</w:t>
      </w:r>
      <w:r>
        <w:rPr>
          <w:noProof/>
        </w:rPr>
        <w:t xml:space="preserve"> som påverkar exporten från avtalsländerna. </w:t>
      </w:r>
    </w:p>
    <w:p w:rsidR="00CA65E6" w:rsidRDefault="00CB294D">
      <w:pPr>
        <w:rPr>
          <w:noProof/>
        </w:rPr>
      </w:pPr>
      <w:r>
        <w:rPr>
          <w:noProof/>
        </w:rPr>
        <w:t xml:space="preserve">Vissa länder har stadigt </w:t>
      </w:r>
      <w:r>
        <w:rPr>
          <w:b/>
          <w:noProof/>
        </w:rPr>
        <w:t>ökat</w:t>
      </w:r>
      <w:r>
        <w:rPr>
          <w:noProof/>
        </w:rPr>
        <w:t xml:space="preserve"> sin export till EU, särskilt </w:t>
      </w:r>
      <w:r>
        <w:rPr>
          <w:b/>
          <w:noProof/>
        </w:rPr>
        <w:t>Madagaskar</w:t>
      </w:r>
      <w:r>
        <w:rPr>
          <w:noProof/>
        </w:rPr>
        <w:t xml:space="preserve"> och </w:t>
      </w:r>
      <w:r>
        <w:rPr>
          <w:b/>
          <w:noProof/>
        </w:rPr>
        <w:t>Dominikanska republiken</w:t>
      </w:r>
      <w:r>
        <w:rPr>
          <w:noProof/>
        </w:rPr>
        <w:t>.</w:t>
      </w:r>
    </w:p>
    <w:p w:rsidR="00CA65E6" w:rsidRDefault="00CA65E6">
      <w:pPr>
        <w:spacing w:after="0"/>
        <w:jc w:val="left"/>
        <w:rPr>
          <w:noProof/>
        </w:rPr>
        <w:sectPr w:rsidR="00CA65E6">
          <w:headerReference w:type="even" r:id="rId29"/>
          <w:headerReference w:type="default" r:id="rId30"/>
          <w:footerReference w:type="even" r:id="rId31"/>
          <w:footerReference w:type="default" r:id="rId32"/>
          <w:headerReference w:type="first" r:id="rId33"/>
          <w:footerReference w:type="first" r:id="rId34"/>
          <w:pgSz w:w="11906" w:h="16838"/>
          <w:pgMar w:top="1021" w:right="1701" w:bottom="1021" w:left="1588" w:header="601" w:footer="1077" w:gutter="0"/>
          <w:cols w:space="720"/>
          <w:titlePg/>
        </w:sectPr>
      </w:pPr>
    </w:p>
    <w:p w:rsidR="00CA65E6" w:rsidRDefault="00CB294D">
      <w:pPr>
        <w:spacing w:after="0"/>
        <w:jc w:val="left"/>
        <w:rPr>
          <w:noProof/>
        </w:rPr>
        <w:sectPr w:rsidR="00CA65E6">
          <w:headerReference w:type="even" r:id="rId35"/>
          <w:headerReference w:type="default" r:id="rId36"/>
          <w:footerReference w:type="even" r:id="rId37"/>
          <w:footerReference w:type="default" r:id="rId38"/>
          <w:headerReference w:type="first" r:id="rId39"/>
          <w:footerReference w:type="first" r:id="rId40"/>
          <w:pgSz w:w="16838" w:h="11906" w:orient="landscape"/>
          <w:pgMar w:top="1588" w:right="1021" w:bottom="1701" w:left="1021" w:header="601" w:footer="1077" w:gutter="0"/>
          <w:cols w:space="720"/>
          <w:titlePg/>
        </w:sectPr>
      </w:pPr>
      <w:r>
        <w:rPr>
          <w:noProof/>
          <w:lang w:val="en-GB" w:eastAsia="en-GB" w:bidi="ar-SA"/>
        </w:rPr>
        <w:drawing>
          <wp:inline distT="0" distB="0" distL="0" distR="0" wp14:anchorId="372475E4" wp14:editId="0CCB7590">
            <wp:extent cx="9128760" cy="4730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9132507" cy="4732282"/>
                    </a:xfrm>
                    <a:prstGeom prst="rect">
                      <a:avLst/>
                    </a:prstGeom>
                  </pic:spPr>
                </pic:pic>
              </a:graphicData>
            </a:graphic>
          </wp:inline>
        </w:drawing>
      </w:r>
    </w:p>
    <w:p w:rsidR="00CA65E6" w:rsidRDefault="00CB294D">
      <w:pPr>
        <w:rPr>
          <w:noProof/>
        </w:rPr>
      </w:pPr>
      <w:r>
        <w:rPr>
          <w:noProof/>
        </w:rPr>
        <w:t xml:space="preserve">I alla AVS-regioner utom Västindien har de länder som slutit avtal om ekonomiskt partnerskap med EU en </w:t>
      </w:r>
      <w:r>
        <w:rPr>
          <w:b/>
          <w:noProof/>
        </w:rPr>
        <w:t>positiv handelsbalans</w:t>
      </w:r>
      <w:r>
        <w:rPr>
          <w:noProof/>
        </w:rPr>
        <w:t xml:space="preserve"> med EU.</w:t>
      </w:r>
    </w:p>
    <w:p w:rsidR="00CA65E6" w:rsidRDefault="00CB294D">
      <w:pPr>
        <w:rPr>
          <w:noProof/>
        </w:rPr>
      </w:pPr>
      <w:r>
        <w:rPr>
          <w:noProof/>
        </w:rPr>
        <w:t xml:space="preserve">I </w:t>
      </w:r>
      <w:r>
        <w:rPr>
          <w:b/>
          <w:noProof/>
        </w:rPr>
        <w:t>Västindien</w:t>
      </w:r>
      <w:r>
        <w:rPr>
          <w:noProof/>
        </w:rPr>
        <w:t xml:space="preserve"> har exporten till EU </w:t>
      </w:r>
      <w:r>
        <w:rPr>
          <w:b/>
          <w:noProof/>
        </w:rPr>
        <w:t>minskat</w:t>
      </w:r>
      <w:r>
        <w:rPr>
          <w:noProof/>
        </w:rPr>
        <w:t xml:space="preserve"> sedan 2013, med några få undantag. År 2016 var minskningen 23 %, vilket hade att göra med nedgången i råvarupriser som slog hårt mot Trinidad och Tobagos export.</w:t>
      </w:r>
    </w:p>
    <w:p w:rsidR="00CA65E6" w:rsidRDefault="00CB294D">
      <w:pPr>
        <w:pStyle w:val="Heading2"/>
        <w:rPr>
          <w:noProof/>
        </w:rPr>
      </w:pPr>
      <w:bookmarkStart w:id="67" w:name="_Toc494126132"/>
      <w:bookmarkStart w:id="68" w:name="_Toc497132366"/>
      <w:r>
        <w:rPr>
          <w:noProof/>
        </w:rPr>
        <w:t>Investeringar</w:t>
      </w:r>
      <w:bookmarkEnd w:id="67"/>
      <w:bookmarkEnd w:id="68"/>
      <w:r>
        <w:rPr>
          <w:noProof/>
        </w:rPr>
        <w:t xml:space="preserve"> </w:t>
      </w:r>
    </w:p>
    <w:p w:rsidR="00CA65E6" w:rsidRDefault="00CB294D">
      <w:pPr>
        <w:rPr>
          <w:noProof/>
        </w:rPr>
      </w:pPr>
      <w:r>
        <w:rPr>
          <w:noProof/>
        </w:rPr>
        <w:t xml:space="preserve">EU:s investeringar i länderna med avtal om ekonomiskt partnerskap har </w:t>
      </w:r>
      <w:r>
        <w:rPr>
          <w:b/>
          <w:noProof/>
        </w:rPr>
        <w:t>ökat</w:t>
      </w:r>
      <w:r>
        <w:rPr>
          <w:noProof/>
        </w:rPr>
        <w:t xml:space="preserve">, utom för Cariforumländerna, där EU-investeringarna ligger kvar på </w:t>
      </w:r>
      <w:r>
        <w:rPr>
          <w:b/>
          <w:noProof/>
        </w:rPr>
        <w:t>samma nivå</w:t>
      </w:r>
      <w:r>
        <w:rPr>
          <w:noProof/>
        </w:rPr>
        <w:t xml:space="preserve"> som tidigare. Cariforumländernas investeringar i EU har däremot ökat.</w:t>
      </w:r>
    </w:p>
    <w:tbl>
      <w:tblPr>
        <w:tblStyle w:val="TableGrid"/>
        <w:tblW w:w="0" w:type="auto"/>
        <w:tblBorders>
          <w:insideH w:val="none" w:sz="0" w:space="0" w:color="auto"/>
        </w:tblBorders>
        <w:tblLook w:val="04A0" w:firstRow="1" w:lastRow="0" w:firstColumn="1" w:lastColumn="0" w:noHBand="0" w:noVBand="1"/>
      </w:tblPr>
      <w:tblGrid>
        <w:gridCol w:w="8833"/>
      </w:tblGrid>
      <w:tr w:rsidR="00CA65E6">
        <w:tc>
          <w:tcPr>
            <w:tcW w:w="8833" w:type="dxa"/>
          </w:tcPr>
          <w:p w:rsidR="00CA65E6" w:rsidRDefault="00CB294D">
            <w:pPr>
              <w:rPr>
                <w:rFonts w:ascii="Times New Roman" w:hAnsi="Times New Roman" w:cs="Times New Roman"/>
                <w:b/>
                <w:noProof/>
              </w:rPr>
            </w:pPr>
            <w:r>
              <w:rPr>
                <w:b/>
                <w:noProof/>
              </w:rPr>
              <w:t>Madagaskiska textilier för EU:s konsumenter</w:t>
            </w:r>
          </w:p>
        </w:tc>
      </w:tr>
      <w:tr w:rsidR="00CA65E6">
        <w:tc>
          <w:tcPr>
            <w:tcW w:w="8833" w:type="dxa"/>
          </w:tcPr>
          <w:p w:rsidR="00CA65E6" w:rsidRDefault="00CB294D">
            <w:pPr>
              <w:rPr>
                <w:rFonts w:ascii="Times New Roman" w:hAnsi="Times New Roman" w:cs="Times New Roman"/>
                <w:noProof/>
              </w:rPr>
            </w:pPr>
            <w:r>
              <w:rPr>
                <w:noProof/>
              </w:rPr>
              <w:t>Madagaskars textil- och klädindustri har fått stora fördelar genom avtalet om ekonomiskt partnerskap, som innebär tullfritt och kvotfritt tillträde till EU och förbättrade ursprungsbestämmelser. Sedan avtalet trädde i kraft 2012 har Madagaskars export till EU ökat med nästan 15 % per år. Under 2015 var textil och kläder den största exportkategorin, med ett värde på över 300 miljoner euro – nästan en tredjedel av Madagaskars totala export till EU:</w:t>
            </w:r>
          </w:p>
          <w:p w:rsidR="00CA65E6" w:rsidRDefault="00CB294D">
            <w:pPr>
              <w:rPr>
                <w:rFonts w:ascii="Times New Roman" w:hAnsi="Times New Roman" w:cs="Times New Roman"/>
                <w:noProof/>
                <w:sz w:val="22"/>
              </w:rPr>
            </w:pPr>
            <w:r>
              <w:rPr>
                <w:noProof/>
              </w:rPr>
              <w:t>Ett av de företag som har dragit fördel av avtalet är det lokala textilföretaget Epsilon. Där har antalet anställda ökat från 100 till 2 000. Avtalet har också hjälpt till att skapa bättre levnadsförhållanden för de anställda och deras familjer.</w:t>
            </w:r>
          </w:p>
        </w:tc>
      </w:tr>
    </w:tbl>
    <w:p w:rsidR="00CA65E6" w:rsidRDefault="00CB294D">
      <w:pPr>
        <w:pStyle w:val="Heading2"/>
        <w:spacing w:before="240"/>
        <w:ind w:left="1202"/>
        <w:rPr>
          <w:noProof/>
        </w:rPr>
      </w:pPr>
      <w:bookmarkStart w:id="69" w:name="_Toc493698580"/>
      <w:bookmarkStart w:id="70" w:name="_Toc494126133"/>
      <w:bookmarkStart w:id="71" w:name="_Toc497132367"/>
      <w:bookmarkEnd w:id="69"/>
      <w:r>
        <w:rPr>
          <w:noProof/>
        </w:rPr>
        <w:t>EU-stöd till genomförande av avtal om ekonomiskt partnerskap</w:t>
      </w:r>
      <w:bookmarkEnd w:id="70"/>
      <w:bookmarkEnd w:id="71"/>
    </w:p>
    <w:p w:rsidR="00CA65E6" w:rsidRDefault="00CB294D">
      <w:pPr>
        <w:rPr>
          <w:noProof/>
        </w:rPr>
      </w:pPr>
      <w:r>
        <w:rPr>
          <w:noProof/>
        </w:rPr>
        <w:t>Tillsynsmekanismer behöver utvecklas för att man ska kunna övervaka avtalens funktion och effekter och se till att utvecklingssamarbetet och det handelsrelaterade stödet underlättar genomförandet av avtalen.</w:t>
      </w:r>
    </w:p>
    <w:p w:rsidR="00CA65E6" w:rsidRDefault="00CB294D">
      <w:pPr>
        <w:rPr>
          <w:noProof/>
        </w:rPr>
      </w:pPr>
      <w:r>
        <w:rPr>
          <w:noProof/>
        </w:rPr>
        <w:t xml:space="preserve">I de kapitel om ekonomiskt samarbete och utvecklingssamarbete som ingår i många av avtalen, har EU åtagit sig att samarbeta med de berörda länderna, huvudsakligen genom ekonomiskt och tekniskt stöd. </w:t>
      </w:r>
    </w:p>
    <w:p w:rsidR="00CA65E6" w:rsidRDefault="00CB294D">
      <w:pPr>
        <w:rPr>
          <w:noProof/>
        </w:rPr>
      </w:pPr>
      <w:r>
        <w:rPr>
          <w:noProof/>
        </w:rPr>
        <w:t xml:space="preserve">EU har samordnat genomförandet av avtalen med </w:t>
      </w:r>
      <w:r>
        <w:rPr>
          <w:b/>
          <w:noProof/>
        </w:rPr>
        <w:t>utvecklingspolitik</w:t>
      </w:r>
      <w:r>
        <w:rPr>
          <w:noProof/>
        </w:rPr>
        <w:t xml:space="preserve">, </w:t>
      </w:r>
      <w:r>
        <w:rPr>
          <w:b/>
          <w:noProof/>
        </w:rPr>
        <w:t>samarbete</w:t>
      </w:r>
      <w:r>
        <w:rPr>
          <w:noProof/>
        </w:rPr>
        <w:t xml:space="preserve"> och </w:t>
      </w:r>
      <w:r>
        <w:rPr>
          <w:b/>
          <w:noProof/>
        </w:rPr>
        <w:t>Aid for Trade</w:t>
      </w:r>
      <w:r>
        <w:rPr>
          <w:noProof/>
        </w:rPr>
        <w:t xml:space="preserve"> genom diskussioner med ländernas behöriga myndigheter, den privata sektorn och grupper från civilsamhället.</w:t>
      </w:r>
    </w:p>
    <w:p w:rsidR="00CA65E6" w:rsidRDefault="00CB294D">
      <w:pPr>
        <w:spacing w:after="0"/>
        <w:rPr>
          <w:noProof/>
        </w:rPr>
      </w:pPr>
      <w:r>
        <w:rPr>
          <w:noProof/>
        </w:rPr>
        <w:t xml:space="preserve">Tillsammans har de tagit fram </w:t>
      </w:r>
      <w:r>
        <w:rPr>
          <w:b/>
          <w:noProof/>
        </w:rPr>
        <w:t>nationella genomförandeplaner för avtalen om ekonomiskt partnerskap</w:t>
      </w:r>
      <w:r>
        <w:rPr>
          <w:noProof/>
        </w:rPr>
        <w:t>. I dessa ska man fastställa ländernas behov på områdena</w:t>
      </w:r>
    </w:p>
    <w:p w:rsidR="00CA65E6" w:rsidRDefault="00CB294D">
      <w:pPr>
        <w:pStyle w:val="ListParagraph"/>
        <w:numPr>
          <w:ilvl w:val="0"/>
          <w:numId w:val="38"/>
        </w:numPr>
        <w:spacing w:after="0" w:line="240" w:lineRule="auto"/>
        <w:rPr>
          <w:noProof/>
        </w:rPr>
      </w:pPr>
      <w:r>
        <w:rPr>
          <w:noProof/>
        </w:rPr>
        <w:t>efterlevnad, förvaltning och övervakning av avtalen om ekonomiskt partnerskap,</w:t>
      </w:r>
    </w:p>
    <w:p w:rsidR="00CA65E6" w:rsidRDefault="00CB294D">
      <w:pPr>
        <w:pStyle w:val="ListParagraph"/>
        <w:numPr>
          <w:ilvl w:val="0"/>
          <w:numId w:val="38"/>
        </w:numPr>
        <w:spacing w:after="0" w:line="240" w:lineRule="auto"/>
        <w:rPr>
          <w:noProof/>
        </w:rPr>
      </w:pPr>
      <w:r>
        <w:rPr>
          <w:noProof/>
        </w:rPr>
        <w:t>kommunikation om avtalen,</w:t>
      </w:r>
    </w:p>
    <w:p w:rsidR="00CA65E6" w:rsidRDefault="00CB294D">
      <w:pPr>
        <w:pStyle w:val="ListParagraph"/>
        <w:numPr>
          <w:ilvl w:val="0"/>
          <w:numId w:val="38"/>
        </w:numPr>
        <w:spacing w:after="240" w:line="240" w:lineRule="auto"/>
        <w:ind w:left="357" w:hanging="357"/>
        <w:contextualSpacing w:val="0"/>
        <w:rPr>
          <w:noProof/>
        </w:rPr>
      </w:pPr>
      <w:r>
        <w:rPr>
          <w:noProof/>
        </w:rPr>
        <w:t>främjande av ett företagsklimat där länderna och företagen kan dra fördel av avtalen fullt ut.</w:t>
      </w:r>
    </w:p>
    <w:p w:rsidR="00CA65E6" w:rsidRDefault="00CB294D">
      <w:pPr>
        <w:spacing w:after="0"/>
        <w:rPr>
          <w:noProof/>
        </w:rPr>
      </w:pPr>
      <w:r>
        <w:rPr>
          <w:noProof/>
        </w:rPr>
        <w:t>Sådant främjande omfattar genomförande av</w:t>
      </w:r>
      <w:r>
        <w:rPr>
          <w:b/>
          <w:noProof/>
        </w:rPr>
        <w:t xml:space="preserve"> nödvändiga reformer</w:t>
      </w:r>
      <w:r>
        <w:rPr>
          <w:noProof/>
        </w:rPr>
        <w:t xml:space="preserve"> för att</w:t>
      </w:r>
    </w:p>
    <w:p w:rsidR="00CA65E6" w:rsidRDefault="00CB294D">
      <w:pPr>
        <w:pStyle w:val="ListParagraph"/>
        <w:numPr>
          <w:ilvl w:val="0"/>
          <w:numId w:val="39"/>
        </w:numPr>
        <w:spacing w:after="0" w:line="240" w:lineRule="auto"/>
        <w:rPr>
          <w:noProof/>
        </w:rPr>
      </w:pPr>
      <w:r>
        <w:rPr>
          <w:noProof/>
        </w:rPr>
        <w:t>skapa tillväxt, ekonomisk diversifiering och lokalt mervärde,</w:t>
      </w:r>
    </w:p>
    <w:p w:rsidR="00CA65E6" w:rsidRDefault="00CB294D">
      <w:pPr>
        <w:pStyle w:val="ListParagraph"/>
        <w:numPr>
          <w:ilvl w:val="0"/>
          <w:numId w:val="39"/>
        </w:numPr>
        <w:spacing w:after="0" w:line="240" w:lineRule="auto"/>
        <w:rPr>
          <w:noProof/>
        </w:rPr>
      </w:pPr>
      <w:r>
        <w:rPr>
          <w:noProof/>
        </w:rPr>
        <w:t>attrahera investeringar, och</w:t>
      </w:r>
    </w:p>
    <w:p w:rsidR="00CA65E6" w:rsidRDefault="00CB294D">
      <w:pPr>
        <w:pStyle w:val="ListParagraph"/>
        <w:numPr>
          <w:ilvl w:val="0"/>
          <w:numId w:val="39"/>
        </w:numPr>
        <w:spacing w:after="240" w:line="240" w:lineRule="auto"/>
        <w:ind w:left="357" w:hanging="357"/>
        <w:contextualSpacing w:val="0"/>
        <w:rPr>
          <w:noProof/>
        </w:rPr>
      </w:pPr>
      <w:r>
        <w:rPr>
          <w:noProof/>
        </w:rPr>
        <w:t>stödja jobbskapande.</w:t>
      </w:r>
    </w:p>
    <w:p w:rsidR="00CA65E6" w:rsidRDefault="00CB294D">
      <w:pPr>
        <w:spacing w:after="0"/>
        <w:rPr>
          <w:noProof/>
        </w:rPr>
      </w:pPr>
      <w:r>
        <w:rPr>
          <w:noProof/>
        </w:rPr>
        <w:t xml:space="preserve">Mot denna bakgrund arbetar EU för att </w:t>
      </w:r>
      <w:r>
        <w:rPr>
          <w:b/>
          <w:noProof/>
        </w:rPr>
        <w:t>fastställa behov</w:t>
      </w:r>
      <w:r>
        <w:rPr>
          <w:noProof/>
        </w:rPr>
        <w:t xml:space="preserve"> och </w:t>
      </w:r>
      <w:r>
        <w:rPr>
          <w:b/>
          <w:noProof/>
        </w:rPr>
        <w:t>utforska kopplingarna</w:t>
      </w:r>
      <w:r>
        <w:rPr>
          <w:noProof/>
        </w:rPr>
        <w:t xml:space="preserve"> mellan möjliga finansieringskällor. Detta kan inkludera finansiering från</w:t>
      </w:r>
    </w:p>
    <w:p w:rsidR="00CA65E6" w:rsidRDefault="00CB294D">
      <w:pPr>
        <w:pStyle w:val="ListParagraph"/>
        <w:numPr>
          <w:ilvl w:val="0"/>
          <w:numId w:val="40"/>
        </w:numPr>
        <w:spacing w:after="0" w:line="240" w:lineRule="auto"/>
        <w:rPr>
          <w:noProof/>
        </w:rPr>
      </w:pPr>
      <w:r>
        <w:rPr>
          <w:noProof/>
        </w:rPr>
        <w:t>olika EU-instrument för utvecklingsstöd på nationell och regional nivå samt på AVS-landsnivå,</w:t>
      </w:r>
    </w:p>
    <w:p w:rsidR="00CA65E6" w:rsidRDefault="00CB294D">
      <w:pPr>
        <w:pStyle w:val="ListParagraph"/>
        <w:numPr>
          <w:ilvl w:val="0"/>
          <w:numId w:val="40"/>
        </w:numPr>
        <w:spacing w:after="0" w:line="240" w:lineRule="auto"/>
        <w:rPr>
          <w:noProof/>
        </w:rPr>
      </w:pPr>
      <w:r>
        <w:rPr>
          <w:noProof/>
        </w:rPr>
        <w:t>EU-medlemsstaterna,</w:t>
      </w:r>
    </w:p>
    <w:p w:rsidR="00CA65E6" w:rsidRDefault="00CB294D">
      <w:pPr>
        <w:pStyle w:val="ListParagraph"/>
        <w:numPr>
          <w:ilvl w:val="0"/>
          <w:numId w:val="40"/>
        </w:numPr>
        <w:spacing w:after="0" w:line="240" w:lineRule="auto"/>
        <w:rPr>
          <w:noProof/>
        </w:rPr>
      </w:pPr>
      <w:r>
        <w:rPr>
          <w:noProof/>
        </w:rPr>
        <w:t>Europeiska investeringsbanken,</w:t>
      </w:r>
    </w:p>
    <w:p w:rsidR="00CA65E6" w:rsidRDefault="00CB294D">
      <w:pPr>
        <w:pStyle w:val="ListParagraph"/>
        <w:numPr>
          <w:ilvl w:val="0"/>
          <w:numId w:val="40"/>
        </w:numPr>
        <w:spacing w:after="240" w:line="240" w:lineRule="auto"/>
        <w:ind w:left="357" w:hanging="357"/>
        <w:contextualSpacing w:val="0"/>
        <w:rPr>
          <w:noProof/>
        </w:rPr>
      </w:pPr>
      <w:r>
        <w:rPr>
          <w:noProof/>
        </w:rPr>
        <w:t xml:space="preserve">andra institutioner för utvecklingsfinansiering och andra givare. </w:t>
      </w:r>
    </w:p>
    <w:p w:rsidR="00CA65E6" w:rsidRDefault="00CB294D">
      <w:pPr>
        <w:rPr>
          <w:noProof/>
        </w:rPr>
      </w:pPr>
      <w:r>
        <w:rPr>
          <w:noProof/>
        </w:rPr>
        <w:t>De nationella genomförandeplanerna för avtalen om ekonomiskt partnerskap kommer att göra det lättare att ta itu med utmaningar och möjligheter i samband med genomförandet på ett mer konsekvent och kraftfullt sätt.</w:t>
      </w:r>
    </w:p>
    <w:p w:rsidR="00CA65E6" w:rsidRDefault="00CB294D">
      <w:pPr>
        <w:pStyle w:val="Heading2"/>
        <w:rPr>
          <w:noProof/>
        </w:rPr>
      </w:pPr>
      <w:bookmarkStart w:id="72" w:name="_Toc494126134"/>
      <w:bookmarkStart w:id="73" w:name="_Toc497132368"/>
      <w:r>
        <w:rPr>
          <w:noProof/>
        </w:rPr>
        <w:t>Utvecklingsstöd</w:t>
      </w:r>
      <w:bookmarkEnd w:id="72"/>
      <w:bookmarkEnd w:id="73"/>
      <w:r>
        <w:rPr>
          <w:noProof/>
        </w:rPr>
        <w:t xml:space="preserve"> </w:t>
      </w:r>
    </w:p>
    <w:p w:rsidR="00CA65E6" w:rsidRDefault="00CB294D">
      <w:pPr>
        <w:rPr>
          <w:noProof/>
        </w:rPr>
      </w:pPr>
      <w:r>
        <w:rPr>
          <w:noProof/>
        </w:rPr>
        <w:t xml:space="preserve">Utvecklingsstöd har öronmärkts för de olika regioner och länder som genomför avtal om ekonomiskt partnerskap, utöver ytterligare källor till EU-finansiering som mer indirekt är avsedda för behoven i samband med dessa avtal. </w:t>
      </w:r>
    </w:p>
    <w:p w:rsidR="00CA65E6" w:rsidRDefault="00CB294D">
      <w:pPr>
        <w:rPr>
          <w:noProof/>
        </w:rPr>
      </w:pPr>
      <w:r>
        <w:rPr>
          <w:b/>
          <w:noProof/>
        </w:rPr>
        <w:t>Västindien</w:t>
      </w:r>
      <w:r>
        <w:rPr>
          <w:noProof/>
        </w:rPr>
        <w:t xml:space="preserve"> tilldelades över 100 miljoner euro från den elfte europeiska utvecklingsfondens regionala program för Cariforum. Medlen ska gå till att stärka regionalt samarbete och integration. </w:t>
      </w:r>
    </w:p>
    <w:p w:rsidR="00CA65E6" w:rsidRDefault="00CB294D">
      <w:pPr>
        <w:rPr>
          <w:noProof/>
        </w:rPr>
      </w:pPr>
      <w:r>
        <w:rPr>
          <w:noProof/>
        </w:rPr>
        <w:t xml:space="preserve">I </w:t>
      </w:r>
      <w:r>
        <w:rPr>
          <w:b/>
          <w:noProof/>
        </w:rPr>
        <w:t>Stillahavsområdet</w:t>
      </w:r>
      <w:r>
        <w:rPr>
          <w:noProof/>
        </w:rPr>
        <w:t xml:space="preserve"> fastställdes regional handel, företagsklimatet och utveckling av den privata sektorn som prioriteringar för de regionala bidragen på 50 miljoner euro.</w:t>
      </w:r>
    </w:p>
    <w:p w:rsidR="00CA65E6" w:rsidRDefault="00CB294D">
      <w:pPr>
        <w:rPr>
          <w:noProof/>
        </w:rPr>
      </w:pPr>
      <w:r>
        <w:rPr>
          <w:noProof/>
        </w:rPr>
        <w:t xml:space="preserve">Vart och ett av de fyra partnerländerna i </w:t>
      </w:r>
      <w:r>
        <w:rPr>
          <w:b/>
          <w:noProof/>
        </w:rPr>
        <w:t>östra och södra Afrika</w:t>
      </w:r>
      <w:r>
        <w:rPr>
          <w:noProof/>
        </w:rPr>
        <w:t xml:space="preserve"> fick 10 miljoner euro inom ramen för det regionala programmet. </w:t>
      </w:r>
    </w:p>
    <w:p w:rsidR="00CA65E6" w:rsidRDefault="00CB294D">
      <w:pPr>
        <w:rPr>
          <w:noProof/>
        </w:rPr>
      </w:pPr>
      <w:r>
        <w:rPr>
          <w:noProof/>
        </w:rPr>
        <w:t xml:space="preserve">I </w:t>
      </w:r>
      <w:r>
        <w:rPr>
          <w:b/>
          <w:noProof/>
        </w:rPr>
        <w:t>Västafrika</w:t>
      </w:r>
      <w:r>
        <w:rPr>
          <w:noProof/>
        </w:rPr>
        <w:t xml:space="preserve"> gjordes förberedelser för att bevilja Ghana och Elfenbenskusten medel från det regionala programmet för ökad konkurrenskraft. Det kommer att omfatta särskilda aktiviteter för att genomföra avtalet om ekonomiskt partnerskap. </w:t>
      </w:r>
    </w:p>
    <w:p w:rsidR="00CA65E6" w:rsidRDefault="00CB294D">
      <w:pPr>
        <w:rPr>
          <w:noProof/>
        </w:rPr>
      </w:pPr>
      <w:r>
        <w:rPr>
          <w:noProof/>
        </w:rPr>
        <w:t xml:space="preserve">I </w:t>
      </w:r>
      <w:r>
        <w:rPr>
          <w:b/>
          <w:noProof/>
        </w:rPr>
        <w:t>Centralafrika</w:t>
      </w:r>
      <w:r>
        <w:rPr>
          <w:noProof/>
        </w:rPr>
        <w:t xml:space="preserve"> har Kamerun undersökt hur landets andel av de regionala bidragen på 211 miljoner euro för regional integration kan användas på bästa sätt.</w:t>
      </w:r>
    </w:p>
    <w:p w:rsidR="00CA65E6" w:rsidRDefault="00CB294D">
      <w:pPr>
        <w:rPr>
          <w:noProof/>
        </w:rPr>
      </w:pPr>
      <w:r>
        <w:rPr>
          <w:noProof/>
        </w:rPr>
        <w:t xml:space="preserve">I </w:t>
      </w:r>
      <w:r>
        <w:rPr>
          <w:b/>
          <w:noProof/>
        </w:rPr>
        <w:t>AVS-länderna</w:t>
      </w:r>
      <w:r>
        <w:rPr>
          <w:noProof/>
        </w:rPr>
        <w:t xml:space="preserve"> i allmänhet har EU särskilt försökt att stimulera handeln och investeringarna inom den jordbruksbaserade livsmedelsindustrin, så att länderna kan få ut mesta möjliga av avtalen om ekonomiskt partnerskap. </w:t>
      </w:r>
    </w:p>
    <w:p w:rsidR="00CA65E6" w:rsidRDefault="00CB294D">
      <w:pPr>
        <w:pStyle w:val="Heading2"/>
        <w:rPr>
          <w:noProof/>
        </w:rPr>
      </w:pPr>
      <w:bookmarkStart w:id="74" w:name="_Toc494126135"/>
      <w:bookmarkStart w:id="75" w:name="_Toc497132369"/>
      <w:r>
        <w:rPr>
          <w:noProof/>
        </w:rPr>
        <w:t>Institutionell verksamhet</w:t>
      </w:r>
      <w:bookmarkEnd w:id="74"/>
      <w:bookmarkEnd w:id="75"/>
      <w:r>
        <w:rPr>
          <w:noProof/>
        </w:rPr>
        <w:t xml:space="preserve"> </w:t>
      </w:r>
    </w:p>
    <w:p w:rsidR="00CA65E6" w:rsidRDefault="00CB294D">
      <w:pPr>
        <w:spacing w:after="0"/>
        <w:rPr>
          <w:noProof/>
        </w:rPr>
      </w:pPr>
      <w:r>
        <w:rPr>
          <w:noProof/>
        </w:rPr>
        <w:t>Det har pågått omfattande verksamhet inom de institutioner som berörs av de avtal om ekonomiskt partnerskap som ingår i denna rapport.</w:t>
      </w:r>
    </w:p>
    <w:p w:rsidR="00CA65E6" w:rsidRDefault="00CB294D">
      <w:pPr>
        <w:pStyle w:val="ListParagraph"/>
        <w:numPr>
          <w:ilvl w:val="0"/>
          <w:numId w:val="41"/>
        </w:numPr>
        <w:spacing w:after="0" w:line="240" w:lineRule="auto"/>
        <w:rPr>
          <w:noProof/>
        </w:rPr>
      </w:pPr>
      <w:r>
        <w:rPr>
          <w:b/>
          <w:noProof/>
        </w:rPr>
        <w:t>Förvaltningsorganen för avtalen om ekonomiskt partnerskap</w:t>
      </w:r>
      <w:r>
        <w:rPr>
          <w:noProof/>
        </w:rPr>
        <w:t xml:space="preserve"> i Cariforumländerna, Kamerun och östra och södra Afrika (men inte i Stillahavsområdet) höll sina årliga sammanträden.</w:t>
      </w:r>
    </w:p>
    <w:p w:rsidR="00CA65E6" w:rsidRDefault="00CB294D">
      <w:pPr>
        <w:pStyle w:val="ListParagraph"/>
        <w:numPr>
          <w:ilvl w:val="0"/>
          <w:numId w:val="41"/>
        </w:numPr>
        <w:spacing w:after="240" w:line="240" w:lineRule="auto"/>
        <w:ind w:left="357" w:hanging="357"/>
        <w:contextualSpacing w:val="0"/>
        <w:rPr>
          <w:noProof/>
        </w:rPr>
      </w:pPr>
      <w:r>
        <w:rPr>
          <w:b/>
          <w:noProof/>
        </w:rPr>
        <w:t>Företrädare för civilsamhället</w:t>
      </w:r>
      <w:r>
        <w:rPr>
          <w:noProof/>
        </w:rPr>
        <w:t xml:space="preserve"> deltog vid det andra sammanträdet i den gemensamma rådgivande kommittén EU–Cariforum för avtalen om ekonomiskt partnerskap (Bryssel, april 2016).</w:t>
      </w:r>
    </w:p>
    <w:p w:rsidR="00CA65E6" w:rsidRDefault="00CB294D">
      <w:pPr>
        <w:rPr>
          <w:b/>
          <w:smallCaps/>
          <w:noProof/>
        </w:rPr>
      </w:pPr>
      <w:r>
        <w:rPr>
          <w:noProof/>
        </w:rPr>
        <w:t>Mer information om dessa sammanträden finns i det arbetsdokument från kommissionens avdelningar som kompletterar denna rapport.</w:t>
      </w:r>
    </w:p>
    <w:p w:rsidR="00CA65E6" w:rsidRDefault="00CB294D">
      <w:pPr>
        <w:pStyle w:val="Heading1"/>
        <w:rPr>
          <w:noProof/>
        </w:rPr>
      </w:pPr>
      <w:bookmarkStart w:id="76" w:name="_Toc493510427"/>
      <w:bookmarkStart w:id="77" w:name="_Toc493510806"/>
      <w:bookmarkStart w:id="78" w:name="_Toc494126136"/>
      <w:bookmarkStart w:id="79" w:name="_Toc497132370"/>
      <w:r>
        <w:rPr>
          <w:noProof/>
        </w:rPr>
        <w:t>”Första generationens” frihandelsavtal</w:t>
      </w:r>
      <w:bookmarkEnd w:id="76"/>
      <w:bookmarkEnd w:id="77"/>
      <w:bookmarkEnd w:id="78"/>
      <w:bookmarkEnd w:id="79"/>
      <w:r>
        <w:rPr>
          <w:noProof/>
        </w:rPr>
        <w:t xml:space="preserve"> </w:t>
      </w:r>
    </w:p>
    <w:p w:rsidR="00CA65E6" w:rsidRDefault="00CB294D">
      <w:pPr>
        <w:rPr>
          <w:noProof/>
        </w:rPr>
      </w:pPr>
      <w:r>
        <w:rPr>
          <w:noProof/>
        </w:rPr>
        <w:t xml:space="preserve">EU slöt den ”första generationens” frihandelsavtal före 2006 års </w:t>
      </w:r>
      <w:r>
        <w:rPr>
          <w:b/>
          <w:noProof/>
        </w:rPr>
        <w:t>meddelande Ett konkurrenskraftigt Europa i världen</w:t>
      </w:r>
      <w:r>
        <w:rPr>
          <w:noProof/>
        </w:rPr>
        <w:t xml:space="preserve">. Dessa frihandelsavtal omfattar för det mesta enbart handel med varor, och till och med jordbruksprodukter har oftast bara lagts till i ett senare skede. </w:t>
      </w:r>
    </w:p>
    <w:p w:rsidR="00CA65E6" w:rsidRDefault="00CB294D">
      <w:pPr>
        <w:spacing w:after="0"/>
        <w:rPr>
          <w:noProof/>
        </w:rPr>
      </w:pPr>
      <w:r>
        <w:rPr>
          <w:noProof/>
        </w:rPr>
        <w:t>Frihandelsavtalen i denna kategori är relativt olika och omfattar bland annat</w:t>
      </w:r>
    </w:p>
    <w:p w:rsidR="00CA65E6" w:rsidRDefault="00CB294D">
      <w:pPr>
        <w:pStyle w:val="ListParagraph"/>
        <w:numPr>
          <w:ilvl w:val="0"/>
          <w:numId w:val="26"/>
        </w:numPr>
        <w:spacing w:after="0" w:line="240" w:lineRule="auto"/>
        <w:rPr>
          <w:noProof/>
        </w:rPr>
      </w:pPr>
      <w:r>
        <w:rPr>
          <w:noProof/>
        </w:rPr>
        <w:t xml:space="preserve">tullunionen med Turkiet, </w:t>
      </w:r>
    </w:p>
    <w:p w:rsidR="00CA65E6" w:rsidRDefault="00CB294D">
      <w:pPr>
        <w:pStyle w:val="ListParagraph"/>
        <w:numPr>
          <w:ilvl w:val="0"/>
          <w:numId w:val="26"/>
        </w:numPr>
        <w:spacing w:after="0" w:line="240" w:lineRule="auto"/>
        <w:rPr>
          <w:noProof/>
        </w:rPr>
      </w:pPr>
      <w:r>
        <w:rPr>
          <w:noProof/>
        </w:rPr>
        <w:t>frihandelsavtalen med Island, Norge</w:t>
      </w:r>
      <w:r>
        <w:rPr>
          <w:rStyle w:val="FootnoteReference"/>
          <w:noProof/>
        </w:rPr>
        <w:footnoteReference w:id="11"/>
      </w:r>
      <w:r>
        <w:rPr>
          <w:noProof/>
        </w:rPr>
        <w:t xml:space="preserve"> och Schweiz från 1970-talet, </w:t>
      </w:r>
    </w:p>
    <w:p w:rsidR="00CA65E6" w:rsidRDefault="00CB294D">
      <w:pPr>
        <w:pStyle w:val="ListParagraph"/>
        <w:numPr>
          <w:ilvl w:val="0"/>
          <w:numId w:val="26"/>
        </w:numPr>
        <w:spacing w:after="0" w:line="240" w:lineRule="auto"/>
        <w:rPr>
          <w:noProof/>
        </w:rPr>
      </w:pPr>
      <w:r>
        <w:rPr>
          <w:noProof/>
        </w:rPr>
        <w:t>frihandelsavtalen med Färöarna, Mexiko, Chile och Sydafrika,</w:t>
      </w:r>
    </w:p>
    <w:p w:rsidR="00CA65E6" w:rsidRDefault="00CB294D">
      <w:pPr>
        <w:pStyle w:val="ListParagraph"/>
        <w:numPr>
          <w:ilvl w:val="0"/>
          <w:numId w:val="26"/>
        </w:numPr>
        <w:spacing w:after="240" w:line="240" w:lineRule="auto"/>
        <w:ind w:left="357" w:hanging="357"/>
        <w:contextualSpacing w:val="0"/>
        <w:rPr>
          <w:noProof/>
        </w:rPr>
      </w:pPr>
      <w:r>
        <w:rPr>
          <w:noProof/>
        </w:rPr>
        <w:t>frihandelsavtalen med EU:s partnerländer i Medelhavsområdet</w:t>
      </w:r>
      <w:r>
        <w:rPr>
          <w:rStyle w:val="FootnoteReference"/>
          <w:noProof/>
        </w:rPr>
        <w:footnoteReference w:id="12"/>
      </w:r>
      <w:r>
        <w:rPr>
          <w:noProof/>
        </w:rPr>
        <w:t xml:space="preserve"> som ingår i associeringsavtal som slöts med dessa länder på 1990-talet.</w:t>
      </w:r>
      <w:r>
        <w:rPr>
          <w:rStyle w:val="FootnoteReference"/>
          <w:noProof/>
        </w:rPr>
        <w:footnoteReference w:id="13"/>
      </w:r>
    </w:p>
    <w:p w:rsidR="00CA65E6" w:rsidRDefault="00CB294D">
      <w:pPr>
        <w:rPr>
          <w:noProof/>
        </w:rPr>
      </w:pPr>
      <w:r>
        <w:rPr>
          <w:noProof/>
        </w:rPr>
        <w:t xml:space="preserve">Det finns </w:t>
      </w:r>
      <w:r>
        <w:rPr>
          <w:b/>
          <w:noProof/>
        </w:rPr>
        <w:t>planer på att uppgradera</w:t>
      </w:r>
      <w:r>
        <w:rPr>
          <w:noProof/>
        </w:rPr>
        <w:t xml:space="preserve"> de flesta av dessa frihandelsavtal till heltäckande avtal som är bättre anpassade till dagens mer komplexa ekonomiska förbindelser mellan EU och dess partner. Förhandlingar pågår om att uppgradera frihandelsavtalet med </w:t>
      </w:r>
      <w:r>
        <w:rPr>
          <w:b/>
          <w:noProof/>
        </w:rPr>
        <w:t>Mexiko</w:t>
      </w:r>
      <w:r>
        <w:rPr>
          <w:noProof/>
        </w:rPr>
        <w:t xml:space="preserve">, och förhandlingar har också inletts med </w:t>
      </w:r>
      <w:r>
        <w:rPr>
          <w:b/>
          <w:noProof/>
        </w:rPr>
        <w:t>Marocko</w:t>
      </w:r>
      <w:r>
        <w:rPr>
          <w:noProof/>
        </w:rPr>
        <w:t xml:space="preserve"> och </w:t>
      </w:r>
      <w:r>
        <w:rPr>
          <w:b/>
          <w:noProof/>
        </w:rPr>
        <w:t>Tunisien</w:t>
      </w:r>
      <w:r>
        <w:rPr>
          <w:noProof/>
        </w:rPr>
        <w:t xml:space="preserve">. Man har dessutom börjat planera förhandlingar om modernisering av tullunionen med </w:t>
      </w:r>
      <w:r>
        <w:rPr>
          <w:b/>
          <w:noProof/>
        </w:rPr>
        <w:t>Turkiet</w:t>
      </w:r>
      <w:r>
        <w:rPr>
          <w:noProof/>
        </w:rPr>
        <w:t xml:space="preserve"> och frihandelsavtalet med </w:t>
      </w:r>
      <w:r>
        <w:rPr>
          <w:b/>
          <w:noProof/>
        </w:rPr>
        <w:t>Chile</w:t>
      </w:r>
      <w:r>
        <w:rPr>
          <w:noProof/>
        </w:rPr>
        <w:t xml:space="preserve">. Frihandelsavtalet med </w:t>
      </w:r>
      <w:r>
        <w:rPr>
          <w:b/>
          <w:noProof/>
        </w:rPr>
        <w:t>Sydafrika</w:t>
      </w:r>
      <w:r>
        <w:rPr>
          <w:noProof/>
        </w:rPr>
        <w:t xml:space="preserve"> har ersatts av avtalet om ekonomiskt partnerskap med Södra Afrikas utvecklingsgemenskap. </w:t>
      </w:r>
    </w:p>
    <w:tbl>
      <w:tblPr>
        <w:tblStyle w:val="TableGrid5"/>
        <w:tblW w:w="0" w:type="auto"/>
        <w:tblInd w:w="108" w:type="dxa"/>
        <w:tblBorders>
          <w:insideH w:val="none" w:sz="0" w:space="0" w:color="auto"/>
        </w:tblBorders>
        <w:tblLook w:val="04A0" w:firstRow="1" w:lastRow="0" w:firstColumn="1" w:lastColumn="0" w:noHBand="0" w:noVBand="1"/>
      </w:tblPr>
      <w:tblGrid>
        <w:gridCol w:w="8647"/>
      </w:tblGrid>
      <w:tr w:rsidR="00CA65E6">
        <w:tc>
          <w:tcPr>
            <w:tcW w:w="8647" w:type="dxa"/>
          </w:tcPr>
          <w:p w:rsidR="00CA65E6" w:rsidRDefault="00CB294D">
            <w:pPr>
              <w:rPr>
                <w:rFonts w:ascii="Times New Roman" w:hAnsi="Times New Roman" w:cs="Times New Roman"/>
                <w:b/>
                <w:bCs/>
                <w:noProof/>
                <w:sz w:val="27"/>
                <w:szCs w:val="27"/>
              </w:rPr>
            </w:pPr>
            <w:r>
              <w:rPr>
                <w:b/>
                <w:noProof/>
              </w:rPr>
              <w:t>Traditionell italiensk pasta faller sydafrikanerna i smaken</w:t>
            </w:r>
          </w:p>
        </w:tc>
      </w:tr>
      <w:tr w:rsidR="00CA65E6">
        <w:tc>
          <w:tcPr>
            <w:tcW w:w="8647" w:type="dxa"/>
          </w:tcPr>
          <w:p w:rsidR="00CA65E6" w:rsidRDefault="00CB294D">
            <w:pPr>
              <w:rPr>
                <w:noProof/>
              </w:rPr>
            </w:pPr>
            <w:r>
              <w:rPr>
                <w:noProof/>
              </w:rPr>
              <w:t>Familjeföretaget Pasta Astorino från Kalabrien tillverkar och säljer pasta i Italien och andra länder. Handelsavtalet mellan EU och Sydafrika trädde i kraft år 2000. Sedan dess har den europeiska pastaexporten till Sydafrika ökat stort, både i värde (43 %) och volym (67 %).</w:t>
            </w:r>
          </w:p>
          <w:p w:rsidR="00CA65E6" w:rsidRDefault="00CB294D">
            <w:pPr>
              <w:rPr>
                <w:rFonts w:ascii="Times New Roman" w:hAnsi="Times New Roman" w:cs="Times New Roman"/>
                <w:noProof/>
              </w:rPr>
            </w:pPr>
            <w:r>
              <w:rPr>
                <w:noProof/>
              </w:rPr>
              <w:t>Tack vare handelsavtalet mellan EU och Sydafrika började Pasta Astorino handla med Sydafrika, och under 2015 exporterade de ett ton pasta. Företagets lokala underleverantörer har också dragit nytta av EU:s handelsavtal.</w:t>
            </w:r>
          </w:p>
        </w:tc>
      </w:tr>
    </w:tbl>
    <w:p w:rsidR="00CA65E6" w:rsidRDefault="00CB294D">
      <w:pPr>
        <w:pStyle w:val="Heading2"/>
        <w:spacing w:before="240"/>
        <w:ind w:left="1202"/>
        <w:rPr>
          <w:noProof/>
        </w:rPr>
      </w:pPr>
      <w:bookmarkStart w:id="80" w:name="_Toc493698586"/>
      <w:bookmarkStart w:id="81" w:name="_Toc493510428"/>
      <w:bookmarkStart w:id="82" w:name="_Toc493510807"/>
      <w:bookmarkStart w:id="83" w:name="_Toc494126137"/>
      <w:bookmarkStart w:id="84" w:name="_Toc497132371"/>
      <w:bookmarkEnd w:id="80"/>
      <w:r>
        <w:rPr>
          <w:noProof/>
        </w:rPr>
        <w:t>Handelsflöden</w:t>
      </w:r>
      <w:bookmarkEnd w:id="81"/>
      <w:bookmarkEnd w:id="82"/>
      <w:bookmarkEnd w:id="83"/>
      <w:bookmarkEnd w:id="84"/>
      <w:r>
        <w:rPr>
          <w:noProof/>
        </w:rPr>
        <w:t xml:space="preserve"> </w:t>
      </w:r>
    </w:p>
    <w:p w:rsidR="00CA65E6" w:rsidRDefault="00CB294D">
      <w:pPr>
        <w:rPr>
          <w:noProof/>
        </w:rPr>
      </w:pPr>
      <w:r>
        <w:rPr>
          <w:noProof/>
        </w:rPr>
        <w:t xml:space="preserve">Den allmänna handelsutvecklingen kan sägas vara positiv, eftersom handeln i båda riktningar har ökat i samtliga fall där frihandelsavtal har slutits. </w:t>
      </w:r>
    </w:p>
    <w:p w:rsidR="00CA65E6" w:rsidRDefault="00CB294D">
      <w:pPr>
        <w:pStyle w:val="Heading3"/>
        <w:rPr>
          <w:noProof/>
        </w:rPr>
      </w:pPr>
      <w:r>
        <w:rPr>
          <w:noProof/>
        </w:rPr>
        <w:t xml:space="preserve">Schweiz </w:t>
      </w:r>
    </w:p>
    <w:p w:rsidR="00CA65E6" w:rsidRDefault="00CB294D">
      <w:pPr>
        <w:rPr>
          <w:noProof/>
        </w:rPr>
      </w:pPr>
      <w:r>
        <w:rPr>
          <w:noProof/>
        </w:rPr>
        <w:t xml:space="preserve">Schweiz är EU:s tredje största handelspartner, och både </w:t>
      </w:r>
      <w:r>
        <w:rPr>
          <w:b/>
          <w:noProof/>
        </w:rPr>
        <w:t>EU:s export</w:t>
      </w:r>
      <w:r>
        <w:rPr>
          <w:noProof/>
        </w:rPr>
        <w:t xml:space="preserve"> dit </w:t>
      </w:r>
      <w:r>
        <w:rPr>
          <w:b/>
          <w:noProof/>
        </w:rPr>
        <w:t>och import</w:t>
      </w:r>
      <w:r>
        <w:rPr>
          <w:noProof/>
        </w:rPr>
        <w:t xml:space="preserve"> därifrån har ökat med 96 % sedan 2002.</w:t>
      </w:r>
    </w:p>
    <w:p w:rsidR="00CA65E6" w:rsidRDefault="00CB294D">
      <w:pPr>
        <w:pStyle w:val="Heading3"/>
        <w:rPr>
          <w:noProof/>
        </w:rPr>
      </w:pPr>
      <w:r>
        <w:rPr>
          <w:noProof/>
        </w:rPr>
        <w:t xml:space="preserve">Turkiet </w:t>
      </w:r>
    </w:p>
    <w:p w:rsidR="00CA65E6" w:rsidRDefault="00CB294D">
      <w:pPr>
        <w:rPr>
          <w:noProof/>
        </w:rPr>
      </w:pPr>
      <w:r>
        <w:rPr>
          <w:noProof/>
        </w:rPr>
        <w:t xml:space="preserve">Turkiet är EU:s femte största handelspartner. Under tillämpningsperioden har </w:t>
      </w:r>
      <w:r>
        <w:rPr>
          <w:b/>
          <w:noProof/>
        </w:rPr>
        <w:t>EU:s export</w:t>
      </w:r>
      <w:r>
        <w:rPr>
          <w:noProof/>
        </w:rPr>
        <w:t xml:space="preserve"> till Turkiet </w:t>
      </w:r>
      <w:r>
        <w:rPr>
          <w:b/>
          <w:noProof/>
        </w:rPr>
        <w:t>ökat</w:t>
      </w:r>
      <w:r>
        <w:rPr>
          <w:noProof/>
        </w:rPr>
        <w:t xml:space="preserve"> med 185 % och importen med 160 %. EU:s export till Turkiet har emellertid varit </w:t>
      </w:r>
      <w:r>
        <w:rPr>
          <w:b/>
          <w:noProof/>
        </w:rPr>
        <w:t>stabil sedan 2014</w:t>
      </w:r>
      <w:r>
        <w:rPr>
          <w:noProof/>
        </w:rPr>
        <w:t xml:space="preserve"> medan importen fortsätter att växa, vilket har lett till en minskning i EU:s handelsbalans från 20 miljarder euro till 10 miljarder euro. </w:t>
      </w:r>
    </w:p>
    <w:p w:rsidR="00CA65E6" w:rsidRDefault="00CB294D">
      <w:pPr>
        <w:pStyle w:val="Heading3"/>
        <w:rPr>
          <w:noProof/>
        </w:rPr>
      </w:pPr>
      <w:r>
        <w:rPr>
          <w:noProof/>
        </w:rPr>
        <w:t xml:space="preserve">Chile </w:t>
      </w:r>
    </w:p>
    <w:p w:rsidR="00CA65E6" w:rsidRDefault="00CB294D">
      <w:pPr>
        <w:rPr>
          <w:noProof/>
        </w:rPr>
      </w:pPr>
      <w:r>
        <w:rPr>
          <w:noProof/>
        </w:rPr>
        <w:t xml:space="preserve">När det gäller Chile har EU:s export ökat med 170 % sedan 2002, vilket är nästan tre gånger så mycket som importen, som ökade med 50 % under denna period. På grund av de många frihandelsavtal som Chile slutit med andra handelspartner efter avtalet med EU har EU stegvis </w:t>
      </w:r>
      <w:r>
        <w:rPr>
          <w:b/>
          <w:noProof/>
        </w:rPr>
        <w:t>förlorat marknadsandelar i Chile</w:t>
      </w:r>
      <w:r>
        <w:rPr>
          <w:noProof/>
        </w:rPr>
        <w:t xml:space="preserve"> till andra handelspartner.</w:t>
      </w:r>
      <w:r>
        <w:rPr>
          <w:rStyle w:val="FootnoteReference"/>
          <w:noProof/>
        </w:rPr>
        <w:footnoteReference w:id="14"/>
      </w:r>
    </w:p>
    <w:tbl>
      <w:tblPr>
        <w:tblStyle w:val="TableGrid4"/>
        <w:tblW w:w="0" w:type="auto"/>
        <w:tblBorders>
          <w:insideH w:val="none" w:sz="0" w:space="0" w:color="auto"/>
        </w:tblBorders>
        <w:tblLook w:val="04A0" w:firstRow="1" w:lastRow="0" w:firstColumn="1" w:lastColumn="0" w:noHBand="0" w:noVBand="1"/>
      </w:tblPr>
      <w:tblGrid>
        <w:gridCol w:w="8833"/>
      </w:tblGrid>
      <w:tr w:rsidR="00CA65E6">
        <w:tc>
          <w:tcPr>
            <w:tcW w:w="8833" w:type="dxa"/>
          </w:tcPr>
          <w:p w:rsidR="00CA65E6" w:rsidRDefault="00CB294D">
            <w:pPr>
              <w:rPr>
                <w:rFonts w:ascii="Times New Roman" w:hAnsi="Times New Roman" w:cs="Times New Roman"/>
                <w:b/>
                <w:bCs/>
                <w:noProof/>
                <w:sz w:val="27"/>
                <w:szCs w:val="27"/>
              </w:rPr>
            </w:pPr>
            <w:r>
              <w:rPr>
                <w:b/>
                <w:noProof/>
              </w:rPr>
              <w:t>Österrikiskt bröd på mexikanska frukostbord</w:t>
            </w:r>
          </w:p>
        </w:tc>
      </w:tr>
      <w:tr w:rsidR="00CA65E6">
        <w:tc>
          <w:tcPr>
            <w:tcW w:w="8833" w:type="dxa"/>
          </w:tcPr>
          <w:p w:rsidR="00CA65E6" w:rsidRDefault="00CB294D">
            <w:pPr>
              <w:rPr>
                <w:rFonts w:ascii="Times New Roman" w:hAnsi="Times New Roman" w:cs="Times New Roman"/>
                <w:noProof/>
              </w:rPr>
            </w:pPr>
            <w:r>
              <w:rPr>
                <w:noProof/>
              </w:rPr>
              <w:t xml:space="preserve">Backaldrin är ett familjeföretag i Asten i Oberösterreich som tillverkar bakingredienser. Företaget uppfann Kornspitz-brödet och exporterar sina produkter till över 100 länder. Frihandelsavtalet mellan EU och Mexiko från 2001 hjälpte Backaldrin att få tillträde till den mexikanska marknaden. </w:t>
            </w:r>
          </w:p>
          <w:p w:rsidR="00CA65E6" w:rsidRDefault="00CB294D">
            <w:pPr>
              <w:rPr>
                <w:rFonts w:ascii="Times New Roman" w:hAnsi="Times New Roman" w:cs="Times New Roman"/>
                <w:noProof/>
              </w:rPr>
            </w:pPr>
            <w:r>
              <w:rPr>
                <w:noProof/>
              </w:rPr>
              <w:t>Företaget exporterar nu 80 % av sina produkter och tack vare den omfattande internationella handeln har man kunnat fortsätta att investera och anställa fler. År 2013 öppnade Backaldrin ett innovations- och teknikcentrum, och man planerar att utöka personalstyrkan med 50 högutbildade personer under den närmaste framtiden.</w:t>
            </w:r>
          </w:p>
        </w:tc>
      </w:tr>
    </w:tbl>
    <w:p w:rsidR="00CA65E6" w:rsidRDefault="00CB294D">
      <w:pPr>
        <w:pStyle w:val="Heading3"/>
        <w:spacing w:before="240"/>
        <w:ind w:left="1922"/>
        <w:rPr>
          <w:noProof/>
        </w:rPr>
      </w:pPr>
      <w:r>
        <w:rPr>
          <w:noProof/>
        </w:rPr>
        <w:t xml:space="preserve">Medelhavsländerna </w:t>
      </w:r>
    </w:p>
    <w:p w:rsidR="00CA65E6" w:rsidRDefault="00CB294D">
      <w:pPr>
        <w:rPr>
          <w:noProof/>
        </w:rPr>
      </w:pPr>
      <w:r>
        <w:rPr>
          <w:noProof/>
        </w:rPr>
        <w:t xml:space="preserve">Avtalen med Medelhavsländerna är avsedda att skapa </w:t>
      </w:r>
      <w:r>
        <w:rPr>
          <w:b/>
          <w:noProof/>
        </w:rPr>
        <w:t>ömsesidig liberalisering</w:t>
      </w:r>
      <w:r>
        <w:rPr>
          <w:noProof/>
        </w:rPr>
        <w:t xml:space="preserve"> av all handel med industriprodukter och, i olika hög grad, av handeln med jordbruksprodukter, bearbetade jordbruksprodukter och fiskeriprodukter. </w:t>
      </w:r>
    </w:p>
    <w:p w:rsidR="00CA65E6" w:rsidRDefault="00CB294D">
      <w:pPr>
        <w:rPr>
          <w:noProof/>
        </w:rPr>
      </w:pPr>
      <w:r>
        <w:rPr>
          <w:noProof/>
        </w:rPr>
        <w:t xml:space="preserve">De flesta av dessa avtal är </w:t>
      </w:r>
      <w:r>
        <w:rPr>
          <w:b/>
          <w:noProof/>
        </w:rPr>
        <w:t>delvis asymmetriska</w:t>
      </w:r>
      <w:r>
        <w:rPr>
          <w:noProof/>
        </w:rPr>
        <w:t xml:space="preserve"> och omfattar exempelvis långa övergångsperioder och/eller mindre långtgående liberalisering av handeln med jordbruksprodukter. Det ger Medelhavsländerna fördelar och är främst avsett att stödja utvecklingen i regionen och bättre integrera den i EU-marknaden.</w:t>
      </w:r>
    </w:p>
    <w:p w:rsidR="00CA65E6" w:rsidRDefault="00CB294D">
      <w:pPr>
        <w:rPr>
          <w:noProof/>
        </w:rPr>
      </w:pPr>
      <w:r>
        <w:rPr>
          <w:noProof/>
        </w:rPr>
        <w:t xml:space="preserve">EU är den största handelspartnern för de flesta av dessa länder. Medelhavsländerna är </w:t>
      </w:r>
      <w:r>
        <w:rPr>
          <w:b/>
          <w:noProof/>
        </w:rPr>
        <w:t>mycket beroende av EU</w:t>
      </w:r>
      <w:r>
        <w:rPr>
          <w:noProof/>
        </w:rPr>
        <w:t xml:space="preserve"> både för importer och exporter.</w:t>
      </w:r>
    </w:p>
    <w:p w:rsidR="00CA65E6" w:rsidRDefault="00CB294D">
      <w:pPr>
        <w:rPr>
          <w:noProof/>
        </w:rPr>
      </w:pPr>
      <w:r>
        <w:rPr>
          <w:b/>
          <w:noProof/>
        </w:rPr>
        <w:t>Handeln har ökat</w:t>
      </w:r>
      <w:r>
        <w:rPr>
          <w:noProof/>
        </w:rPr>
        <w:t xml:space="preserve"> på båda sidor, men i de flesta fall ökade exporten från EU snabbare än EU:s import från dessa länder. Undantaget är Marocko och Tunisien, vars export till EU har ökat mer än EU:s export till dessa länder sedan avtalen trädde i kraft. De länder som har gjort störst framsteg i fråga om </w:t>
      </w:r>
      <w:r>
        <w:rPr>
          <w:b/>
          <w:noProof/>
        </w:rPr>
        <w:t>strukturreformer</w:t>
      </w:r>
      <w:r>
        <w:rPr>
          <w:noProof/>
        </w:rPr>
        <w:t xml:space="preserve"> och </w:t>
      </w:r>
      <w:r>
        <w:rPr>
          <w:b/>
          <w:noProof/>
        </w:rPr>
        <w:t>diversifiering</w:t>
      </w:r>
      <w:r>
        <w:rPr>
          <w:noProof/>
        </w:rPr>
        <w:t xml:space="preserve">, t.ex. </w:t>
      </w:r>
      <w:r>
        <w:rPr>
          <w:b/>
          <w:noProof/>
        </w:rPr>
        <w:t>Marocko, Tunisien och Israel</w:t>
      </w:r>
      <w:r>
        <w:rPr>
          <w:noProof/>
        </w:rPr>
        <w:t xml:space="preserve">, har mindre och stabilare handelsunderskott. </w:t>
      </w:r>
    </w:p>
    <w:p w:rsidR="00CA65E6" w:rsidRDefault="00CB294D">
      <w:pPr>
        <w:rPr>
          <w:noProof/>
        </w:rPr>
      </w:pPr>
      <w:r>
        <w:rPr>
          <w:b/>
          <w:noProof/>
        </w:rPr>
        <w:t>Algeriet</w:t>
      </w:r>
      <w:r>
        <w:rPr>
          <w:noProof/>
        </w:rPr>
        <w:t xml:space="preserve"> är också ett specialfall, eftersom mer än 90 % av landets export till EU består av mineraliska bränslen, vilket ledde till ett årligt handelsöverskott fram till 2012. Sedan 2012 har värdet på denna export emellertid minskat betydligt på grund av </w:t>
      </w:r>
      <w:r>
        <w:rPr>
          <w:b/>
          <w:noProof/>
        </w:rPr>
        <w:t>den globala nedgången i oljepriserna</w:t>
      </w:r>
      <w:r>
        <w:rPr>
          <w:noProof/>
        </w:rPr>
        <w:t>. Sedan 2015 har Algeriet haft ett</w:t>
      </w:r>
      <w:r>
        <w:rPr>
          <w:b/>
          <w:noProof/>
        </w:rPr>
        <w:t xml:space="preserve"> handelsunderskott med EU</w:t>
      </w:r>
      <w:r>
        <w:rPr>
          <w:noProof/>
        </w:rPr>
        <w:t>.</w:t>
      </w:r>
    </w:p>
    <w:tbl>
      <w:tblPr>
        <w:tblStyle w:val="TableGrid"/>
        <w:tblW w:w="0" w:type="auto"/>
        <w:tblBorders>
          <w:insideH w:val="none" w:sz="0" w:space="0" w:color="auto"/>
        </w:tblBorders>
        <w:tblLook w:val="04A0" w:firstRow="1" w:lastRow="0" w:firstColumn="1" w:lastColumn="0" w:noHBand="0" w:noVBand="1"/>
      </w:tblPr>
      <w:tblGrid>
        <w:gridCol w:w="8833"/>
      </w:tblGrid>
      <w:tr w:rsidR="00CA65E6">
        <w:tc>
          <w:tcPr>
            <w:tcW w:w="8833" w:type="dxa"/>
          </w:tcPr>
          <w:p w:rsidR="00CA65E6" w:rsidRDefault="00CB294D">
            <w:pPr>
              <w:rPr>
                <w:rFonts w:ascii="Times New Roman" w:hAnsi="Times New Roman" w:cs="Times New Roman"/>
                <w:b/>
                <w:bCs/>
                <w:noProof/>
                <w:sz w:val="27"/>
                <w:szCs w:val="27"/>
              </w:rPr>
            </w:pPr>
            <w:r>
              <w:rPr>
                <w:b/>
                <w:noProof/>
              </w:rPr>
              <w:t>Spanska kex blir alltmer populära i Algeriet</w:t>
            </w:r>
          </w:p>
        </w:tc>
      </w:tr>
      <w:tr w:rsidR="00CA65E6">
        <w:tc>
          <w:tcPr>
            <w:tcW w:w="8833" w:type="dxa"/>
          </w:tcPr>
          <w:p w:rsidR="00CA65E6" w:rsidRDefault="00CB294D">
            <w:pPr>
              <w:rPr>
                <w:rFonts w:ascii="Times New Roman" w:hAnsi="Times New Roman" w:cs="Times New Roman"/>
                <w:noProof/>
              </w:rPr>
            </w:pPr>
            <w:r>
              <w:rPr>
                <w:noProof/>
              </w:rPr>
              <w:t xml:space="preserve">Galletas Gullón är en av Europas ledande kextillverkare. Företaget exporterar till över 100 länder. Genom handelsavtalet mellan EU och Algeriet, som trädde i kraft 2005, sänktes tullavgifterna som tidigare hade varit så höga som 30 %. Det gjorde det enklare för europeiska företag som Galletas Gullón att exportera sina varor dit. </w:t>
            </w:r>
          </w:p>
          <w:p w:rsidR="00CA65E6" w:rsidRDefault="00CB294D">
            <w:pPr>
              <w:rPr>
                <w:rFonts w:ascii="Times New Roman" w:hAnsi="Times New Roman" w:cs="Times New Roman"/>
                <w:noProof/>
              </w:rPr>
            </w:pPr>
            <w:r>
              <w:rPr>
                <w:noProof/>
              </w:rPr>
              <w:t>Under de senaste fem åren har Galletas Gullón ökat sin försäljning i Algeriet med 36 %, till ett värde av 2 miljoner euro 2015. Den fortsatta efterfrågan har gjort Galletas Gullón till den största kexexportören till Algeriet, vilket företaget inte tror skulle ha varit möjligt utan frihandelsavtalet.</w:t>
            </w:r>
          </w:p>
        </w:tc>
      </w:tr>
    </w:tbl>
    <w:p w:rsidR="00CA65E6" w:rsidRDefault="00CB294D">
      <w:pPr>
        <w:pStyle w:val="Heading2"/>
        <w:spacing w:before="240"/>
        <w:ind w:left="1202"/>
        <w:rPr>
          <w:noProof/>
        </w:rPr>
      </w:pPr>
      <w:bookmarkStart w:id="85" w:name="_Toc493698588"/>
      <w:bookmarkStart w:id="86" w:name="_Toc493510429"/>
      <w:bookmarkStart w:id="87" w:name="_Toc493510808"/>
      <w:bookmarkStart w:id="88" w:name="_Toc494126138"/>
      <w:bookmarkStart w:id="89" w:name="_Toc497132372"/>
      <w:bookmarkEnd w:id="85"/>
      <w:r>
        <w:rPr>
          <w:noProof/>
        </w:rPr>
        <w:t>Tullkvoter</w:t>
      </w:r>
      <w:bookmarkEnd w:id="86"/>
      <w:bookmarkEnd w:id="87"/>
      <w:bookmarkEnd w:id="88"/>
      <w:bookmarkEnd w:id="89"/>
      <w:r>
        <w:rPr>
          <w:noProof/>
        </w:rPr>
        <w:t xml:space="preserve"> </w:t>
      </w:r>
    </w:p>
    <w:p w:rsidR="00CA65E6" w:rsidRDefault="00CB294D">
      <w:pPr>
        <w:rPr>
          <w:noProof/>
        </w:rPr>
      </w:pPr>
      <w:r>
        <w:rPr>
          <w:noProof/>
        </w:rPr>
        <w:t xml:space="preserve">I allmänhet </w:t>
      </w:r>
      <w:r>
        <w:rPr>
          <w:b/>
          <w:noProof/>
        </w:rPr>
        <w:t>utnyttjas tullkvoterna inte i någon större utsträckning</w:t>
      </w:r>
      <w:r>
        <w:rPr>
          <w:noProof/>
        </w:rPr>
        <w:t xml:space="preserve">, eller används bara för ett begränsat antal produkter. Undantaget är Israel, som till största delen utnyttjar sina tullkvoter. Många av partnerländerna i Medelhavsområdet har svårt att exportera till EU:s marknad på grund av EU:s </w:t>
      </w:r>
      <w:r>
        <w:rPr>
          <w:b/>
          <w:noProof/>
        </w:rPr>
        <w:t>lagstiftningskrav</w:t>
      </w:r>
      <w:r>
        <w:rPr>
          <w:noProof/>
        </w:rPr>
        <w:t xml:space="preserve"> och standarder. I många fall uppfyller partnerländernas lagstiftning inte EU-kraven. </w:t>
      </w:r>
    </w:p>
    <w:p w:rsidR="00CA65E6" w:rsidRDefault="00CB294D">
      <w:pPr>
        <w:spacing w:after="0"/>
        <w:rPr>
          <w:noProof/>
        </w:rPr>
      </w:pPr>
      <w:r>
        <w:rPr>
          <w:noProof/>
        </w:rPr>
        <w:t xml:space="preserve">Medelhavsländernas ekonomi har också påverkats av </w:t>
      </w:r>
      <w:r>
        <w:rPr>
          <w:b/>
          <w:noProof/>
        </w:rPr>
        <w:t>den regionala instabiliteten</w:t>
      </w:r>
      <w:r>
        <w:rPr>
          <w:noProof/>
        </w:rPr>
        <w:t xml:space="preserve">. Exempel på svårigheter för dessa partnerländer är </w:t>
      </w:r>
    </w:p>
    <w:p w:rsidR="00CA65E6" w:rsidRDefault="00CB294D">
      <w:pPr>
        <w:pStyle w:val="ListParagraph"/>
        <w:numPr>
          <w:ilvl w:val="0"/>
          <w:numId w:val="27"/>
        </w:numPr>
        <w:spacing w:after="0" w:line="240" w:lineRule="auto"/>
        <w:rPr>
          <w:noProof/>
        </w:rPr>
      </w:pPr>
      <w:r>
        <w:rPr>
          <w:noProof/>
        </w:rPr>
        <w:t>stängning av traditionella handelsvägar,</w:t>
      </w:r>
    </w:p>
    <w:p w:rsidR="00CA65E6" w:rsidRDefault="00CB294D">
      <w:pPr>
        <w:pStyle w:val="ListParagraph"/>
        <w:numPr>
          <w:ilvl w:val="0"/>
          <w:numId w:val="27"/>
        </w:numPr>
        <w:spacing w:after="0" w:line="240" w:lineRule="auto"/>
        <w:rPr>
          <w:noProof/>
        </w:rPr>
      </w:pPr>
      <w:r>
        <w:rPr>
          <w:noProof/>
        </w:rPr>
        <w:t>politiska svårigheter,</w:t>
      </w:r>
    </w:p>
    <w:p w:rsidR="00CA65E6" w:rsidRDefault="00CB294D">
      <w:pPr>
        <w:pStyle w:val="ListParagraph"/>
        <w:numPr>
          <w:ilvl w:val="0"/>
          <w:numId w:val="27"/>
        </w:numPr>
        <w:spacing w:after="0" w:line="240" w:lineRule="auto"/>
        <w:rPr>
          <w:noProof/>
        </w:rPr>
      </w:pPr>
      <w:r>
        <w:rPr>
          <w:noProof/>
        </w:rPr>
        <w:t xml:space="preserve">det stora antalet flyktingar, och </w:t>
      </w:r>
    </w:p>
    <w:p w:rsidR="00CA65E6" w:rsidRDefault="00CB294D">
      <w:pPr>
        <w:pStyle w:val="ListParagraph"/>
        <w:numPr>
          <w:ilvl w:val="0"/>
          <w:numId w:val="27"/>
        </w:numPr>
        <w:spacing w:after="240" w:line="240" w:lineRule="auto"/>
        <w:ind w:left="357" w:hanging="357"/>
        <w:contextualSpacing w:val="0"/>
        <w:rPr>
          <w:noProof/>
        </w:rPr>
      </w:pPr>
      <w:r>
        <w:rPr>
          <w:noProof/>
        </w:rPr>
        <w:t>svårigheter att attrahera utländska investeringar på grund av den instabila situationen.</w:t>
      </w:r>
    </w:p>
    <w:p w:rsidR="00CA65E6" w:rsidRDefault="00CB294D">
      <w:pPr>
        <w:rPr>
          <w:noProof/>
          <w:szCs w:val="24"/>
        </w:rPr>
      </w:pPr>
      <w:r>
        <w:rPr>
          <w:noProof/>
        </w:rPr>
        <w:t xml:space="preserve">Effekterna av </w:t>
      </w:r>
      <w:r>
        <w:rPr>
          <w:b/>
          <w:noProof/>
        </w:rPr>
        <w:t>den syriska flyktingkrisen</w:t>
      </w:r>
      <w:r>
        <w:rPr>
          <w:noProof/>
        </w:rPr>
        <w:t xml:space="preserve"> känns av särskilt starkt i små och sårbara ekonomier såsom Jordanien och Libanon. EU håller på att undersöka olika sätt att stärka det ekonomiska samarbetet och det handelsrelaterade stödet för att hjälpa Medelhavsländerna att dra större fördel av handelsliberaliseringen med EU. Initiativet för </w:t>
      </w:r>
      <w:r>
        <w:rPr>
          <w:b/>
          <w:noProof/>
        </w:rPr>
        <w:t>förenklade ursprungsregler</w:t>
      </w:r>
      <w:r>
        <w:rPr>
          <w:noProof/>
        </w:rPr>
        <w:t xml:space="preserve"> som genomfördes med</w:t>
      </w:r>
      <w:r>
        <w:rPr>
          <w:b/>
          <w:noProof/>
        </w:rPr>
        <w:t xml:space="preserve"> Jordanien</w:t>
      </w:r>
      <w:r>
        <w:rPr>
          <w:noProof/>
        </w:rPr>
        <w:t xml:space="preserve"> i juli 2016 föranleddes av arbetslösheten bland syriska flyktingar. Det är ett exempel på EU:s vilja att anpassa sig till de särskilda utmaningar som dess partner runt Medelhavet står inför.</w:t>
      </w:r>
    </w:p>
    <w:p w:rsidR="00CA65E6" w:rsidRDefault="00CB294D">
      <w:pPr>
        <w:pStyle w:val="Heading2"/>
        <w:rPr>
          <w:noProof/>
        </w:rPr>
      </w:pPr>
      <w:bookmarkStart w:id="90" w:name="_Toc493510430"/>
      <w:bookmarkStart w:id="91" w:name="_Toc493510809"/>
      <w:bookmarkStart w:id="92" w:name="_Toc494126139"/>
      <w:bookmarkStart w:id="93" w:name="_Toc497132373"/>
      <w:r>
        <w:rPr>
          <w:noProof/>
        </w:rPr>
        <w:t>Utnyttjande av förmånstullar</w:t>
      </w:r>
      <w:bookmarkEnd w:id="90"/>
      <w:bookmarkEnd w:id="91"/>
      <w:bookmarkEnd w:id="92"/>
      <w:bookmarkEnd w:id="93"/>
      <w:r>
        <w:rPr>
          <w:noProof/>
        </w:rPr>
        <w:t xml:space="preserve"> </w:t>
      </w:r>
    </w:p>
    <w:p w:rsidR="00CA65E6" w:rsidRDefault="00CB294D">
      <w:pPr>
        <w:rPr>
          <w:noProof/>
        </w:rPr>
      </w:pPr>
      <w:r>
        <w:rPr>
          <w:noProof/>
        </w:rPr>
        <w:t xml:space="preserve">Förmånstullar för EU-exporter är inte tillgängliga för alla länder. De tullavgifter som erbjuds är emellertid mycket lägre för export från EU än för import till EU från länder som har slutit frihandelsavtal med EU. Utnyttjandet av förmånstullarna för partnerländerna med den </w:t>
      </w:r>
      <w:r>
        <w:rPr>
          <w:b/>
          <w:noProof/>
        </w:rPr>
        <w:t>”första generationens” frihandelsavtal</w:t>
      </w:r>
      <w:r>
        <w:rPr>
          <w:noProof/>
        </w:rPr>
        <w:t xml:space="preserve"> varierar mellan 96 % (import från Tunisien och Egypten) och 66 % (import från Norge). Den genomsnittliga nivån ligger på 84 %. För </w:t>
      </w:r>
      <w:r>
        <w:rPr>
          <w:b/>
          <w:noProof/>
        </w:rPr>
        <w:t>exporter från EU</w:t>
      </w:r>
      <w:r>
        <w:rPr>
          <w:noProof/>
        </w:rPr>
        <w:t xml:space="preserve"> är nivån från 74 % (export till Libanon och Chile) till 23,5 % (export till Tunisien), med ett genomsnitt på 53 %.</w:t>
      </w:r>
    </w:p>
    <w:p w:rsidR="00CA65E6" w:rsidRDefault="00CB294D">
      <w:pPr>
        <w:pStyle w:val="Heading2"/>
        <w:rPr>
          <w:noProof/>
        </w:rPr>
      </w:pPr>
      <w:bookmarkStart w:id="94" w:name="_Toc493510431"/>
      <w:bookmarkStart w:id="95" w:name="_Toc493510810"/>
      <w:bookmarkStart w:id="96" w:name="_Toc494126140"/>
      <w:bookmarkStart w:id="97" w:name="_Toc497132374"/>
      <w:r>
        <w:rPr>
          <w:noProof/>
        </w:rPr>
        <w:t>Tjänster och investeringar</w:t>
      </w:r>
      <w:bookmarkEnd w:id="94"/>
      <w:bookmarkEnd w:id="95"/>
      <w:bookmarkEnd w:id="96"/>
      <w:bookmarkEnd w:id="97"/>
      <w:r>
        <w:rPr>
          <w:noProof/>
        </w:rPr>
        <w:t xml:space="preserve"> </w:t>
      </w:r>
    </w:p>
    <w:p w:rsidR="00CA65E6" w:rsidRDefault="00CB294D">
      <w:pPr>
        <w:spacing w:after="120"/>
        <w:rPr>
          <w:noProof/>
        </w:rPr>
      </w:pPr>
      <w:r>
        <w:rPr>
          <w:noProof/>
        </w:rPr>
        <w:t xml:space="preserve">I de flesta fall är EU antingen den största eller en av de största partnerna i fråga om tjänstehandel och investeringar i samtliga berörda länder, och utvecklingen på båda dessa områden har i allmänhet varit </w:t>
      </w:r>
      <w:r>
        <w:rPr>
          <w:b/>
          <w:noProof/>
        </w:rPr>
        <w:t>positiv</w:t>
      </w:r>
      <w:r>
        <w:rPr>
          <w:noProof/>
        </w:rPr>
        <w:t xml:space="preserve">. På senare år har emellertid den generella utvecklingen, i synnerhet i Medelhavsområdet, påverkat en del länders tjänstehandel, särskilt deras </w:t>
      </w:r>
      <w:r>
        <w:rPr>
          <w:b/>
          <w:noProof/>
        </w:rPr>
        <w:t>turism</w:t>
      </w:r>
      <w:r>
        <w:rPr>
          <w:noProof/>
        </w:rPr>
        <w:t>.</w:t>
      </w:r>
    </w:p>
    <w:p w:rsidR="00CA65E6" w:rsidRDefault="00CB294D">
      <w:pPr>
        <w:pStyle w:val="Heading3"/>
        <w:rPr>
          <w:noProof/>
        </w:rPr>
      </w:pPr>
      <w:r>
        <w:rPr>
          <w:noProof/>
        </w:rPr>
        <w:t xml:space="preserve">Chile </w:t>
      </w:r>
    </w:p>
    <w:p w:rsidR="00CA65E6" w:rsidRDefault="00CB294D">
      <w:pPr>
        <w:spacing w:after="120"/>
        <w:rPr>
          <w:rFonts w:eastAsia="Calibri"/>
          <w:noProof/>
          <w:szCs w:val="24"/>
        </w:rPr>
      </w:pPr>
      <w:r>
        <w:rPr>
          <w:noProof/>
        </w:rPr>
        <w:t xml:space="preserve">Tjänster omfattas inte av ”första generationens” frihandelsavtal, utom för Mexiko och Chile. </w:t>
      </w:r>
      <w:r>
        <w:rPr>
          <w:b/>
          <w:noProof/>
        </w:rPr>
        <w:t>EU:s export</w:t>
      </w:r>
      <w:r>
        <w:rPr>
          <w:noProof/>
        </w:rPr>
        <w:t xml:space="preserve"> av</w:t>
      </w:r>
      <w:r>
        <w:rPr>
          <w:b/>
          <w:noProof/>
        </w:rPr>
        <w:t xml:space="preserve"> tjänster</w:t>
      </w:r>
      <w:r>
        <w:rPr>
          <w:noProof/>
        </w:rPr>
        <w:t xml:space="preserve"> till Chile ökade med 27 % och importen ökade med 29 % mellan 2010 och 2015. </w:t>
      </w:r>
    </w:p>
    <w:p w:rsidR="00CA65E6" w:rsidRDefault="00CB294D">
      <w:pPr>
        <w:rPr>
          <w:noProof/>
        </w:rPr>
      </w:pPr>
      <w:r>
        <w:rPr>
          <w:noProof/>
        </w:rPr>
        <w:t xml:space="preserve">EU är den största </w:t>
      </w:r>
      <w:r>
        <w:rPr>
          <w:b/>
          <w:noProof/>
        </w:rPr>
        <w:t>investeraren</w:t>
      </w:r>
      <w:r>
        <w:rPr>
          <w:noProof/>
        </w:rPr>
        <w:t xml:space="preserve"> i Chile, men på senare år har EU-investeringarna minskat, möjligtvis på grund av </w:t>
      </w:r>
      <w:r>
        <w:rPr>
          <w:b/>
          <w:noProof/>
        </w:rPr>
        <w:t>krisen i Chiles gruvindustri</w:t>
      </w:r>
      <w:r>
        <w:rPr>
          <w:noProof/>
        </w:rPr>
        <w:t xml:space="preserve">. </w:t>
      </w:r>
    </w:p>
    <w:p w:rsidR="00CA65E6" w:rsidRDefault="00CB294D">
      <w:pPr>
        <w:pStyle w:val="Heading3"/>
        <w:rPr>
          <w:noProof/>
        </w:rPr>
      </w:pPr>
      <w:r>
        <w:rPr>
          <w:noProof/>
        </w:rPr>
        <w:t xml:space="preserve">Mexiko </w:t>
      </w:r>
    </w:p>
    <w:p w:rsidR="00CA65E6" w:rsidRDefault="00CB294D">
      <w:pPr>
        <w:rPr>
          <w:rFonts w:eastAsia="Calibri"/>
          <w:noProof/>
          <w:szCs w:val="24"/>
        </w:rPr>
      </w:pPr>
      <w:r>
        <w:rPr>
          <w:noProof/>
        </w:rPr>
        <w:t xml:space="preserve">Under perioden 2010–2015 ökade EU:s export av </w:t>
      </w:r>
      <w:r>
        <w:rPr>
          <w:b/>
          <w:noProof/>
        </w:rPr>
        <w:t>tjänster</w:t>
      </w:r>
      <w:r>
        <w:rPr>
          <w:noProof/>
        </w:rPr>
        <w:t xml:space="preserve"> till Mexiko med 54 %, medan EU-importen ökade med 47 %.</w:t>
      </w:r>
    </w:p>
    <w:p w:rsidR="00CA65E6" w:rsidRDefault="00CB294D">
      <w:pPr>
        <w:rPr>
          <w:rFonts w:eastAsia="Calibri"/>
          <w:noProof/>
          <w:szCs w:val="24"/>
        </w:rPr>
      </w:pPr>
      <w:r>
        <w:rPr>
          <w:noProof/>
        </w:rPr>
        <w:t xml:space="preserve">Det genomsnittliga årliga investeringsflödet från EU till Mexiko har </w:t>
      </w:r>
      <w:r>
        <w:rPr>
          <w:b/>
          <w:noProof/>
        </w:rPr>
        <w:t>tredubblats</w:t>
      </w:r>
      <w:r>
        <w:rPr>
          <w:noProof/>
        </w:rPr>
        <w:t xml:space="preserve"> sedan frihandelsavtalet började tillämpas. </w:t>
      </w:r>
    </w:p>
    <w:p w:rsidR="00CA65E6" w:rsidRDefault="00CB294D">
      <w:pPr>
        <w:pStyle w:val="Heading2"/>
        <w:rPr>
          <w:rFonts w:eastAsia="Calibri"/>
          <w:noProof/>
        </w:rPr>
      </w:pPr>
      <w:bookmarkStart w:id="98" w:name="_Toc493510432"/>
      <w:bookmarkStart w:id="99" w:name="_Toc493510811"/>
      <w:bookmarkStart w:id="100" w:name="_Toc494126141"/>
      <w:bookmarkStart w:id="101" w:name="_Toc497132375"/>
      <w:r>
        <w:rPr>
          <w:noProof/>
        </w:rPr>
        <w:t>Genomförandeorgan</w:t>
      </w:r>
      <w:bookmarkEnd w:id="98"/>
      <w:bookmarkEnd w:id="99"/>
      <w:bookmarkEnd w:id="100"/>
      <w:bookmarkEnd w:id="101"/>
    </w:p>
    <w:p w:rsidR="00CA65E6" w:rsidRDefault="00CB294D">
      <w:pPr>
        <w:rPr>
          <w:noProof/>
        </w:rPr>
      </w:pPr>
      <w:r>
        <w:rPr>
          <w:noProof/>
        </w:rPr>
        <w:t xml:space="preserve">Den ”första generationens” frihandelsavtal har en enklare struktur för genomförandeorganen än de senare avtalen, men ett </w:t>
      </w:r>
      <w:r>
        <w:rPr>
          <w:b/>
          <w:noProof/>
        </w:rPr>
        <w:t>årsmöte</w:t>
      </w:r>
      <w:r>
        <w:rPr>
          <w:noProof/>
        </w:rPr>
        <w:t xml:space="preserve"> för att se över utvecklingen planeras alltid och genomförs också i de flesta fall.</w:t>
      </w:r>
    </w:p>
    <w:p w:rsidR="00CA65E6" w:rsidRDefault="00CB294D">
      <w:pPr>
        <w:spacing w:after="0"/>
        <w:rPr>
          <w:noProof/>
        </w:rPr>
      </w:pPr>
      <w:r>
        <w:rPr>
          <w:noProof/>
        </w:rPr>
        <w:t>De frågor som tas upp under mötena är av mycket olika karaktär och återspeglar varje partnerlands specifika situation. Exempel på frågor som tas upp vid många av mötena är</w:t>
      </w:r>
    </w:p>
    <w:p w:rsidR="00CA65E6" w:rsidRDefault="00CB294D">
      <w:pPr>
        <w:pStyle w:val="ListParagraph"/>
        <w:numPr>
          <w:ilvl w:val="0"/>
          <w:numId w:val="28"/>
        </w:numPr>
        <w:spacing w:after="0" w:line="240" w:lineRule="auto"/>
        <w:ind w:left="357" w:hanging="357"/>
        <w:rPr>
          <w:noProof/>
        </w:rPr>
      </w:pPr>
      <w:r>
        <w:rPr>
          <w:noProof/>
        </w:rPr>
        <w:t>krångliga tullförfaranden,</w:t>
      </w:r>
    </w:p>
    <w:p w:rsidR="00CA65E6" w:rsidRDefault="00CB294D">
      <w:pPr>
        <w:pStyle w:val="ListParagraph"/>
        <w:numPr>
          <w:ilvl w:val="0"/>
          <w:numId w:val="28"/>
        </w:numPr>
        <w:spacing w:after="0" w:line="240" w:lineRule="auto"/>
        <w:ind w:left="357" w:hanging="357"/>
        <w:rPr>
          <w:noProof/>
        </w:rPr>
      </w:pPr>
      <w:r>
        <w:rPr>
          <w:noProof/>
        </w:rPr>
        <w:t>begränsningar av handeln med jordbruksprodukter,</w:t>
      </w:r>
    </w:p>
    <w:p w:rsidR="00CA65E6" w:rsidRDefault="00CB294D">
      <w:pPr>
        <w:pStyle w:val="ListParagraph"/>
        <w:numPr>
          <w:ilvl w:val="0"/>
          <w:numId w:val="28"/>
        </w:numPr>
        <w:spacing w:after="0" w:line="240" w:lineRule="auto"/>
        <w:ind w:left="357" w:hanging="357"/>
        <w:rPr>
          <w:noProof/>
        </w:rPr>
      </w:pPr>
      <w:r>
        <w:rPr>
          <w:noProof/>
        </w:rPr>
        <w:t>läkemedelsprodukter,</w:t>
      </w:r>
    </w:p>
    <w:p w:rsidR="00CA65E6" w:rsidRDefault="00CB294D">
      <w:pPr>
        <w:pStyle w:val="ListParagraph"/>
        <w:numPr>
          <w:ilvl w:val="0"/>
          <w:numId w:val="28"/>
        </w:numPr>
        <w:spacing w:after="0" w:line="240" w:lineRule="auto"/>
        <w:ind w:left="357" w:hanging="357"/>
        <w:rPr>
          <w:noProof/>
        </w:rPr>
      </w:pPr>
      <w:r>
        <w:rPr>
          <w:noProof/>
        </w:rPr>
        <w:t>offentlig upphandling, och</w:t>
      </w:r>
    </w:p>
    <w:p w:rsidR="00CA65E6" w:rsidRDefault="00CB294D">
      <w:pPr>
        <w:pStyle w:val="ListParagraph"/>
        <w:numPr>
          <w:ilvl w:val="0"/>
          <w:numId w:val="28"/>
        </w:numPr>
        <w:spacing w:after="240" w:line="240" w:lineRule="auto"/>
        <w:ind w:left="357" w:hanging="357"/>
        <w:contextualSpacing w:val="0"/>
        <w:rPr>
          <w:noProof/>
        </w:rPr>
      </w:pPr>
      <w:r>
        <w:rPr>
          <w:noProof/>
        </w:rPr>
        <w:t>begränsningar av utländska direktinvesteringar.</w:t>
      </w:r>
    </w:p>
    <w:p w:rsidR="00CA65E6" w:rsidRDefault="00CB294D">
      <w:pPr>
        <w:spacing w:after="0"/>
        <w:rPr>
          <w:noProof/>
        </w:rPr>
      </w:pPr>
      <w:r>
        <w:rPr>
          <w:noProof/>
        </w:rPr>
        <w:t xml:space="preserve">När det gäller Medelhavsländerna diskuterades även </w:t>
      </w:r>
      <w:r>
        <w:rPr>
          <w:b/>
          <w:noProof/>
        </w:rPr>
        <w:t>handelsrelaterat stöd</w:t>
      </w:r>
      <w:r>
        <w:rPr>
          <w:noProof/>
        </w:rPr>
        <w:t xml:space="preserve">, med inriktning på </w:t>
      </w:r>
      <w:r>
        <w:rPr>
          <w:b/>
          <w:noProof/>
        </w:rPr>
        <w:t xml:space="preserve">tillnärmning av ländernas lagstiftning </w:t>
      </w:r>
      <w:r>
        <w:rPr>
          <w:noProof/>
        </w:rPr>
        <w:t>till EU:s bestämmelser, särskilt vad gäller sanitära och fytosanitära åtgärder, standarder och bedömning av överensstämmelse.</w:t>
      </w:r>
    </w:p>
    <w:p w:rsidR="00CA65E6" w:rsidRDefault="00CB294D">
      <w:pPr>
        <w:spacing w:after="0"/>
        <w:jc w:val="left"/>
        <w:rPr>
          <w:b/>
          <w:smallCaps/>
          <w:noProof/>
        </w:rPr>
      </w:pPr>
      <w:r>
        <w:rPr>
          <w:noProof/>
        </w:rPr>
        <w:br w:type="page"/>
      </w:r>
    </w:p>
    <w:p w:rsidR="00CA65E6" w:rsidRDefault="00CB294D">
      <w:pPr>
        <w:pStyle w:val="Heading1"/>
        <w:rPr>
          <w:noProof/>
        </w:rPr>
      </w:pPr>
      <w:bookmarkStart w:id="102" w:name="_Toc493510433"/>
      <w:bookmarkStart w:id="103" w:name="_Toc493510812"/>
      <w:bookmarkStart w:id="104" w:name="_Toc494126142"/>
      <w:bookmarkStart w:id="105" w:name="_Toc497132376"/>
      <w:r>
        <w:rPr>
          <w:noProof/>
        </w:rPr>
        <w:t>I blickpunkten: Kapitlen om handel och hållbar utveckling</w:t>
      </w:r>
      <w:bookmarkEnd w:id="102"/>
      <w:bookmarkEnd w:id="103"/>
      <w:bookmarkEnd w:id="104"/>
      <w:bookmarkEnd w:id="105"/>
      <w:r>
        <w:rPr>
          <w:noProof/>
        </w:rPr>
        <w:t xml:space="preserve"> </w:t>
      </w:r>
    </w:p>
    <w:p w:rsidR="00CA65E6" w:rsidRDefault="00CB294D">
      <w:pPr>
        <w:pStyle w:val="ListParagraph"/>
        <w:spacing w:line="240" w:lineRule="auto"/>
        <w:ind w:left="0"/>
        <w:contextualSpacing w:val="0"/>
        <w:jc w:val="both"/>
        <w:rPr>
          <w:rFonts w:cs="Times New Roman"/>
          <w:bCs/>
          <w:noProof/>
          <w:szCs w:val="24"/>
        </w:rPr>
      </w:pPr>
      <w:r>
        <w:rPr>
          <w:noProof/>
        </w:rPr>
        <w:t xml:space="preserve">EU:s frihandelsavtal innehåller bestämmelser om hållbar utveckling, däribland efterlevnad av viktiga internationella </w:t>
      </w:r>
      <w:r>
        <w:rPr>
          <w:b/>
          <w:noProof/>
        </w:rPr>
        <w:t>standarder</w:t>
      </w:r>
      <w:r>
        <w:rPr>
          <w:noProof/>
        </w:rPr>
        <w:t xml:space="preserve"> och instrument för </w:t>
      </w:r>
      <w:r>
        <w:rPr>
          <w:b/>
          <w:noProof/>
        </w:rPr>
        <w:t>arbetsvillkor</w:t>
      </w:r>
      <w:r>
        <w:rPr>
          <w:noProof/>
        </w:rPr>
        <w:t xml:space="preserve"> och </w:t>
      </w:r>
      <w:r>
        <w:rPr>
          <w:b/>
          <w:noProof/>
        </w:rPr>
        <w:t>miljöskydd</w:t>
      </w:r>
      <w:r>
        <w:rPr>
          <w:noProof/>
        </w:rPr>
        <w:t xml:space="preserve">, bl.a. för </w:t>
      </w:r>
      <w:r>
        <w:rPr>
          <w:b/>
          <w:noProof/>
        </w:rPr>
        <w:t>virke</w:t>
      </w:r>
      <w:r>
        <w:rPr>
          <w:noProof/>
        </w:rPr>
        <w:t xml:space="preserve"> och </w:t>
      </w:r>
      <w:r>
        <w:rPr>
          <w:b/>
          <w:noProof/>
        </w:rPr>
        <w:t>fisk</w:t>
      </w:r>
      <w:r>
        <w:rPr>
          <w:noProof/>
        </w:rPr>
        <w:t xml:space="preserve">, samt främjande av </w:t>
      </w:r>
      <w:r>
        <w:rPr>
          <w:b/>
          <w:noProof/>
        </w:rPr>
        <w:t>hållbar produktion</w:t>
      </w:r>
      <w:r>
        <w:rPr>
          <w:noProof/>
        </w:rPr>
        <w:t xml:space="preserve"> och </w:t>
      </w:r>
      <w:r>
        <w:rPr>
          <w:b/>
          <w:noProof/>
        </w:rPr>
        <w:t>företagens sociala ansvar</w:t>
      </w:r>
      <w:r>
        <w:rPr>
          <w:noProof/>
        </w:rPr>
        <w:t>.</w:t>
      </w:r>
    </w:p>
    <w:p w:rsidR="00CA65E6" w:rsidRDefault="00CB294D">
      <w:pPr>
        <w:pStyle w:val="ListParagraph"/>
        <w:spacing w:line="240" w:lineRule="auto"/>
        <w:ind w:left="0"/>
        <w:contextualSpacing w:val="0"/>
        <w:jc w:val="both"/>
        <w:rPr>
          <w:rFonts w:cs="Times New Roman"/>
          <w:bCs/>
          <w:noProof/>
          <w:szCs w:val="24"/>
        </w:rPr>
      </w:pPr>
      <w:r>
        <w:rPr>
          <w:noProof/>
        </w:rPr>
        <w:t>Typen och omfattningen av den verksamhet som ingår i kapitlen om handel och hållbar utveckling varierar beroende på partner och när kapitlen trädde i kraft.</w:t>
      </w:r>
    </w:p>
    <w:p w:rsidR="00CA65E6" w:rsidRDefault="00CB294D">
      <w:pPr>
        <w:pStyle w:val="ListParagraph"/>
        <w:spacing w:line="240" w:lineRule="auto"/>
        <w:ind w:left="0"/>
        <w:contextualSpacing w:val="0"/>
        <w:jc w:val="both"/>
        <w:rPr>
          <w:rFonts w:cs="Times New Roman"/>
          <w:bCs/>
          <w:noProof/>
          <w:szCs w:val="24"/>
        </w:rPr>
      </w:pPr>
      <w:r>
        <w:rPr>
          <w:noProof/>
        </w:rPr>
        <w:t xml:space="preserve">När det gäller associeringsavtalen med Georgien, Moldavien och Ukraina har handelsrelaterade bestämmelser bara nyligen börjat tillämpas. Därför handlade mycket av arbetet under 2016 om att </w:t>
      </w:r>
      <w:r>
        <w:rPr>
          <w:b/>
          <w:noProof/>
        </w:rPr>
        <w:t>inrätta institutioner</w:t>
      </w:r>
      <w:r>
        <w:rPr>
          <w:noProof/>
        </w:rPr>
        <w:t xml:space="preserve">, däribland civilsamhällesmekanismer, och att </w:t>
      </w:r>
      <w:r>
        <w:rPr>
          <w:b/>
          <w:noProof/>
        </w:rPr>
        <w:t>fastställa prioriteringar</w:t>
      </w:r>
      <w:r>
        <w:rPr>
          <w:noProof/>
        </w:rPr>
        <w:t xml:space="preserve"> för arbetet. </w:t>
      </w:r>
    </w:p>
    <w:p w:rsidR="00CA65E6" w:rsidRDefault="00CB294D">
      <w:pPr>
        <w:pStyle w:val="Heading2"/>
        <w:rPr>
          <w:noProof/>
        </w:rPr>
      </w:pPr>
      <w:bookmarkStart w:id="106" w:name="_Toc493520552"/>
      <w:bookmarkStart w:id="107" w:name="_Toc493609754"/>
      <w:bookmarkStart w:id="108" w:name="_Toc493609815"/>
      <w:bookmarkStart w:id="109" w:name="_Toc494126143"/>
      <w:bookmarkStart w:id="110" w:name="_Toc497132377"/>
      <w:bookmarkEnd w:id="106"/>
      <w:bookmarkEnd w:id="107"/>
      <w:bookmarkEnd w:id="108"/>
      <w:r>
        <w:rPr>
          <w:noProof/>
        </w:rPr>
        <w:t>Verksamheten inom ramen för den ”nya generationens” frihandelsavtal</w:t>
      </w:r>
      <w:bookmarkEnd w:id="109"/>
      <w:bookmarkEnd w:id="110"/>
    </w:p>
    <w:p w:rsidR="00CA65E6" w:rsidRDefault="00CB294D">
      <w:pPr>
        <w:pStyle w:val="ListParagraph"/>
        <w:spacing w:line="240" w:lineRule="auto"/>
        <w:ind w:left="0"/>
        <w:contextualSpacing w:val="0"/>
        <w:jc w:val="both"/>
        <w:rPr>
          <w:rFonts w:cs="Times New Roman"/>
          <w:bCs/>
          <w:noProof/>
          <w:szCs w:val="24"/>
        </w:rPr>
      </w:pPr>
      <w:r>
        <w:rPr>
          <w:noProof/>
        </w:rPr>
        <w:t>De avtal som tillämpats längst är de med Sydkorea, Centralamerika samt Colombia och Peru. I följande stycken presenteras några av de aktiviteter som genomförts 2016 inom ramen för dessa avtal.</w:t>
      </w:r>
    </w:p>
    <w:p w:rsidR="00CA65E6" w:rsidRDefault="00CB294D">
      <w:pPr>
        <w:pStyle w:val="ListParagraph"/>
        <w:spacing w:line="240" w:lineRule="auto"/>
        <w:ind w:left="0"/>
        <w:contextualSpacing w:val="0"/>
        <w:jc w:val="both"/>
        <w:rPr>
          <w:rFonts w:cs="Times New Roman"/>
          <w:bCs/>
          <w:noProof/>
          <w:szCs w:val="24"/>
        </w:rPr>
      </w:pPr>
      <w:r>
        <w:rPr>
          <w:noProof/>
        </w:rPr>
        <w:t xml:space="preserve">En </w:t>
      </w:r>
      <w:r>
        <w:rPr>
          <w:b/>
          <w:noProof/>
        </w:rPr>
        <w:t>jämförande studie</w:t>
      </w:r>
      <w:r>
        <w:rPr>
          <w:noProof/>
        </w:rPr>
        <w:t xml:space="preserve"> gjordes avseende genomförandet av ILO:s konvention nr 111 angående diskriminering i fråga om anställning och yrkesutövning i EU och </w:t>
      </w:r>
      <w:r>
        <w:rPr>
          <w:b/>
          <w:noProof/>
        </w:rPr>
        <w:t>Korea</w:t>
      </w:r>
      <w:r>
        <w:rPr>
          <w:noProof/>
        </w:rPr>
        <w:t xml:space="preserve"> (inbegripet workshoppar i Seoul och Bryssel).</w:t>
      </w:r>
    </w:p>
    <w:p w:rsidR="00CA65E6" w:rsidRDefault="00CB294D">
      <w:pPr>
        <w:pStyle w:val="ListParagraph"/>
        <w:spacing w:after="0" w:line="240" w:lineRule="auto"/>
        <w:ind w:left="0"/>
        <w:contextualSpacing w:val="0"/>
        <w:jc w:val="both"/>
        <w:rPr>
          <w:rFonts w:cs="Times New Roman"/>
          <w:bCs/>
          <w:noProof/>
          <w:szCs w:val="24"/>
        </w:rPr>
      </w:pPr>
      <w:r>
        <w:rPr>
          <w:noProof/>
        </w:rPr>
        <w:t xml:space="preserve">Projekt tillsammans med ILO har pågått i </w:t>
      </w:r>
      <w:r>
        <w:rPr>
          <w:b/>
          <w:noProof/>
        </w:rPr>
        <w:t>El Salvador</w:t>
      </w:r>
      <w:r>
        <w:rPr>
          <w:noProof/>
        </w:rPr>
        <w:t xml:space="preserve"> och </w:t>
      </w:r>
      <w:r>
        <w:rPr>
          <w:b/>
          <w:noProof/>
        </w:rPr>
        <w:t>Guatemala</w:t>
      </w:r>
      <w:r>
        <w:rPr>
          <w:noProof/>
        </w:rPr>
        <w:t xml:space="preserve"> i syfte att stärka genomförandet av </w:t>
      </w:r>
      <w:r>
        <w:rPr>
          <w:b/>
          <w:noProof/>
        </w:rPr>
        <w:t>ILO:s grundläggande konventioner</w:t>
      </w:r>
      <w:r>
        <w:rPr>
          <w:noProof/>
        </w:rPr>
        <w:t xml:space="preserve"> om</w:t>
      </w:r>
    </w:p>
    <w:p w:rsidR="00CA65E6" w:rsidRDefault="00CB294D">
      <w:pPr>
        <w:pStyle w:val="ListParagraph"/>
        <w:numPr>
          <w:ilvl w:val="0"/>
          <w:numId w:val="29"/>
        </w:numPr>
        <w:spacing w:after="0" w:line="240" w:lineRule="auto"/>
        <w:contextualSpacing w:val="0"/>
        <w:jc w:val="both"/>
        <w:rPr>
          <w:noProof/>
          <w:sz w:val="22"/>
        </w:rPr>
      </w:pPr>
      <w:r>
        <w:rPr>
          <w:noProof/>
        </w:rPr>
        <w:t>föreningsfrihet,</w:t>
      </w:r>
    </w:p>
    <w:p w:rsidR="00CA65E6" w:rsidRDefault="00CB294D">
      <w:pPr>
        <w:pStyle w:val="ListParagraph"/>
        <w:numPr>
          <w:ilvl w:val="0"/>
          <w:numId w:val="29"/>
        </w:numPr>
        <w:spacing w:after="0" w:line="240" w:lineRule="auto"/>
        <w:contextualSpacing w:val="0"/>
        <w:jc w:val="both"/>
        <w:rPr>
          <w:noProof/>
          <w:sz w:val="22"/>
        </w:rPr>
      </w:pPr>
      <w:r>
        <w:rPr>
          <w:noProof/>
        </w:rPr>
        <w:t>kollektiva avtalsförhandlingar och icke-diskriminering, och</w:t>
      </w:r>
    </w:p>
    <w:p w:rsidR="00CA65E6" w:rsidRDefault="00CB294D">
      <w:pPr>
        <w:pStyle w:val="ListParagraph"/>
        <w:numPr>
          <w:ilvl w:val="0"/>
          <w:numId w:val="29"/>
        </w:numPr>
        <w:spacing w:line="240" w:lineRule="auto"/>
        <w:contextualSpacing w:val="0"/>
        <w:jc w:val="both"/>
        <w:rPr>
          <w:noProof/>
          <w:sz w:val="22"/>
        </w:rPr>
      </w:pPr>
      <w:r>
        <w:rPr>
          <w:noProof/>
        </w:rPr>
        <w:t>barnarbete.</w:t>
      </w:r>
    </w:p>
    <w:p w:rsidR="00CA65E6" w:rsidRDefault="00CB294D">
      <w:pPr>
        <w:rPr>
          <w:noProof/>
          <w:sz w:val="22"/>
        </w:rPr>
      </w:pPr>
      <w:r>
        <w:rPr>
          <w:noProof/>
        </w:rPr>
        <w:t xml:space="preserve">En dialog har förts med </w:t>
      </w:r>
      <w:r>
        <w:rPr>
          <w:b/>
          <w:noProof/>
        </w:rPr>
        <w:t>Colombia</w:t>
      </w:r>
      <w:r>
        <w:rPr>
          <w:noProof/>
        </w:rPr>
        <w:t xml:space="preserve"> avseende genomförandet av konventionen om internationell handel med utrotningshotade arter av vilda djur och växter (</w:t>
      </w:r>
      <w:r>
        <w:rPr>
          <w:b/>
          <w:noProof/>
        </w:rPr>
        <w:t>Cites</w:t>
      </w:r>
      <w:r>
        <w:rPr>
          <w:noProof/>
        </w:rPr>
        <w:t>).</w:t>
      </w:r>
    </w:p>
    <w:p w:rsidR="00CA65E6" w:rsidRDefault="00CB294D">
      <w:pPr>
        <w:rPr>
          <w:bCs/>
          <w:noProof/>
          <w:szCs w:val="24"/>
        </w:rPr>
      </w:pPr>
      <w:r>
        <w:rPr>
          <w:noProof/>
        </w:rPr>
        <w:t xml:space="preserve">Överlag har det gjorts </w:t>
      </w:r>
      <w:r>
        <w:rPr>
          <w:b/>
          <w:noProof/>
        </w:rPr>
        <w:t>gradvisa framsteg</w:t>
      </w:r>
      <w:r>
        <w:rPr>
          <w:noProof/>
        </w:rPr>
        <w:t xml:space="preserve"> i genomförandet av kapitlen om handel och hållbar utveckling. Det har underlättat och skapat en värdefull bas för regelbundna och fokuserade dialoger med EU:s handelspartner om viktiga handelsrelaterade arbetsvillkors- och miljöfrågor och gjort det möjligt att börja fastställa vissa prioriteringar och möjligheter för handel och hållbar utveckling.</w:t>
      </w:r>
    </w:p>
    <w:p w:rsidR="00CA65E6" w:rsidRDefault="00CB294D">
      <w:pPr>
        <w:pStyle w:val="Heading2"/>
        <w:rPr>
          <w:noProof/>
        </w:rPr>
      </w:pPr>
      <w:bookmarkStart w:id="111" w:name="_Toc494126144"/>
      <w:bookmarkStart w:id="112" w:name="_Toc497132378"/>
      <w:r>
        <w:rPr>
          <w:noProof/>
        </w:rPr>
        <w:t>Möten mellan regeringar om handel och hållbar utveckling</w:t>
      </w:r>
      <w:bookmarkEnd w:id="111"/>
      <w:bookmarkEnd w:id="112"/>
    </w:p>
    <w:p w:rsidR="00CA65E6" w:rsidRDefault="00CB294D">
      <w:pPr>
        <w:rPr>
          <w:bCs/>
          <w:noProof/>
          <w:szCs w:val="24"/>
        </w:rPr>
      </w:pPr>
      <w:r>
        <w:rPr>
          <w:noProof/>
        </w:rPr>
        <w:t>Under rapporteringsperioden hölls möten på regeringsnivå med Centralamerika, Colombia och Peru, Korea, Georgien och Moldavien.</w:t>
      </w:r>
    </w:p>
    <w:p w:rsidR="00CA65E6" w:rsidRDefault="00CB294D">
      <w:pPr>
        <w:spacing w:after="0"/>
        <w:rPr>
          <w:bCs/>
          <w:noProof/>
          <w:szCs w:val="24"/>
        </w:rPr>
      </w:pPr>
      <w:r>
        <w:rPr>
          <w:noProof/>
        </w:rPr>
        <w:t xml:space="preserve">De frågor om </w:t>
      </w:r>
      <w:r>
        <w:rPr>
          <w:b/>
          <w:noProof/>
        </w:rPr>
        <w:t>arbetsförhållanden</w:t>
      </w:r>
      <w:r>
        <w:rPr>
          <w:noProof/>
        </w:rPr>
        <w:t xml:space="preserve"> som diskuterades 2016 var bland annat </w:t>
      </w:r>
    </w:p>
    <w:p w:rsidR="00CA65E6" w:rsidRDefault="00CB294D">
      <w:pPr>
        <w:pStyle w:val="ListParagraph"/>
        <w:numPr>
          <w:ilvl w:val="0"/>
          <w:numId w:val="30"/>
        </w:numPr>
        <w:spacing w:after="0" w:line="240" w:lineRule="auto"/>
        <w:rPr>
          <w:bCs/>
          <w:noProof/>
          <w:szCs w:val="24"/>
          <w:lang w:val="es-ES"/>
        </w:rPr>
      </w:pPr>
      <w:r>
        <w:rPr>
          <w:noProof/>
          <w:lang w:val="es-ES"/>
        </w:rPr>
        <w:t xml:space="preserve">yrkesinspektioner (Colombia, Peru, Honduras, Moldavien, Georgien), </w:t>
      </w:r>
    </w:p>
    <w:p w:rsidR="00CA65E6" w:rsidRDefault="00CB294D">
      <w:pPr>
        <w:pStyle w:val="ListParagraph"/>
        <w:numPr>
          <w:ilvl w:val="0"/>
          <w:numId w:val="30"/>
        </w:numPr>
        <w:spacing w:after="0" w:line="240" w:lineRule="auto"/>
        <w:rPr>
          <w:bCs/>
          <w:noProof/>
          <w:szCs w:val="24"/>
        </w:rPr>
      </w:pPr>
      <w:r>
        <w:rPr>
          <w:noProof/>
        </w:rPr>
        <w:t xml:space="preserve">kollektiva avtalsförhandlingar (Colombia, Guatemala), </w:t>
      </w:r>
    </w:p>
    <w:p w:rsidR="00CA65E6" w:rsidRDefault="00CB294D">
      <w:pPr>
        <w:pStyle w:val="ListParagraph"/>
        <w:numPr>
          <w:ilvl w:val="0"/>
          <w:numId w:val="30"/>
        </w:numPr>
        <w:spacing w:after="0" w:line="240" w:lineRule="auto"/>
        <w:rPr>
          <w:bCs/>
          <w:noProof/>
          <w:szCs w:val="24"/>
        </w:rPr>
      </w:pPr>
      <w:r>
        <w:rPr>
          <w:noProof/>
        </w:rPr>
        <w:t xml:space="preserve">våld riktat mot fackföreningar (Colombia), </w:t>
      </w:r>
    </w:p>
    <w:p w:rsidR="00CA65E6" w:rsidRDefault="00CB294D">
      <w:pPr>
        <w:pStyle w:val="ListParagraph"/>
        <w:numPr>
          <w:ilvl w:val="0"/>
          <w:numId w:val="30"/>
        </w:numPr>
        <w:spacing w:after="0" w:line="240" w:lineRule="auto"/>
        <w:rPr>
          <w:bCs/>
          <w:noProof/>
          <w:szCs w:val="24"/>
        </w:rPr>
      </w:pPr>
      <w:r>
        <w:rPr>
          <w:noProof/>
        </w:rPr>
        <w:t xml:space="preserve">föreningsfrihet (El Salvador, Panama), </w:t>
      </w:r>
    </w:p>
    <w:p w:rsidR="00CA65E6" w:rsidRDefault="00CB294D">
      <w:pPr>
        <w:pStyle w:val="ListParagraph"/>
        <w:numPr>
          <w:ilvl w:val="0"/>
          <w:numId w:val="30"/>
        </w:numPr>
        <w:spacing w:after="0" w:line="240" w:lineRule="auto"/>
        <w:rPr>
          <w:bCs/>
          <w:noProof/>
          <w:szCs w:val="24"/>
          <w:lang w:val="es-ES"/>
        </w:rPr>
      </w:pPr>
      <w:r>
        <w:rPr>
          <w:noProof/>
          <w:lang w:val="es-ES"/>
        </w:rPr>
        <w:t xml:space="preserve">barnarbete (Colombia, El Salvador, Guatemala, Panama, Georgien), </w:t>
      </w:r>
    </w:p>
    <w:p w:rsidR="00CA65E6" w:rsidRDefault="00CB294D">
      <w:pPr>
        <w:pStyle w:val="ListParagraph"/>
        <w:numPr>
          <w:ilvl w:val="0"/>
          <w:numId w:val="30"/>
        </w:numPr>
        <w:spacing w:after="0" w:line="240" w:lineRule="auto"/>
        <w:rPr>
          <w:bCs/>
          <w:noProof/>
          <w:szCs w:val="24"/>
        </w:rPr>
      </w:pPr>
      <w:r>
        <w:rPr>
          <w:noProof/>
        </w:rPr>
        <w:t>samråd på trepartsbasis</w:t>
      </w:r>
      <w:r>
        <w:rPr>
          <w:rStyle w:val="FootnoteReference"/>
          <w:noProof/>
        </w:rPr>
        <w:footnoteReference w:id="15"/>
      </w:r>
      <w:r>
        <w:rPr>
          <w:noProof/>
        </w:rPr>
        <w:t xml:space="preserve"> (Georgien), och </w:t>
      </w:r>
    </w:p>
    <w:p w:rsidR="00CA65E6" w:rsidRDefault="00CB294D">
      <w:pPr>
        <w:pStyle w:val="ListParagraph"/>
        <w:numPr>
          <w:ilvl w:val="0"/>
          <w:numId w:val="30"/>
        </w:numPr>
        <w:spacing w:after="240" w:line="240" w:lineRule="auto"/>
        <w:ind w:left="357" w:hanging="357"/>
        <w:contextualSpacing w:val="0"/>
        <w:rPr>
          <w:bCs/>
          <w:noProof/>
          <w:szCs w:val="24"/>
        </w:rPr>
      </w:pPr>
      <w:r>
        <w:rPr>
          <w:noProof/>
        </w:rPr>
        <w:t xml:space="preserve">hälsa och säkerhet på arbetsplatsen (Colombia, Peru, Moldavien). </w:t>
      </w:r>
    </w:p>
    <w:p w:rsidR="00CA65E6" w:rsidRDefault="00CB294D">
      <w:pPr>
        <w:rPr>
          <w:bCs/>
          <w:noProof/>
          <w:szCs w:val="24"/>
        </w:rPr>
      </w:pPr>
      <w:r>
        <w:rPr>
          <w:noProof/>
        </w:rPr>
        <w:t xml:space="preserve">De </w:t>
      </w:r>
      <w:r>
        <w:rPr>
          <w:b/>
          <w:noProof/>
        </w:rPr>
        <w:t>miljöfrågor</w:t>
      </w:r>
      <w:r>
        <w:rPr>
          <w:noProof/>
        </w:rPr>
        <w:t xml:space="preserve"> som togs upp var bland annat </w:t>
      </w:r>
    </w:p>
    <w:p w:rsidR="00CA65E6" w:rsidRDefault="00CB294D">
      <w:pPr>
        <w:pStyle w:val="ListParagraph"/>
        <w:numPr>
          <w:ilvl w:val="0"/>
          <w:numId w:val="31"/>
        </w:numPr>
        <w:rPr>
          <w:b/>
          <w:bCs/>
          <w:noProof/>
          <w:szCs w:val="24"/>
        </w:rPr>
      </w:pPr>
      <w:r>
        <w:rPr>
          <w:b/>
          <w:noProof/>
        </w:rPr>
        <w:t>Cites:</w:t>
      </w:r>
    </w:p>
    <w:p w:rsidR="00CA65E6" w:rsidRDefault="00CB294D">
      <w:pPr>
        <w:pStyle w:val="ListParagraph"/>
        <w:numPr>
          <w:ilvl w:val="1"/>
          <w:numId w:val="31"/>
        </w:numPr>
        <w:rPr>
          <w:bCs/>
          <w:noProof/>
          <w:szCs w:val="24"/>
        </w:rPr>
      </w:pPr>
      <w:r>
        <w:rPr>
          <w:noProof/>
        </w:rPr>
        <w:t>Georgien, Moldavien,</w:t>
      </w:r>
    </w:p>
    <w:p w:rsidR="00CA65E6" w:rsidRDefault="00CB294D">
      <w:pPr>
        <w:pStyle w:val="ListParagraph"/>
        <w:numPr>
          <w:ilvl w:val="1"/>
          <w:numId w:val="31"/>
        </w:numPr>
        <w:rPr>
          <w:bCs/>
          <w:noProof/>
          <w:szCs w:val="24"/>
        </w:rPr>
      </w:pPr>
      <w:r>
        <w:rPr>
          <w:noProof/>
        </w:rPr>
        <w:t xml:space="preserve">handel med krokodil- och kajmanskinn från Colombia, </w:t>
      </w:r>
    </w:p>
    <w:p w:rsidR="00CA65E6" w:rsidRDefault="00CB294D">
      <w:pPr>
        <w:pStyle w:val="ListParagraph"/>
        <w:numPr>
          <w:ilvl w:val="1"/>
          <w:numId w:val="31"/>
        </w:numPr>
        <w:rPr>
          <w:bCs/>
          <w:noProof/>
          <w:szCs w:val="24"/>
        </w:rPr>
      </w:pPr>
      <w:r>
        <w:rPr>
          <w:noProof/>
        </w:rPr>
        <w:t xml:space="preserve">virke (släktet </w:t>
      </w:r>
      <w:r>
        <w:rPr>
          <w:i/>
          <w:noProof/>
        </w:rPr>
        <w:t>Dalbergia</w:t>
      </w:r>
      <w:r>
        <w:rPr>
          <w:noProof/>
        </w:rPr>
        <w:t xml:space="preserve">) med Guatemala och Panama, </w:t>
      </w:r>
    </w:p>
    <w:p w:rsidR="00CA65E6" w:rsidRDefault="00CB294D">
      <w:pPr>
        <w:pStyle w:val="ListParagraph"/>
        <w:numPr>
          <w:ilvl w:val="1"/>
          <w:numId w:val="31"/>
        </w:numPr>
        <w:rPr>
          <w:bCs/>
          <w:noProof/>
          <w:szCs w:val="24"/>
        </w:rPr>
      </w:pPr>
      <w:r>
        <w:rPr>
          <w:noProof/>
        </w:rPr>
        <w:t>hajar och rockor med Panama,</w:t>
      </w:r>
    </w:p>
    <w:p w:rsidR="00CA65E6" w:rsidRDefault="00CB294D">
      <w:pPr>
        <w:pStyle w:val="ListParagraph"/>
        <w:numPr>
          <w:ilvl w:val="0"/>
          <w:numId w:val="31"/>
        </w:numPr>
        <w:rPr>
          <w:bCs/>
          <w:noProof/>
          <w:szCs w:val="24"/>
        </w:rPr>
      </w:pPr>
      <w:r>
        <w:rPr>
          <w:b/>
          <w:noProof/>
        </w:rPr>
        <w:t>klimatinsatser</w:t>
      </w:r>
      <w:r>
        <w:rPr>
          <w:noProof/>
        </w:rPr>
        <w:t xml:space="preserve"> enligt Parisavtalet:</w:t>
      </w:r>
    </w:p>
    <w:p w:rsidR="00CA65E6" w:rsidRDefault="00CB294D">
      <w:pPr>
        <w:pStyle w:val="ListParagraph"/>
        <w:numPr>
          <w:ilvl w:val="1"/>
          <w:numId w:val="31"/>
        </w:numPr>
        <w:rPr>
          <w:bCs/>
          <w:noProof/>
          <w:szCs w:val="24"/>
        </w:rPr>
      </w:pPr>
      <w:r>
        <w:rPr>
          <w:noProof/>
        </w:rPr>
        <w:t>minskning av koldioxidutsläpp i Costa Ricas industri,</w:t>
      </w:r>
    </w:p>
    <w:p w:rsidR="00CA65E6" w:rsidRDefault="00CB294D">
      <w:pPr>
        <w:pStyle w:val="ListParagraph"/>
        <w:numPr>
          <w:ilvl w:val="1"/>
          <w:numId w:val="31"/>
        </w:numPr>
        <w:rPr>
          <w:bCs/>
          <w:noProof/>
          <w:szCs w:val="24"/>
        </w:rPr>
      </w:pPr>
      <w:r>
        <w:rPr>
          <w:noProof/>
        </w:rPr>
        <w:t>återställande av ekosystem, återbeskogning och åtgärder mot avskogning (i El Salvador, Honduras, Nicaragua, Georgien),</w:t>
      </w:r>
    </w:p>
    <w:p w:rsidR="00CA65E6" w:rsidRDefault="00CB294D">
      <w:pPr>
        <w:pStyle w:val="ListParagraph"/>
        <w:numPr>
          <w:ilvl w:val="1"/>
          <w:numId w:val="31"/>
        </w:numPr>
        <w:rPr>
          <w:bCs/>
          <w:noProof/>
          <w:szCs w:val="24"/>
        </w:rPr>
      </w:pPr>
      <w:r>
        <w:rPr>
          <w:noProof/>
        </w:rPr>
        <w:t>konventionen om biologisk mångfald (särskilt Nagoyaprotokollet) med Panama och Moldavien.</w:t>
      </w:r>
    </w:p>
    <w:p w:rsidR="00CA65E6" w:rsidRDefault="00CB294D">
      <w:pPr>
        <w:pStyle w:val="Heading2"/>
        <w:rPr>
          <w:noProof/>
        </w:rPr>
      </w:pPr>
      <w:bookmarkStart w:id="113" w:name="_Toc494126145"/>
      <w:bookmarkStart w:id="114" w:name="_Toc497132379"/>
      <w:r>
        <w:rPr>
          <w:noProof/>
        </w:rPr>
        <w:t>Andra sammanträden</w:t>
      </w:r>
      <w:bookmarkEnd w:id="113"/>
      <w:bookmarkEnd w:id="114"/>
    </w:p>
    <w:p w:rsidR="00CA65E6" w:rsidRDefault="00CB294D">
      <w:pPr>
        <w:rPr>
          <w:bCs/>
          <w:noProof/>
          <w:szCs w:val="24"/>
        </w:rPr>
      </w:pPr>
      <w:r>
        <w:rPr>
          <w:noProof/>
        </w:rPr>
        <w:t xml:space="preserve">Öppna möten mellan </w:t>
      </w:r>
      <w:r>
        <w:rPr>
          <w:b/>
          <w:noProof/>
        </w:rPr>
        <w:t>företrädare för staten och civilsamhället</w:t>
      </w:r>
      <w:r>
        <w:rPr>
          <w:noProof/>
        </w:rPr>
        <w:t>, bl.a. företrädare för arbetstagare och arbetsgivare, hölls i samband med mötena på regeringsnivå om handel och hållbar utveckling. EU:s samrådsgrupper för civilsamhället sammanträdde för samtliga avtal i syfte att diskutera genomförandet av kapitlen om handel och hållbar utveckling. Europeiska ekonomiska och sociala kommittén tillhandahöll ett sekretariat för dessa möten.</w:t>
      </w:r>
    </w:p>
    <w:p w:rsidR="00CA65E6" w:rsidRDefault="00CB294D">
      <w:pPr>
        <w:pStyle w:val="Heading2"/>
        <w:rPr>
          <w:noProof/>
        </w:rPr>
      </w:pPr>
      <w:bookmarkStart w:id="115" w:name="_Toc494126146"/>
      <w:bookmarkStart w:id="116" w:name="_Toc497132380"/>
      <w:r>
        <w:rPr>
          <w:noProof/>
        </w:rPr>
        <w:t>Nuläge och utmaningar</w:t>
      </w:r>
      <w:bookmarkEnd w:id="115"/>
      <w:bookmarkEnd w:id="116"/>
      <w:r>
        <w:rPr>
          <w:noProof/>
        </w:rPr>
        <w:t xml:space="preserve"> </w:t>
      </w:r>
    </w:p>
    <w:p w:rsidR="00CA65E6" w:rsidRDefault="00CB294D">
      <w:pPr>
        <w:rPr>
          <w:bCs/>
          <w:noProof/>
          <w:szCs w:val="24"/>
        </w:rPr>
      </w:pPr>
      <w:r>
        <w:rPr>
          <w:noProof/>
        </w:rPr>
        <w:t xml:space="preserve">Ett av huvudmålen med avtalen är att tillhandahålla en </w:t>
      </w:r>
      <w:r>
        <w:rPr>
          <w:b/>
          <w:noProof/>
        </w:rPr>
        <w:t>användbar ram</w:t>
      </w:r>
      <w:r>
        <w:rPr>
          <w:noProof/>
        </w:rPr>
        <w:t xml:space="preserve"> för att ta itu med problem som kan uppkomma i samspelet mellan mål i fråga om handel, sociala villkor och miljö.</w:t>
      </w:r>
    </w:p>
    <w:p w:rsidR="00CA65E6" w:rsidRDefault="00CB294D">
      <w:pPr>
        <w:rPr>
          <w:bCs/>
          <w:noProof/>
          <w:szCs w:val="24"/>
        </w:rPr>
      </w:pPr>
      <w:r>
        <w:rPr>
          <w:noProof/>
        </w:rPr>
        <w:t xml:space="preserve">Arbetet med handel och hållbar utveckling har emellertid </w:t>
      </w:r>
      <w:r>
        <w:rPr>
          <w:b/>
          <w:noProof/>
        </w:rPr>
        <w:t>ännu inte nått sin fulla potential</w:t>
      </w:r>
      <w:r>
        <w:rPr>
          <w:noProof/>
        </w:rPr>
        <w:t>.</w:t>
      </w:r>
      <w:r>
        <w:rPr>
          <w:rStyle w:val="FootnoteReference"/>
          <w:noProof/>
        </w:rPr>
        <w:footnoteReference w:id="16"/>
      </w:r>
      <w:r>
        <w:rPr>
          <w:noProof/>
        </w:rPr>
        <w:t xml:space="preserve"> Det krävs ytterligare arbete för att förbättra strategierna för arbetsförhållanden och miljöskydd, samtidigt som man respekterar internationella åtaganden och strävar efter en hög skyddsnivå. </w:t>
      </w:r>
    </w:p>
    <w:p w:rsidR="00CA65E6" w:rsidRDefault="00CB294D">
      <w:pPr>
        <w:rPr>
          <w:bCs/>
          <w:noProof/>
          <w:szCs w:val="24"/>
        </w:rPr>
      </w:pPr>
      <w:r>
        <w:rPr>
          <w:noProof/>
        </w:rPr>
        <w:t xml:space="preserve">Genomförandet av åtaganden avseende handel och hållbar utveckling är beroende av ett </w:t>
      </w:r>
      <w:r>
        <w:rPr>
          <w:b/>
          <w:noProof/>
        </w:rPr>
        <w:t>långsiktigt engagemang</w:t>
      </w:r>
      <w:r>
        <w:rPr>
          <w:noProof/>
        </w:rPr>
        <w:t xml:space="preserve"> tillsammans med handelspartnerna och av </w:t>
      </w:r>
      <w:r>
        <w:rPr>
          <w:b/>
          <w:noProof/>
        </w:rPr>
        <w:t>nära samordning</w:t>
      </w:r>
      <w:r>
        <w:rPr>
          <w:noProof/>
        </w:rPr>
        <w:t xml:space="preserve"> mellan </w:t>
      </w:r>
      <w:r>
        <w:rPr>
          <w:b/>
          <w:noProof/>
        </w:rPr>
        <w:t>olika nivåer av myndigheter</w:t>
      </w:r>
      <w:r>
        <w:rPr>
          <w:noProof/>
        </w:rPr>
        <w:t xml:space="preserve"> som har ansvar för politiken i fråga om arbetsförhållanden och miljö. Dessa förstår inte alltid kopplingen mellan denna politik och internationell handel. Samarbete med organisationer i </w:t>
      </w:r>
      <w:r>
        <w:rPr>
          <w:b/>
          <w:noProof/>
        </w:rPr>
        <w:t>civilsamhället</w:t>
      </w:r>
      <w:r>
        <w:rPr>
          <w:noProof/>
        </w:rPr>
        <w:t>, t.ex. företrädare för arbetstagare och arbetsgivare, är en viktig del i denna process. De bör ta en ännu större del i att övervaka genomförandet.</w:t>
      </w:r>
    </w:p>
    <w:p w:rsidR="00CA65E6" w:rsidRDefault="00CB294D">
      <w:pPr>
        <w:rPr>
          <w:noProof/>
        </w:rPr>
      </w:pPr>
      <w:r>
        <w:rPr>
          <w:noProof/>
        </w:rPr>
        <w:t xml:space="preserve">Under 2016 arbetade kommissionen för ett mer ändamålsenligt genomförande av kapitlen om handel och hållbar utveckling. Kommissionen strävade efter </w:t>
      </w:r>
      <w:r>
        <w:rPr>
          <w:b/>
          <w:noProof/>
        </w:rPr>
        <w:t>bättre förbindelser</w:t>
      </w:r>
      <w:r>
        <w:rPr>
          <w:noProof/>
        </w:rPr>
        <w:t xml:space="preserve"> med företag och andra relevanta intressenter i civilsamhället samt efter att </w:t>
      </w:r>
      <w:r>
        <w:rPr>
          <w:b/>
          <w:noProof/>
        </w:rPr>
        <w:t>förbättra samordningen</w:t>
      </w:r>
      <w:r>
        <w:rPr>
          <w:noProof/>
        </w:rPr>
        <w:t xml:space="preserve"> med internationella organisationer, i synnerhet ILO.</w:t>
      </w:r>
    </w:p>
    <w:p w:rsidR="00CA65E6" w:rsidRDefault="00CB294D">
      <w:pPr>
        <w:rPr>
          <w:noProof/>
        </w:rPr>
      </w:pPr>
      <w:r>
        <w:rPr>
          <w:noProof/>
        </w:rPr>
        <w:t xml:space="preserve">Kommissionen vill också utnyttja de </w:t>
      </w:r>
      <w:r>
        <w:rPr>
          <w:b/>
          <w:noProof/>
        </w:rPr>
        <w:t>tillsyns- och övervakningsstrukturer</w:t>
      </w:r>
      <w:r>
        <w:rPr>
          <w:noProof/>
        </w:rPr>
        <w:t xml:space="preserve"> som erbjuds av </w:t>
      </w:r>
      <w:r>
        <w:rPr>
          <w:b/>
          <w:noProof/>
        </w:rPr>
        <w:t>internationella organisationer</w:t>
      </w:r>
      <w:r>
        <w:rPr>
          <w:noProof/>
        </w:rPr>
        <w:t>, såsom ILO och multilaterala miljöavtal (MEA), som en viktig informationskälla vid bedömningen av ändamålsenligheten i genomförandet av kapitlen om handel och hållbar utveckling.</w:t>
      </w:r>
    </w:p>
    <w:p w:rsidR="00CA65E6" w:rsidRDefault="00CB294D">
      <w:pPr>
        <w:rPr>
          <w:noProof/>
        </w:rPr>
      </w:pPr>
      <w:r>
        <w:rPr>
          <w:noProof/>
        </w:rPr>
        <w:t xml:space="preserve">Kommissionen har också beställt </w:t>
      </w:r>
      <w:r>
        <w:rPr>
          <w:b/>
          <w:noProof/>
        </w:rPr>
        <w:t>pilotstudier</w:t>
      </w:r>
      <w:r>
        <w:rPr>
          <w:noProof/>
        </w:rPr>
        <w:t xml:space="preserve"> om hur man, bl.a. genom samråd med arbetsmarknadens parter, kan kontrollera </w:t>
      </w:r>
      <w:r>
        <w:rPr>
          <w:b/>
          <w:noProof/>
        </w:rPr>
        <w:t>genomförandet</w:t>
      </w:r>
      <w:r>
        <w:rPr>
          <w:noProof/>
        </w:rPr>
        <w:t xml:space="preserve"> av grundläggande arbetsnormer i lagstiftning och praxis i de länder som ingår i pilotstudierna (Colombia, Georgien och Guatemala). Kommissionen planerar fler sådana studier under perioden 2018–2019.</w:t>
      </w:r>
    </w:p>
    <w:p w:rsidR="00CA65E6" w:rsidRDefault="00CB294D">
      <w:pPr>
        <w:rPr>
          <w:noProof/>
          <w:szCs w:val="24"/>
        </w:rPr>
      </w:pPr>
      <w:r>
        <w:rPr>
          <w:noProof/>
        </w:rPr>
        <w:t xml:space="preserve">Kommissionen har inrättat en mekanism för att stärka sitt </w:t>
      </w:r>
      <w:r>
        <w:rPr>
          <w:b/>
          <w:noProof/>
        </w:rPr>
        <w:t>samarbete med EU-medlemsstaterna</w:t>
      </w:r>
      <w:r>
        <w:rPr>
          <w:noProof/>
        </w:rPr>
        <w:t xml:space="preserve"> om genomförandet av kapitlen om handel och hållbar utveckling genom en särskild expertgrupp om handel och hållbar utveckling. Gruppen sammanträder regelbundet för informationsutbyte och samordning. Partnerskapen med medlemsstaterna och samarbetet på området handel och hållbar utveckling kommer att intensifieras 2017–2018. </w:t>
      </w:r>
    </w:p>
    <w:p w:rsidR="00CA65E6" w:rsidRDefault="00CB294D">
      <w:pPr>
        <w:spacing w:after="0"/>
        <w:jc w:val="left"/>
        <w:rPr>
          <w:b/>
          <w:smallCaps/>
          <w:noProof/>
        </w:rPr>
      </w:pPr>
      <w:r>
        <w:rPr>
          <w:noProof/>
        </w:rPr>
        <w:br w:type="page"/>
      </w:r>
    </w:p>
    <w:p w:rsidR="00CA65E6" w:rsidRDefault="00CB294D">
      <w:pPr>
        <w:pStyle w:val="Heading1"/>
        <w:rPr>
          <w:noProof/>
        </w:rPr>
      </w:pPr>
      <w:bookmarkStart w:id="117" w:name="_Toc493510437"/>
      <w:bookmarkStart w:id="118" w:name="_Toc493510816"/>
      <w:bookmarkStart w:id="119" w:name="_Toc494126147"/>
      <w:bookmarkStart w:id="120" w:name="_Toc497132381"/>
      <w:r>
        <w:rPr>
          <w:noProof/>
        </w:rPr>
        <w:t>Efterhandsutvärdering av frihandelsavtalens effekter – Chile och Mexiko</w:t>
      </w:r>
      <w:bookmarkEnd w:id="117"/>
      <w:bookmarkEnd w:id="118"/>
      <w:bookmarkEnd w:id="119"/>
      <w:bookmarkEnd w:id="120"/>
    </w:p>
    <w:p w:rsidR="00CA65E6" w:rsidRDefault="00CB294D">
      <w:pPr>
        <w:rPr>
          <w:noProof/>
          <w:szCs w:val="24"/>
        </w:rPr>
      </w:pPr>
      <w:r>
        <w:rPr>
          <w:noProof/>
        </w:rPr>
        <w:t>Denna rapport innehåller information om läget i fråga om genomförandet av frihandelsavtalet under 2016. För att det ska bli möjligt att göra jämförelser inkluderas också data från tidigare år. Ingående analyser av frihandelsavtalens effekter görs i form av efterhandsutvärderingar. Hittills har sådana gjorts för frihandelsavtalen med Chile och Mexiko.</w:t>
      </w:r>
      <w:r>
        <w:rPr>
          <w:rStyle w:val="FootnoteReference"/>
          <w:noProof/>
        </w:rPr>
        <w:footnoteReference w:id="17"/>
      </w:r>
      <w:r>
        <w:rPr>
          <w:noProof/>
        </w:rPr>
        <w:t xml:space="preserve"> En analys av frihandelsavtalet med Korea kommer att slutföras 2017. Dessutom håller man på att genomföra en allmän studie om frihandelsavtalens inverkan på djurens välbefinnande.</w:t>
      </w:r>
    </w:p>
    <w:p w:rsidR="00CA65E6" w:rsidRDefault="00CB294D">
      <w:pPr>
        <w:pStyle w:val="Heading2"/>
        <w:rPr>
          <w:noProof/>
        </w:rPr>
      </w:pPr>
      <w:bookmarkStart w:id="121" w:name="_Toc493510438"/>
      <w:bookmarkStart w:id="122" w:name="_Toc493510817"/>
      <w:bookmarkStart w:id="123" w:name="_Toc494126148"/>
      <w:bookmarkStart w:id="124" w:name="_Toc497132382"/>
      <w:r>
        <w:rPr>
          <w:noProof/>
        </w:rPr>
        <w:t>Chile</w:t>
      </w:r>
      <w:bookmarkEnd w:id="121"/>
      <w:bookmarkEnd w:id="122"/>
      <w:bookmarkEnd w:id="123"/>
      <w:bookmarkEnd w:id="124"/>
      <w:r>
        <w:rPr>
          <w:noProof/>
        </w:rPr>
        <w:t xml:space="preserve"> </w:t>
      </w:r>
    </w:p>
    <w:p w:rsidR="00CA65E6" w:rsidRDefault="00CB294D">
      <w:pPr>
        <w:rPr>
          <w:noProof/>
          <w:szCs w:val="24"/>
        </w:rPr>
      </w:pPr>
      <w:r>
        <w:rPr>
          <w:noProof/>
        </w:rPr>
        <w:t xml:space="preserve">I studien om Chile konstaterades det att de </w:t>
      </w:r>
      <w:r>
        <w:rPr>
          <w:b/>
          <w:noProof/>
        </w:rPr>
        <w:t>sänkta tullavgifterna</w:t>
      </w:r>
      <w:r>
        <w:rPr>
          <w:noProof/>
        </w:rPr>
        <w:t xml:space="preserve"> hade haft en betydande inverkan på de bilaterala handelsflödena. I simulationer visades att Chiles export till EU under 2009 hade varit 20 % mindre utan frihandelsavtalet och att EU:s export till Chile under 2010 skulle ha varit åtminstone 40 % mindre. </w:t>
      </w:r>
    </w:p>
    <w:p w:rsidR="00CA65E6" w:rsidRDefault="00CB294D">
      <w:pPr>
        <w:rPr>
          <w:noProof/>
          <w:szCs w:val="24"/>
        </w:rPr>
      </w:pPr>
      <w:r>
        <w:rPr>
          <w:noProof/>
        </w:rPr>
        <w:t xml:space="preserve">I studien påpekades att EU:s andel av Chiles </w:t>
      </w:r>
      <w:r>
        <w:rPr>
          <w:b/>
          <w:noProof/>
        </w:rPr>
        <w:t>totala handel</w:t>
      </w:r>
      <w:r>
        <w:rPr>
          <w:noProof/>
        </w:rPr>
        <w:t xml:space="preserve"> hade minskat sedan avtalets ikraftträdande, trots en betydande ökning av de bilaterala handelsflödena. Det tyder på att EU:s export till den chilenska marknaden skulle ha kunnat minska betydligt om det inte hade funnits något frihandelsavtal, på grund av det stora antal frihandelsavtal som Chile slutit med andra partner. </w:t>
      </w:r>
    </w:p>
    <w:p w:rsidR="00CA65E6" w:rsidRDefault="00CB294D">
      <w:pPr>
        <w:rPr>
          <w:noProof/>
          <w:szCs w:val="24"/>
        </w:rPr>
      </w:pPr>
      <w:r>
        <w:rPr>
          <w:noProof/>
        </w:rPr>
        <w:t xml:space="preserve">När det gäller </w:t>
      </w:r>
      <w:r>
        <w:rPr>
          <w:b/>
          <w:noProof/>
        </w:rPr>
        <w:t>tjänster</w:t>
      </w:r>
      <w:r>
        <w:rPr>
          <w:noProof/>
        </w:rPr>
        <w:t xml:space="preserve"> drog man i studien slutsatsen att EU:s tjänsteexport hade ökat mer efter avtalets ikraftträdande inom sektorer där liberaliseringen är mer långtgående liberalisering än åtagandena enligt WTO:s Gatsavtal</w:t>
      </w:r>
      <w:r>
        <w:rPr>
          <w:rStyle w:val="FootnoteReference"/>
          <w:noProof/>
        </w:rPr>
        <w:footnoteReference w:id="18"/>
      </w:r>
      <w:r>
        <w:rPr>
          <w:noProof/>
        </w:rPr>
        <w:t xml:space="preserve">. Chiles tjänsteexport till EU har också gått relativt bra inom flera sektorer där åtagandena enligt frihandelsavtalet är mer långtgående än åtagandena enligt Gatsavtalet. </w:t>
      </w:r>
    </w:p>
    <w:p w:rsidR="00CA65E6" w:rsidRDefault="00CB294D">
      <w:pPr>
        <w:autoSpaceDE w:val="0"/>
        <w:autoSpaceDN w:val="0"/>
        <w:rPr>
          <w:noProof/>
        </w:rPr>
      </w:pPr>
      <w:r>
        <w:rPr>
          <w:noProof/>
        </w:rPr>
        <w:t xml:space="preserve">I efterhandskonsekvensbedömningen konstaterades blandade, men överlag marginella, effekter i fråga om </w:t>
      </w:r>
      <w:r>
        <w:rPr>
          <w:b/>
          <w:noProof/>
        </w:rPr>
        <w:t>naturresurser</w:t>
      </w:r>
      <w:r>
        <w:rPr>
          <w:noProof/>
        </w:rPr>
        <w:t xml:space="preserve"> och </w:t>
      </w:r>
      <w:r>
        <w:rPr>
          <w:b/>
          <w:noProof/>
        </w:rPr>
        <w:t>miljöförstöring</w:t>
      </w:r>
      <w:r>
        <w:rPr>
          <w:noProof/>
        </w:rPr>
        <w:t>. Den ökade användningen av gödselmedel och större export av molybden, lax, blötdjur och träprodukter har i viss utsträckning bidragit till nya former av luft- och vattenföroreningar. Denna påverkan motverkades emellertid till en del tack vare EU:s krav på skärpta miljönormer.</w:t>
      </w:r>
    </w:p>
    <w:p w:rsidR="00CA65E6" w:rsidRDefault="00CB294D">
      <w:pPr>
        <w:rPr>
          <w:noProof/>
          <w:szCs w:val="24"/>
        </w:rPr>
      </w:pPr>
      <w:r>
        <w:rPr>
          <w:noProof/>
        </w:rPr>
        <w:t xml:space="preserve">I studien bedömdes också </w:t>
      </w:r>
      <w:r>
        <w:rPr>
          <w:b/>
          <w:noProof/>
        </w:rPr>
        <w:t>sociala effekter</w:t>
      </w:r>
      <w:r>
        <w:rPr>
          <w:noProof/>
        </w:rPr>
        <w:t xml:space="preserve">, främst i Chile, eftersom det kunde konstateras att frihandelsavtalet inte orsakat några märkbara kostnader för social anpassning i EU. </w:t>
      </w:r>
    </w:p>
    <w:p w:rsidR="00CA65E6" w:rsidRDefault="00CB294D">
      <w:pPr>
        <w:rPr>
          <w:noProof/>
          <w:szCs w:val="24"/>
        </w:rPr>
      </w:pPr>
      <w:r>
        <w:rPr>
          <w:noProof/>
        </w:rPr>
        <w:t xml:space="preserve">Inom Chiles </w:t>
      </w:r>
      <w:r>
        <w:rPr>
          <w:b/>
          <w:noProof/>
        </w:rPr>
        <w:t>jordbrukssektor</w:t>
      </w:r>
      <w:r>
        <w:rPr>
          <w:noProof/>
        </w:rPr>
        <w:t xml:space="preserve"> har i vissa fall småskaliga familjejordbruk gett vika för större jordbruksföretag. I allmänhet har de emellertid dragit fördel av de ökade jordbruksintäkterna och av den minskade ojämlikhet i fråga om marknadstillträde mellan jordbrukssektorn och andra sektorer som frihandelsavtalet fört med sig. </w:t>
      </w:r>
    </w:p>
    <w:p w:rsidR="00CA65E6" w:rsidRDefault="00CB294D">
      <w:pPr>
        <w:pStyle w:val="Heading2"/>
        <w:rPr>
          <w:noProof/>
        </w:rPr>
      </w:pPr>
      <w:bookmarkStart w:id="125" w:name="_Toc493510439"/>
      <w:bookmarkStart w:id="126" w:name="_Toc493510818"/>
      <w:bookmarkStart w:id="127" w:name="_Toc494126149"/>
      <w:bookmarkStart w:id="128" w:name="_Toc497132383"/>
      <w:r>
        <w:rPr>
          <w:noProof/>
        </w:rPr>
        <w:t>Mexiko</w:t>
      </w:r>
      <w:bookmarkEnd w:id="125"/>
      <w:bookmarkEnd w:id="126"/>
      <w:bookmarkEnd w:id="127"/>
      <w:bookmarkEnd w:id="128"/>
      <w:r>
        <w:rPr>
          <w:noProof/>
        </w:rPr>
        <w:t xml:space="preserve"> </w:t>
      </w:r>
    </w:p>
    <w:p w:rsidR="00CA65E6" w:rsidRDefault="00CB294D">
      <w:pPr>
        <w:rPr>
          <w:noProof/>
        </w:rPr>
      </w:pPr>
      <w:r>
        <w:rPr>
          <w:noProof/>
        </w:rPr>
        <w:t xml:space="preserve">Vid analysen av frihandelsavtalet med Mexiko framkom att den bilaterala </w:t>
      </w:r>
      <w:r>
        <w:rPr>
          <w:b/>
          <w:noProof/>
        </w:rPr>
        <w:t>handeln med varor</w:t>
      </w:r>
      <w:r>
        <w:rPr>
          <w:noProof/>
        </w:rPr>
        <w:t xml:space="preserve"> mellan EU och Mexiko har ökat betydligt efter frihandelsavtalets ikraftträdande, särskilt vad gäller andra varor är jordbruksprodukter. </w:t>
      </w:r>
    </w:p>
    <w:p w:rsidR="00CA65E6" w:rsidRDefault="00CB294D">
      <w:pPr>
        <w:rPr>
          <w:noProof/>
        </w:rPr>
      </w:pPr>
      <w:r>
        <w:rPr>
          <w:noProof/>
        </w:rPr>
        <w:t xml:space="preserve">EU:s </w:t>
      </w:r>
      <w:r>
        <w:rPr>
          <w:b/>
          <w:noProof/>
        </w:rPr>
        <w:t>jordbruksexport</w:t>
      </w:r>
      <w:r>
        <w:rPr>
          <w:noProof/>
        </w:rPr>
        <w:t xml:space="preserve"> är fortfarande föremål för höga tullavgifter och stora sanitära och fytosanitära hinder i Mexiko.</w:t>
      </w:r>
    </w:p>
    <w:p w:rsidR="00CA65E6" w:rsidRDefault="00CB294D">
      <w:pPr>
        <w:rPr>
          <w:noProof/>
        </w:rPr>
      </w:pPr>
      <w:r>
        <w:rPr>
          <w:noProof/>
        </w:rPr>
        <w:t xml:space="preserve">Både exporten och importen har mer än fördubblats, men exporten från EU till Mexiko har ökat något snabbare än exporten från Mexiko till EU. EU:s </w:t>
      </w:r>
      <w:r>
        <w:rPr>
          <w:b/>
          <w:noProof/>
        </w:rPr>
        <w:t>andel</w:t>
      </w:r>
      <w:r>
        <w:rPr>
          <w:noProof/>
        </w:rPr>
        <w:t xml:space="preserve"> av den mexikanska exporten var 3,8 % 1999 och 4,9 % 2013, medan Mexikos andel av EU:s exporter ökade från 0,5 % till 0,7 %. </w:t>
      </w:r>
    </w:p>
    <w:p w:rsidR="00CA65E6" w:rsidRDefault="00CB294D">
      <w:pPr>
        <w:rPr>
          <w:noProof/>
        </w:rPr>
      </w:pPr>
      <w:r>
        <w:rPr>
          <w:noProof/>
        </w:rPr>
        <w:t xml:space="preserve">Räknat i procent beräknas </w:t>
      </w:r>
      <w:r>
        <w:rPr>
          <w:b/>
          <w:noProof/>
        </w:rPr>
        <w:t>Mexikos BNP</w:t>
      </w:r>
      <w:r>
        <w:rPr>
          <w:noProof/>
        </w:rPr>
        <w:t xml:space="preserve"> vara 0,34 % högre tack vare frihandelsavtalet och </w:t>
      </w:r>
      <w:r>
        <w:rPr>
          <w:b/>
          <w:noProof/>
        </w:rPr>
        <w:t>EU:s BNP</w:t>
      </w:r>
      <w:r>
        <w:rPr>
          <w:noProof/>
        </w:rPr>
        <w:t xml:space="preserve"> 0,01 % högre. Denna asymmetri beror på att de två länderna inte är lika viktiga för varandra som handelspartner. </w:t>
      </w:r>
    </w:p>
    <w:p w:rsidR="00CA65E6" w:rsidRDefault="00CB294D">
      <w:pPr>
        <w:rPr>
          <w:noProof/>
        </w:rPr>
      </w:pPr>
      <w:r>
        <w:rPr>
          <w:noProof/>
        </w:rPr>
        <w:t xml:space="preserve">Om vi tittar på de </w:t>
      </w:r>
      <w:r>
        <w:rPr>
          <w:b/>
          <w:noProof/>
        </w:rPr>
        <w:t>bilaterala handelsflödena</w:t>
      </w:r>
      <w:r>
        <w:rPr>
          <w:noProof/>
        </w:rPr>
        <w:t xml:space="preserve"> har EU:s export till Mexiko ökat något mer – med 19 % – än den mexikanska exporten till EU, som beräknas ha ökat med 15 %. </w:t>
      </w:r>
    </w:p>
    <w:p w:rsidR="00CA65E6" w:rsidRDefault="00CB294D">
      <w:pPr>
        <w:rPr>
          <w:noProof/>
        </w:rPr>
      </w:pPr>
      <w:r>
        <w:rPr>
          <w:noProof/>
        </w:rPr>
        <w:t xml:space="preserve">Inom handeln med </w:t>
      </w:r>
      <w:r>
        <w:rPr>
          <w:b/>
          <w:noProof/>
        </w:rPr>
        <w:t>tjänster</w:t>
      </w:r>
      <w:r>
        <w:rPr>
          <w:noProof/>
        </w:rPr>
        <w:t xml:space="preserve"> har de bilaterala handelsflödena ökat markant, men förändringarna är i linje med tjänstehandelns allmänna utveckling. </w:t>
      </w:r>
    </w:p>
    <w:p w:rsidR="00CA65E6" w:rsidRDefault="00CB294D">
      <w:pPr>
        <w:rPr>
          <w:noProof/>
        </w:rPr>
      </w:pPr>
      <w:r>
        <w:rPr>
          <w:noProof/>
        </w:rPr>
        <w:t xml:space="preserve">De två partnernas </w:t>
      </w:r>
      <w:r>
        <w:rPr>
          <w:b/>
          <w:noProof/>
        </w:rPr>
        <w:t>flöden av utländska direktinvesteringar</w:t>
      </w:r>
      <w:r>
        <w:rPr>
          <w:noProof/>
        </w:rPr>
        <w:t xml:space="preserve"> uppvisar vissa fluktuationer och avviker inte på något betydande sätt från de allmänna trenderna i dessa flöden. </w:t>
      </w:r>
    </w:p>
    <w:p w:rsidR="00CA65E6" w:rsidRDefault="00CB294D">
      <w:pPr>
        <w:rPr>
          <w:noProof/>
        </w:rPr>
      </w:pPr>
      <w:r>
        <w:rPr>
          <w:b/>
          <w:noProof/>
        </w:rPr>
        <w:t>Situationen i fråga om sysselsättning, mänskliga rättigheter, fattigdom och ojämlikhet</w:t>
      </w:r>
      <w:r>
        <w:rPr>
          <w:noProof/>
        </w:rPr>
        <w:t xml:space="preserve"> påverkades inte nämnvärt av frihandelsavtalet. I de fall där förändringar kunde konstateras var de små men positiva. </w:t>
      </w:r>
    </w:p>
    <w:p w:rsidR="00CA65E6" w:rsidRDefault="00CB294D">
      <w:pPr>
        <w:rPr>
          <w:noProof/>
        </w:rPr>
      </w:pPr>
      <w:r>
        <w:rPr>
          <w:noProof/>
        </w:rPr>
        <w:t xml:space="preserve">Vid studien kunde det inte fastställas om det förekommit några betydande effekter på </w:t>
      </w:r>
      <w:r>
        <w:rPr>
          <w:b/>
          <w:noProof/>
        </w:rPr>
        <w:t>miljön</w:t>
      </w:r>
      <w:r>
        <w:rPr>
          <w:noProof/>
        </w:rPr>
        <w:t xml:space="preserve">. På områdena </w:t>
      </w:r>
      <w:r>
        <w:rPr>
          <w:b/>
          <w:noProof/>
        </w:rPr>
        <w:t>arbetstagares rättigheter</w:t>
      </w:r>
      <w:r>
        <w:rPr>
          <w:noProof/>
        </w:rPr>
        <w:t xml:space="preserve">, socialt skydd och social dialog kunde man inte heller se någon tydlig koppling till frihandelsavtalet. </w:t>
      </w:r>
    </w:p>
    <w:p w:rsidR="00CA65E6" w:rsidRDefault="00CB294D">
      <w:pPr>
        <w:spacing w:after="0"/>
        <w:jc w:val="left"/>
        <w:rPr>
          <w:b/>
          <w:smallCaps/>
          <w:noProof/>
        </w:rPr>
      </w:pPr>
      <w:r>
        <w:rPr>
          <w:noProof/>
        </w:rPr>
        <w:br w:type="page"/>
      </w:r>
    </w:p>
    <w:p w:rsidR="00CA65E6" w:rsidRDefault="00CB294D">
      <w:pPr>
        <w:pStyle w:val="Heading1"/>
        <w:rPr>
          <w:noProof/>
        </w:rPr>
      </w:pPr>
      <w:bookmarkStart w:id="129" w:name="_Toc493510440"/>
      <w:bookmarkStart w:id="130" w:name="_Toc493510819"/>
      <w:bookmarkStart w:id="131" w:name="_Toc494126150"/>
      <w:bookmarkStart w:id="132" w:name="_Toc497132384"/>
      <w:r>
        <w:rPr>
          <w:noProof/>
        </w:rPr>
        <w:t>Förberedelser för ett ändamålsenligt genomförande av frihandelsavtalen</w:t>
      </w:r>
      <w:bookmarkEnd w:id="129"/>
      <w:bookmarkEnd w:id="130"/>
      <w:bookmarkEnd w:id="131"/>
      <w:bookmarkEnd w:id="132"/>
    </w:p>
    <w:p w:rsidR="00CA65E6" w:rsidRDefault="00CB294D">
      <w:pPr>
        <w:pStyle w:val="CommentText"/>
        <w:rPr>
          <w:noProof/>
          <w:sz w:val="24"/>
          <w:szCs w:val="24"/>
        </w:rPr>
      </w:pPr>
      <w:r>
        <w:rPr>
          <w:noProof/>
          <w:sz w:val="24"/>
        </w:rPr>
        <w:t>Från det första skedet i tillämpningen av frihandelsavtalen med Korea och Colombia-Peru har kommissionen insett vikten av ordentliga</w:t>
      </w:r>
      <w:r>
        <w:rPr>
          <w:b/>
          <w:noProof/>
          <w:sz w:val="24"/>
        </w:rPr>
        <w:t xml:space="preserve"> förberedelser</w:t>
      </w:r>
      <w:r>
        <w:rPr>
          <w:noProof/>
          <w:sz w:val="24"/>
        </w:rPr>
        <w:t xml:space="preserve"> för att avtalen ska kunna genomföras så smidigt som möjligt. I framtiden kommer kommissionen därför, så snart den har avslutat förhandlingarna och parallellt med de nödvändiga åtgärderna från EU:s sida, att ta fram en </w:t>
      </w:r>
      <w:r>
        <w:rPr>
          <w:b/>
          <w:noProof/>
          <w:sz w:val="24"/>
        </w:rPr>
        <w:t>färdplan för genomförandet</w:t>
      </w:r>
      <w:r>
        <w:rPr>
          <w:noProof/>
          <w:sz w:val="24"/>
        </w:rPr>
        <w:t xml:space="preserve">. Denna ska omfatta de lagstiftningsmässiga och administrativa åtgärder som partnerlandet måste genomföra för att uppfylla sina åtaganden enligt frihandelsavtalet. </w:t>
      </w:r>
    </w:p>
    <w:p w:rsidR="00CA65E6" w:rsidRDefault="00CB294D">
      <w:pPr>
        <w:pStyle w:val="CommentText"/>
        <w:rPr>
          <w:noProof/>
          <w:sz w:val="24"/>
        </w:rPr>
      </w:pPr>
      <w:r>
        <w:rPr>
          <w:noProof/>
          <w:sz w:val="24"/>
        </w:rPr>
        <w:t xml:space="preserve">Kommissionen kommer också att komma överens om färdplanerna och följa upp dessa med partnerländerna för att garantera att avtalen genomförs på ett ändamålsenligt sätt. När det gäller </w:t>
      </w:r>
      <w:r>
        <w:rPr>
          <w:b/>
          <w:noProof/>
          <w:sz w:val="24"/>
        </w:rPr>
        <w:t>Vietnam</w:t>
      </w:r>
      <w:r>
        <w:rPr>
          <w:noProof/>
          <w:sz w:val="24"/>
        </w:rPr>
        <w:t xml:space="preserve"> och </w:t>
      </w:r>
      <w:r>
        <w:rPr>
          <w:b/>
          <w:noProof/>
          <w:sz w:val="24"/>
        </w:rPr>
        <w:t>Singapore</w:t>
      </w:r>
      <w:r>
        <w:rPr>
          <w:noProof/>
          <w:sz w:val="24"/>
        </w:rPr>
        <w:t xml:space="preserve"> har kommissionen redan börjat utforma färdplaner för genomförandet. För </w:t>
      </w:r>
      <w:r>
        <w:rPr>
          <w:b/>
          <w:noProof/>
          <w:sz w:val="24"/>
        </w:rPr>
        <w:t>utvecklingsländer</w:t>
      </w:r>
      <w:r>
        <w:rPr>
          <w:noProof/>
          <w:sz w:val="24"/>
        </w:rPr>
        <w:t xml:space="preserve"> och </w:t>
      </w:r>
      <w:r>
        <w:rPr>
          <w:b/>
          <w:noProof/>
          <w:sz w:val="24"/>
        </w:rPr>
        <w:t>de minst utvecklade länderna</w:t>
      </w:r>
      <w:r>
        <w:rPr>
          <w:noProof/>
          <w:sz w:val="24"/>
        </w:rPr>
        <w:t xml:space="preserve"> kommer färdplanerna också att innehålla åtgärder för att hjälpa länderna att dra större nytta av de möjligheter som avtalen med EU innebär, i enlighet med årets översyn av EU:s Aid for Trade-strategi.</w:t>
      </w:r>
    </w:p>
    <w:p w:rsidR="00CA65E6" w:rsidRDefault="00CB294D">
      <w:pPr>
        <w:rPr>
          <w:noProof/>
        </w:rPr>
      </w:pPr>
      <w:r>
        <w:rPr>
          <w:b/>
          <w:noProof/>
        </w:rPr>
        <w:t>EU:s delegationer</w:t>
      </w:r>
      <w:r>
        <w:rPr>
          <w:noProof/>
        </w:rPr>
        <w:t xml:space="preserve"> i partnerländerna spelar en </w:t>
      </w:r>
      <w:r>
        <w:rPr>
          <w:b/>
          <w:noProof/>
        </w:rPr>
        <w:t>stor roll</w:t>
      </w:r>
      <w:r>
        <w:rPr>
          <w:noProof/>
        </w:rPr>
        <w:t xml:space="preserve"> för genomförandet av avtalen. Det är de som har störst möjlighet att övervaka den inhemska utveckling som är relevant för att frihandelsavtalen ska kunna fungera effektivt. De har nära kontakt med medlemsstaternas företrädare, lokala näringslivsorganisationen och andra intressenter, med vilka de inrättar </w:t>
      </w:r>
      <w:r>
        <w:rPr>
          <w:b/>
          <w:noProof/>
        </w:rPr>
        <w:t>marknadstillträdesgrupper</w:t>
      </w:r>
      <w:r>
        <w:rPr>
          <w:noProof/>
        </w:rPr>
        <w:t xml:space="preserve"> som följer upp avlägsnandet av handelshinder. I avtalsländerna inriktar sig marknadstillträdesgrupperna främst på genomförandet av frihandelsavtalen. EU:s delegationer är också mycket viktiga vid uppföljningen av genomförandefärdplanerna.</w:t>
      </w:r>
    </w:p>
    <w:p w:rsidR="00CA65E6" w:rsidRDefault="00CB294D">
      <w:pPr>
        <w:rPr>
          <w:noProof/>
        </w:rPr>
      </w:pPr>
      <w:r>
        <w:rPr>
          <w:noProof/>
        </w:rPr>
        <w:t>Kommissionen strävar dessutom efter att involvera andra institutioner, medlemsstater samt organisationer inom och utanför näringslivet i förberedelserna inför ett ändamålsenligt genomförande av frihandelsavtalen.</w:t>
      </w:r>
    </w:p>
    <w:p w:rsidR="00CA65E6" w:rsidRDefault="00CB294D">
      <w:pPr>
        <w:spacing w:after="0"/>
        <w:jc w:val="left"/>
        <w:rPr>
          <w:b/>
          <w:smallCaps/>
          <w:noProof/>
        </w:rPr>
      </w:pPr>
      <w:bookmarkStart w:id="133" w:name="_Toc493510441"/>
      <w:bookmarkStart w:id="134" w:name="_Toc493510820"/>
      <w:r>
        <w:rPr>
          <w:noProof/>
        </w:rPr>
        <w:br w:type="page"/>
      </w:r>
    </w:p>
    <w:p w:rsidR="00CA65E6" w:rsidRDefault="00CB294D">
      <w:pPr>
        <w:pStyle w:val="Heading1"/>
        <w:rPr>
          <w:noProof/>
        </w:rPr>
      </w:pPr>
      <w:bookmarkStart w:id="135" w:name="_Toc494126151"/>
      <w:bookmarkStart w:id="136" w:name="_Toc497132385"/>
      <w:r>
        <w:rPr>
          <w:noProof/>
        </w:rPr>
        <w:t>Kraftfullare informationsåtgärder</w:t>
      </w:r>
      <w:bookmarkEnd w:id="133"/>
      <w:bookmarkEnd w:id="134"/>
      <w:bookmarkEnd w:id="135"/>
      <w:bookmarkEnd w:id="136"/>
      <w:r>
        <w:rPr>
          <w:noProof/>
        </w:rPr>
        <w:t xml:space="preserve"> </w:t>
      </w:r>
    </w:p>
    <w:p w:rsidR="00CA65E6" w:rsidRDefault="00CB294D">
      <w:pPr>
        <w:spacing w:after="0"/>
        <w:rPr>
          <w:noProof/>
        </w:rPr>
      </w:pPr>
      <w:r>
        <w:rPr>
          <w:noProof/>
        </w:rPr>
        <w:t>Bristande medvetenhet om frihandelsavtalen verkar vara en av huvudorsakerna till att företag inte använder sig av avtalen. För att åtgärda detta har kommissionen gjort följande:</w:t>
      </w:r>
    </w:p>
    <w:p w:rsidR="00CA65E6" w:rsidRDefault="00CB294D">
      <w:pPr>
        <w:pStyle w:val="ListParagraph"/>
        <w:numPr>
          <w:ilvl w:val="0"/>
          <w:numId w:val="32"/>
        </w:numPr>
        <w:spacing w:after="0" w:line="240" w:lineRule="auto"/>
        <w:ind w:hanging="357"/>
        <w:rPr>
          <w:noProof/>
        </w:rPr>
      </w:pPr>
      <w:r>
        <w:rPr>
          <w:noProof/>
        </w:rPr>
        <w:t>Heltäckande information har tagits fram om Ceta</w:t>
      </w:r>
      <w:r>
        <w:rPr>
          <w:rStyle w:val="FootnoteReference"/>
          <w:noProof/>
        </w:rPr>
        <w:footnoteReference w:id="19"/>
      </w:r>
      <w:r>
        <w:rPr>
          <w:noProof/>
        </w:rPr>
        <w:t xml:space="preserve"> och frihandelsavtalet med Vietnam</w:t>
      </w:r>
      <w:r>
        <w:rPr>
          <w:rStyle w:val="FootnoteReference"/>
          <w:noProof/>
        </w:rPr>
        <w:footnoteReference w:id="20"/>
      </w:r>
      <w:r>
        <w:rPr>
          <w:noProof/>
        </w:rPr>
        <w:t>.</w:t>
      </w:r>
    </w:p>
    <w:p w:rsidR="00CA65E6" w:rsidRDefault="00CB294D">
      <w:pPr>
        <w:pStyle w:val="ListParagraph"/>
        <w:numPr>
          <w:ilvl w:val="0"/>
          <w:numId w:val="32"/>
        </w:numPr>
        <w:spacing w:after="0" w:line="240" w:lineRule="auto"/>
        <w:ind w:hanging="357"/>
        <w:rPr>
          <w:noProof/>
        </w:rPr>
      </w:pPr>
      <w:r>
        <w:rPr>
          <w:b/>
          <w:noProof/>
        </w:rPr>
        <w:t>Framgångssagor</w:t>
      </w:r>
      <w:r>
        <w:rPr>
          <w:noProof/>
        </w:rPr>
        <w:t xml:space="preserve"> från exportörer har letats upp och publicerats på nätet och i medierna.</w:t>
      </w:r>
      <w:r>
        <w:rPr>
          <w:rStyle w:val="FootnoteReference"/>
          <w:noProof/>
        </w:rPr>
        <w:footnoteReference w:id="21"/>
      </w:r>
    </w:p>
    <w:p w:rsidR="00CA65E6" w:rsidRDefault="00CB294D">
      <w:pPr>
        <w:pStyle w:val="ListParagraph"/>
        <w:numPr>
          <w:ilvl w:val="0"/>
          <w:numId w:val="32"/>
        </w:numPr>
        <w:spacing w:after="0" w:line="240" w:lineRule="auto"/>
        <w:ind w:hanging="357"/>
        <w:rPr>
          <w:noProof/>
        </w:rPr>
      </w:pPr>
      <w:r>
        <w:rPr>
          <w:noProof/>
        </w:rPr>
        <w:t>Planer finns också på att</w:t>
      </w:r>
    </w:p>
    <w:p w:rsidR="00CA65E6" w:rsidRDefault="00CB294D">
      <w:pPr>
        <w:pStyle w:val="ListParagraph"/>
        <w:numPr>
          <w:ilvl w:val="1"/>
          <w:numId w:val="32"/>
        </w:numPr>
        <w:spacing w:after="0" w:line="240" w:lineRule="auto"/>
        <w:ind w:hanging="357"/>
        <w:rPr>
          <w:noProof/>
        </w:rPr>
      </w:pPr>
      <w:r>
        <w:rPr>
          <w:noProof/>
        </w:rPr>
        <w:t xml:space="preserve">förbättra informationen om frihandelsavtal i EU:s </w:t>
      </w:r>
      <w:r>
        <w:rPr>
          <w:b/>
          <w:noProof/>
        </w:rPr>
        <w:t>databas om tillträde till marknaderna</w:t>
      </w:r>
      <w:r>
        <w:rPr>
          <w:rStyle w:val="FootnoteReference"/>
          <w:noProof/>
        </w:rPr>
        <w:footnoteReference w:id="22"/>
      </w:r>
      <w:r>
        <w:rPr>
          <w:noProof/>
        </w:rPr>
        <w:t xml:space="preserve">, och </w:t>
      </w:r>
    </w:p>
    <w:p w:rsidR="00CA65E6" w:rsidRDefault="00CB294D">
      <w:pPr>
        <w:pStyle w:val="ListParagraph"/>
        <w:numPr>
          <w:ilvl w:val="1"/>
          <w:numId w:val="32"/>
        </w:numPr>
        <w:spacing w:after="240" w:line="240" w:lineRule="auto"/>
        <w:ind w:left="1083" w:hanging="357"/>
        <w:contextualSpacing w:val="0"/>
        <w:rPr>
          <w:noProof/>
        </w:rPr>
      </w:pPr>
      <w:r>
        <w:rPr>
          <w:noProof/>
        </w:rPr>
        <w:t xml:space="preserve">utnyttja </w:t>
      </w:r>
      <w:r>
        <w:rPr>
          <w:b/>
          <w:noProof/>
        </w:rPr>
        <w:t>kommissionens befintliga verktyg</w:t>
      </w:r>
      <w:r>
        <w:rPr>
          <w:noProof/>
        </w:rPr>
        <w:t xml:space="preserve"> och nätverk mer effektivt för att sprida information om frihandelsavtalen. </w:t>
      </w:r>
    </w:p>
    <w:p w:rsidR="00CA65E6" w:rsidRDefault="00CB294D">
      <w:pPr>
        <w:rPr>
          <w:noProof/>
        </w:rPr>
      </w:pPr>
      <w:r>
        <w:rPr>
          <w:noProof/>
        </w:rPr>
        <w:t xml:space="preserve">Nya digitala </w:t>
      </w:r>
      <w:r>
        <w:rPr>
          <w:b/>
          <w:noProof/>
        </w:rPr>
        <w:t>informationsverktyg för små och medelstora företag</w:t>
      </w:r>
      <w:r>
        <w:rPr>
          <w:noProof/>
        </w:rPr>
        <w:t xml:space="preserve"> kommer att inrättas 2017–2018.</w:t>
      </w:r>
    </w:p>
    <w:p w:rsidR="00CA65E6" w:rsidRDefault="00CB294D">
      <w:pPr>
        <w:rPr>
          <w:noProof/>
        </w:rPr>
      </w:pPr>
      <w:r>
        <w:rPr>
          <w:b/>
          <w:noProof/>
        </w:rPr>
        <w:t>Medlemsstaterna</w:t>
      </w:r>
      <w:r>
        <w:rPr>
          <w:noProof/>
        </w:rPr>
        <w:t xml:space="preserve"> har också spelat en </w:t>
      </w:r>
      <w:r>
        <w:rPr>
          <w:b/>
          <w:noProof/>
        </w:rPr>
        <w:t>viktig roll</w:t>
      </w:r>
      <w:r>
        <w:rPr>
          <w:noProof/>
        </w:rPr>
        <w:t xml:space="preserve"> i att sprida information om frihandelsavtalen till sina intressenter. Det gäller särskilt små och medelstora företag, som ofta behöver tillgång till information på sitt eget språk och i olika regioner.</w:t>
      </w:r>
    </w:p>
    <w:p w:rsidR="00CA65E6" w:rsidRDefault="00CB294D">
      <w:pPr>
        <w:rPr>
          <w:noProof/>
        </w:rPr>
      </w:pPr>
      <w:r>
        <w:rPr>
          <w:noProof/>
        </w:rPr>
        <w:t xml:space="preserve">Under 2016 inledde kommissionen diskussioner med medlemsstaterna och näringslivsorganisationer (bl.a. i </w:t>
      </w:r>
      <w:r>
        <w:rPr>
          <w:b/>
          <w:noProof/>
        </w:rPr>
        <w:t>den rådgivande kommittén för marknadstillträde</w:t>
      </w:r>
      <w:r>
        <w:rPr>
          <w:noProof/>
        </w:rPr>
        <w:t xml:space="preserve"> och </w:t>
      </w:r>
      <w:r>
        <w:rPr>
          <w:b/>
          <w:noProof/>
        </w:rPr>
        <w:t>rådets handelspolitiska kommitté</w:t>
      </w:r>
      <w:r>
        <w:rPr>
          <w:noProof/>
        </w:rPr>
        <w:t xml:space="preserve">) om hur man kan samarbeta bättre för att genomföra frihandelsavtalen. Bättre information centralt och lokalt ansågs särskilt viktigt. </w:t>
      </w:r>
    </w:p>
    <w:p w:rsidR="00CA65E6" w:rsidRDefault="00CB294D">
      <w:pPr>
        <w:rPr>
          <w:noProof/>
        </w:rPr>
      </w:pPr>
      <w:r>
        <w:rPr>
          <w:noProof/>
        </w:rPr>
        <w:t xml:space="preserve">Vid dessa utbyten framkom det också att ett nära samarbete mellan </w:t>
      </w:r>
      <w:r>
        <w:rPr>
          <w:b/>
          <w:noProof/>
        </w:rPr>
        <w:t>medlemsstaternas ambassader och EU-delegationerna</w:t>
      </w:r>
      <w:r>
        <w:rPr>
          <w:noProof/>
        </w:rPr>
        <w:t xml:space="preserve"> i avtalsländerna var en viktig faktor för att frihandelsavtalen skulle kunna genomföras på ett ändamålsenligt sätt.</w:t>
      </w:r>
    </w:p>
    <w:p w:rsidR="00CA65E6" w:rsidRDefault="00CB294D">
      <w:pPr>
        <w:rPr>
          <w:noProof/>
        </w:rPr>
      </w:pPr>
      <w:r>
        <w:rPr>
          <w:noProof/>
        </w:rPr>
        <w:t>Arbetet med medlemsstaterna, Europaparlamentet samt organisationer inom och utanför näringslivet fortsätter under 2017 i syfte att identifiera bästa praxis.</w:t>
      </w:r>
    </w:p>
    <w:p w:rsidR="00CA65E6" w:rsidRDefault="00CB294D">
      <w:pPr>
        <w:spacing w:after="0"/>
        <w:jc w:val="left"/>
        <w:rPr>
          <w:b/>
          <w:smallCaps/>
          <w:noProof/>
        </w:rPr>
      </w:pPr>
      <w:r>
        <w:rPr>
          <w:noProof/>
        </w:rPr>
        <w:br w:type="page"/>
      </w:r>
    </w:p>
    <w:p w:rsidR="00CA65E6" w:rsidRDefault="00CB294D">
      <w:pPr>
        <w:pStyle w:val="Heading1"/>
        <w:rPr>
          <w:noProof/>
        </w:rPr>
      </w:pPr>
      <w:bookmarkStart w:id="137" w:name="_Toc493510442"/>
      <w:bookmarkStart w:id="138" w:name="_Toc493510821"/>
      <w:bookmarkStart w:id="139" w:name="_Toc494126152"/>
      <w:bookmarkStart w:id="140" w:name="_Toc497132386"/>
      <w:r>
        <w:rPr>
          <w:noProof/>
        </w:rPr>
        <w:t>Slutsatser</w:t>
      </w:r>
      <w:bookmarkEnd w:id="137"/>
      <w:bookmarkEnd w:id="138"/>
      <w:bookmarkEnd w:id="139"/>
      <w:bookmarkEnd w:id="140"/>
    </w:p>
    <w:p w:rsidR="00CA65E6" w:rsidRDefault="00CB294D">
      <w:pPr>
        <w:rPr>
          <w:noProof/>
        </w:rPr>
      </w:pPr>
      <w:r>
        <w:rPr>
          <w:noProof/>
        </w:rPr>
        <w:t>EU har slutit ett stort antal olika frihandelsavtal med mycket olika tillämpningsområden och mål.</w:t>
      </w:r>
    </w:p>
    <w:p w:rsidR="00CA65E6" w:rsidRDefault="00CB294D">
      <w:pPr>
        <w:spacing w:after="0"/>
        <w:rPr>
          <w:noProof/>
        </w:rPr>
      </w:pPr>
      <w:bookmarkStart w:id="141" w:name="_Toc493510443"/>
      <w:bookmarkStart w:id="142" w:name="_Toc493510822"/>
      <w:r>
        <w:rPr>
          <w:noProof/>
        </w:rPr>
        <w:t>Arbetet för att genomföra avtalen om ekonomiskt partnerskap och de djupgående och omfattande frihandelsavtalen behöver intensifieras på båda sidor. Hur framgångsrikt detta kan göras beror mycket på vilka framsteg som görs i fråga om</w:t>
      </w:r>
    </w:p>
    <w:p w:rsidR="00CA65E6" w:rsidRDefault="00CB294D">
      <w:pPr>
        <w:pStyle w:val="ListParagraph"/>
        <w:numPr>
          <w:ilvl w:val="0"/>
          <w:numId w:val="33"/>
        </w:numPr>
        <w:spacing w:after="0" w:line="240" w:lineRule="auto"/>
        <w:rPr>
          <w:noProof/>
        </w:rPr>
      </w:pPr>
      <w:r>
        <w:rPr>
          <w:noProof/>
        </w:rPr>
        <w:t xml:space="preserve">tillnärmning och institutionell kapacitetsuppbyggnad när det gäller de djupgående och omfattande frihandelsavtalen, och </w:t>
      </w:r>
    </w:p>
    <w:p w:rsidR="00CA65E6" w:rsidRDefault="00CB294D">
      <w:pPr>
        <w:pStyle w:val="ListParagraph"/>
        <w:numPr>
          <w:ilvl w:val="0"/>
          <w:numId w:val="33"/>
        </w:numPr>
        <w:rPr>
          <w:noProof/>
        </w:rPr>
      </w:pPr>
      <w:r>
        <w:rPr>
          <w:noProof/>
        </w:rPr>
        <w:t>utökning av genomförandekapaciteten när det gäller avtalen om ekonomiskt partnerskap.</w:t>
      </w:r>
    </w:p>
    <w:p w:rsidR="00CA65E6" w:rsidRDefault="00CB294D">
      <w:pPr>
        <w:rPr>
          <w:noProof/>
        </w:rPr>
      </w:pPr>
      <w:r>
        <w:rPr>
          <w:noProof/>
        </w:rPr>
        <w:t xml:space="preserve">Medelhavsländerna stöter fortfarande på hinder när de vill exportera till EU:s marknad, detta trots att frihandelsavtalen redan har tillämpats under relativt lång tid. Den inhemska utvecklingen på senare år, inbegripet flyktingkrisen, har gjort det extra svårt att bygga upp exportkapaciteten och diversifiera ekonomin, vilket skulle hjälpa dessa partner att bättre utnyttja de möjligheter som frihandelsavtalen innebär. </w:t>
      </w:r>
    </w:p>
    <w:p w:rsidR="00CA65E6" w:rsidRDefault="00CB294D">
      <w:pPr>
        <w:pStyle w:val="Heading2"/>
        <w:rPr>
          <w:noProof/>
        </w:rPr>
      </w:pPr>
      <w:bookmarkStart w:id="143" w:name="_Toc494126153"/>
      <w:bookmarkStart w:id="144" w:name="_Toc497132387"/>
      <w:r>
        <w:rPr>
          <w:noProof/>
        </w:rPr>
        <w:t>Handelsflöden</w:t>
      </w:r>
      <w:bookmarkEnd w:id="141"/>
      <w:bookmarkEnd w:id="142"/>
      <w:bookmarkEnd w:id="143"/>
      <w:bookmarkEnd w:id="144"/>
      <w:r>
        <w:rPr>
          <w:noProof/>
        </w:rPr>
        <w:t xml:space="preserve"> </w:t>
      </w:r>
    </w:p>
    <w:p w:rsidR="00CA65E6" w:rsidRDefault="00CB294D">
      <w:pPr>
        <w:rPr>
          <w:noProof/>
        </w:rPr>
      </w:pPr>
      <w:r>
        <w:rPr>
          <w:b/>
          <w:noProof/>
        </w:rPr>
        <w:t>Handeln med varor ökar</w:t>
      </w:r>
      <w:r>
        <w:rPr>
          <w:noProof/>
        </w:rPr>
        <w:t xml:space="preserve"> överlag, i synnerhet när det gäller exporten från EU. I de fall exporten från EU har minskat förefaller det främst bero på externa faktorer som påverkar ekonomin i partnerlandet i fråga, inte på själva frihandelsavtalets funktion. </w:t>
      </w:r>
    </w:p>
    <w:p w:rsidR="00CA65E6" w:rsidRDefault="00CB294D">
      <w:pPr>
        <w:rPr>
          <w:noProof/>
        </w:rPr>
      </w:pPr>
      <w:r>
        <w:rPr>
          <w:noProof/>
        </w:rPr>
        <w:t xml:space="preserve">En mycket positiv utveckling – som till och med har överträffat förväntningarna – är den stora ökningen av EU:s export av </w:t>
      </w:r>
      <w:r>
        <w:rPr>
          <w:b/>
          <w:noProof/>
        </w:rPr>
        <w:t>jordbruksprodukter</w:t>
      </w:r>
      <w:r>
        <w:rPr>
          <w:noProof/>
        </w:rPr>
        <w:t xml:space="preserve"> och </w:t>
      </w:r>
      <w:r>
        <w:rPr>
          <w:b/>
          <w:noProof/>
        </w:rPr>
        <w:t>motorfordon</w:t>
      </w:r>
      <w:r>
        <w:rPr>
          <w:noProof/>
        </w:rPr>
        <w:t xml:space="preserve"> inom ramen för den nya generationens frihandelsavtal. Den stora andelen EU-företag som utnyttjar frihandelsavtalens tullförmåner inom dessa sektorer visar att vi kan tacka avtalen för dessa ökningar i exporten. </w:t>
      </w:r>
    </w:p>
    <w:p w:rsidR="00CA65E6" w:rsidRDefault="00CB294D">
      <w:pPr>
        <w:pStyle w:val="Heading2"/>
        <w:rPr>
          <w:noProof/>
        </w:rPr>
      </w:pPr>
      <w:bookmarkStart w:id="145" w:name="_Toc493510444"/>
      <w:bookmarkStart w:id="146" w:name="_Toc493510823"/>
      <w:bookmarkStart w:id="147" w:name="_Toc494126154"/>
      <w:bookmarkStart w:id="148" w:name="_Toc497132388"/>
      <w:r>
        <w:rPr>
          <w:noProof/>
        </w:rPr>
        <w:t>Tullkvoter</w:t>
      </w:r>
      <w:bookmarkEnd w:id="145"/>
      <w:bookmarkEnd w:id="146"/>
      <w:bookmarkEnd w:id="147"/>
      <w:bookmarkEnd w:id="148"/>
      <w:r>
        <w:rPr>
          <w:noProof/>
        </w:rPr>
        <w:t xml:space="preserve"> </w:t>
      </w:r>
    </w:p>
    <w:p w:rsidR="00CA65E6" w:rsidRDefault="00CB294D">
      <w:pPr>
        <w:rPr>
          <w:noProof/>
        </w:rPr>
      </w:pPr>
      <w:r>
        <w:rPr>
          <w:noProof/>
        </w:rPr>
        <w:t xml:space="preserve">I fråga om tullkvoterna finns det en </w:t>
      </w:r>
      <w:r>
        <w:rPr>
          <w:b/>
          <w:noProof/>
        </w:rPr>
        <w:t>outnyttjad potential</w:t>
      </w:r>
      <w:r>
        <w:rPr>
          <w:noProof/>
        </w:rPr>
        <w:t xml:space="preserve"> till ytterligare export i både riktningar för samtliga partner, eftersom kvoterna i allmänhet inte används i någon större utsträckning.</w:t>
      </w:r>
    </w:p>
    <w:p w:rsidR="00CA65E6" w:rsidRDefault="00CB294D">
      <w:pPr>
        <w:pStyle w:val="Heading2"/>
        <w:rPr>
          <w:noProof/>
        </w:rPr>
      </w:pPr>
      <w:bookmarkStart w:id="149" w:name="_Toc493510445"/>
      <w:bookmarkStart w:id="150" w:name="_Toc493510824"/>
      <w:bookmarkStart w:id="151" w:name="_Toc494126155"/>
      <w:bookmarkStart w:id="152" w:name="_Toc497132389"/>
      <w:r>
        <w:rPr>
          <w:noProof/>
        </w:rPr>
        <w:t>Utnyttjande av förmånstullar</w:t>
      </w:r>
      <w:bookmarkEnd w:id="149"/>
      <w:bookmarkEnd w:id="150"/>
      <w:bookmarkEnd w:id="151"/>
      <w:bookmarkEnd w:id="152"/>
      <w:r>
        <w:rPr>
          <w:noProof/>
        </w:rPr>
        <w:t xml:space="preserve"> </w:t>
      </w:r>
    </w:p>
    <w:p w:rsidR="00CA65E6" w:rsidRDefault="00CB294D">
      <w:pPr>
        <w:spacing w:after="0"/>
        <w:rPr>
          <w:noProof/>
        </w:rPr>
      </w:pPr>
      <w:r>
        <w:rPr>
          <w:noProof/>
        </w:rPr>
        <w:t xml:space="preserve">Enligt tillgängliga data är </w:t>
      </w:r>
      <w:r>
        <w:rPr>
          <w:b/>
          <w:noProof/>
        </w:rPr>
        <w:t>EU-företagens</w:t>
      </w:r>
      <w:r>
        <w:rPr>
          <w:noProof/>
        </w:rPr>
        <w:t xml:space="preserve"> utnyttjande av förmånstullar i regel </w:t>
      </w:r>
      <w:r>
        <w:rPr>
          <w:b/>
          <w:noProof/>
        </w:rPr>
        <w:t>mycket lägre</w:t>
      </w:r>
      <w:r>
        <w:rPr>
          <w:noProof/>
        </w:rPr>
        <w:t xml:space="preserve"> än handelspartnernas. Kommissionen har undersökt detta och kunnat fastställa följande tre huvudskäl till det låga utnyttjandet av frihandelsavtalen:</w:t>
      </w:r>
    </w:p>
    <w:p w:rsidR="00CA65E6" w:rsidRDefault="00CB294D">
      <w:pPr>
        <w:pStyle w:val="ListParagraph"/>
        <w:numPr>
          <w:ilvl w:val="0"/>
          <w:numId w:val="33"/>
        </w:numPr>
        <w:spacing w:after="0" w:line="240" w:lineRule="auto"/>
        <w:rPr>
          <w:noProof/>
        </w:rPr>
      </w:pPr>
      <w:r>
        <w:rPr>
          <w:noProof/>
        </w:rPr>
        <w:t>Bristande</w:t>
      </w:r>
      <w:r>
        <w:rPr>
          <w:b/>
          <w:noProof/>
        </w:rPr>
        <w:t xml:space="preserve"> medvetenhet</w:t>
      </w:r>
      <w:r>
        <w:rPr>
          <w:noProof/>
        </w:rPr>
        <w:t xml:space="preserve"> om frihandelsavtalen.</w:t>
      </w:r>
    </w:p>
    <w:p w:rsidR="00CA65E6" w:rsidRDefault="00CB294D">
      <w:pPr>
        <w:pStyle w:val="ListParagraph"/>
        <w:numPr>
          <w:ilvl w:val="0"/>
          <w:numId w:val="33"/>
        </w:numPr>
        <w:spacing w:after="0" w:line="240" w:lineRule="auto"/>
        <w:rPr>
          <w:noProof/>
        </w:rPr>
      </w:pPr>
      <w:r>
        <w:rPr>
          <w:b/>
          <w:noProof/>
        </w:rPr>
        <w:t>Svårigheter att förstå</w:t>
      </w:r>
      <w:r>
        <w:rPr>
          <w:noProof/>
        </w:rPr>
        <w:t xml:space="preserve"> reglerna för de olika produkterna.</w:t>
      </w:r>
    </w:p>
    <w:p w:rsidR="00CA65E6" w:rsidRDefault="00CB294D">
      <w:pPr>
        <w:pStyle w:val="ListParagraph"/>
        <w:numPr>
          <w:ilvl w:val="0"/>
          <w:numId w:val="33"/>
        </w:numPr>
        <w:spacing w:after="240" w:line="240" w:lineRule="auto"/>
        <w:ind w:left="357" w:hanging="357"/>
        <w:contextualSpacing w:val="0"/>
        <w:rPr>
          <w:noProof/>
        </w:rPr>
      </w:pPr>
      <w:r>
        <w:rPr>
          <w:noProof/>
        </w:rPr>
        <w:t xml:space="preserve">Krångliga </w:t>
      </w:r>
      <w:r>
        <w:rPr>
          <w:b/>
          <w:noProof/>
        </w:rPr>
        <w:t>förfaranden för att erhålla</w:t>
      </w:r>
      <w:r>
        <w:rPr>
          <w:noProof/>
        </w:rPr>
        <w:t xml:space="preserve"> de </w:t>
      </w:r>
      <w:r>
        <w:rPr>
          <w:b/>
          <w:noProof/>
        </w:rPr>
        <w:t>dokument</w:t>
      </w:r>
      <w:r>
        <w:rPr>
          <w:noProof/>
        </w:rPr>
        <w:t xml:space="preserve"> som behövs för att kunna utnyttja förmånerna.</w:t>
      </w:r>
    </w:p>
    <w:p w:rsidR="00CA65E6" w:rsidRDefault="00CB294D">
      <w:pPr>
        <w:rPr>
          <w:noProof/>
        </w:rPr>
      </w:pPr>
      <w:r>
        <w:rPr>
          <w:noProof/>
        </w:rPr>
        <w:t xml:space="preserve">Kommissionen arbetar för närvarande för att sprida mer information om avtalen. Den håller på att </w:t>
      </w:r>
      <w:r>
        <w:rPr>
          <w:b/>
          <w:noProof/>
        </w:rPr>
        <w:t>förbättra informationen</w:t>
      </w:r>
      <w:r>
        <w:rPr>
          <w:noProof/>
        </w:rPr>
        <w:t xml:space="preserve"> på sina webbplatser, inbegripet befintliga verktyg såsom förhandsbesked om ursprung. Den arbetar också för att ta fram nya typer av </w:t>
      </w:r>
      <w:r>
        <w:rPr>
          <w:b/>
          <w:noProof/>
        </w:rPr>
        <w:t>digitala verktyg</w:t>
      </w:r>
      <w:r>
        <w:rPr>
          <w:noProof/>
        </w:rPr>
        <w:t xml:space="preserve"> och vägledningar för att sprida information om frihandelsavtalen mer effektivt och hjälpa företagen att utnyttja dem. </w:t>
      </w:r>
    </w:p>
    <w:p w:rsidR="00CA65E6" w:rsidRDefault="00CB294D">
      <w:pPr>
        <w:rPr>
          <w:noProof/>
        </w:rPr>
      </w:pPr>
      <w:r>
        <w:rPr>
          <w:noProof/>
        </w:rPr>
        <w:t>Det kommer att krävas ett nära samarbete med medlemsstaterna och näringslivet för att fördelarna med dessa instrument ska kunna utnyttjas till fullo så att så många företag som möjligt ska bli medvetna om dem.</w:t>
      </w:r>
    </w:p>
    <w:p w:rsidR="00CA65E6" w:rsidRDefault="00CB294D">
      <w:pPr>
        <w:rPr>
          <w:noProof/>
        </w:rPr>
      </w:pPr>
      <w:r>
        <w:rPr>
          <w:b/>
          <w:noProof/>
        </w:rPr>
        <w:t>Bristen på data om utnyttjande av förmånstullar</w:t>
      </w:r>
      <w:r>
        <w:rPr>
          <w:noProof/>
        </w:rPr>
        <w:t xml:space="preserve"> för EU:s export till vissa partnerländer är ett problem som bör åtgärdas tillsammans med dessa länder snarast möjligt. Framtida frihandelsavtal kommer att innehålla en </w:t>
      </w:r>
      <w:r>
        <w:rPr>
          <w:b/>
          <w:noProof/>
        </w:rPr>
        <w:t>bestämmelse om datautbyte</w:t>
      </w:r>
      <w:r>
        <w:rPr>
          <w:noProof/>
        </w:rPr>
        <w:t xml:space="preserve">, men problemet kvarstår för de frihandelsavtal som redan trätt i kraft. Utan dessa data är det inte möjligt att övervaka utnyttjandet av frihandelsavtalen eller hur insatserna för att få EU-företagen att utnyttja dem fungerar. Sådana data skulle också vara till hjälp för att identifiera de sektorer där utnyttjandet är lågt, så att insatser kan inriktas särskilt på dessa. </w:t>
      </w:r>
    </w:p>
    <w:p w:rsidR="00CA65E6" w:rsidRDefault="00CB294D">
      <w:pPr>
        <w:pStyle w:val="Heading2"/>
        <w:rPr>
          <w:noProof/>
        </w:rPr>
      </w:pPr>
      <w:bookmarkStart w:id="153" w:name="_Toc493510446"/>
      <w:bookmarkStart w:id="154" w:name="_Toc493510825"/>
      <w:bookmarkStart w:id="155" w:name="_Toc494126156"/>
      <w:bookmarkStart w:id="156" w:name="_Toc497132390"/>
      <w:r>
        <w:rPr>
          <w:noProof/>
        </w:rPr>
        <w:t>Tjänster och investeringar</w:t>
      </w:r>
      <w:bookmarkEnd w:id="153"/>
      <w:bookmarkEnd w:id="154"/>
      <w:bookmarkEnd w:id="155"/>
      <w:bookmarkEnd w:id="156"/>
      <w:r>
        <w:rPr>
          <w:noProof/>
        </w:rPr>
        <w:t xml:space="preserve"> </w:t>
      </w:r>
    </w:p>
    <w:p w:rsidR="00CA65E6" w:rsidRDefault="00CB294D">
      <w:pPr>
        <w:rPr>
          <w:noProof/>
        </w:rPr>
      </w:pPr>
      <w:r>
        <w:rPr>
          <w:noProof/>
        </w:rPr>
        <w:t xml:space="preserve">Tjänster och investeringar ingår i alla den ”nya generationens” frihandelsavtal och djupgående och omfattande frihandelsavtal, men det är svårt att se kopplingen mellan frihandelsavtalen och utvecklingen på dessa områden. </w:t>
      </w:r>
      <w:r>
        <w:rPr>
          <w:b/>
          <w:noProof/>
        </w:rPr>
        <w:t>Mer tid måste förflyta</w:t>
      </w:r>
      <w:r>
        <w:rPr>
          <w:noProof/>
        </w:rPr>
        <w:t xml:space="preserve"> innan effekterna börjas märkas av.</w:t>
      </w:r>
    </w:p>
    <w:p w:rsidR="00CA65E6" w:rsidRDefault="00CB294D">
      <w:pPr>
        <w:rPr>
          <w:noProof/>
        </w:rPr>
      </w:pPr>
      <w:r>
        <w:rPr>
          <w:noProof/>
        </w:rPr>
        <w:t>När det gäller frihandelsavtalen med Chile och Mexiko utvecklas handeln i positiv riktning.</w:t>
      </w:r>
    </w:p>
    <w:p w:rsidR="00CA65E6" w:rsidRDefault="00CB294D">
      <w:pPr>
        <w:pStyle w:val="Heading2"/>
        <w:rPr>
          <w:noProof/>
        </w:rPr>
      </w:pPr>
      <w:bookmarkStart w:id="157" w:name="_Toc493510447"/>
      <w:bookmarkStart w:id="158" w:name="_Toc493510826"/>
      <w:bookmarkStart w:id="159" w:name="_Toc494126157"/>
      <w:bookmarkStart w:id="160" w:name="_Toc497132391"/>
      <w:r>
        <w:rPr>
          <w:noProof/>
        </w:rPr>
        <w:t>Handel och hållbar utveckling</w:t>
      </w:r>
      <w:bookmarkEnd w:id="157"/>
      <w:bookmarkEnd w:id="158"/>
      <w:bookmarkEnd w:id="159"/>
      <w:bookmarkEnd w:id="160"/>
    </w:p>
    <w:p w:rsidR="00CA65E6" w:rsidRDefault="00CB294D">
      <w:pPr>
        <w:rPr>
          <w:noProof/>
        </w:rPr>
      </w:pPr>
      <w:r>
        <w:rPr>
          <w:noProof/>
        </w:rPr>
        <w:t xml:space="preserve">Vid genomförandet av kapitlen om handel och hållbar utveckling krävs större insatser för att engagera partnerländerna, men man har redan kunnat konstatera en viss </w:t>
      </w:r>
      <w:r>
        <w:rPr>
          <w:b/>
          <w:noProof/>
        </w:rPr>
        <w:t>positiv utveckling</w:t>
      </w:r>
      <w:r>
        <w:rPr>
          <w:noProof/>
        </w:rPr>
        <w:t xml:space="preserve">. </w:t>
      </w:r>
    </w:p>
    <w:p w:rsidR="00CA65E6" w:rsidRDefault="00CB294D">
      <w:pPr>
        <w:rPr>
          <w:noProof/>
        </w:rPr>
      </w:pPr>
      <w:r>
        <w:rPr>
          <w:noProof/>
        </w:rPr>
        <w:t xml:space="preserve">Nu måste </w:t>
      </w:r>
      <w:r>
        <w:rPr>
          <w:b/>
          <w:noProof/>
        </w:rPr>
        <w:t>prioriteringar för arbetet under de kommande åren</w:t>
      </w:r>
      <w:r>
        <w:rPr>
          <w:noProof/>
        </w:rPr>
        <w:t xml:space="preserve"> fastställas. Det är inte tillräckligt att bara ratificera viktiga internationella instrument: efter detta krävs arbete för att åstadkomma ett effektivt genomförande inom lagstiftning och praxis. Ett </w:t>
      </w:r>
      <w:r>
        <w:rPr>
          <w:b/>
          <w:noProof/>
        </w:rPr>
        <w:t>intensivare samarbete</w:t>
      </w:r>
      <w:r>
        <w:rPr>
          <w:noProof/>
        </w:rPr>
        <w:t xml:space="preserve"> med internationella organisationer såsom ILO kommer att underlätta övervakningen i framtiden.</w:t>
      </w:r>
    </w:p>
    <w:p w:rsidR="00CA65E6" w:rsidRDefault="00CB294D">
      <w:pPr>
        <w:pStyle w:val="Heading2"/>
        <w:rPr>
          <w:noProof/>
        </w:rPr>
      </w:pPr>
      <w:bookmarkStart w:id="161" w:name="_Toc493510448"/>
      <w:bookmarkStart w:id="162" w:name="_Toc493510827"/>
      <w:bookmarkStart w:id="163" w:name="_Toc494126158"/>
      <w:bookmarkStart w:id="164" w:name="_Toc497132392"/>
      <w:r>
        <w:rPr>
          <w:noProof/>
        </w:rPr>
        <w:t>Olösta frågor</w:t>
      </w:r>
      <w:bookmarkEnd w:id="161"/>
      <w:bookmarkEnd w:id="162"/>
      <w:bookmarkEnd w:id="163"/>
      <w:bookmarkEnd w:id="164"/>
      <w:r>
        <w:rPr>
          <w:noProof/>
        </w:rPr>
        <w:t xml:space="preserve"> </w:t>
      </w:r>
    </w:p>
    <w:p w:rsidR="00CA65E6" w:rsidRDefault="00CB294D">
      <w:pPr>
        <w:spacing w:after="0"/>
        <w:rPr>
          <w:noProof/>
        </w:rPr>
      </w:pPr>
      <w:r>
        <w:rPr>
          <w:b/>
          <w:noProof/>
        </w:rPr>
        <w:t>Framsteg</w:t>
      </w:r>
      <w:r>
        <w:rPr>
          <w:noProof/>
        </w:rPr>
        <w:t xml:space="preserve"> har gjort i fråga om </w:t>
      </w:r>
    </w:p>
    <w:p w:rsidR="00CA65E6" w:rsidRDefault="00CB294D">
      <w:pPr>
        <w:pStyle w:val="ListParagraph"/>
        <w:numPr>
          <w:ilvl w:val="0"/>
          <w:numId w:val="34"/>
        </w:numPr>
        <w:spacing w:after="0" w:line="240" w:lineRule="auto"/>
        <w:rPr>
          <w:noProof/>
        </w:rPr>
      </w:pPr>
      <w:r>
        <w:rPr>
          <w:noProof/>
        </w:rPr>
        <w:t>sanitära och fytosanitära åtgärder (Colombia, Peru, Moldavien, Georgien, Ukraina),</w:t>
      </w:r>
    </w:p>
    <w:p w:rsidR="00CA65E6" w:rsidRDefault="00CB294D">
      <w:pPr>
        <w:pStyle w:val="ListParagraph"/>
        <w:numPr>
          <w:ilvl w:val="0"/>
          <w:numId w:val="34"/>
        </w:numPr>
        <w:spacing w:after="0" w:line="240" w:lineRule="auto"/>
        <w:rPr>
          <w:noProof/>
        </w:rPr>
      </w:pPr>
      <w:r>
        <w:rPr>
          <w:noProof/>
        </w:rPr>
        <w:t>diskriminering av spritdrycker (Colombia), och</w:t>
      </w:r>
    </w:p>
    <w:p w:rsidR="00CA65E6" w:rsidRDefault="00CB294D">
      <w:pPr>
        <w:pStyle w:val="ListParagraph"/>
        <w:numPr>
          <w:ilvl w:val="0"/>
          <w:numId w:val="34"/>
        </w:numPr>
        <w:spacing w:after="240" w:line="240" w:lineRule="auto"/>
        <w:ind w:left="357" w:hanging="357"/>
        <w:contextualSpacing w:val="0"/>
        <w:rPr>
          <w:noProof/>
        </w:rPr>
      </w:pPr>
      <w:r>
        <w:rPr>
          <w:noProof/>
        </w:rPr>
        <w:t xml:space="preserve">tekniska föreskrifter och standarder (Ukraina, Georgien). </w:t>
      </w:r>
    </w:p>
    <w:p w:rsidR="00CA65E6" w:rsidRDefault="00CB294D">
      <w:pPr>
        <w:spacing w:after="0"/>
        <w:rPr>
          <w:noProof/>
        </w:rPr>
      </w:pPr>
      <w:r>
        <w:rPr>
          <w:b/>
          <w:noProof/>
        </w:rPr>
        <w:t>Problem kvarstår</w:t>
      </w:r>
      <w:r>
        <w:rPr>
          <w:noProof/>
        </w:rPr>
        <w:t xml:space="preserve"> emellertid när det gäller</w:t>
      </w:r>
    </w:p>
    <w:p w:rsidR="00CA65E6" w:rsidRDefault="00CB294D">
      <w:pPr>
        <w:pStyle w:val="ListParagraph"/>
        <w:numPr>
          <w:ilvl w:val="0"/>
          <w:numId w:val="35"/>
        </w:numPr>
        <w:spacing w:after="0" w:line="240" w:lineRule="auto"/>
        <w:rPr>
          <w:noProof/>
        </w:rPr>
      </w:pPr>
      <w:r>
        <w:rPr>
          <w:noProof/>
        </w:rPr>
        <w:t>sanitära och fytosanitära åtgärder,</w:t>
      </w:r>
    </w:p>
    <w:p w:rsidR="00CA65E6" w:rsidRDefault="00CB294D">
      <w:pPr>
        <w:pStyle w:val="ListParagraph"/>
        <w:numPr>
          <w:ilvl w:val="0"/>
          <w:numId w:val="35"/>
        </w:numPr>
        <w:spacing w:after="0" w:line="240" w:lineRule="auto"/>
        <w:rPr>
          <w:noProof/>
        </w:rPr>
      </w:pPr>
      <w:r>
        <w:rPr>
          <w:noProof/>
        </w:rPr>
        <w:t>begränsningar av handeln med jordbruksprodukter,</w:t>
      </w:r>
    </w:p>
    <w:p w:rsidR="00CA65E6" w:rsidRDefault="00CB294D">
      <w:pPr>
        <w:pStyle w:val="ListParagraph"/>
        <w:numPr>
          <w:ilvl w:val="0"/>
          <w:numId w:val="35"/>
        </w:numPr>
        <w:spacing w:after="0" w:line="240" w:lineRule="auto"/>
        <w:rPr>
          <w:noProof/>
        </w:rPr>
      </w:pPr>
      <w:r>
        <w:rPr>
          <w:noProof/>
        </w:rPr>
        <w:t>verkställande av geografiska beteckningar, och</w:t>
      </w:r>
    </w:p>
    <w:p w:rsidR="00CA65E6" w:rsidRDefault="00CB294D">
      <w:pPr>
        <w:pStyle w:val="ListParagraph"/>
        <w:numPr>
          <w:ilvl w:val="0"/>
          <w:numId w:val="35"/>
        </w:numPr>
        <w:spacing w:after="240" w:line="240" w:lineRule="auto"/>
        <w:ind w:left="357" w:hanging="357"/>
        <w:contextualSpacing w:val="0"/>
        <w:rPr>
          <w:noProof/>
        </w:rPr>
      </w:pPr>
      <w:r>
        <w:rPr>
          <w:noProof/>
        </w:rPr>
        <w:t>offentliga upphandlingar.</w:t>
      </w:r>
    </w:p>
    <w:p w:rsidR="00CA65E6" w:rsidRDefault="00CB294D">
      <w:pPr>
        <w:rPr>
          <w:noProof/>
        </w:rPr>
      </w:pPr>
      <w:r>
        <w:rPr>
          <w:noProof/>
        </w:rPr>
        <w:t xml:space="preserve">I syfte att göra marknaderna mer öppna antog EU och medlemsstaterna en </w:t>
      </w:r>
      <w:r>
        <w:rPr>
          <w:b/>
          <w:noProof/>
        </w:rPr>
        <w:t>ny strategi för sanitära och fytosanitära åtgärder</w:t>
      </w:r>
      <w:r>
        <w:rPr>
          <w:noProof/>
        </w:rPr>
        <w:t xml:space="preserve"> 2016. Den innehåller tydliga marknadstillträdesprioriteringar för 20 handelspartner. Bland dessa ingår både länder med vilka EU redan har slutit frihandelsavtal och länder med vilka förhandlingar pågår. För att hindra att problem uppkommer i framtiden har man intensifierat ansträngningarna inom ramen för pågående förhandlingar om frihandelsavtal.</w:t>
      </w:r>
      <w:r>
        <w:rPr>
          <w:rStyle w:val="FootnoteReference"/>
          <w:noProof/>
        </w:rPr>
        <w:footnoteReference w:id="23"/>
      </w:r>
    </w:p>
    <w:p w:rsidR="00CA65E6" w:rsidRDefault="00CB294D">
      <w:pPr>
        <w:spacing w:after="0"/>
        <w:rPr>
          <w:noProof/>
        </w:rPr>
      </w:pPr>
      <w:r>
        <w:rPr>
          <w:noProof/>
        </w:rPr>
        <w:t xml:space="preserve">Ju längre ett frihandelsavtal har tillämpats, desto mindre bör EU acceptera fortsatta överträdelser och åtagandena enligt avtalet. Efter fem år med frihandelsavtalet mellan EU och </w:t>
      </w:r>
      <w:r>
        <w:rPr>
          <w:b/>
          <w:noProof/>
        </w:rPr>
        <w:t>Korea</w:t>
      </w:r>
    </w:p>
    <w:p w:rsidR="00CA65E6" w:rsidRDefault="00CB294D">
      <w:pPr>
        <w:pStyle w:val="ListParagraph"/>
        <w:numPr>
          <w:ilvl w:val="0"/>
          <w:numId w:val="36"/>
        </w:numPr>
        <w:spacing w:after="0" w:line="240" w:lineRule="auto"/>
        <w:rPr>
          <w:noProof/>
        </w:rPr>
      </w:pPr>
      <w:r>
        <w:rPr>
          <w:noProof/>
        </w:rPr>
        <w:t>kan EU fortfarande inte exportera nötkött,</w:t>
      </w:r>
    </w:p>
    <w:p w:rsidR="00CA65E6" w:rsidRDefault="00CB294D">
      <w:pPr>
        <w:pStyle w:val="ListParagraph"/>
        <w:numPr>
          <w:ilvl w:val="0"/>
          <w:numId w:val="36"/>
        </w:numPr>
        <w:spacing w:after="0" w:line="240" w:lineRule="auto"/>
        <w:rPr>
          <w:noProof/>
        </w:rPr>
      </w:pPr>
      <w:r>
        <w:rPr>
          <w:noProof/>
        </w:rPr>
        <w:t xml:space="preserve">har Korea ännu inte godkänt principen om regionalisering, </w:t>
      </w:r>
    </w:p>
    <w:p w:rsidR="00CA65E6" w:rsidRDefault="00CB294D">
      <w:pPr>
        <w:pStyle w:val="ListParagraph"/>
        <w:numPr>
          <w:ilvl w:val="0"/>
          <w:numId w:val="36"/>
        </w:numPr>
        <w:spacing w:after="240" w:line="240" w:lineRule="auto"/>
        <w:ind w:left="357" w:hanging="357"/>
        <w:contextualSpacing w:val="0"/>
        <w:rPr>
          <w:noProof/>
        </w:rPr>
      </w:pPr>
      <w:r>
        <w:rPr>
          <w:noProof/>
        </w:rPr>
        <w:t>planerar EU att fortsätta samarbeta med Korea för att utöka listan över skyddade geografiska beteckningar i enlighet med avtalet.</w:t>
      </w:r>
    </w:p>
    <w:p w:rsidR="00CA65E6" w:rsidRDefault="00CB294D">
      <w:pPr>
        <w:rPr>
          <w:noProof/>
        </w:rPr>
      </w:pPr>
      <w:r>
        <w:rPr>
          <w:b/>
          <w:noProof/>
        </w:rPr>
        <w:t>Peru</w:t>
      </w:r>
      <w:r>
        <w:rPr>
          <w:noProof/>
        </w:rPr>
        <w:t xml:space="preserve"> tillämpar fortfarande diskriminerande </w:t>
      </w:r>
      <w:r>
        <w:rPr>
          <w:b/>
          <w:noProof/>
        </w:rPr>
        <w:t>skatter på spritdrycker</w:t>
      </w:r>
      <w:r>
        <w:rPr>
          <w:noProof/>
        </w:rPr>
        <w:t xml:space="preserve"> tre år efter avtalets ikraftträdande. Med Colombia har framsteg emellertid gjorts på detta område. Denna fråga bör prioriteras.</w:t>
      </w:r>
    </w:p>
    <w:p w:rsidR="00CA65E6" w:rsidRDefault="00CB294D">
      <w:pPr>
        <w:pStyle w:val="Heading2"/>
        <w:rPr>
          <w:noProof/>
        </w:rPr>
      </w:pPr>
      <w:bookmarkStart w:id="165" w:name="_Toc493510449"/>
      <w:bookmarkStart w:id="166" w:name="_Toc493510828"/>
      <w:bookmarkStart w:id="167" w:name="_Toc494126159"/>
      <w:bookmarkStart w:id="168" w:name="_Toc497132393"/>
      <w:r>
        <w:rPr>
          <w:noProof/>
        </w:rPr>
        <w:t>Rättsliga verkställighetsåtgärder</w:t>
      </w:r>
      <w:bookmarkEnd w:id="165"/>
      <w:bookmarkEnd w:id="166"/>
      <w:bookmarkEnd w:id="167"/>
      <w:bookmarkEnd w:id="168"/>
    </w:p>
    <w:p w:rsidR="00CA65E6" w:rsidRDefault="00CB294D">
      <w:pPr>
        <w:rPr>
          <w:noProof/>
        </w:rPr>
      </w:pPr>
      <w:r>
        <w:rPr>
          <w:b/>
          <w:noProof/>
        </w:rPr>
        <w:t>Tvistlösningsmekanismen</w:t>
      </w:r>
      <w:r>
        <w:rPr>
          <w:noProof/>
        </w:rPr>
        <w:t xml:space="preserve"> i frihandelsavtalen har </w:t>
      </w:r>
      <w:r>
        <w:rPr>
          <w:b/>
          <w:noProof/>
        </w:rPr>
        <w:t>aldrig använts</w:t>
      </w:r>
      <w:r>
        <w:rPr>
          <w:noProof/>
        </w:rPr>
        <w:t xml:space="preserve">, men EU begärde att en </w:t>
      </w:r>
      <w:r>
        <w:rPr>
          <w:b/>
          <w:noProof/>
        </w:rPr>
        <w:t>WTO-panel</w:t>
      </w:r>
      <w:r>
        <w:rPr>
          <w:noProof/>
        </w:rPr>
        <w:t xml:space="preserve"> skulle inrättas för att se över </w:t>
      </w:r>
      <w:r>
        <w:rPr>
          <w:b/>
          <w:noProof/>
        </w:rPr>
        <w:t>Colombias</w:t>
      </w:r>
      <w:r>
        <w:rPr>
          <w:noProof/>
        </w:rPr>
        <w:t xml:space="preserve"> diskriminerande system för </w:t>
      </w:r>
      <w:r>
        <w:rPr>
          <w:b/>
          <w:noProof/>
        </w:rPr>
        <w:t>spritdrycker</w:t>
      </w:r>
      <w:r>
        <w:rPr>
          <w:noProof/>
        </w:rPr>
        <w:t xml:space="preserve">. Efter denna begäran antog Colombia en lag som trädde i kraft i januari 2017 och som förefaller ha åtgärdat problemen på detta område. EU övervakar genomförandet av denna lag. </w:t>
      </w:r>
    </w:p>
    <w:p w:rsidR="00CA65E6" w:rsidRDefault="00CB294D">
      <w:pPr>
        <w:rPr>
          <w:noProof/>
        </w:rPr>
      </w:pPr>
      <w:r>
        <w:rPr>
          <w:noProof/>
        </w:rPr>
        <w:t xml:space="preserve">Detta är ett exempel på hur man ibland kan få snabba resultat genom att inleda ett rättsligt förfarande, utan att detta behöver fullföljas. Kommissionen kommer att </w:t>
      </w:r>
      <w:r>
        <w:rPr>
          <w:b/>
          <w:noProof/>
        </w:rPr>
        <w:t>överväga att använda sig av rättsliga verkställighetsåtgärder</w:t>
      </w:r>
      <w:r>
        <w:rPr>
          <w:noProof/>
        </w:rPr>
        <w:t>, i synnerhet när det gäller frågor av stor ekonomisk eller systemisk vikt.</w:t>
      </w:r>
    </w:p>
    <w:p w:rsidR="00CA65E6" w:rsidRDefault="00CB294D">
      <w:pPr>
        <w:spacing w:after="0"/>
        <w:jc w:val="left"/>
        <w:rPr>
          <w:noProof/>
        </w:rPr>
      </w:pPr>
      <w:r>
        <w:rPr>
          <w:noProof/>
        </w:rPr>
        <w:br w:type="page"/>
      </w:r>
    </w:p>
    <w:p w:rsidR="00CA65E6" w:rsidRDefault="00CB294D">
      <w:pPr>
        <w:pStyle w:val="Heading1"/>
        <w:numPr>
          <w:ilvl w:val="0"/>
          <w:numId w:val="0"/>
        </w:numPr>
        <w:ind w:left="480" w:hanging="480"/>
        <w:rPr>
          <w:noProof/>
        </w:rPr>
      </w:pPr>
      <w:bookmarkStart w:id="169" w:name="_Toc494126160"/>
      <w:bookmarkStart w:id="170" w:name="_Toc497132394"/>
      <w:r>
        <w:rPr>
          <w:noProof/>
        </w:rPr>
        <w:t>Bilaga 1 – Rapportens omfattning och använda data</w:t>
      </w:r>
      <w:bookmarkEnd w:id="169"/>
      <w:bookmarkEnd w:id="170"/>
    </w:p>
    <w:p w:rsidR="00CA65E6" w:rsidRDefault="00CA65E6">
      <w:pPr>
        <w:pStyle w:val="Releasable"/>
        <w:rPr>
          <w:noProof/>
          <w:sz w:val="28"/>
          <w:szCs w:val="28"/>
        </w:rPr>
      </w:pPr>
    </w:p>
    <w:p w:rsidR="00CA65E6" w:rsidRDefault="00CB294D">
      <w:pPr>
        <w:rPr>
          <w:b/>
          <w:noProof/>
        </w:rPr>
      </w:pPr>
      <w:r>
        <w:rPr>
          <w:b/>
          <w:noProof/>
        </w:rPr>
        <w:t>Omfattning</w:t>
      </w:r>
    </w:p>
    <w:p w:rsidR="00CA65E6" w:rsidRDefault="00CB294D">
      <w:pPr>
        <w:rPr>
          <w:noProof/>
        </w:rPr>
      </w:pPr>
      <w:r>
        <w:rPr>
          <w:noProof/>
        </w:rPr>
        <w:t xml:space="preserve">Rapporten gäller heltäckande frihandelsavtal som förhandlats fram efter 2006 (den nya generationens frihandelsavtal) och äldre frihandelsavtal som ingåtts före det datumet och som i allmänhet har ett mer begränsat tillämpningsområde (”första generationens” frihandelsavtal). </w:t>
      </w:r>
    </w:p>
    <w:p w:rsidR="00CA65E6" w:rsidRDefault="00CB294D">
      <w:pPr>
        <w:rPr>
          <w:noProof/>
        </w:rPr>
      </w:pPr>
      <w:r>
        <w:rPr>
          <w:noProof/>
        </w:rPr>
        <w:t xml:space="preserve">Avtal om ekonomiskt partnerskap och djupgående och omfattande frihandelsavtal behandlas separat på grund av deras särskilda inriktning på tillnärmning av lagstiftning (djupgående och omfattande frihandelsavtal) och utveckling (avtal om ekonomiskt partnerskap). </w:t>
      </w:r>
    </w:p>
    <w:p w:rsidR="00CA65E6" w:rsidRDefault="00CB294D">
      <w:pPr>
        <w:rPr>
          <w:noProof/>
        </w:rPr>
      </w:pPr>
      <w:r>
        <w:rPr>
          <w:noProof/>
        </w:rPr>
        <w:t xml:space="preserve">En fullständig förteckning finns i bilaga 2. </w:t>
      </w:r>
    </w:p>
    <w:p w:rsidR="00CA65E6" w:rsidRDefault="00CB294D">
      <w:pPr>
        <w:rPr>
          <w:noProof/>
        </w:rPr>
      </w:pPr>
      <w:r>
        <w:rPr>
          <w:noProof/>
        </w:rPr>
        <w:t xml:space="preserve">Genomförandet av kapitlen om handel och hållbar utveckling tas också upp i ett särskilt avsnitt som avser alla frihandelsavtal där sådana bestämmelser ingår. </w:t>
      </w:r>
    </w:p>
    <w:p w:rsidR="00CA65E6" w:rsidRDefault="00CB294D">
      <w:pPr>
        <w:rPr>
          <w:b/>
          <w:noProof/>
        </w:rPr>
      </w:pPr>
      <w:r>
        <w:rPr>
          <w:b/>
          <w:noProof/>
        </w:rPr>
        <w:t xml:space="preserve">Data som använts </w:t>
      </w:r>
    </w:p>
    <w:p w:rsidR="00CA65E6" w:rsidRDefault="00CB294D">
      <w:pPr>
        <w:rPr>
          <w:noProof/>
        </w:rPr>
      </w:pPr>
      <w:r>
        <w:rPr>
          <w:noProof/>
        </w:rPr>
        <w:t xml:space="preserve">Rapporten gäller situationen 2016 och de frihandelsavtal som i slutet av 2016 hade </w:t>
      </w:r>
      <w:r>
        <w:rPr>
          <w:i/>
          <w:noProof/>
        </w:rPr>
        <w:t>tillämpats i minst ett år</w:t>
      </w:r>
      <w:r>
        <w:rPr>
          <w:noProof/>
        </w:rPr>
        <w:t>. Följande uppgifter från Eurostat har använts:</w:t>
      </w:r>
    </w:p>
    <w:p w:rsidR="00CA65E6" w:rsidRDefault="00CB294D">
      <w:pPr>
        <w:pStyle w:val="ListParagraph"/>
        <w:numPr>
          <w:ilvl w:val="0"/>
          <w:numId w:val="42"/>
        </w:numPr>
        <w:rPr>
          <w:noProof/>
          <w:szCs w:val="24"/>
        </w:rPr>
      </w:pPr>
      <w:r>
        <w:rPr>
          <w:noProof/>
        </w:rPr>
        <w:t>Data om handel med varor 2016.</w:t>
      </w:r>
    </w:p>
    <w:p w:rsidR="00CA65E6" w:rsidRDefault="00CB294D">
      <w:pPr>
        <w:pStyle w:val="ListParagraph"/>
        <w:numPr>
          <w:ilvl w:val="0"/>
          <w:numId w:val="42"/>
        </w:numPr>
        <w:rPr>
          <w:noProof/>
          <w:szCs w:val="24"/>
        </w:rPr>
      </w:pPr>
      <w:r>
        <w:rPr>
          <w:noProof/>
        </w:rPr>
        <w:t>Data om tjänster och investeringar 2015.</w:t>
      </w:r>
    </w:p>
    <w:p w:rsidR="00CA65E6" w:rsidRDefault="00CB294D">
      <w:pPr>
        <w:pStyle w:val="ListParagraph"/>
        <w:numPr>
          <w:ilvl w:val="0"/>
          <w:numId w:val="42"/>
        </w:numPr>
        <w:rPr>
          <w:noProof/>
          <w:szCs w:val="24"/>
        </w:rPr>
      </w:pPr>
      <w:r>
        <w:rPr>
          <w:noProof/>
        </w:rPr>
        <w:t>Data från 2002 och framåt för den ”första generationens” frihandelsavtal, eftersom harmoniserade data för EU-28 finns tillgängliga från och med detta år.</w:t>
      </w:r>
    </w:p>
    <w:p w:rsidR="00CA65E6" w:rsidRDefault="00CB294D">
      <w:pPr>
        <w:rPr>
          <w:noProof/>
          <w:szCs w:val="24"/>
        </w:rPr>
      </w:pPr>
      <w:r>
        <w:rPr>
          <w:noProof/>
        </w:rPr>
        <w:t>När det gäller frihandelsavtalet med Centralamerika används olika data, på grund av de stora skillnaderna mellan Eurostats och Centralamerikas statistik. Rapporten omfattar åren 2015–2016 och bygger på</w:t>
      </w:r>
    </w:p>
    <w:p w:rsidR="00CA65E6" w:rsidRDefault="00CB294D">
      <w:pPr>
        <w:pStyle w:val="ListParagraph"/>
        <w:numPr>
          <w:ilvl w:val="0"/>
          <w:numId w:val="43"/>
        </w:numPr>
        <w:rPr>
          <w:noProof/>
          <w:szCs w:val="24"/>
        </w:rPr>
      </w:pPr>
      <w:r>
        <w:rPr>
          <w:noProof/>
        </w:rPr>
        <w:t>data om EU-importer som hämtades från Eurostat i oktober 2016,</w:t>
      </w:r>
    </w:p>
    <w:p w:rsidR="00CA65E6" w:rsidRDefault="00CB294D">
      <w:pPr>
        <w:pStyle w:val="ListParagraph"/>
        <w:numPr>
          <w:ilvl w:val="0"/>
          <w:numId w:val="43"/>
        </w:numPr>
        <w:rPr>
          <w:noProof/>
          <w:szCs w:val="24"/>
        </w:rPr>
      </w:pPr>
      <w:r>
        <w:rPr>
          <w:noProof/>
        </w:rPr>
        <w:t xml:space="preserve">statistik om EU-exporter från Centralamerika för denna period. </w:t>
      </w:r>
    </w:p>
    <w:p w:rsidR="00CA65E6" w:rsidRDefault="00CB294D">
      <w:pPr>
        <w:spacing w:after="0"/>
        <w:jc w:val="left"/>
        <w:rPr>
          <w:b/>
          <w:caps/>
          <w:noProof/>
          <w:sz w:val="28"/>
          <w:szCs w:val="28"/>
        </w:rPr>
      </w:pPr>
      <w:r>
        <w:rPr>
          <w:noProof/>
        </w:rPr>
        <w:br w:type="page"/>
      </w:r>
    </w:p>
    <w:p w:rsidR="00CA65E6" w:rsidRDefault="00CB294D">
      <w:pPr>
        <w:pStyle w:val="Heading1"/>
        <w:numPr>
          <w:ilvl w:val="0"/>
          <w:numId w:val="0"/>
        </w:numPr>
        <w:spacing w:after="360"/>
        <w:ind w:left="482" w:hanging="482"/>
        <w:rPr>
          <w:noProof/>
        </w:rPr>
      </w:pPr>
      <w:bookmarkStart w:id="171" w:name="_Toc494126161"/>
      <w:bookmarkStart w:id="172" w:name="_Toc497132395"/>
      <w:r>
        <w:rPr>
          <w:noProof/>
        </w:rPr>
        <w:t>Bilaga 2 – En överblick över de frihandelsavtal som tas upp i rapporten</w:t>
      </w:r>
      <w:bookmarkEnd w:id="171"/>
      <w:bookmarkEnd w:id="172"/>
    </w:p>
    <w:p w:rsidR="00CA65E6" w:rsidRDefault="00CB294D">
      <w:pPr>
        <w:rPr>
          <w:b/>
          <w:noProof/>
          <w:sz w:val="22"/>
          <w:szCs w:val="22"/>
        </w:rPr>
      </w:pPr>
      <w:r>
        <w:rPr>
          <w:b/>
          <w:noProof/>
          <w:u w:val="single"/>
        </w:rPr>
        <w:t>”Den nya generationens” frihandelsavtal</w:t>
      </w:r>
    </w:p>
    <w:p w:rsidR="00CA65E6" w:rsidRDefault="00CB294D">
      <w:pPr>
        <w:pStyle w:val="ListParagraph"/>
        <w:numPr>
          <w:ilvl w:val="0"/>
          <w:numId w:val="21"/>
        </w:numPr>
        <w:ind w:left="567" w:hanging="283"/>
        <w:jc w:val="both"/>
        <w:rPr>
          <w:noProof/>
          <w:sz w:val="22"/>
        </w:rPr>
      </w:pPr>
      <w:r>
        <w:rPr>
          <w:b/>
          <w:noProof/>
        </w:rPr>
        <w:t>EU–Sydkorea:</w:t>
      </w:r>
      <w:r>
        <w:rPr>
          <w:noProof/>
          <w:sz w:val="22"/>
        </w:rPr>
        <w:t xml:space="preserve"> tillämpas sedan juli 2011.</w:t>
      </w:r>
    </w:p>
    <w:p w:rsidR="00CA65E6" w:rsidRDefault="00CB294D">
      <w:pPr>
        <w:pStyle w:val="ListParagraph"/>
        <w:numPr>
          <w:ilvl w:val="0"/>
          <w:numId w:val="21"/>
        </w:numPr>
        <w:ind w:left="567" w:hanging="283"/>
        <w:jc w:val="both"/>
        <w:rPr>
          <w:noProof/>
          <w:sz w:val="22"/>
        </w:rPr>
      </w:pPr>
      <w:r>
        <w:rPr>
          <w:b/>
          <w:noProof/>
        </w:rPr>
        <w:t>EU–Colombia-Peru:</w:t>
      </w:r>
      <w:r>
        <w:rPr>
          <w:noProof/>
          <w:sz w:val="22"/>
        </w:rPr>
        <w:t xml:space="preserve"> tillämpas sedan mars 2013 för Peru och sedan augusti 2013 för Colombia.</w:t>
      </w:r>
    </w:p>
    <w:p w:rsidR="00CA65E6" w:rsidRDefault="00CB294D">
      <w:pPr>
        <w:pStyle w:val="ListParagraph"/>
        <w:numPr>
          <w:ilvl w:val="0"/>
          <w:numId w:val="20"/>
        </w:numPr>
        <w:ind w:left="567" w:hanging="283"/>
        <w:jc w:val="both"/>
        <w:rPr>
          <w:noProof/>
          <w:sz w:val="22"/>
        </w:rPr>
      </w:pPr>
      <w:r>
        <w:rPr>
          <w:b/>
          <w:noProof/>
          <w:sz w:val="22"/>
        </w:rPr>
        <w:t xml:space="preserve">Associeringsavtalet EU–Centralamerika: </w:t>
      </w:r>
      <w:r>
        <w:rPr>
          <w:noProof/>
          <w:sz w:val="22"/>
        </w:rPr>
        <w:t>tillämpas sedan 2013.</w:t>
      </w:r>
      <w:r>
        <w:rPr>
          <w:rStyle w:val="FootnoteReference"/>
          <w:noProof/>
          <w:sz w:val="22"/>
        </w:rPr>
        <w:footnoteReference w:id="24"/>
      </w:r>
    </w:p>
    <w:p w:rsidR="00CA65E6" w:rsidRDefault="00CB294D">
      <w:pPr>
        <w:rPr>
          <w:b/>
          <w:noProof/>
          <w:sz w:val="22"/>
          <w:szCs w:val="22"/>
          <w:u w:val="single"/>
        </w:rPr>
      </w:pPr>
      <w:r>
        <w:rPr>
          <w:b/>
          <w:noProof/>
          <w:sz w:val="22"/>
          <w:u w:val="single"/>
        </w:rPr>
        <w:t>Djupgående och omfattande frihandelsavtal</w:t>
      </w:r>
    </w:p>
    <w:p w:rsidR="00CA65E6" w:rsidRDefault="00CB294D">
      <w:pPr>
        <w:pStyle w:val="ListParagraph"/>
        <w:numPr>
          <w:ilvl w:val="0"/>
          <w:numId w:val="21"/>
        </w:numPr>
        <w:ind w:left="567" w:hanging="283"/>
        <w:jc w:val="both"/>
        <w:rPr>
          <w:noProof/>
          <w:sz w:val="22"/>
        </w:rPr>
      </w:pPr>
      <w:r>
        <w:rPr>
          <w:b/>
          <w:noProof/>
        </w:rPr>
        <w:t>EU–Georgien:</w:t>
      </w:r>
      <w:r>
        <w:rPr>
          <w:noProof/>
          <w:sz w:val="22"/>
        </w:rPr>
        <w:t xml:space="preserve"> tillämpas sedan den 1 september 2014 och trädde helt i kraft den 1 juli 2016.</w:t>
      </w:r>
    </w:p>
    <w:p w:rsidR="00CA65E6" w:rsidRDefault="00CB294D">
      <w:pPr>
        <w:pStyle w:val="ListParagraph"/>
        <w:numPr>
          <w:ilvl w:val="0"/>
          <w:numId w:val="21"/>
        </w:numPr>
        <w:ind w:left="567" w:hanging="283"/>
        <w:jc w:val="both"/>
        <w:rPr>
          <w:noProof/>
          <w:sz w:val="22"/>
        </w:rPr>
      </w:pPr>
      <w:r>
        <w:rPr>
          <w:b/>
          <w:noProof/>
        </w:rPr>
        <w:t>EU–Moldavien:</w:t>
      </w:r>
      <w:r>
        <w:rPr>
          <w:noProof/>
          <w:sz w:val="22"/>
        </w:rPr>
        <w:t xml:space="preserve"> tillämpas sedan den 1 september 2014 och trädde helt i kraft den 1 juli 2016.</w:t>
      </w:r>
    </w:p>
    <w:p w:rsidR="00CA65E6" w:rsidRDefault="00CB294D">
      <w:pPr>
        <w:pStyle w:val="ListParagraph"/>
        <w:numPr>
          <w:ilvl w:val="0"/>
          <w:numId w:val="20"/>
        </w:numPr>
        <w:ind w:left="567" w:hanging="283"/>
        <w:jc w:val="both"/>
        <w:rPr>
          <w:noProof/>
          <w:sz w:val="22"/>
        </w:rPr>
      </w:pPr>
      <w:r>
        <w:rPr>
          <w:b/>
          <w:noProof/>
          <w:sz w:val="22"/>
        </w:rPr>
        <w:t xml:space="preserve">EU–Ukraina: </w:t>
      </w:r>
      <w:r>
        <w:rPr>
          <w:noProof/>
          <w:sz w:val="22"/>
        </w:rPr>
        <w:t>tillämpas sedan den 1 januari 2016 och trädde helt i kraft den 1 september 2017.</w:t>
      </w:r>
    </w:p>
    <w:p w:rsidR="00CA65E6" w:rsidRDefault="00CB294D">
      <w:pPr>
        <w:rPr>
          <w:b/>
          <w:noProof/>
          <w:sz w:val="22"/>
          <w:szCs w:val="22"/>
          <w:u w:val="single"/>
        </w:rPr>
      </w:pPr>
      <w:r>
        <w:rPr>
          <w:b/>
          <w:noProof/>
          <w:sz w:val="22"/>
          <w:u w:val="single"/>
        </w:rPr>
        <w:t>Avtal om ekonomiskt partnerskap</w:t>
      </w:r>
    </w:p>
    <w:p w:rsidR="00CA65E6" w:rsidRDefault="00CB294D">
      <w:pPr>
        <w:pStyle w:val="ListParagraph"/>
        <w:numPr>
          <w:ilvl w:val="0"/>
          <w:numId w:val="21"/>
        </w:numPr>
        <w:ind w:left="567" w:hanging="283"/>
        <w:jc w:val="both"/>
        <w:rPr>
          <w:noProof/>
          <w:sz w:val="22"/>
        </w:rPr>
      </w:pPr>
      <w:r>
        <w:rPr>
          <w:b/>
          <w:noProof/>
        </w:rPr>
        <w:t>EU–Cariforum</w:t>
      </w:r>
      <w:r>
        <w:rPr>
          <w:noProof/>
        </w:rPr>
        <w:t xml:space="preserve"> (Antigua och Barbuda,</w:t>
      </w:r>
      <w:r>
        <w:rPr>
          <w:noProof/>
          <w:sz w:val="22"/>
        </w:rPr>
        <w:t xml:space="preserve"> Belize, Bahamas, Barbados, Dominica, Dominikanska republiken, Grenada, Guyana, Jamaica, Saint Kitts och Nevis, Saint Lucia, Saint Vincent och Grenadinerna, Surinam, Trinidad och Tobago): tillämpas sedan den 29 december 2008.</w:t>
      </w:r>
    </w:p>
    <w:p w:rsidR="00CA65E6" w:rsidRDefault="00CB294D">
      <w:pPr>
        <w:pStyle w:val="ListParagraph"/>
        <w:numPr>
          <w:ilvl w:val="0"/>
          <w:numId w:val="20"/>
        </w:numPr>
        <w:ind w:left="567" w:hanging="283"/>
        <w:jc w:val="both"/>
        <w:rPr>
          <w:noProof/>
          <w:sz w:val="22"/>
        </w:rPr>
      </w:pPr>
      <w:r>
        <w:rPr>
          <w:b/>
          <w:noProof/>
        </w:rPr>
        <w:t>EU–Stillahavsområdet</w:t>
      </w:r>
      <w:r>
        <w:rPr>
          <w:noProof/>
        </w:rPr>
        <w:t xml:space="preserve"> (Fiji, Papua Nya Guinea):</w:t>
      </w:r>
      <w:r>
        <w:rPr>
          <w:noProof/>
          <w:sz w:val="22"/>
        </w:rPr>
        <w:t xml:space="preserve"> tillämpas sedan den 28 juli 2014 för Fiji och sedan den 20 december 2009 för Papua Nya Guinea.</w:t>
      </w:r>
    </w:p>
    <w:p w:rsidR="00CA65E6" w:rsidRDefault="00CB294D">
      <w:pPr>
        <w:pStyle w:val="ListParagraph"/>
        <w:numPr>
          <w:ilvl w:val="0"/>
          <w:numId w:val="21"/>
        </w:numPr>
        <w:ind w:left="567" w:hanging="283"/>
        <w:jc w:val="both"/>
        <w:rPr>
          <w:noProof/>
          <w:sz w:val="22"/>
        </w:rPr>
      </w:pPr>
      <w:r>
        <w:rPr>
          <w:b/>
          <w:noProof/>
        </w:rPr>
        <w:t>EU–östra och södra Afrika</w:t>
      </w:r>
      <w:r>
        <w:rPr>
          <w:noProof/>
        </w:rPr>
        <w:t xml:space="preserve"> (Madagaskar, Mauritius, Seychellerna och Zimbabwe):</w:t>
      </w:r>
      <w:r>
        <w:rPr>
          <w:noProof/>
          <w:sz w:val="22"/>
        </w:rPr>
        <w:t xml:space="preserve"> tillämpas sedan den 14 maj 2012.</w:t>
      </w:r>
    </w:p>
    <w:p w:rsidR="00CA65E6" w:rsidRDefault="00CB294D">
      <w:pPr>
        <w:pStyle w:val="ListParagraph"/>
        <w:numPr>
          <w:ilvl w:val="0"/>
          <w:numId w:val="20"/>
        </w:numPr>
        <w:ind w:left="567" w:hanging="283"/>
        <w:jc w:val="both"/>
        <w:rPr>
          <w:noProof/>
          <w:sz w:val="22"/>
        </w:rPr>
      </w:pPr>
      <w:r>
        <w:rPr>
          <w:b/>
          <w:noProof/>
          <w:sz w:val="22"/>
        </w:rPr>
        <w:t xml:space="preserve">EU–Kamerun (Centralafrika): </w:t>
      </w:r>
      <w:r>
        <w:rPr>
          <w:noProof/>
          <w:sz w:val="22"/>
        </w:rPr>
        <w:t>tillämpas sedan den 4 augusti 2014.</w:t>
      </w:r>
    </w:p>
    <w:p w:rsidR="00CA65E6" w:rsidRDefault="00CB294D">
      <w:pPr>
        <w:rPr>
          <w:b/>
          <w:noProof/>
          <w:sz w:val="22"/>
          <w:szCs w:val="22"/>
          <w:u w:val="single"/>
        </w:rPr>
      </w:pPr>
      <w:r>
        <w:rPr>
          <w:b/>
          <w:noProof/>
          <w:sz w:val="22"/>
          <w:u w:val="single"/>
        </w:rPr>
        <w:t>”Första generationens” frihandelsavtal</w:t>
      </w:r>
    </w:p>
    <w:p w:rsidR="00CA65E6" w:rsidRDefault="00CB294D">
      <w:pPr>
        <w:pStyle w:val="ListParagraph"/>
        <w:numPr>
          <w:ilvl w:val="0"/>
          <w:numId w:val="21"/>
        </w:numPr>
        <w:ind w:left="567" w:hanging="283"/>
        <w:jc w:val="both"/>
        <w:rPr>
          <w:noProof/>
          <w:sz w:val="22"/>
        </w:rPr>
      </w:pPr>
      <w:r>
        <w:rPr>
          <w:b/>
          <w:noProof/>
        </w:rPr>
        <w:t>Tullunionen EU–Turkiet:</w:t>
      </w:r>
      <w:r>
        <w:rPr>
          <w:noProof/>
          <w:sz w:val="22"/>
        </w:rPr>
        <w:t xml:space="preserve"> Ett associeringsavtal slöts 1963. Tullunionens slutfas avslutades den 1 januari 1996.</w:t>
      </w:r>
    </w:p>
    <w:p w:rsidR="00CA65E6" w:rsidRDefault="00CB294D">
      <w:pPr>
        <w:pStyle w:val="ListParagraph"/>
        <w:numPr>
          <w:ilvl w:val="0"/>
          <w:numId w:val="21"/>
        </w:numPr>
        <w:ind w:left="567" w:hanging="283"/>
        <w:jc w:val="both"/>
        <w:rPr>
          <w:noProof/>
          <w:sz w:val="22"/>
        </w:rPr>
      </w:pPr>
      <w:r>
        <w:rPr>
          <w:b/>
          <w:noProof/>
        </w:rPr>
        <w:t>EU–Schweiz:</w:t>
      </w:r>
      <w:r>
        <w:rPr>
          <w:noProof/>
          <w:sz w:val="22"/>
        </w:rPr>
        <w:t xml:space="preserve"> tillämpas sedan 1972.</w:t>
      </w:r>
    </w:p>
    <w:p w:rsidR="00CA65E6" w:rsidRDefault="00CB294D">
      <w:pPr>
        <w:pStyle w:val="ListParagraph"/>
        <w:numPr>
          <w:ilvl w:val="0"/>
          <w:numId w:val="20"/>
        </w:numPr>
        <w:ind w:left="567" w:hanging="283"/>
        <w:jc w:val="both"/>
        <w:rPr>
          <w:noProof/>
          <w:sz w:val="22"/>
        </w:rPr>
      </w:pPr>
      <w:r>
        <w:rPr>
          <w:b/>
          <w:noProof/>
          <w:sz w:val="22"/>
        </w:rPr>
        <w:t xml:space="preserve">EU–Norge: </w:t>
      </w:r>
      <w:r>
        <w:rPr>
          <w:noProof/>
          <w:sz w:val="22"/>
        </w:rPr>
        <w:t>tillämpas sedan den 1 juli 1973.</w:t>
      </w:r>
    </w:p>
    <w:p w:rsidR="00CA65E6" w:rsidRDefault="00CB294D">
      <w:pPr>
        <w:pStyle w:val="ListParagraph"/>
        <w:numPr>
          <w:ilvl w:val="0"/>
          <w:numId w:val="20"/>
        </w:numPr>
        <w:ind w:left="567" w:hanging="283"/>
        <w:jc w:val="both"/>
        <w:rPr>
          <w:noProof/>
          <w:sz w:val="22"/>
        </w:rPr>
      </w:pPr>
      <w:r>
        <w:rPr>
          <w:b/>
          <w:noProof/>
          <w:sz w:val="22"/>
        </w:rPr>
        <w:t>EU–Algeriet:</w:t>
      </w:r>
      <w:r>
        <w:rPr>
          <w:noProof/>
          <w:sz w:val="22"/>
        </w:rPr>
        <w:t xml:space="preserve"> tillämpas sedan den 1 september 2005.</w:t>
      </w:r>
    </w:p>
    <w:p w:rsidR="00CA65E6" w:rsidRDefault="00CB294D">
      <w:pPr>
        <w:pStyle w:val="ListParagraph"/>
        <w:numPr>
          <w:ilvl w:val="0"/>
          <w:numId w:val="20"/>
        </w:numPr>
        <w:ind w:left="567" w:hanging="283"/>
        <w:jc w:val="both"/>
        <w:rPr>
          <w:noProof/>
          <w:sz w:val="22"/>
        </w:rPr>
      </w:pPr>
      <w:r>
        <w:rPr>
          <w:b/>
          <w:noProof/>
          <w:sz w:val="22"/>
        </w:rPr>
        <w:t>EU–Egypten:</w:t>
      </w:r>
      <w:r>
        <w:rPr>
          <w:noProof/>
          <w:sz w:val="22"/>
        </w:rPr>
        <w:t xml:space="preserve"> tillämpas sedan den 21 december 2003.</w:t>
      </w:r>
    </w:p>
    <w:p w:rsidR="00CA65E6" w:rsidRDefault="00CB294D">
      <w:pPr>
        <w:pStyle w:val="ListParagraph"/>
        <w:numPr>
          <w:ilvl w:val="0"/>
          <w:numId w:val="20"/>
        </w:numPr>
        <w:ind w:left="567" w:hanging="283"/>
        <w:jc w:val="both"/>
        <w:rPr>
          <w:noProof/>
          <w:sz w:val="22"/>
        </w:rPr>
      </w:pPr>
      <w:r>
        <w:rPr>
          <w:b/>
          <w:noProof/>
          <w:sz w:val="22"/>
        </w:rPr>
        <w:t>EU–Israel</w:t>
      </w:r>
      <w:r>
        <w:rPr>
          <w:noProof/>
          <w:sz w:val="22"/>
        </w:rPr>
        <w:t xml:space="preserve"> tillämpas sedan 1996</w:t>
      </w:r>
    </w:p>
    <w:p w:rsidR="00CA65E6" w:rsidRDefault="00CB294D">
      <w:pPr>
        <w:pStyle w:val="ListParagraph"/>
        <w:numPr>
          <w:ilvl w:val="0"/>
          <w:numId w:val="20"/>
        </w:numPr>
        <w:ind w:left="567" w:hanging="283"/>
        <w:jc w:val="both"/>
        <w:rPr>
          <w:noProof/>
          <w:sz w:val="22"/>
        </w:rPr>
      </w:pPr>
      <w:r>
        <w:rPr>
          <w:b/>
          <w:noProof/>
          <w:sz w:val="22"/>
        </w:rPr>
        <w:t>EU–Jordanien:</w:t>
      </w:r>
      <w:r>
        <w:rPr>
          <w:noProof/>
          <w:sz w:val="22"/>
        </w:rPr>
        <w:t xml:space="preserve"> tillämpas sedan den 1 maj 2002.</w:t>
      </w:r>
    </w:p>
    <w:p w:rsidR="00CA65E6" w:rsidRDefault="00CB294D">
      <w:pPr>
        <w:pStyle w:val="ListParagraph"/>
        <w:numPr>
          <w:ilvl w:val="0"/>
          <w:numId w:val="20"/>
        </w:numPr>
        <w:ind w:left="567" w:hanging="283"/>
        <w:jc w:val="both"/>
        <w:rPr>
          <w:noProof/>
          <w:sz w:val="22"/>
        </w:rPr>
      </w:pPr>
      <w:r>
        <w:rPr>
          <w:b/>
          <w:noProof/>
          <w:sz w:val="22"/>
        </w:rPr>
        <w:t>EU–Libanon:</w:t>
      </w:r>
      <w:r>
        <w:rPr>
          <w:noProof/>
          <w:sz w:val="22"/>
        </w:rPr>
        <w:t xml:space="preserve"> tillämpas sedan den 1 mars 2003.</w:t>
      </w:r>
    </w:p>
    <w:p w:rsidR="00CA65E6" w:rsidRDefault="00CB294D">
      <w:pPr>
        <w:pStyle w:val="ListParagraph"/>
        <w:numPr>
          <w:ilvl w:val="0"/>
          <w:numId w:val="20"/>
        </w:numPr>
        <w:ind w:left="567" w:hanging="283"/>
        <w:jc w:val="both"/>
        <w:rPr>
          <w:noProof/>
          <w:sz w:val="22"/>
        </w:rPr>
      </w:pPr>
      <w:r>
        <w:rPr>
          <w:b/>
          <w:noProof/>
          <w:sz w:val="22"/>
        </w:rPr>
        <w:t>EU-Marocko:</w:t>
      </w:r>
      <w:r>
        <w:rPr>
          <w:noProof/>
          <w:sz w:val="22"/>
        </w:rPr>
        <w:t xml:space="preserve"> tillämpas sedan den 1 mars 2000.</w:t>
      </w:r>
    </w:p>
    <w:p w:rsidR="00CA65E6" w:rsidRDefault="00CB294D">
      <w:pPr>
        <w:pStyle w:val="ListParagraph"/>
        <w:numPr>
          <w:ilvl w:val="0"/>
          <w:numId w:val="20"/>
        </w:numPr>
        <w:ind w:left="567" w:hanging="283"/>
        <w:jc w:val="both"/>
        <w:rPr>
          <w:noProof/>
          <w:sz w:val="22"/>
        </w:rPr>
      </w:pPr>
      <w:r>
        <w:rPr>
          <w:b/>
          <w:noProof/>
          <w:sz w:val="22"/>
        </w:rPr>
        <w:t xml:space="preserve">EU–Palestina: </w:t>
      </w:r>
      <w:r>
        <w:rPr>
          <w:noProof/>
          <w:sz w:val="22"/>
        </w:rPr>
        <w:t xml:space="preserve"> tillämpas sedan den 1 juli 1997.</w:t>
      </w:r>
    </w:p>
    <w:p w:rsidR="00CA65E6" w:rsidRDefault="00CB294D">
      <w:pPr>
        <w:pStyle w:val="ListParagraph"/>
        <w:numPr>
          <w:ilvl w:val="0"/>
          <w:numId w:val="20"/>
        </w:numPr>
        <w:ind w:left="567" w:hanging="283"/>
        <w:jc w:val="both"/>
        <w:rPr>
          <w:noProof/>
          <w:sz w:val="22"/>
        </w:rPr>
      </w:pPr>
      <w:r>
        <w:rPr>
          <w:b/>
          <w:noProof/>
          <w:sz w:val="22"/>
        </w:rPr>
        <w:t>EU–Tunisien:</w:t>
      </w:r>
      <w:r>
        <w:rPr>
          <w:noProof/>
          <w:sz w:val="22"/>
        </w:rPr>
        <w:t xml:space="preserve"> tillämpas sedan den 1 mars 1998.</w:t>
      </w:r>
    </w:p>
    <w:p w:rsidR="00CA65E6" w:rsidRDefault="00CB294D">
      <w:pPr>
        <w:pStyle w:val="ListParagraph"/>
        <w:numPr>
          <w:ilvl w:val="0"/>
          <w:numId w:val="20"/>
        </w:numPr>
        <w:ind w:left="567" w:hanging="283"/>
        <w:jc w:val="both"/>
        <w:rPr>
          <w:noProof/>
          <w:sz w:val="22"/>
        </w:rPr>
      </w:pPr>
      <w:r>
        <w:rPr>
          <w:b/>
          <w:noProof/>
          <w:sz w:val="22"/>
        </w:rPr>
        <w:t xml:space="preserve">Avtal om handel, utveckling och samarbete EU–Sydafrika: </w:t>
      </w:r>
      <w:r>
        <w:rPr>
          <w:noProof/>
          <w:sz w:val="22"/>
        </w:rPr>
        <w:t>tillämpas sedan den 1 januari 2000.</w:t>
      </w:r>
    </w:p>
    <w:p w:rsidR="00CA65E6" w:rsidRDefault="00CB294D">
      <w:pPr>
        <w:pStyle w:val="ListParagraph"/>
        <w:numPr>
          <w:ilvl w:val="0"/>
          <w:numId w:val="20"/>
        </w:numPr>
        <w:ind w:left="567" w:hanging="283"/>
        <w:jc w:val="both"/>
        <w:rPr>
          <w:noProof/>
          <w:sz w:val="22"/>
        </w:rPr>
      </w:pPr>
      <w:r>
        <w:rPr>
          <w:b/>
          <w:noProof/>
          <w:sz w:val="22"/>
        </w:rPr>
        <w:t>Det globala avtalet EU–Mexiko:</w:t>
      </w:r>
      <w:r>
        <w:rPr>
          <w:noProof/>
          <w:sz w:val="22"/>
        </w:rPr>
        <w:t xml:space="preserve"> tillämpas sedan oktober 2000.</w:t>
      </w:r>
    </w:p>
    <w:p w:rsidR="00CA65E6" w:rsidRDefault="00CB294D">
      <w:pPr>
        <w:pStyle w:val="ListParagraph"/>
        <w:numPr>
          <w:ilvl w:val="0"/>
          <w:numId w:val="20"/>
        </w:numPr>
        <w:ind w:left="567" w:hanging="283"/>
        <w:jc w:val="both"/>
        <w:rPr>
          <w:noProof/>
          <w:sz w:val="22"/>
        </w:rPr>
      </w:pPr>
      <w:r>
        <w:rPr>
          <w:b/>
          <w:noProof/>
          <w:sz w:val="22"/>
        </w:rPr>
        <w:t>Associeringsavtalet EU–Chile:</w:t>
      </w:r>
      <w:r>
        <w:rPr>
          <w:noProof/>
          <w:sz w:val="22"/>
        </w:rPr>
        <w:t xml:space="preserve"> tillämpas sedan den 1 februari 2003.</w:t>
      </w:r>
    </w:p>
    <w:p w:rsidR="00CA65E6" w:rsidRDefault="00CB294D">
      <w:pPr>
        <w:pStyle w:val="ListParagraph"/>
        <w:numPr>
          <w:ilvl w:val="0"/>
          <w:numId w:val="20"/>
        </w:numPr>
        <w:ind w:left="567" w:hanging="283"/>
        <w:jc w:val="both"/>
        <w:rPr>
          <w:noProof/>
          <w:sz w:val="22"/>
        </w:rPr>
      </w:pPr>
      <w:r>
        <w:rPr>
          <w:b/>
          <w:noProof/>
          <w:sz w:val="22"/>
        </w:rPr>
        <w:t>Stabiliserings- och associeringsavtalet EU–Serbien:</w:t>
      </w:r>
      <w:r>
        <w:rPr>
          <w:noProof/>
          <w:sz w:val="22"/>
        </w:rPr>
        <w:t xml:space="preserve"> tillämpas sedan den 1 juli 2008.</w:t>
      </w:r>
    </w:p>
    <w:p w:rsidR="00CA65E6" w:rsidRDefault="00CB294D">
      <w:pPr>
        <w:pStyle w:val="Heading1"/>
        <w:numPr>
          <w:ilvl w:val="0"/>
          <w:numId w:val="0"/>
        </w:numPr>
        <w:spacing w:after="360"/>
        <w:ind w:left="482" w:hanging="482"/>
        <w:rPr>
          <w:noProof/>
        </w:rPr>
      </w:pPr>
      <w:r>
        <w:rPr>
          <w:noProof/>
        </w:rPr>
        <w:br w:type="page"/>
      </w:r>
      <w:bookmarkStart w:id="173" w:name="_Toc494126162"/>
      <w:bookmarkStart w:id="174" w:name="_Toc497132396"/>
      <w:r>
        <w:rPr>
          <w:noProof/>
        </w:rPr>
        <w:t>Bilaga 3 – Statistik om utnyttjande av förmånstullar</w:t>
      </w:r>
      <w:bookmarkEnd w:id="173"/>
      <w:bookmarkEnd w:id="174"/>
    </w:p>
    <w:p w:rsidR="00CA65E6" w:rsidRDefault="00CB294D">
      <w:pPr>
        <w:rPr>
          <w:noProof/>
        </w:rPr>
      </w:pPr>
      <w:r>
        <w:rPr>
          <w:noProof/>
        </w:rPr>
        <w:t xml:space="preserve">Statistiken i denna rapport om importörers utnyttjande av de tullförmåner som erbjuds genom EU:s frihandelsavtal bygger på administrativa uppgifter som har samlats in av importlandet. </w:t>
      </w:r>
    </w:p>
    <w:p w:rsidR="00CA65E6" w:rsidRDefault="00CB294D">
      <w:pPr>
        <w:rPr>
          <w:noProof/>
        </w:rPr>
      </w:pPr>
      <w:r>
        <w:rPr>
          <w:noProof/>
        </w:rPr>
        <w:t>De återspeglar den import inom ramen för ett förmånssystem för vilken de tillgängliga förmånerna användes (”utnyttjade förmånstullar”), som en andel av den totala import som skulle ha varit berättigad till förmånstullar (”tillgängliga förmånstullar”). Endast import för vilken förmånstullar tillhandahålls beaktas, dvs. import för vilken den tillämpade förmånstullen är lägre än den tullavgift som vanligtvis tillämpas enligt principen om mest gynnad nation (MGN).</w:t>
      </w:r>
    </w:p>
    <w:p w:rsidR="00CA65E6" w:rsidRDefault="00CB294D">
      <w:pPr>
        <w:numPr>
          <w:ilvl w:val="0"/>
          <w:numId w:val="22"/>
        </w:numPr>
        <w:ind w:left="357" w:hanging="357"/>
        <w:rPr>
          <w:b/>
          <w:noProof/>
        </w:rPr>
      </w:pPr>
      <w:r>
        <w:rPr>
          <w:b/>
          <w:noProof/>
        </w:rPr>
        <w:t>Utnyttjande av förmånstullar för import till EU från frihandelspartner</w:t>
      </w:r>
    </w:p>
    <w:p w:rsidR="00CA65E6" w:rsidRDefault="00CB294D">
      <w:pPr>
        <w:rPr>
          <w:noProof/>
        </w:rPr>
      </w:pPr>
      <w:r>
        <w:rPr>
          <w:noProof/>
        </w:rPr>
        <w:t>Det tullsystem som används är kopplat till det administrativa enhetsdokumentet. I detta anger importören vilket system som importen omfattas av. Därefter kontrolleras om importen i fråga omfattas av några förmånstullar enligt tulltaxesystemet Taric. Vid behov görs korrigeringar för att undvika felaktigheter i möjligaste mån.</w:t>
      </w:r>
    </w:p>
    <w:p w:rsidR="00CA65E6" w:rsidRDefault="00CB294D">
      <w:pPr>
        <w:rPr>
          <w:noProof/>
        </w:rPr>
      </w:pPr>
      <w:r>
        <w:rPr>
          <w:noProof/>
        </w:rPr>
        <w:t>Den uppsättning data som erhålls är konsekvent och möjliggör jämförelse mellan partnerländer, år och, i de flesta fall, tullpositioner. Vissa fel upptäcks emellertid inte (t.ex. villkor för slutanvändning), vilket innebär att resultat på detaljerad produktnivå måste tolkas med försiktighet.</w:t>
      </w:r>
    </w:p>
    <w:p w:rsidR="00CA65E6" w:rsidRDefault="00CB294D">
      <w:pPr>
        <w:rPr>
          <w:noProof/>
        </w:rPr>
      </w:pPr>
      <w:r>
        <w:rPr>
          <w:noProof/>
        </w:rPr>
        <w:t>Se bilaga 4.</w:t>
      </w:r>
    </w:p>
    <w:p w:rsidR="00CA65E6" w:rsidRDefault="00CB294D">
      <w:pPr>
        <w:numPr>
          <w:ilvl w:val="0"/>
          <w:numId w:val="22"/>
        </w:numPr>
        <w:ind w:left="357" w:hanging="357"/>
        <w:rPr>
          <w:b/>
          <w:noProof/>
        </w:rPr>
      </w:pPr>
      <w:r>
        <w:rPr>
          <w:b/>
          <w:noProof/>
        </w:rPr>
        <w:t>Utnyttjande av förmånstullar för export från EU till frihandelspartner</w:t>
      </w:r>
    </w:p>
    <w:p w:rsidR="00CA65E6" w:rsidRDefault="00CB294D">
      <w:pPr>
        <w:rPr>
          <w:noProof/>
        </w:rPr>
      </w:pPr>
      <w:r>
        <w:rPr>
          <w:noProof/>
        </w:rPr>
        <w:t>Statistiken om utnyttjande av förmånstullar vid export från EU till tredjeländer grundas på administrativa data som har samlats in i varje importerande tredjeland. Per definition är denna statistik inte harmoniserad och det är därför svårt att göra jämförelser mellan olika partnerländer eller med EU-importer, eftersom kvaliteten på dessa data är ojämn och i många fall bristfällig.</w:t>
      </w:r>
    </w:p>
    <w:p w:rsidR="00CA65E6" w:rsidRDefault="00CB294D">
      <w:pPr>
        <w:rPr>
          <w:noProof/>
        </w:rPr>
      </w:pPr>
      <w:r>
        <w:rPr>
          <w:noProof/>
        </w:rPr>
        <w:t>Fall av bristande överensstämmelse förekommer, exempelvis rapporterade förmånstullar i tullpositioner som inte omfattas av någon förmån eller stora skillnader mellan den total import som rapporterats och den export som registrerats av Eurostat. Viss harmonisering har gjorts i efterhand, genom avlägsnande av handel i tullpositioner för vilka inga förmåner gäller enligt generaldirektoratet för handels databas om tillträde till marknaderna (t.ex. när MGN = 0).</w:t>
      </w:r>
    </w:p>
    <w:p w:rsidR="00CA65E6" w:rsidRDefault="00CB294D">
      <w:pPr>
        <w:rPr>
          <w:noProof/>
        </w:rPr>
      </w:pPr>
      <w:r>
        <w:rPr>
          <w:noProof/>
        </w:rPr>
        <w:t xml:space="preserve">Datauppsättningen om EU:s export är därför endast konsekvent när den används för att jämföra utnyttjandet i ett visst land över tid och till viss del mellan olika produktkategorier. </w:t>
      </w:r>
      <w:r>
        <w:rPr>
          <w:noProof/>
          <w:u w:val="single"/>
        </w:rPr>
        <w:t>Denna datauppsättning bör inte användas för att jämföra olika länders utnyttjande (eller utnyttjandet för olika EU-importer)</w:t>
      </w:r>
      <w:r>
        <w:rPr>
          <w:noProof/>
        </w:rPr>
        <w:t>.</w:t>
      </w:r>
    </w:p>
    <w:p w:rsidR="00CA65E6" w:rsidRDefault="00CB294D">
      <w:pPr>
        <w:rPr>
          <w:noProof/>
        </w:rPr>
      </w:pPr>
      <w:r>
        <w:rPr>
          <w:noProof/>
        </w:rPr>
        <w:t>Se bilaga 5.</w:t>
      </w:r>
    </w:p>
    <w:p w:rsidR="00CA65E6" w:rsidRDefault="00CB294D">
      <w:pPr>
        <w:spacing w:after="0"/>
        <w:jc w:val="left"/>
        <w:rPr>
          <w:noProof/>
        </w:rPr>
      </w:pPr>
      <w:r>
        <w:rPr>
          <w:noProof/>
        </w:rPr>
        <w:br w:type="page"/>
      </w:r>
    </w:p>
    <w:p w:rsidR="00CA65E6" w:rsidRDefault="00CB294D">
      <w:pPr>
        <w:pStyle w:val="Heading1"/>
        <w:numPr>
          <w:ilvl w:val="0"/>
          <w:numId w:val="0"/>
        </w:numPr>
        <w:ind w:left="480" w:hanging="480"/>
        <w:rPr>
          <w:noProof/>
        </w:rPr>
      </w:pPr>
      <w:bookmarkStart w:id="175" w:name="_Toc494126163"/>
      <w:bookmarkStart w:id="176" w:name="_Toc497132397"/>
      <w:r>
        <w:rPr>
          <w:noProof/>
        </w:rPr>
        <w:t>Bilaga 4 – Utnyttjande av förmånstullar vid import till EU</w:t>
      </w:r>
      <w:bookmarkEnd w:id="175"/>
      <w:bookmarkEnd w:id="176"/>
    </w:p>
    <w:p w:rsidR="00CA65E6" w:rsidRDefault="00CA65E6">
      <w:pPr>
        <w:rPr>
          <w:noProof/>
        </w:rPr>
      </w:pPr>
    </w:p>
    <w:tbl>
      <w:tblPr>
        <w:tblW w:w="8220" w:type="dxa"/>
        <w:jc w:val="center"/>
        <w:tblInd w:w="93" w:type="dxa"/>
        <w:tblLayout w:type="fixed"/>
        <w:tblLook w:val="04A0" w:firstRow="1" w:lastRow="0" w:firstColumn="1" w:lastColumn="0" w:noHBand="0" w:noVBand="1"/>
      </w:tblPr>
      <w:tblGrid>
        <w:gridCol w:w="4477"/>
        <w:gridCol w:w="935"/>
        <w:gridCol w:w="936"/>
        <w:gridCol w:w="936"/>
        <w:gridCol w:w="936"/>
      </w:tblGrid>
      <w:tr w:rsidR="00CA65E6">
        <w:trPr>
          <w:trHeight w:val="255"/>
          <w:jc w:val="center"/>
        </w:trPr>
        <w:tc>
          <w:tcPr>
            <w:tcW w:w="4480" w:type="dxa"/>
            <w:tcBorders>
              <w:top w:val="nil"/>
              <w:left w:val="nil"/>
              <w:bottom w:val="single" w:sz="4" w:space="0" w:color="95B3D7"/>
              <w:right w:val="nil"/>
            </w:tcBorders>
            <w:shd w:val="clear" w:color="auto" w:fill="DCE6F1"/>
            <w:noWrap/>
            <w:vAlign w:val="bottom"/>
            <w:hideMark/>
          </w:tcPr>
          <w:p w:rsidR="00CA65E6" w:rsidRDefault="00CB294D">
            <w:pPr>
              <w:spacing w:after="0"/>
              <w:jc w:val="left"/>
              <w:rPr>
                <w:b/>
                <w:bCs/>
                <w:noProof/>
                <w:color w:val="000000"/>
                <w:sz w:val="20"/>
              </w:rPr>
            </w:pPr>
            <w:r>
              <w:rPr>
                <w:b/>
                <w:noProof/>
                <w:color w:val="000000"/>
                <w:sz w:val="20"/>
              </w:rPr>
              <w:t>Exportland</w:t>
            </w:r>
          </w:p>
        </w:tc>
        <w:tc>
          <w:tcPr>
            <w:tcW w:w="935" w:type="dxa"/>
            <w:tcBorders>
              <w:top w:val="nil"/>
              <w:left w:val="nil"/>
              <w:bottom w:val="single" w:sz="4" w:space="0" w:color="95B3D7"/>
              <w:right w:val="nil"/>
            </w:tcBorders>
            <w:shd w:val="clear" w:color="auto" w:fill="DCE6F1"/>
            <w:noWrap/>
            <w:vAlign w:val="bottom"/>
            <w:hideMark/>
          </w:tcPr>
          <w:p w:rsidR="00CA65E6" w:rsidRDefault="00CB294D">
            <w:pPr>
              <w:spacing w:after="0"/>
              <w:jc w:val="center"/>
              <w:rPr>
                <w:b/>
                <w:bCs/>
                <w:noProof/>
                <w:color w:val="000000"/>
                <w:sz w:val="20"/>
              </w:rPr>
            </w:pPr>
            <w:r>
              <w:rPr>
                <w:b/>
                <w:noProof/>
                <w:color w:val="000000"/>
                <w:sz w:val="20"/>
              </w:rPr>
              <w:t>2013</w:t>
            </w:r>
          </w:p>
        </w:tc>
        <w:tc>
          <w:tcPr>
            <w:tcW w:w="936" w:type="dxa"/>
            <w:tcBorders>
              <w:top w:val="nil"/>
              <w:left w:val="nil"/>
              <w:bottom w:val="single" w:sz="4" w:space="0" w:color="95B3D7"/>
              <w:right w:val="nil"/>
            </w:tcBorders>
            <w:shd w:val="clear" w:color="auto" w:fill="DCE6F1"/>
            <w:noWrap/>
            <w:vAlign w:val="bottom"/>
            <w:hideMark/>
          </w:tcPr>
          <w:p w:rsidR="00CA65E6" w:rsidRDefault="00CB294D">
            <w:pPr>
              <w:spacing w:after="0"/>
              <w:jc w:val="center"/>
              <w:rPr>
                <w:b/>
                <w:bCs/>
                <w:noProof/>
                <w:color w:val="000000"/>
                <w:sz w:val="20"/>
              </w:rPr>
            </w:pPr>
            <w:r>
              <w:rPr>
                <w:b/>
                <w:noProof/>
                <w:color w:val="000000"/>
                <w:sz w:val="20"/>
              </w:rPr>
              <w:t>2014</w:t>
            </w:r>
          </w:p>
        </w:tc>
        <w:tc>
          <w:tcPr>
            <w:tcW w:w="936" w:type="dxa"/>
            <w:tcBorders>
              <w:top w:val="nil"/>
              <w:left w:val="nil"/>
              <w:bottom w:val="single" w:sz="4" w:space="0" w:color="95B3D7"/>
              <w:right w:val="nil"/>
            </w:tcBorders>
            <w:shd w:val="clear" w:color="auto" w:fill="DCE6F1"/>
            <w:noWrap/>
            <w:vAlign w:val="bottom"/>
            <w:hideMark/>
          </w:tcPr>
          <w:p w:rsidR="00CA65E6" w:rsidRDefault="00CB294D">
            <w:pPr>
              <w:spacing w:after="0"/>
              <w:jc w:val="center"/>
              <w:rPr>
                <w:b/>
                <w:bCs/>
                <w:noProof/>
                <w:color w:val="000000"/>
                <w:sz w:val="20"/>
              </w:rPr>
            </w:pPr>
            <w:r>
              <w:rPr>
                <w:b/>
                <w:noProof/>
                <w:color w:val="000000"/>
                <w:sz w:val="20"/>
              </w:rPr>
              <w:t>2015</w:t>
            </w:r>
          </w:p>
        </w:tc>
        <w:tc>
          <w:tcPr>
            <w:tcW w:w="936" w:type="dxa"/>
            <w:tcBorders>
              <w:top w:val="nil"/>
              <w:left w:val="nil"/>
              <w:bottom w:val="single" w:sz="4" w:space="0" w:color="95B3D7"/>
              <w:right w:val="nil"/>
            </w:tcBorders>
            <w:shd w:val="clear" w:color="auto" w:fill="DCE6F1"/>
            <w:noWrap/>
            <w:vAlign w:val="bottom"/>
            <w:hideMark/>
          </w:tcPr>
          <w:p w:rsidR="00CA65E6" w:rsidRDefault="00CB294D">
            <w:pPr>
              <w:spacing w:after="0"/>
              <w:jc w:val="center"/>
              <w:rPr>
                <w:b/>
                <w:bCs/>
                <w:noProof/>
                <w:color w:val="000000"/>
                <w:sz w:val="20"/>
              </w:rPr>
            </w:pPr>
            <w:r>
              <w:rPr>
                <w:b/>
                <w:noProof/>
                <w:color w:val="000000"/>
                <w:sz w:val="20"/>
              </w:rPr>
              <w:t>2016</w:t>
            </w:r>
          </w:p>
        </w:tc>
      </w:tr>
      <w:tr w:rsidR="00CA65E6">
        <w:trPr>
          <w:trHeight w:val="255"/>
          <w:jc w:val="center"/>
        </w:trPr>
        <w:tc>
          <w:tcPr>
            <w:tcW w:w="4480" w:type="dxa"/>
            <w:noWrap/>
            <w:vAlign w:val="bottom"/>
            <w:hideMark/>
          </w:tcPr>
          <w:p w:rsidR="00CA65E6" w:rsidRDefault="00CB294D">
            <w:pPr>
              <w:spacing w:after="0"/>
              <w:jc w:val="left"/>
              <w:rPr>
                <w:noProof/>
                <w:sz w:val="20"/>
              </w:rPr>
            </w:pPr>
            <w:r>
              <w:rPr>
                <w:noProof/>
                <w:sz w:val="20"/>
              </w:rPr>
              <w:t>Albanien</w:t>
            </w:r>
          </w:p>
        </w:tc>
        <w:tc>
          <w:tcPr>
            <w:tcW w:w="935" w:type="dxa"/>
            <w:noWrap/>
            <w:vAlign w:val="bottom"/>
            <w:hideMark/>
          </w:tcPr>
          <w:p w:rsidR="00CA65E6" w:rsidRDefault="00CB294D">
            <w:pPr>
              <w:spacing w:after="0"/>
              <w:jc w:val="center"/>
              <w:rPr>
                <w:noProof/>
                <w:sz w:val="20"/>
              </w:rPr>
            </w:pPr>
            <w:r>
              <w:rPr>
                <w:noProof/>
                <w:sz w:val="20"/>
              </w:rPr>
              <w:t>88 %</w:t>
            </w:r>
          </w:p>
        </w:tc>
        <w:tc>
          <w:tcPr>
            <w:tcW w:w="936" w:type="dxa"/>
            <w:noWrap/>
            <w:vAlign w:val="bottom"/>
            <w:hideMark/>
          </w:tcPr>
          <w:p w:rsidR="00CA65E6" w:rsidRDefault="00CB294D">
            <w:pPr>
              <w:spacing w:after="0"/>
              <w:jc w:val="center"/>
              <w:rPr>
                <w:noProof/>
                <w:sz w:val="20"/>
              </w:rPr>
            </w:pPr>
            <w:r>
              <w:rPr>
                <w:noProof/>
                <w:sz w:val="20"/>
              </w:rPr>
              <w:t>88 %</w:t>
            </w:r>
          </w:p>
        </w:tc>
        <w:tc>
          <w:tcPr>
            <w:tcW w:w="936" w:type="dxa"/>
            <w:noWrap/>
            <w:vAlign w:val="bottom"/>
            <w:hideMark/>
          </w:tcPr>
          <w:p w:rsidR="00CA65E6" w:rsidRDefault="00CB294D">
            <w:pPr>
              <w:spacing w:after="0"/>
              <w:jc w:val="center"/>
              <w:rPr>
                <w:noProof/>
                <w:sz w:val="20"/>
              </w:rPr>
            </w:pPr>
            <w:r>
              <w:rPr>
                <w:noProof/>
                <w:sz w:val="20"/>
              </w:rPr>
              <w:t>87 %</w:t>
            </w:r>
          </w:p>
        </w:tc>
        <w:tc>
          <w:tcPr>
            <w:tcW w:w="936" w:type="dxa"/>
            <w:noWrap/>
            <w:vAlign w:val="bottom"/>
            <w:hideMark/>
          </w:tcPr>
          <w:p w:rsidR="00CA65E6" w:rsidRDefault="00CB294D">
            <w:pPr>
              <w:spacing w:after="0"/>
              <w:jc w:val="center"/>
              <w:rPr>
                <w:noProof/>
                <w:sz w:val="20"/>
              </w:rPr>
            </w:pPr>
            <w:r>
              <w:rPr>
                <w:noProof/>
                <w:sz w:val="20"/>
              </w:rPr>
              <w:t>86 %</w:t>
            </w:r>
          </w:p>
        </w:tc>
      </w:tr>
      <w:tr w:rsidR="00CA65E6">
        <w:trPr>
          <w:trHeight w:val="255"/>
          <w:jc w:val="center"/>
        </w:trPr>
        <w:tc>
          <w:tcPr>
            <w:tcW w:w="4480" w:type="dxa"/>
            <w:noWrap/>
            <w:vAlign w:val="bottom"/>
            <w:hideMark/>
          </w:tcPr>
          <w:p w:rsidR="00CA65E6" w:rsidRDefault="00CB294D">
            <w:pPr>
              <w:spacing w:after="0"/>
              <w:jc w:val="left"/>
              <w:rPr>
                <w:noProof/>
                <w:sz w:val="20"/>
              </w:rPr>
            </w:pPr>
            <w:r>
              <w:rPr>
                <w:noProof/>
                <w:sz w:val="20"/>
              </w:rPr>
              <w:t>Algeriet</w:t>
            </w:r>
          </w:p>
        </w:tc>
        <w:tc>
          <w:tcPr>
            <w:tcW w:w="935" w:type="dxa"/>
            <w:noWrap/>
            <w:vAlign w:val="bottom"/>
            <w:hideMark/>
          </w:tcPr>
          <w:p w:rsidR="00CA65E6" w:rsidRDefault="00CB294D">
            <w:pPr>
              <w:spacing w:after="0"/>
              <w:jc w:val="center"/>
              <w:rPr>
                <w:noProof/>
                <w:sz w:val="20"/>
              </w:rPr>
            </w:pPr>
            <w:r>
              <w:rPr>
                <w:noProof/>
                <w:sz w:val="20"/>
              </w:rPr>
              <w:t>95 %</w:t>
            </w:r>
          </w:p>
        </w:tc>
        <w:tc>
          <w:tcPr>
            <w:tcW w:w="936" w:type="dxa"/>
            <w:noWrap/>
            <w:vAlign w:val="bottom"/>
            <w:hideMark/>
          </w:tcPr>
          <w:p w:rsidR="00CA65E6" w:rsidRDefault="00CB294D">
            <w:pPr>
              <w:spacing w:after="0"/>
              <w:jc w:val="center"/>
              <w:rPr>
                <w:noProof/>
                <w:sz w:val="20"/>
              </w:rPr>
            </w:pPr>
            <w:r>
              <w:rPr>
                <w:noProof/>
                <w:sz w:val="20"/>
              </w:rPr>
              <w:t>94 %</w:t>
            </w:r>
          </w:p>
        </w:tc>
        <w:tc>
          <w:tcPr>
            <w:tcW w:w="936" w:type="dxa"/>
            <w:noWrap/>
            <w:vAlign w:val="bottom"/>
            <w:hideMark/>
          </w:tcPr>
          <w:p w:rsidR="00CA65E6" w:rsidRDefault="00CB294D">
            <w:pPr>
              <w:spacing w:after="0"/>
              <w:jc w:val="center"/>
              <w:rPr>
                <w:noProof/>
                <w:sz w:val="20"/>
              </w:rPr>
            </w:pPr>
            <w:r>
              <w:rPr>
                <w:noProof/>
                <w:sz w:val="20"/>
              </w:rPr>
              <w:t>97 %</w:t>
            </w:r>
          </w:p>
        </w:tc>
        <w:tc>
          <w:tcPr>
            <w:tcW w:w="936" w:type="dxa"/>
            <w:noWrap/>
            <w:vAlign w:val="bottom"/>
            <w:hideMark/>
          </w:tcPr>
          <w:p w:rsidR="00CA65E6" w:rsidRDefault="00CB294D">
            <w:pPr>
              <w:spacing w:after="0"/>
              <w:jc w:val="center"/>
              <w:rPr>
                <w:noProof/>
                <w:sz w:val="20"/>
              </w:rPr>
            </w:pPr>
            <w:r>
              <w:rPr>
                <w:noProof/>
                <w:sz w:val="20"/>
              </w:rPr>
              <w:t>95 %</w:t>
            </w:r>
          </w:p>
        </w:tc>
      </w:tr>
      <w:tr w:rsidR="00CA65E6">
        <w:trPr>
          <w:trHeight w:val="255"/>
          <w:jc w:val="center"/>
        </w:trPr>
        <w:tc>
          <w:tcPr>
            <w:tcW w:w="4480" w:type="dxa"/>
            <w:noWrap/>
            <w:vAlign w:val="bottom"/>
            <w:hideMark/>
          </w:tcPr>
          <w:p w:rsidR="00CA65E6" w:rsidRDefault="00CB294D">
            <w:pPr>
              <w:spacing w:after="0"/>
              <w:jc w:val="left"/>
              <w:rPr>
                <w:noProof/>
                <w:sz w:val="20"/>
              </w:rPr>
            </w:pPr>
            <w:r>
              <w:rPr>
                <w:noProof/>
                <w:sz w:val="20"/>
              </w:rPr>
              <w:t>Chile</w:t>
            </w:r>
          </w:p>
        </w:tc>
        <w:tc>
          <w:tcPr>
            <w:tcW w:w="935" w:type="dxa"/>
            <w:noWrap/>
            <w:vAlign w:val="bottom"/>
            <w:hideMark/>
          </w:tcPr>
          <w:p w:rsidR="00CA65E6" w:rsidRDefault="00CB294D">
            <w:pPr>
              <w:spacing w:after="0"/>
              <w:jc w:val="center"/>
              <w:rPr>
                <w:noProof/>
                <w:sz w:val="20"/>
              </w:rPr>
            </w:pPr>
            <w:r>
              <w:rPr>
                <w:noProof/>
                <w:sz w:val="20"/>
              </w:rPr>
              <w:t>93 %</w:t>
            </w:r>
          </w:p>
        </w:tc>
        <w:tc>
          <w:tcPr>
            <w:tcW w:w="936" w:type="dxa"/>
            <w:noWrap/>
            <w:vAlign w:val="bottom"/>
            <w:hideMark/>
          </w:tcPr>
          <w:p w:rsidR="00CA65E6" w:rsidRDefault="00CB294D">
            <w:pPr>
              <w:spacing w:after="0"/>
              <w:jc w:val="center"/>
              <w:rPr>
                <w:noProof/>
                <w:sz w:val="20"/>
              </w:rPr>
            </w:pPr>
            <w:r>
              <w:rPr>
                <w:noProof/>
                <w:sz w:val="20"/>
              </w:rPr>
              <w:t>94 %</w:t>
            </w:r>
          </w:p>
        </w:tc>
        <w:tc>
          <w:tcPr>
            <w:tcW w:w="936" w:type="dxa"/>
            <w:noWrap/>
            <w:vAlign w:val="bottom"/>
            <w:hideMark/>
          </w:tcPr>
          <w:p w:rsidR="00CA65E6" w:rsidRDefault="00CB294D">
            <w:pPr>
              <w:spacing w:after="0"/>
              <w:jc w:val="center"/>
              <w:rPr>
                <w:noProof/>
                <w:sz w:val="20"/>
              </w:rPr>
            </w:pPr>
            <w:r>
              <w:rPr>
                <w:noProof/>
                <w:sz w:val="20"/>
              </w:rPr>
              <w:t>95 %</w:t>
            </w:r>
          </w:p>
        </w:tc>
        <w:tc>
          <w:tcPr>
            <w:tcW w:w="936" w:type="dxa"/>
            <w:noWrap/>
            <w:vAlign w:val="bottom"/>
            <w:hideMark/>
          </w:tcPr>
          <w:p w:rsidR="00CA65E6" w:rsidRDefault="00CB294D">
            <w:pPr>
              <w:spacing w:after="0"/>
              <w:jc w:val="center"/>
              <w:rPr>
                <w:noProof/>
                <w:sz w:val="20"/>
              </w:rPr>
            </w:pPr>
            <w:r>
              <w:rPr>
                <w:noProof/>
                <w:sz w:val="20"/>
              </w:rPr>
              <w:t>95 %</w:t>
            </w:r>
          </w:p>
        </w:tc>
      </w:tr>
      <w:tr w:rsidR="00CA65E6">
        <w:trPr>
          <w:trHeight w:val="255"/>
          <w:jc w:val="center"/>
        </w:trPr>
        <w:tc>
          <w:tcPr>
            <w:tcW w:w="4480" w:type="dxa"/>
            <w:noWrap/>
            <w:vAlign w:val="bottom"/>
            <w:hideMark/>
          </w:tcPr>
          <w:p w:rsidR="00CA65E6" w:rsidRDefault="00CB294D">
            <w:pPr>
              <w:spacing w:after="0"/>
              <w:jc w:val="left"/>
              <w:rPr>
                <w:noProof/>
                <w:sz w:val="20"/>
              </w:rPr>
            </w:pPr>
            <w:r>
              <w:rPr>
                <w:noProof/>
                <w:sz w:val="20"/>
              </w:rPr>
              <w:t>Colombia</w:t>
            </w:r>
          </w:p>
        </w:tc>
        <w:tc>
          <w:tcPr>
            <w:tcW w:w="935" w:type="dxa"/>
            <w:noWrap/>
            <w:vAlign w:val="bottom"/>
            <w:hideMark/>
          </w:tcPr>
          <w:p w:rsidR="00CA65E6" w:rsidRDefault="00CB294D">
            <w:pPr>
              <w:spacing w:after="0"/>
              <w:jc w:val="center"/>
              <w:rPr>
                <w:noProof/>
                <w:sz w:val="20"/>
              </w:rPr>
            </w:pPr>
            <w:r>
              <w:rPr>
                <w:noProof/>
                <w:sz w:val="20"/>
              </w:rPr>
              <w:t>85 %</w:t>
            </w:r>
          </w:p>
        </w:tc>
        <w:tc>
          <w:tcPr>
            <w:tcW w:w="936" w:type="dxa"/>
            <w:noWrap/>
            <w:vAlign w:val="bottom"/>
            <w:hideMark/>
          </w:tcPr>
          <w:p w:rsidR="00CA65E6" w:rsidRDefault="00CB294D">
            <w:pPr>
              <w:spacing w:after="0"/>
              <w:jc w:val="center"/>
              <w:rPr>
                <w:noProof/>
                <w:sz w:val="20"/>
              </w:rPr>
            </w:pPr>
            <w:r>
              <w:rPr>
                <w:noProof/>
                <w:sz w:val="20"/>
              </w:rPr>
              <w:t>96 %</w:t>
            </w:r>
          </w:p>
        </w:tc>
        <w:tc>
          <w:tcPr>
            <w:tcW w:w="936" w:type="dxa"/>
            <w:noWrap/>
            <w:vAlign w:val="bottom"/>
            <w:hideMark/>
          </w:tcPr>
          <w:p w:rsidR="00CA65E6" w:rsidRDefault="00CB294D">
            <w:pPr>
              <w:spacing w:after="0"/>
              <w:jc w:val="center"/>
              <w:rPr>
                <w:noProof/>
                <w:sz w:val="20"/>
              </w:rPr>
            </w:pPr>
            <w:r>
              <w:rPr>
                <w:noProof/>
                <w:sz w:val="20"/>
              </w:rPr>
              <w:t>97 %</w:t>
            </w:r>
          </w:p>
        </w:tc>
        <w:tc>
          <w:tcPr>
            <w:tcW w:w="936" w:type="dxa"/>
            <w:noWrap/>
            <w:vAlign w:val="bottom"/>
            <w:hideMark/>
          </w:tcPr>
          <w:p w:rsidR="00CA65E6" w:rsidRDefault="00CB294D">
            <w:pPr>
              <w:spacing w:after="0"/>
              <w:jc w:val="center"/>
              <w:rPr>
                <w:noProof/>
                <w:sz w:val="20"/>
              </w:rPr>
            </w:pPr>
            <w:r>
              <w:rPr>
                <w:noProof/>
                <w:sz w:val="20"/>
              </w:rPr>
              <w:t>97 %</w:t>
            </w:r>
          </w:p>
        </w:tc>
      </w:tr>
      <w:tr w:rsidR="00CA65E6">
        <w:trPr>
          <w:trHeight w:val="255"/>
          <w:jc w:val="center"/>
        </w:trPr>
        <w:tc>
          <w:tcPr>
            <w:tcW w:w="4480" w:type="dxa"/>
            <w:noWrap/>
            <w:vAlign w:val="bottom"/>
            <w:hideMark/>
          </w:tcPr>
          <w:p w:rsidR="00CA65E6" w:rsidRDefault="00CB294D">
            <w:pPr>
              <w:spacing w:after="0"/>
              <w:jc w:val="left"/>
              <w:rPr>
                <w:noProof/>
                <w:sz w:val="20"/>
              </w:rPr>
            </w:pPr>
            <w:r>
              <w:rPr>
                <w:noProof/>
                <w:sz w:val="20"/>
              </w:rPr>
              <w:t>Costa Rica</w:t>
            </w:r>
          </w:p>
        </w:tc>
        <w:tc>
          <w:tcPr>
            <w:tcW w:w="935" w:type="dxa"/>
            <w:noWrap/>
            <w:vAlign w:val="bottom"/>
            <w:hideMark/>
          </w:tcPr>
          <w:p w:rsidR="00CA65E6" w:rsidRDefault="00CB294D">
            <w:pPr>
              <w:spacing w:after="0"/>
              <w:jc w:val="center"/>
              <w:rPr>
                <w:noProof/>
                <w:sz w:val="20"/>
              </w:rPr>
            </w:pPr>
            <w:r>
              <w:rPr>
                <w:noProof/>
                <w:sz w:val="20"/>
              </w:rPr>
              <w:t>89 %</w:t>
            </w:r>
          </w:p>
        </w:tc>
        <w:tc>
          <w:tcPr>
            <w:tcW w:w="936" w:type="dxa"/>
            <w:noWrap/>
            <w:vAlign w:val="bottom"/>
            <w:hideMark/>
          </w:tcPr>
          <w:p w:rsidR="00CA65E6" w:rsidRDefault="00CB294D">
            <w:pPr>
              <w:spacing w:after="0"/>
              <w:jc w:val="center"/>
              <w:rPr>
                <w:noProof/>
                <w:sz w:val="20"/>
              </w:rPr>
            </w:pPr>
            <w:r>
              <w:rPr>
                <w:noProof/>
                <w:sz w:val="20"/>
              </w:rPr>
              <w:t>96 %</w:t>
            </w:r>
          </w:p>
        </w:tc>
        <w:tc>
          <w:tcPr>
            <w:tcW w:w="936" w:type="dxa"/>
            <w:noWrap/>
            <w:vAlign w:val="bottom"/>
            <w:hideMark/>
          </w:tcPr>
          <w:p w:rsidR="00CA65E6" w:rsidRDefault="00CB294D">
            <w:pPr>
              <w:spacing w:after="0"/>
              <w:jc w:val="center"/>
              <w:rPr>
                <w:noProof/>
                <w:sz w:val="20"/>
              </w:rPr>
            </w:pPr>
            <w:r>
              <w:rPr>
                <w:noProof/>
                <w:sz w:val="20"/>
              </w:rPr>
              <w:t>96 %</w:t>
            </w:r>
          </w:p>
        </w:tc>
        <w:tc>
          <w:tcPr>
            <w:tcW w:w="936" w:type="dxa"/>
            <w:noWrap/>
            <w:vAlign w:val="bottom"/>
            <w:hideMark/>
          </w:tcPr>
          <w:p w:rsidR="00CA65E6" w:rsidRDefault="00CB294D">
            <w:pPr>
              <w:spacing w:after="0"/>
              <w:jc w:val="center"/>
              <w:rPr>
                <w:noProof/>
                <w:sz w:val="20"/>
              </w:rPr>
            </w:pPr>
            <w:r>
              <w:rPr>
                <w:noProof/>
                <w:sz w:val="20"/>
              </w:rPr>
              <w:t>97 %</w:t>
            </w:r>
          </w:p>
        </w:tc>
      </w:tr>
      <w:tr w:rsidR="00CA65E6">
        <w:trPr>
          <w:trHeight w:val="255"/>
          <w:jc w:val="center"/>
        </w:trPr>
        <w:tc>
          <w:tcPr>
            <w:tcW w:w="4480" w:type="dxa"/>
            <w:noWrap/>
            <w:vAlign w:val="bottom"/>
            <w:hideMark/>
          </w:tcPr>
          <w:p w:rsidR="00CA65E6" w:rsidRDefault="00CB294D">
            <w:pPr>
              <w:spacing w:after="0"/>
              <w:jc w:val="left"/>
              <w:rPr>
                <w:noProof/>
                <w:sz w:val="20"/>
              </w:rPr>
            </w:pPr>
            <w:r>
              <w:rPr>
                <w:noProof/>
                <w:sz w:val="20"/>
              </w:rPr>
              <w:t>Egypten</w:t>
            </w:r>
          </w:p>
        </w:tc>
        <w:tc>
          <w:tcPr>
            <w:tcW w:w="935" w:type="dxa"/>
            <w:noWrap/>
            <w:vAlign w:val="bottom"/>
            <w:hideMark/>
          </w:tcPr>
          <w:p w:rsidR="00CA65E6" w:rsidRDefault="00CB294D">
            <w:pPr>
              <w:spacing w:after="0"/>
              <w:jc w:val="center"/>
              <w:rPr>
                <w:noProof/>
                <w:sz w:val="20"/>
              </w:rPr>
            </w:pPr>
            <w:r>
              <w:rPr>
                <w:noProof/>
                <w:sz w:val="20"/>
              </w:rPr>
              <w:t>96 %</w:t>
            </w:r>
          </w:p>
        </w:tc>
        <w:tc>
          <w:tcPr>
            <w:tcW w:w="936" w:type="dxa"/>
            <w:noWrap/>
            <w:vAlign w:val="bottom"/>
            <w:hideMark/>
          </w:tcPr>
          <w:p w:rsidR="00CA65E6" w:rsidRDefault="00CB294D">
            <w:pPr>
              <w:spacing w:after="0"/>
              <w:jc w:val="center"/>
              <w:rPr>
                <w:noProof/>
                <w:sz w:val="20"/>
              </w:rPr>
            </w:pPr>
            <w:r>
              <w:rPr>
                <w:noProof/>
                <w:sz w:val="20"/>
              </w:rPr>
              <w:t>96 %</w:t>
            </w:r>
          </w:p>
        </w:tc>
        <w:tc>
          <w:tcPr>
            <w:tcW w:w="936" w:type="dxa"/>
            <w:noWrap/>
            <w:vAlign w:val="bottom"/>
            <w:hideMark/>
          </w:tcPr>
          <w:p w:rsidR="00CA65E6" w:rsidRDefault="00CB294D">
            <w:pPr>
              <w:spacing w:after="0"/>
              <w:jc w:val="center"/>
              <w:rPr>
                <w:noProof/>
                <w:sz w:val="20"/>
              </w:rPr>
            </w:pPr>
            <w:r>
              <w:rPr>
                <w:noProof/>
                <w:sz w:val="20"/>
              </w:rPr>
              <w:t>95 %</w:t>
            </w:r>
          </w:p>
        </w:tc>
        <w:tc>
          <w:tcPr>
            <w:tcW w:w="936" w:type="dxa"/>
            <w:noWrap/>
            <w:vAlign w:val="bottom"/>
            <w:hideMark/>
          </w:tcPr>
          <w:p w:rsidR="00CA65E6" w:rsidRDefault="00CB294D">
            <w:pPr>
              <w:spacing w:after="0"/>
              <w:jc w:val="center"/>
              <w:rPr>
                <w:noProof/>
                <w:sz w:val="20"/>
              </w:rPr>
            </w:pPr>
            <w:r>
              <w:rPr>
                <w:noProof/>
                <w:sz w:val="20"/>
              </w:rPr>
              <w:t>96 %</w:t>
            </w:r>
          </w:p>
        </w:tc>
      </w:tr>
      <w:tr w:rsidR="00CA65E6">
        <w:trPr>
          <w:trHeight w:val="255"/>
          <w:jc w:val="center"/>
        </w:trPr>
        <w:tc>
          <w:tcPr>
            <w:tcW w:w="4480" w:type="dxa"/>
            <w:noWrap/>
            <w:vAlign w:val="bottom"/>
            <w:hideMark/>
          </w:tcPr>
          <w:p w:rsidR="00CA65E6" w:rsidRDefault="00CB294D">
            <w:pPr>
              <w:spacing w:after="0"/>
              <w:jc w:val="left"/>
              <w:rPr>
                <w:noProof/>
                <w:sz w:val="20"/>
              </w:rPr>
            </w:pPr>
            <w:r>
              <w:rPr>
                <w:noProof/>
                <w:sz w:val="20"/>
              </w:rPr>
              <w:t>El Salvador</w:t>
            </w:r>
          </w:p>
        </w:tc>
        <w:tc>
          <w:tcPr>
            <w:tcW w:w="935" w:type="dxa"/>
            <w:noWrap/>
            <w:vAlign w:val="bottom"/>
            <w:hideMark/>
          </w:tcPr>
          <w:p w:rsidR="00CA65E6" w:rsidRDefault="00CB294D">
            <w:pPr>
              <w:spacing w:after="0"/>
              <w:jc w:val="center"/>
              <w:rPr>
                <w:noProof/>
                <w:sz w:val="20"/>
              </w:rPr>
            </w:pPr>
            <w:r>
              <w:rPr>
                <w:noProof/>
                <w:sz w:val="20"/>
              </w:rPr>
              <w:t>80 %</w:t>
            </w:r>
          </w:p>
        </w:tc>
        <w:tc>
          <w:tcPr>
            <w:tcW w:w="936" w:type="dxa"/>
            <w:noWrap/>
            <w:vAlign w:val="bottom"/>
            <w:hideMark/>
          </w:tcPr>
          <w:p w:rsidR="00CA65E6" w:rsidRDefault="00CB294D">
            <w:pPr>
              <w:spacing w:after="0"/>
              <w:jc w:val="center"/>
              <w:rPr>
                <w:noProof/>
                <w:sz w:val="20"/>
              </w:rPr>
            </w:pPr>
            <w:r>
              <w:rPr>
                <w:noProof/>
                <w:sz w:val="20"/>
              </w:rPr>
              <w:t>91 %</w:t>
            </w:r>
          </w:p>
        </w:tc>
        <w:tc>
          <w:tcPr>
            <w:tcW w:w="936" w:type="dxa"/>
            <w:noWrap/>
            <w:vAlign w:val="bottom"/>
            <w:hideMark/>
          </w:tcPr>
          <w:p w:rsidR="00CA65E6" w:rsidRDefault="00CB294D">
            <w:pPr>
              <w:spacing w:after="0"/>
              <w:jc w:val="center"/>
              <w:rPr>
                <w:noProof/>
                <w:sz w:val="20"/>
              </w:rPr>
            </w:pPr>
            <w:r>
              <w:rPr>
                <w:noProof/>
                <w:sz w:val="20"/>
              </w:rPr>
              <w:t>82 %</w:t>
            </w:r>
          </w:p>
        </w:tc>
        <w:tc>
          <w:tcPr>
            <w:tcW w:w="936" w:type="dxa"/>
            <w:noWrap/>
            <w:vAlign w:val="bottom"/>
            <w:hideMark/>
          </w:tcPr>
          <w:p w:rsidR="00CA65E6" w:rsidRDefault="00CB294D">
            <w:pPr>
              <w:spacing w:after="0"/>
              <w:jc w:val="center"/>
              <w:rPr>
                <w:noProof/>
                <w:sz w:val="20"/>
              </w:rPr>
            </w:pPr>
            <w:r>
              <w:rPr>
                <w:noProof/>
                <w:sz w:val="20"/>
              </w:rPr>
              <w:t>74 %</w:t>
            </w:r>
          </w:p>
        </w:tc>
      </w:tr>
      <w:tr w:rsidR="00CA65E6">
        <w:trPr>
          <w:trHeight w:val="255"/>
          <w:jc w:val="center"/>
        </w:trPr>
        <w:tc>
          <w:tcPr>
            <w:tcW w:w="4480" w:type="dxa"/>
            <w:noWrap/>
            <w:vAlign w:val="bottom"/>
            <w:hideMark/>
          </w:tcPr>
          <w:p w:rsidR="00CA65E6" w:rsidRDefault="00CB294D">
            <w:pPr>
              <w:spacing w:after="0"/>
              <w:jc w:val="left"/>
              <w:rPr>
                <w:noProof/>
                <w:sz w:val="20"/>
              </w:rPr>
            </w:pPr>
            <w:r>
              <w:rPr>
                <w:noProof/>
                <w:sz w:val="20"/>
              </w:rPr>
              <w:t>Georgien</w:t>
            </w:r>
          </w:p>
        </w:tc>
        <w:tc>
          <w:tcPr>
            <w:tcW w:w="935" w:type="dxa"/>
            <w:noWrap/>
            <w:vAlign w:val="bottom"/>
            <w:hideMark/>
          </w:tcPr>
          <w:p w:rsidR="00CA65E6" w:rsidRDefault="00CB294D">
            <w:pPr>
              <w:spacing w:after="0"/>
              <w:jc w:val="center"/>
              <w:rPr>
                <w:noProof/>
                <w:sz w:val="20"/>
              </w:rPr>
            </w:pPr>
            <w:r>
              <w:rPr>
                <w:noProof/>
                <w:sz w:val="20"/>
              </w:rPr>
              <w:t>86 %</w:t>
            </w:r>
          </w:p>
        </w:tc>
        <w:tc>
          <w:tcPr>
            <w:tcW w:w="936" w:type="dxa"/>
            <w:noWrap/>
            <w:vAlign w:val="bottom"/>
            <w:hideMark/>
          </w:tcPr>
          <w:p w:rsidR="00CA65E6" w:rsidRDefault="00CB294D">
            <w:pPr>
              <w:spacing w:after="0"/>
              <w:jc w:val="center"/>
              <w:rPr>
                <w:noProof/>
                <w:sz w:val="20"/>
              </w:rPr>
            </w:pPr>
            <w:r>
              <w:rPr>
                <w:noProof/>
                <w:sz w:val="20"/>
              </w:rPr>
              <w:t>78 %</w:t>
            </w:r>
          </w:p>
        </w:tc>
        <w:tc>
          <w:tcPr>
            <w:tcW w:w="936" w:type="dxa"/>
            <w:noWrap/>
            <w:vAlign w:val="bottom"/>
            <w:hideMark/>
          </w:tcPr>
          <w:p w:rsidR="00CA65E6" w:rsidRDefault="00CB294D">
            <w:pPr>
              <w:spacing w:after="0"/>
              <w:jc w:val="center"/>
              <w:rPr>
                <w:noProof/>
                <w:sz w:val="20"/>
              </w:rPr>
            </w:pPr>
            <w:r>
              <w:rPr>
                <w:noProof/>
                <w:sz w:val="20"/>
              </w:rPr>
              <w:t>83 %</w:t>
            </w:r>
          </w:p>
        </w:tc>
        <w:tc>
          <w:tcPr>
            <w:tcW w:w="936" w:type="dxa"/>
            <w:noWrap/>
            <w:vAlign w:val="bottom"/>
            <w:hideMark/>
          </w:tcPr>
          <w:p w:rsidR="00CA65E6" w:rsidRDefault="00CB294D">
            <w:pPr>
              <w:spacing w:after="0"/>
              <w:jc w:val="center"/>
              <w:rPr>
                <w:noProof/>
                <w:sz w:val="20"/>
              </w:rPr>
            </w:pPr>
            <w:r>
              <w:rPr>
                <w:noProof/>
                <w:sz w:val="20"/>
              </w:rPr>
              <w:t>80 %</w:t>
            </w:r>
          </w:p>
        </w:tc>
      </w:tr>
      <w:tr w:rsidR="00CA65E6">
        <w:trPr>
          <w:trHeight w:val="255"/>
          <w:jc w:val="center"/>
        </w:trPr>
        <w:tc>
          <w:tcPr>
            <w:tcW w:w="4480" w:type="dxa"/>
            <w:noWrap/>
            <w:vAlign w:val="bottom"/>
            <w:hideMark/>
          </w:tcPr>
          <w:p w:rsidR="00CA65E6" w:rsidRDefault="00CB294D">
            <w:pPr>
              <w:spacing w:after="0"/>
              <w:jc w:val="left"/>
              <w:rPr>
                <w:noProof/>
                <w:sz w:val="20"/>
              </w:rPr>
            </w:pPr>
            <w:r>
              <w:rPr>
                <w:noProof/>
                <w:sz w:val="20"/>
              </w:rPr>
              <w:t>Guatemala</w:t>
            </w:r>
          </w:p>
        </w:tc>
        <w:tc>
          <w:tcPr>
            <w:tcW w:w="935" w:type="dxa"/>
            <w:noWrap/>
            <w:vAlign w:val="bottom"/>
            <w:hideMark/>
          </w:tcPr>
          <w:p w:rsidR="00CA65E6" w:rsidRDefault="00CB294D">
            <w:pPr>
              <w:spacing w:after="0"/>
              <w:jc w:val="center"/>
              <w:rPr>
                <w:noProof/>
                <w:sz w:val="20"/>
              </w:rPr>
            </w:pPr>
            <w:r>
              <w:rPr>
                <w:noProof/>
                <w:sz w:val="20"/>
              </w:rPr>
              <w:t>89 %</w:t>
            </w:r>
          </w:p>
        </w:tc>
        <w:tc>
          <w:tcPr>
            <w:tcW w:w="936" w:type="dxa"/>
            <w:noWrap/>
            <w:vAlign w:val="bottom"/>
            <w:hideMark/>
          </w:tcPr>
          <w:p w:rsidR="00CA65E6" w:rsidRDefault="00CB294D">
            <w:pPr>
              <w:spacing w:after="0"/>
              <w:jc w:val="center"/>
              <w:rPr>
                <w:noProof/>
                <w:sz w:val="20"/>
              </w:rPr>
            </w:pPr>
            <w:r>
              <w:rPr>
                <w:noProof/>
                <w:sz w:val="20"/>
              </w:rPr>
              <w:t>94 %</w:t>
            </w:r>
          </w:p>
        </w:tc>
        <w:tc>
          <w:tcPr>
            <w:tcW w:w="936" w:type="dxa"/>
            <w:noWrap/>
            <w:vAlign w:val="bottom"/>
            <w:hideMark/>
          </w:tcPr>
          <w:p w:rsidR="00CA65E6" w:rsidRDefault="00CB294D">
            <w:pPr>
              <w:spacing w:after="0"/>
              <w:jc w:val="center"/>
              <w:rPr>
                <w:noProof/>
                <w:sz w:val="20"/>
              </w:rPr>
            </w:pPr>
            <w:r>
              <w:rPr>
                <w:noProof/>
                <w:sz w:val="20"/>
              </w:rPr>
              <w:t>95 %</w:t>
            </w:r>
          </w:p>
        </w:tc>
        <w:tc>
          <w:tcPr>
            <w:tcW w:w="936" w:type="dxa"/>
            <w:noWrap/>
            <w:vAlign w:val="bottom"/>
            <w:hideMark/>
          </w:tcPr>
          <w:p w:rsidR="00CA65E6" w:rsidRDefault="00CB294D">
            <w:pPr>
              <w:spacing w:after="0"/>
              <w:jc w:val="center"/>
              <w:rPr>
                <w:noProof/>
                <w:sz w:val="20"/>
              </w:rPr>
            </w:pPr>
            <w:r>
              <w:rPr>
                <w:noProof/>
                <w:sz w:val="20"/>
              </w:rPr>
              <w:t>95 %</w:t>
            </w:r>
          </w:p>
        </w:tc>
      </w:tr>
      <w:tr w:rsidR="00CA65E6">
        <w:trPr>
          <w:trHeight w:val="255"/>
          <w:jc w:val="center"/>
        </w:trPr>
        <w:tc>
          <w:tcPr>
            <w:tcW w:w="4480" w:type="dxa"/>
            <w:noWrap/>
            <w:vAlign w:val="bottom"/>
            <w:hideMark/>
          </w:tcPr>
          <w:p w:rsidR="00CA65E6" w:rsidRDefault="00CB294D">
            <w:pPr>
              <w:spacing w:after="0"/>
              <w:jc w:val="left"/>
              <w:rPr>
                <w:noProof/>
                <w:sz w:val="20"/>
              </w:rPr>
            </w:pPr>
            <w:r>
              <w:rPr>
                <w:noProof/>
                <w:sz w:val="20"/>
              </w:rPr>
              <w:t>Honduras</w:t>
            </w:r>
          </w:p>
        </w:tc>
        <w:tc>
          <w:tcPr>
            <w:tcW w:w="935" w:type="dxa"/>
            <w:noWrap/>
            <w:vAlign w:val="bottom"/>
            <w:hideMark/>
          </w:tcPr>
          <w:p w:rsidR="00CA65E6" w:rsidRDefault="00CB294D">
            <w:pPr>
              <w:spacing w:after="0"/>
              <w:jc w:val="center"/>
              <w:rPr>
                <w:noProof/>
                <w:sz w:val="20"/>
              </w:rPr>
            </w:pPr>
            <w:r>
              <w:rPr>
                <w:noProof/>
                <w:sz w:val="20"/>
              </w:rPr>
              <w:t>84 %</w:t>
            </w:r>
          </w:p>
        </w:tc>
        <w:tc>
          <w:tcPr>
            <w:tcW w:w="936" w:type="dxa"/>
            <w:noWrap/>
            <w:vAlign w:val="bottom"/>
            <w:hideMark/>
          </w:tcPr>
          <w:p w:rsidR="00CA65E6" w:rsidRDefault="00CB294D">
            <w:pPr>
              <w:spacing w:after="0"/>
              <w:jc w:val="center"/>
              <w:rPr>
                <w:noProof/>
                <w:sz w:val="20"/>
              </w:rPr>
            </w:pPr>
            <w:r>
              <w:rPr>
                <w:noProof/>
                <w:sz w:val="20"/>
              </w:rPr>
              <w:t>93 %</w:t>
            </w:r>
          </w:p>
        </w:tc>
        <w:tc>
          <w:tcPr>
            <w:tcW w:w="936" w:type="dxa"/>
            <w:noWrap/>
            <w:vAlign w:val="bottom"/>
            <w:hideMark/>
          </w:tcPr>
          <w:p w:rsidR="00CA65E6" w:rsidRDefault="00CB294D">
            <w:pPr>
              <w:spacing w:after="0"/>
              <w:jc w:val="center"/>
              <w:rPr>
                <w:noProof/>
                <w:sz w:val="20"/>
              </w:rPr>
            </w:pPr>
            <w:r>
              <w:rPr>
                <w:noProof/>
                <w:sz w:val="20"/>
              </w:rPr>
              <w:t>91 %</w:t>
            </w:r>
          </w:p>
        </w:tc>
        <w:tc>
          <w:tcPr>
            <w:tcW w:w="936" w:type="dxa"/>
            <w:noWrap/>
            <w:vAlign w:val="bottom"/>
            <w:hideMark/>
          </w:tcPr>
          <w:p w:rsidR="00CA65E6" w:rsidRDefault="00CB294D">
            <w:pPr>
              <w:spacing w:after="0"/>
              <w:jc w:val="center"/>
              <w:rPr>
                <w:noProof/>
                <w:sz w:val="20"/>
              </w:rPr>
            </w:pPr>
            <w:r>
              <w:rPr>
                <w:noProof/>
                <w:sz w:val="20"/>
              </w:rPr>
              <w:t>92 %</w:t>
            </w:r>
          </w:p>
        </w:tc>
      </w:tr>
      <w:tr w:rsidR="00CA65E6">
        <w:trPr>
          <w:trHeight w:val="255"/>
          <w:jc w:val="center"/>
        </w:trPr>
        <w:tc>
          <w:tcPr>
            <w:tcW w:w="4480" w:type="dxa"/>
            <w:noWrap/>
            <w:vAlign w:val="bottom"/>
            <w:hideMark/>
          </w:tcPr>
          <w:p w:rsidR="00CA65E6" w:rsidRDefault="00CB294D">
            <w:pPr>
              <w:spacing w:after="0"/>
              <w:jc w:val="left"/>
              <w:rPr>
                <w:noProof/>
                <w:sz w:val="20"/>
              </w:rPr>
            </w:pPr>
            <w:r>
              <w:rPr>
                <w:noProof/>
                <w:sz w:val="20"/>
              </w:rPr>
              <w:t>Israel</w:t>
            </w:r>
          </w:p>
        </w:tc>
        <w:tc>
          <w:tcPr>
            <w:tcW w:w="935" w:type="dxa"/>
            <w:noWrap/>
            <w:vAlign w:val="bottom"/>
            <w:hideMark/>
          </w:tcPr>
          <w:p w:rsidR="00CA65E6" w:rsidRDefault="00CB294D">
            <w:pPr>
              <w:spacing w:after="0"/>
              <w:jc w:val="center"/>
              <w:rPr>
                <w:noProof/>
                <w:sz w:val="20"/>
              </w:rPr>
            </w:pPr>
            <w:r>
              <w:rPr>
                <w:noProof/>
                <w:sz w:val="20"/>
              </w:rPr>
              <w:t>89 %</w:t>
            </w:r>
          </w:p>
        </w:tc>
        <w:tc>
          <w:tcPr>
            <w:tcW w:w="936" w:type="dxa"/>
            <w:noWrap/>
            <w:vAlign w:val="bottom"/>
            <w:hideMark/>
          </w:tcPr>
          <w:p w:rsidR="00CA65E6" w:rsidRDefault="00CB294D">
            <w:pPr>
              <w:spacing w:after="0"/>
              <w:jc w:val="center"/>
              <w:rPr>
                <w:noProof/>
                <w:sz w:val="20"/>
              </w:rPr>
            </w:pPr>
            <w:r>
              <w:rPr>
                <w:noProof/>
                <w:sz w:val="20"/>
              </w:rPr>
              <w:t>89 %</w:t>
            </w:r>
          </w:p>
        </w:tc>
        <w:tc>
          <w:tcPr>
            <w:tcW w:w="936" w:type="dxa"/>
            <w:noWrap/>
            <w:vAlign w:val="bottom"/>
            <w:hideMark/>
          </w:tcPr>
          <w:p w:rsidR="00CA65E6" w:rsidRDefault="00CB294D">
            <w:pPr>
              <w:spacing w:after="0"/>
              <w:jc w:val="center"/>
              <w:rPr>
                <w:noProof/>
                <w:sz w:val="20"/>
              </w:rPr>
            </w:pPr>
            <w:r>
              <w:rPr>
                <w:noProof/>
                <w:sz w:val="20"/>
              </w:rPr>
              <w:t>89 %</w:t>
            </w:r>
          </w:p>
        </w:tc>
        <w:tc>
          <w:tcPr>
            <w:tcW w:w="936" w:type="dxa"/>
            <w:noWrap/>
            <w:vAlign w:val="bottom"/>
            <w:hideMark/>
          </w:tcPr>
          <w:p w:rsidR="00CA65E6" w:rsidRDefault="00CB294D">
            <w:pPr>
              <w:spacing w:after="0"/>
              <w:jc w:val="center"/>
              <w:rPr>
                <w:noProof/>
                <w:sz w:val="20"/>
              </w:rPr>
            </w:pPr>
            <w:r>
              <w:rPr>
                <w:noProof/>
                <w:sz w:val="20"/>
              </w:rPr>
              <w:t>90 %</w:t>
            </w:r>
          </w:p>
        </w:tc>
      </w:tr>
      <w:tr w:rsidR="00CA65E6">
        <w:trPr>
          <w:trHeight w:val="255"/>
          <w:jc w:val="center"/>
        </w:trPr>
        <w:tc>
          <w:tcPr>
            <w:tcW w:w="4480" w:type="dxa"/>
            <w:noWrap/>
            <w:vAlign w:val="bottom"/>
            <w:hideMark/>
          </w:tcPr>
          <w:p w:rsidR="00CA65E6" w:rsidRDefault="00CB294D">
            <w:pPr>
              <w:spacing w:after="0"/>
              <w:jc w:val="left"/>
              <w:rPr>
                <w:noProof/>
                <w:sz w:val="20"/>
              </w:rPr>
            </w:pPr>
            <w:r>
              <w:rPr>
                <w:noProof/>
                <w:sz w:val="20"/>
              </w:rPr>
              <w:t>Jordanien</w:t>
            </w:r>
          </w:p>
        </w:tc>
        <w:tc>
          <w:tcPr>
            <w:tcW w:w="935" w:type="dxa"/>
            <w:noWrap/>
            <w:vAlign w:val="bottom"/>
            <w:hideMark/>
          </w:tcPr>
          <w:p w:rsidR="00CA65E6" w:rsidRDefault="00CB294D">
            <w:pPr>
              <w:spacing w:after="0"/>
              <w:jc w:val="center"/>
              <w:rPr>
                <w:noProof/>
                <w:sz w:val="20"/>
              </w:rPr>
            </w:pPr>
            <w:r>
              <w:rPr>
                <w:noProof/>
                <w:sz w:val="20"/>
              </w:rPr>
              <w:t>76 %</w:t>
            </w:r>
          </w:p>
        </w:tc>
        <w:tc>
          <w:tcPr>
            <w:tcW w:w="936" w:type="dxa"/>
            <w:noWrap/>
            <w:vAlign w:val="bottom"/>
            <w:hideMark/>
          </w:tcPr>
          <w:p w:rsidR="00CA65E6" w:rsidRDefault="00CB294D">
            <w:pPr>
              <w:spacing w:after="0"/>
              <w:jc w:val="center"/>
              <w:rPr>
                <w:noProof/>
                <w:sz w:val="20"/>
              </w:rPr>
            </w:pPr>
            <w:r>
              <w:rPr>
                <w:noProof/>
                <w:sz w:val="20"/>
              </w:rPr>
              <w:t>79 %</w:t>
            </w:r>
          </w:p>
        </w:tc>
        <w:tc>
          <w:tcPr>
            <w:tcW w:w="936" w:type="dxa"/>
            <w:noWrap/>
            <w:vAlign w:val="bottom"/>
            <w:hideMark/>
          </w:tcPr>
          <w:p w:rsidR="00CA65E6" w:rsidRDefault="00CB294D">
            <w:pPr>
              <w:spacing w:after="0"/>
              <w:jc w:val="center"/>
              <w:rPr>
                <w:noProof/>
                <w:sz w:val="20"/>
              </w:rPr>
            </w:pPr>
            <w:r>
              <w:rPr>
                <w:noProof/>
                <w:sz w:val="20"/>
              </w:rPr>
              <w:t>79 %</w:t>
            </w:r>
          </w:p>
        </w:tc>
        <w:tc>
          <w:tcPr>
            <w:tcW w:w="936" w:type="dxa"/>
            <w:noWrap/>
            <w:vAlign w:val="bottom"/>
            <w:hideMark/>
          </w:tcPr>
          <w:p w:rsidR="00CA65E6" w:rsidRDefault="00CB294D">
            <w:pPr>
              <w:spacing w:after="0"/>
              <w:jc w:val="center"/>
              <w:rPr>
                <w:noProof/>
                <w:sz w:val="20"/>
              </w:rPr>
            </w:pPr>
            <w:r>
              <w:rPr>
                <w:noProof/>
                <w:sz w:val="20"/>
              </w:rPr>
              <w:t>68 %</w:t>
            </w:r>
          </w:p>
        </w:tc>
      </w:tr>
      <w:tr w:rsidR="00CA65E6">
        <w:trPr>
          <w:trHeight w:val="255"/>
          <w:jc w:val="center"/>
        </w:trPr>
        <w:tc>
          <w:tcPr>
            <w:tcW w:w="4480" w:type="dxa"/>
            <w:noWrap/>
            <w:vAlign w:val="bottom"/>
            <w:hideMark/>
          </w:tcPr>
          <w:p w:rsidR="00CA65E6" w:rsidRDefault="00CB294D">
            <w:pPr>
              <w:spacing w:after="0"/>
              <w:jc w:val="left"/>
              <w:rPr>
                <w:noProof/>
                <w:sz w:val="20"/>
              </w:rPr>
            </w:pPr>
            <w:r>
              <w:rPr>
                <w:noProof/>
                <w:sz w:val="20"/>
              </w:rPr>
              <w:t>Libanon</w:t>
            </w:r>
          </w:p>
        </w:tc>
        <w:tc>
          <w:tcPr>
            <w:tcW w:w="935" w:type="dxa"/>
            <w:noWrap/>
            <w:vAlign w:val="bottom"/>
            <w:hideMark/>
          </w:tcPr>
          <w:p w:rsidR="00CA65E6" w:rsidRDefault="00CB294D">
            <w:pPr>
              <w:spacing w:after="0"/>
              <w:jc w:val="center"/>
              <w:rPr>
                <w:noProof/>
                <w:sz w:val="20"/>
              </w:rPr>
            </w:pPr>
            <w:r>
              <w:rPr>
                <w:noProof/>
                <w:sz w:val="20"/>
              </w:rPr>
              <w:t>79 %</w:t>
            </w:r>
          </w:p>
        </w:tc>
        <w:tc>
          <w:tcPr>
            <w:tcW w:w="936" w:type="dxa"/>
            <w:noWrap/>
            <w:vAlign w:val="bottom"/>
            <w:hideMark/>
          </w:tcPr>
          <w:p w:rsidR="00CA65E6" w:rsidRDefault="00CB294D">
            <w:pPr>
              <w:spacing w:after="0"/>
              <w:jc w:val="center"/>
              <w:rPr>
                <w:noProof/>
                <w:sz w:val="20"/>
              </w:rPr>
            </w:pPr>
            <w:r>
              <w:rPr>
                <w:noProof/>
                <w:sz w:val="20"/>
              </w:rPr>
              <w:t>87 %</w:t>
            </w:r>
          </w:p>
        </w:tc>
        <w:tc>
          <w:tcPr>
            <w:tcW w:w="936" w:type="dxa"/>
            <w:noWrap/>
            <w:vAlign w:val="bottom"/>
            <w:hideMark/>
          </w:tcPr>
          <w:p w:rsidR="00CA65E6" w:rsidRDefault="00CB294D">
            <w:pPr>
              <w:spacing w:after="0"/>
              <w:jc w:val="center"/>
              <w:rPr>
                <w:noProof/>
                <w:sz w:val="20"/>
              </w:rPr>
            </w:pPr>
            <w:r>
              <w:rPr>
                <w:noProof/>
                <w:sz w:val="20"/>
              </w:rPr>
              <w:t>76 %</w:t>
            </w:r>
          </w:p>
        </w:tc>
        <w:tc>
          <w:tcPr>
            <w:tcW w:w="936" w:type="dxa"/>
            <w:noWrap/>
            <w:vAlign w:val="bottom"/>
            <w:hideMark/>
          </w:tcPr>
          <w:p w:rsidR="00CA65E6" w:rsidRDefault="00CB294D">
            <w:pPr>
              <w:spacing w:after="0"/>
              <w:jc w:val="center"/>
              <w:rPr>
                <w:noProof/>
                <w:sz w:val="20"/>
              </w:rPr>
            </w:pPr>
            <w:r>
              <w:rPr>
                <w:noProof/>
                <w:sz w:val="20"/>
              </w:rPr>
              <w:t>71 %</w:t>
            </w:r>
          </w:p>
        </w:tc>
      </w:tr>
      <w:tr w:rsidR="00CA65E6">
        <w:trPr>
          <w:trHeight w:val="255"/>
          <w:jc w:val="center"/>
        </w:trPr>
        <w:tc>
          <w:tcPr>
            <w:tcW w:w="4480" w:type="dxa"/>
            <w:noWrap/>
            <w:vAlign w:val="bottom"/>
            <w:hideMark/>
          </w:tcPr>
          <w:p w:rsidR="00CA65E6" w:rsidRDefault="00CB294D">
            <w:pPr>
              <w:spacing w:after="0"/>
              <w:jc w:val="left"/>
              <w:rPr>
                <w:noProof/>
                <w:sz w:val="20"/>
              </w:rPr>
            </w:pPr>
            <w:r>
              <w:rPr>
                <w:noProof/>
                <w:sz w:val="20"/>
              </w:rPr>
              <w:t>Mexiko</w:t>
            </w:r>
          </w:p>
        </w:tc>
        <w:tc>
          <w:tcPr>
            <w:tcW w:w="935" w:type="dxa"/>
            <w:noWrap/>
            <w:vAlign w:val="bottom"/>
            <w:hideMark/>
          </w:tcPr>
          <w:p w:rsidR="00CA65E6" w:rsidRDefault="00CB294D">
            <w:pPr>
              <w:spacing w:after="0"/>
              <w:jc w:val="center"/>
              <w:rPr>
                <w:noProof/>
                <w:sz w:val="20"/>
              </w:rPr>
            </w:pPr>
            <w:r>
              <w:rPr>
                <w:noProof/>
                <w:sz w:val="20"/>
              </w:rPr>
              <w:t>67 %</w:t>
            </w:r>
          </w:p>
        </w:tc>
        <w:tc>
          <w:tcPr>
            <w:tcW w:w="936" w:type="dxa"/>
            <w:noWrap/>
            <w:vAlign w:val="bottom"/>
            <w:hideMark/>
          </w:tcPr>
          <w:p w:rsidR="00CA65E6" w:rsidRDefault="00CB294D">
            <w:pPr>
              <w:spacing w:after="0"/>
              <w:jc w:val="center"/>
              <w:rPr>
                <w:noProof/>
                <w:sz w:val="20"/>
              </w:rPr>
            </w:pPr>
            <w:r>
              <w:rPr>
                <w:noProof/>
                <w:sz w:val="20"/>
              </w:rPr>
              <w:t>61 %</w:t>
            </w:r>
          </w:p>
        </w:tc>
        <w:tc>
          <w:tcPr>
            <w:tcW w:w="936" w:type="dxa"/>
            <w:noWrap/>
            <w:vAlign w:val="bottom"/>
            <w:hideMark/>
          </w:tcPr>
          <w:p w:rsidR="00CA65E6" w:rsidRDefault="00CB294D">
            <w:pPr>
              <w:spacing w:after="0"/>
              <w:jc w:val="center"/>
              <w:rPr>
                <w:noProof/>
                <w:sz w:val="20"/>
              </w:rPr>
            </w:pPr>
            <w:r>
              <w:rPr>
                <w:noProof/>
                <w:sz w:val="20"/>
              </w:rPr>
              <w:t>52 %</w:t>
            </w:r>
          </w:p>
        </w:tc>
        <w:tc>
          <w:tcPr>
            <w:tcW w:w="936" w:type="dxa"/>
            <w:noWrap/>
            <w:vAlign w:val="bottom"/>
            <w:hideMark/>
          </w:tcPr>
          <w:p w:rsidR="00CA65E6" w:rsidRDefault="00CB294D">
            <w:pPr>
              <w:spacing w:after="0"/>
              <w:jc w:val="center"/>
              <w:rPr>
                <w:noProof/>
                <w:sz w:val="20"/>
              </w:rPr>
            </w:pPr>
            <w:r>
              <w:rPr>
                <w:noProof/>
                <w:sz w:val="20"/>
              </w:rPr>
              <w:t>57 %</w:t>
            </w:r>
          </w:p>
        </w:tc>
      </w:tr>
      <w:tr w:rsidR="00CA65E6">
        <w:trPr>
          <w:trHeight w:val="255"/>
          <w:jc w:val="center"/>
        </w:trPr>
        <w:tc>
          <w:tcPr>
            <w:tcW w:w="4480" w:type="dxa"/>
            <w:noWrap/>
            <w:vAlign w:val="bottom"/>
            <w:hideMark/>
          </w:tcPr>
          <w:p w:rsidR="00CA65E6" w:rsidRDefault="00CB294D">
            <w:pPr>
              <w:spacing w:after="0"/>
              <w:jc w:val="left"/>
              <w:rPr>
                <w:noProof/>
                <w:sz w:val="20"/>
              </w:rPr>
            </w:pPr>
            <w:r>
              <w:rPr>
                <w:noProof/>
                <w:sz w:val="20"/>
              </w:rPr>
              <w:t>Moldavien</w:t>
            </w:r>
          </w:p>
        </w:tc>
        <w:tc>
          <w:tcPr>
            <w:tcW w:w="935" w:type="dxa"/>
            <w:noWrap/>
            <w:vAlign w:val="bottom"/>
            <w:hideMark/>
          </w:tcPr>
          <w:p w:rsidR="00CA65E6" w:rsidRDefault="00CB294D">
            <w:pPr>
              <w:spacing w:after="0"/>
              <w:jc w:val="center"/>
              <w:rPr>
                <w:noProof/>
                <w:sz w:val="20"/>
              </w:rPr>
            </w:pPr>
            <w:r>
              <w:rPr>
                <w:noProof/>
                <w:sz w:val="20"/>
              </w:rPr>
              <w:t>89 %</w:t>
            </w:r>
          </w:p>
        </w:tc>
        <w:tc>
          <w:tcPr>
            <w:tcW w:w="936" w:type="dxa"/>
            <w:noWrap/>
            <w:vAlign w:val="bottom"/>
            <w:hideMark/>
          </w:tcPr>
          <w:p w:rsidR="00CA65E6" w:rsidRDefault="00CB294D">
            <w:pPr>
              <w:spacing w:after="0"/>
              <w:jc w:val="center"/>
              <w:rPr>
                <w:noProof/>
                <w:sz w:val="20"/>
              </w:rPr>
            </w:pPr>
            <w:r>
              <w:rPr>
                <w:noProof/>
                <w:sz w:val="20"/>
              </w:rPr>
              <w:t>89 %</w:t>
            </w:r>
          </w:p>
        </w:tc>
        <w:tc>
          <w:tcPr>
            <w:tcW w:w="936" w:type="dxa"/>
            <w:noWrap/>
            <w:vAlign w:val="bottom"/>
            <w:hideMark/>
          </w:tcPr>
          <w:p w:rsidR="00CA65E6" w:rsidRDefault="00CB294D">
            <w:pPr>
              <w:spacing w:after="0"/>
              <w:jc w:val="center"/>
              <w:rPr>
                <w:noProof/>
                <w:sz w:val="20"/>
              </w:rPr>
            </w:pPr>
            <w:r>
              <w:rPr>
                <w:noProof/>
                <w:sz w:val="20"/>
              </w:rPr>
              <w:t>91 %</w:t>
            </w:r>
          </w:p>
        </w:tc>
        <w:tc>
          <w:tcPr>
            <w:tcW w:w="936" w:type="dxa"/>
            <w:noWrap/>
            <w:vAlign w:val="bottom"/>
            <w:hideMark/>
          </w:tcPr>
          <w:p w:rsidR="00CA65E6" w:rsidRDefault="00CB294D">
            <w:pPr>
              <w:spacing w:after="0"/>
              <w:jc w:val="center"/>
              <w:rPr>
                <w:noProof/>
                <w:sz w:val="20"/>
              </w:rPr>
            </w:pPr>
            <w:r>
              <w:rPr>
                <w:noProof/>
                <w:sz w:val="20"/>
              </w:rPr>
              <w:t>88 %</w:t>
            </w:r>
          </w:p>
        </w:tc>
      </w:tr>
      <w:tr w:rsidR="00CA65E6">
        <w:trPr>
          <w:trHeight w:val="255"/>
          <w:jc w:val="center"/>
        </w:trPr>
        <w:tc>
          <w:tcPr>
            <w:tcW w:w="4480" w:type="dxa"/>
            <w:noWrap/>
            <w:vAlign w:val="bottom"/>
            <w:hideMark/>
          </w:tcPr>
          <w:p w:rsidR="00CA65E6" w:rsidRDefault="00CB294D">
            <w:pPr>
              <w:spacing w:after="0"/>
              <w:jc w:val="left"/>
              <w:rPr>
                <w:noProof/>
                <w:sz w:val="20"/>
              </w:rPr>
            </w:pPr>
            <w:r>
              <w:rPr>
                <w:noProof/>
                <w:sz w:val="20"/>
              </w:rPr>
              <w:t>Marocko</w:t>
            </w:r>
          </w:p>
        </w:tc>
        <w:tc>
          <w:tcPr>
            <w:tcW w:w="935" w:type="dxa"/>
            <w:noWrap/>
            <w:vAlign w:val="bottom"/>
            <w:hideMark/>
          </w:tcPr>
          <w:p w:rsidR="00CA65E6" w:rsidRDefault="00CB294D">
            <w:pPr>
              <w:spacing w:after="0"/>
              <w:jc w:val="center"/>
              <w:rPr>
                <w:noProof/>
                <w:sz w:val="20"/>
              </w:rPr>
            </w:pPr>
            <w:r>
              <w:rPr>
                <w:noProof/>
                <w:sz w:val="20"/>
              </w:rPr>
              <w:t>97 %</w:t>
            </w:r>
          </w:p>
        </w:tc>
        <w:tc>
          <w:tcPr>
            <w:tcW w:w="936" w:type="dxa"/>
            <w:noWrap/>
            <w:vAlign w:val="bottom"/>
            <w:hideMark/>
          </w:tcPr>
          <w:p w:rsidR="00CA65E6" w:rsidRDefault="00CB294D">
            <w:pPr>
              <w:spacing w:after="0"/>
              <w:jc w:val="center"/>
              <w:rPr>
                <w:noProof/>
                <w:sz w:val="20"/>
              </w:rPr>
            </w:pPr>
            <w:r>
              <w:rPr>
                <w:noProof/>
                <w:sz w:val="20"/>
              </w:rPr>
              <w:t>97 %</w:t>
            </w:r>
          </w:p>
        </w:tc>
        <w:tc>
          <w:tcPr>
            <w:tcW w:w="936" w:type="dxa"/>
            <w:noWrap/>
            <w:vAlign w:val="bottom"/>
            <w:hideMark/>
          </w:tcPr>
          <w:p w:rsidR="00CA65E6" w:rsidRDefault="00CB294D">
            <w:pPr>
              <w:spacing w:after="0"/>
              <w:jc w:val="center"/>
              <w:rPr>
                <w:noProof/>
                <w:sz w:val="20"/>
              </w:rPr>
            </w:pPr>
            <w:r>
              <w:rPr>
                <w:noProof/>
                <w:sz w:val="20"/>
              </w:rPr>
              <w:t>97 %</w:t>
            </w:r>
          </w:p>
        </w:tc>
        <w:tc>
          <w:tcPr>
            <w:tcW w:w="936" w:type="dxa"/>
            <w:noWrap/>
            <w:vAlign w:val="bottom"/>
            <w:hideMark/>
          </w:tcPr>
          <w:p w:rsidR="00CA65E6" w:rsidRDefault="00CB294D">
            <w:pPr>
              <w:spacing w:after="0"/>
              <w:jc w:val="center"/>
              <w:rPr>
                <w:noProof/>
                <w:sz w:val="20"/>
              </w:rPr>
            </w:pPr>
            <w:r>
              <w:rPr>
                <w:noProof/>
                <w:sz w:val="20"/>
              </w:rPr>
              <w:t>95 %</w:t>
            </w:r>
          </w:p>
        </w:tc>
      </w:tr>
      <w:tr w:rsidR="00CA65E6">
        <w:trPr>
          <w:trHeight w:val="255"/>
          <w:jc w:val="center"/>
        </w:trPr>
        <w:tc>
          <w:tcPr>
            <w:tcW w:w="4480" w:type="dxa"/>
            <w:noWrap/>
            <w:vAlign w:val="bottom"/>
            <w:hideMark/>
          </w:tcPr>
          <w:p w:rsidR="00CA65E6" w:rsidRDefault="00CB294D">
            <w:pPr>
              <w:spacing w:after="0"/>
              <w:jc w:val="left"/>
              <w:rPr>
                <w:noProof/>
                <w:sz w:val="20"/>
              </w:rPr>
            </w:pPr>
            <w:r>
              <w:rPr>
                <w:noProof/>
                <w:sz w:val="20"/>
              </w:rPr>
              <w:t>Nicaragua</w:t>
            </w:r>
          </w:p>
        </w:tc>
        <w:tc>
          <w:tcPr>
            <w:tcW w:w="935" w:type="dxa"/>
            <w:noWrap/>
            <w:vAlign w:val="bottom"/>
            <w:hideMark/>
          </w:tcPr>
          <w:p w:rsidR="00CA65E6" w:rsidRDefault="00CB294D">
            <w:pPr>
              <w:spacing w:after="0"/>
              <w:jc w:val="center"/>
              <w:rPr>
                <w:noProof/>
                <w:sz w:val="20"/>
              </w:rPr>
            </w:pPr>
            <w:r>
              <w:rPr>
                <w:noProof/>
                <w:sz w:val="20"/>
              </w:rPr>
              <w:t>90 %</w:t>
            </w:r>
          </w:p>
        </w:tc>
        <w:tc>
          <w:tcPr>
            <w:tcW w:w="936" w:type="dxa"/>
            <w:noWrap/>
            <w:vAlign w:val="bottom"/>
            <w:hideMark/>
          </w:tcPr>
          <w:p w:rsidR="00CA65E6" w:rsidRDefault="00CB294D">
            <w:pPr>
              <w:spacing w:after="0"/>
              <w:jc w:val="center"/>
              <w:rPr>
                <w:noProof/>
                <w:sz w:val="20"/>
              </w:rPr>
            </w:pPr>
            <w:r>
              <w:rPr>
                <w:noProof/>
                <w:sz w:val="20"/>
              </w:rPr>
              <w:t>96 %</w:t>
            </w:r>
          </w:p>
        </w:tc>
        <w:tc>
          <w:tcPr>
            <w:tcW w:w="936" w:type="dxa"/>
            <w:noWrap/>
            <w:vAlign w:val="bottom"/>
            <w:hideMark/>
          </w:tcPr>
          <w:p w:rsidR="00CA65E6" w:rsidRDefault="00CB294D">
            <w:pPr>
              <w:spacing w:after="0"/>
              <w:jc w:val="center"/>
              <w:rPr>
                <w:noProof/>
                <w:sz w:val="20"/>
              </w:rPr>
            </w:pPr>
            <w:r>
              <w:rPr>
                <w:noProof/>
                <w:sz w:val="20"/>
              </w:rPr>
              <w:t>94 %</w:t>
            </w:r>
          </w:p>
        </w:tc>
        <w:tc>
          <w:tcPr>
            <w:tcW w:w="936" w:type="dxa"/>
            <w:noWrap/>
            <w:vAlign w:val="bottom"/>
            <w:hideMark/>
          </w:tcPr>
          <w:p w:rsidR="00CA65E6" w:rsidRDefault="00CB294D">
            <w:pPr>
              <w:spacing w:after="0"/>
              <w:jc w:val="center"/>
              <w:rPr>
                <w:noProof/>
                <w:sz w:val="20"/>
              </w:rPr>
            </w:pPr>
            <w:r>
              <w:rPr>
                <w:noProof/>
                <w:sz w:val="20"/>
              </w:rPr>
              <w:t>94 %</w:t>
            </w:r>
          </w:p>
        </w:tc>
      </w:tr>
      <w:tr w:rsidR="00CA65E6">
        <w:trPr>
          <w:trHeight w:val="255"/>
          <w:jc w:val="center"/>
        </w:trPr>
        <w:tc>
          <w:tcPr>
            <w:tcW w:w="4480" w:type="dxa"/>
            <w:noWrap/>
            <w:vAlign w:val="bottom"/>
            <w:hideMark/>
          </w:tcPr>
          <w:p w:rsidR="00CA65E6" w:rsidRDefault="00CB294D">
            <w:pPr>
              <w:spacing w:after="0"/>
              <w:jc w:val="left"/>
              <w:rPr>
                <w:noProof/>
                <w:sz w:val="20"/>
              </w:rPr>
            </w:pPr>
            <w:r>
              <w:rPr>
                <w:noProof/>
                <w:sz w:val="20"/>
              </w:rPr>
              <w:t>Norge</w:t>
            </w:r>
          </w:p>
        </w:tc>
        <w:tc>
          <w:tcPr>
            <w:tcW w:w="935" w:type="dxa"/>
            <w:noWrap/>
            <w:vAlign w:val="bottom"/>
            <w:hideMark/>
          </w:tcPr>
          <w:p w:rsidR="00CA65E6" w:rsidRDefault="00CB294D">
            <w:pPr>
              <w:spacing w:after="0"/>
              <w:jc w:val="center"/>
              <w:rPr>
                <w:noProof/>
                <w:sz w:val="20"/>
              </w:rPr>
            </w:pPr>
            <w:r>
              <w:rPr>
                <w:noProof/>
                <w:sz w:val="20"/>
              </w:rPr>
              <w:t>74 %</w:t>
            </w:r>
          </w:p>
        </w:tc>
        <w:tc>
          <w:tcPr>
            <w:tcW w:w="936" w:type="dxa"/>
            <w:noWrap/>
            <w:vAlign w:val="bottom"/>
            <w:hideMark/>
          </w:tcPr>
          <w:p w:rsidR="00CA65E6" w:rsidRDefault="00CB294D">
            <w:pPr>
              <w:spacing w:after="0"/>
              <w:jc w:val="center"/>
              <w:rPr>
                <w:noProof/>
                <w:sz w:val="20"/>
              </w:rPr>
            </w:pPr>
            <w:r>
              <w:rPr>
                <w:noProof/>
                <w:sz w:val="20"/>
              </w:rPr>
              <w:t>72 %</w:t>
            </w:r>
          </w:p>
        </w:tc>
        <w:tc>
          <w:tcPr>
            <w:tcW w:w="936" w:type="dxa"/>
            <w:noWrap/>
            <w:vAlign w:val="bottom"/>
            <w:hideMark/>
          </w:tcPr>
          <w:p w:rsidR="00CA65E6" w:rsidRDefault="00CB294D">
            <w:pPr>
              <w:spacing w:after="0"/>
              <w:jc w:val="center"/>
              <w:rPr>
                <w:noProof/>
                <w:sz w:val="20"/>
              </w:rPr>
            </w:pPr>
            <w:r>
              <w:rPr>
                <w:noProof/>
                <w:sz w:val="20"/>
              </w:rPr>
              <w:t>71 %</w:t>
            </w:r>
          </w:p>
        </w:tc>
        <w:tc>
          <w:tcPr>
            <w:tcW w:w="936" w:type="dxa"/>
            <w:noWrap/>
            <w:vAlign w:val="bottom"/>
            <w:hideMark/>
          </w:tcPr>
          <w:p w:rsidR="00CA65E6" w:rsidRDefault="00CB294D">
            <w:pPr>
              <w:spacing w:after="0"/>
              <w:jc w:val="center"/>
              <w:rPr>
                <w:noProof/>
                <w:sz w:val="20"/>
              </w:rPr>
            </w:pPr>
            <w:r>
              <w:rPr>
                <w:noProof/>
                <w:sz w:val="20"/>
              </w:rPr>
              <w:t>66 %</w:t>
            </w:r>
          </w:p>
        </w:tc>
      </w:tr>
      <w:tr w:rsidR="00CA65E6">
        <w:trPr>
          <w:trHeight w:val="255"/>
          <w:jc w:val="center"/>
        </w:trPr>
        <w:tc>
          <w:tcPr>
            <w:tcW w:w="4480" w:type="dxa"/>
            <w:noWrap/>
            <w:vAlign w:val="bottom"/>
            <w:hideMark/>
          </w:tcPr>
          <w:p w:rsidR="00CA65E6" w:rsidRDefault="00CB294D">
            <w:pPr>
              <w:spacing w:after="0"/>
              <w:jc w:val="left"/>
              <w:rPr>
                <w:noProof/>
                <w:sz w:val="20"/>
              </w:rPr>
            </w:pPr>
            <w:r>
              <w:rPr>
                <w:noProof/>
                <w:sz w:val="20"/>
              </w:rPr>
              <w:t xml:space="preserve">Det ockuperade palestinska territoriet </w:t>
            </w:r>
          </w:p>
        </w:tc>
        <w:tc>
          <w:tcPr>
            <w:tcW w:w="935" w:type="dxa"/>
            <w:noWrap/>
            <w:vAlign w:val="bottom"/>
            <w:hideMark/>
          </w:tcPr>
          <w:p w:rsidR="00CA65E6" w:rsidRDefault="00CB294D">
            <w:pPr>
              <w:spacing w:after="0"/>
              <w:jc w:val="center"/>
              <w:rPr>
                <w:noProof/>
                <w:sz w:val="20"/>
              </w:rPr>
            </w:pPr>
            <w:r>
              <w:rPr>
                <w:noProof/>
                <w:sz w:val="20"/>
              </w:rPr>
              <w:t>71 %</w:t>
            </w:r>
          </w:p>
        </w:tc>
        <w:tc>
          <w:tcPr>
            <w:tcW w:w="936" w:type="dxa"/>
            <w:noWrap/>
            <w:vAlign w:val="bottom"/>
            <w:hideMark/>
          </w:tcPr>
          <w:p w:rsidR="00CA65E6" w:rsidRDefault="00CB294D">
            <w:pPr>
              <w:spacing w:after="0"/>
              <w:jc w:val="center"/>
              <w:rPr>
                <w:noProof/>
                <w:sz w:val="20"/>
              </w:rPr>
            </w:pPr>
            <w:r>
              <w:rPr>
                <w:noProof/>
                <w:sz w:val="20"/>
              </w:rPr>
              <w:t>78 %</w:t>
            </w:r>
          </w:p>
        </w:tc>
        <w:tc>
          <w:tcPr>
            <w:tcW w:w="936" w:type="dxa"/>
            <w:noWrap/>
            <w:vAlign w:val="bottom"/>
            <w:hideMark/>
          </w:tcPr>
          <w:p w:rsidR="00CA65E6" w:rsidRDefault="00CB294D">
            <w:pPr>
              <w:spacing w:after="0"/>
              <w:jc w:val="center"/>
              <w:rPr>
                <w:noProof/>
                <w:sz w:val="20"/>
              </w:rPr>
            </w:pPr>
            <w:r>
              <w:rPr>
                <w:noProof/>
                <w:sz w:val="20"/>
              </w:rPr>
              <w:t>78 %</w:t>
            </w:r>
          </w:p>
        </w:tc>
        <w:tc>
          <w:tcPr>
            <w:tcW w:w="936" w:type="dxa"/>
            <w:noWrap/>
            <w:vAlign w:val="bottom"/>
            <w:hideMark/>
          </w:tcPr>
          <w:p w:rsidR="00CA65E6" w:rsidRDefault="00CB294D">
            <w:pPr>
              <w:spacing w:after="0"/>
              <w:jc w:val="center"/>
              <w:rPr>
                <w:noProof/>
                <w:sz w:val="20"/>
              </w:rPr>
            </w:pPr>
            <w:r>
              <w:rPr>
                <w:noProof/>
                <w:sz w:val="20"/>
              </w:rPr>
              <w:t>81 %</w:t>
            </w:r>
          </w:p>
        </w:tc>
      </w:tr>
      <w:tr w:rsidR="00CA65E6">
        <w:trPr>
          <w:trHeight w:val="255"/>
          <w:jc w:val="center"/>
        </w:trPr>
        <w:tc>
          <w:tcPr>
            <w:tcW w:w="4480" w:type="dxa"/>
            <w:noWrap/>
            <w:vAlign w:val="bottom"/>
            <w:hideMark/>
          </w:tcPr>
          <w:p w:rsidR="00CA65E6" w:rsidRDefault="00CB294D">
            <w:pPr>
              <w:spacing w:after="0"/>
              <w:jc w:val="left"/>
              <w:rPr>
                <w:noProof/>
                <w:sz w:val="20"/>
              </w:rPr>
            </w:pPr>
            <w:r>
              <w:rPr>
                <w:noProof/>
                <w:sz w:val="20"/>
              </w:rPr>
              <w:t>Panama</w:t>
            </w:r>
          </w:p>
        </w:tc>
        <w:tc>
          <w:tcPr>
            <w:tcW w:w="935" w:type="dxa"/>
            <w:noWrap/>
            <w:vAlign w:val="bottom"/>
            <w:hideMark/>
          </w:tcPr>
          <w:p w:rsidR="00CA65E6" w:rsidRDefault="00CB294D">
            <w:pPr>
              <w:spacing w:after="0"/>
              <w:jc w:val="center"/>
              <w:rPr>
                <w:noProof/>
                <w:sz w:val="20"/>
              </w:rPr>
            </w:pPr>
            <w:r>
              <w:rPr>
                <w:noProof/>
                <w:sz w:val="20"/>
              </w:rPr>
              <w:t>70 %</w:t>
            </w:r>
          </w:p>
        </w:tc>
        <w:tc>
          <w:tcPr>
            <w:tcW w:w="936" w:type="dxa"/>
            <w:noWrap/>
            <w:vAlign w:val="bottom"/>
            <w:hideMark/>
          </w:tcPr>
          <w:p w:rsidR="00CA65E6" w:rsidRDefault="00CB294D">
            <w:pPr>
              <w:spacing w:after="0"/>
              <w:jc w:val="center"/>
              <w:rPr>
                <w:noProof/>
                <w:sz w:val="20"/>
              </w:rPr>
            </w:pPr>
            <w:r>
              <w:rPr>
                <w:noProof/>
                <w:sz w:val="20"/>
              </w:rPr>
              <w:t>81 %</w:t>
            </w:r>
          </w:p>
        </w:tc>
        <w:tc>
          <w:tcPr>
            <w:tcW w:w="936" w:type="dxa"/>
            <w:noWrap/>
            <w:vAlign w:val="bottom"/>
            <w:hideMark/>
          </w:tcPr>
          <w:p w:rsidR="00CA65E6" w:rsidRDefault="00CB294D">
            <w:pPr>
              <w:spacing w:after="0"/>
              <w:jc w:val="center"/>
              <w:rPr>
                <w:noProof/>
                <w:sz w:val="20"/>
              </w:rPr>
            </w:pPr>
            <w:r>
              <w:rPr>
                <w:noProof/>
                <w:sz w:val="20"/>
              </w:rPr>
              <w:t>70 %</w:t>
            </w:r>
          </w:p>
        </w:tc>
        <w:tc>
          <w:tcPr>
            <w:tcW w:w="936" w:type="dxa"/>
            <w:noWrap/>
            <w:vAlign w:val="bottom"/>
            <w:hideMark/>
          </w:tcPr>
          <w:p w:rsidR="00CA65E6" w:rsidRDefault="00CB294D">
            <w:pPr>
              <w:spacing w:after="0"/>
              <w:jc w:val="center"/>
              <w:rPr>
                <w:noProof/>
                <w:sz w:val="20"/>
              </w:rPr>
            </w:pPr>
            <w:r>
              <w:rPr>
                <w:noProof/>
                <w:sz w:val="20"/>
              </w:rPr>
              <w:t>61 %</w:t>
            </w:r>
          </w:p>
        </w:tc>
      </w:tr>
      <w:tr w:rsidR="00CA65E6">
        <w:trPr>
          <w:trHeight w:val="255"/>
          <w:jc w:val="center"/>
        </w:trPr>
        <w:tc>
          <w:tcPr>
            <w:tcW w:w="4480" w:type="dxa"/>
            <w:noWrap/>
            <w:vAlign w:val="bottom"/>
            <w:hideMark/>
          </w:tcPr>
          <w:p w:rsidR="00CA65E6" w:rsidRDefault="00CB294D">
            <w:pPr>
              <w:spacing w:after="0"/>
              <w:jc w:val="left"/>
              <w:rPr>
                <w:noProof/>
                <w:sz w:val="20"/>
              </w:rPr>
            </w:pPr>
            <w:r>
              <w:rPr>
                <w:noProof/>
                <w:sz w:val="20"/>
              </w:rPr>
              <w:t>Peru</w:t>
            </w:r>
          </w:p>
        </w:tc>
        <w:tc>
          <w:tcPr>
            <w:tcW w:w="935" w:type="dxa"/>
            <w:noWrap/>
            <w:vAlign w:val="bottom"/>
            <w:hideMark/>
          </w:tcPr>
          <w:p w:rsidR="00CA65E6" w:rsidRDefault="00CB294D">
            <w:pPr>
              <w:spacing w:after="0"/>
              <w:jc w:val="center"/>
              <w:rPr>
                <w:noProof/>
                <w:sz w:val="20"/>
              </w:rPr>
            </w:pPr>
            <w:r>
              <w:rPr>
                <w:noProof/>
                <w:sz w:val="20"/>
              </w:rPr>
              <w:t>95 %</w:t>
            </w:r>
          </w:p>
        </w:tc>
        <w:tc>
          <w:tcPr>
            <w:tcW w:w="936" w:type="dxa"/>
            <w:noWrap/>
            <w:vAlign w:val="bottom"/>
            <w:hideMark/>
          </w:tcPr>
          <w:p w:rsidR="00CA65E6" w:rsidRDefault="00CB294D">
            <w:pPr>
              <w:spacing w:after="0"/>
              <w:jc w:val="center"/>
              <w:rPr>
                <w:noProof/>
                <w:sz w:val="20"/>
              </w:rPr>
            </w:pPr>
            <w:r>
              <w:rPr>
                <w:noProof/>
                <w:sz w:val="20"/>
              </w:rPr>
              <w:t>97 %</w:t>
            </w:r>
          </w:p>
        </w:tc>
        <w:tc>
          <w:tcPr>
            <w:tcW w:w="936" w:type="dxa"/>
            <w:noWrap/>
            <w:vAlign w:val="bottom"/>
            <w:hideMark/>
          </w:tcPr>
          <w:p w:rsidR="00CA65E6" w:rsidRDefault="00CB294D">
            <w:pPr>
              <w:spacing w:after="0"/>
              <w:jc w:val="center"/>
              <w:rPr>
                <w:noProof/>
                <w:sz w:val="20"/>
              </w:rPr>
            </w:pPr>
            <w:r>
              <w:rPr>
                <w:noProof/>
                <w:sz w:val="20"/>
              </w:rPr>
              <w:t>98 %</w:t>
            </w:r>
          </w:p>
        </w:tc>
        <w:tc>
          <w:tcPr>
            <w:tcW w:w="936" w:type="dxa"/>
            <w:noWrap/>
            <w:vAlign w:val="bottom"/>
            <w:hideMark/>
          </w:tcPr>
          <w:p w:rsidR="00CA65E6" w:rsidRDefault="00CB294D">
            <w:pPr>
              <w:spacing w:after="0"/>
              <w:jc w:val="center"/>
              <w:rPr>
                <w:noProof/>
                <w:sz w:val="20"/>
              </w:rPr>
            </w:pPr>
            <w:r>
              <w:rPr>
                <w:noProof/>
                <w:sz w:val="20"/>
              </w:rPr>
              <w:t>97 %</w:t>
            </w:r>
          </w:p>
        </w:tc>
      </w:tr>
      <w:tr w:rsidR="00CA65E6">
        <w:trPr>
          <w:trHeight w:val="255"/>
          <w:jc w:val="center"/>
        </w:trPr>
        <w:tc>
          <w:tcPr>
            <w:tcW w:w="4480" w:type="dxa"/>
            <w:noWrap/>
            <w:vAlign w:val="bottom"/>
            <w:hideMark/>
          </w:tcPr>
          <w:p w:rsidR="00CA65E6" w:rsidRDefault="00CB294D">
            <w:pPr>
              <w:spacing w:after="0"/>
              <w:jc w:val="left"/>
              <w:rPr>
                <w:noProof/>
                <w:sz w:val="20"/>
              </w:rPr>
            </w:pPr>
            <w:r>
              <w:rPr>
                <w:noProof/>
                <w:sz w:val="20"/>
              </w:rPr>
              <w:t>Serbien</w:t>
            </w:r>
          </w:p>
        </w:tc>
        <w:tc>
          <w:tcPr>
            <w:tcW w:w="935" w:type="dxa"/>
            <w:noWrap/>
            <w:vAlign w:val="bottom"/>
            <w:hideMark/>
          </w:tcPr>
          <w:p w:rsidR="00CA65E6" w:rsidRDefault="00CB294D">
            <w:pPr>
              <w:spacing w:after="0"/>
              <w:jc w:val="center"/>
              <w:rPr>
                <w:noProof/>
                <w:sz w:val="20"/>
              </w:rPr>
            </w:pPr>
            <w:r>
              <w:rPr>
                <w:noProof/>
                <w:sz w:val="20"/>
              </w:rPr>
              <w:t>92 %</w:t>
            </w:r>
          </w:p>
        </w:tc>
        <w:tc>
          <w:tcPr>
            <w:tcW w:w="936" w:type="dxa"/>
            <w:noWrap/>
            <w:vAlign w:val="bottom"/>
            <w:hideMark/>
          </w:tcPr>
          <w:p w:rsidR="00CA65E6" w:rsidRDefault="00CB294D">
            <w:pPr>
              <w:spacing w:after="0"/>
              <w:jc w:val="center"/>
              <w:rPr>
                <w:noProof/>
                <w:sz w:val="20"/>
              </w:rPr>
            </w:pPr>
            <w:r>
              <w:rPr>
                <w:noProof/>
                <w:sz w:val="20"/>
              </w:rPr>
              <w:t>94 %</w:t>
            </w:r>
          </w:p>
        </w:tc>
        <w:tc>
          <w:tcPr>
            <w:tcW w:w="936" w:type="dxa"/>
            <w:noWrap/>
            <w:vAlign w:val="bottom"/>
            <w:hideMark/>
          </w:tcPr>
          <w:p w:rsidR="00CA65E6" w:rsidRDefault="00CB294D">
            <w:pPr>
              <w:spacing w:after="0"/>
              <w:jc w:val="center"/>
              <w:rPr>
                <w:noProof/>
                <w:sz w:val="20"/>
              </w:rPr>
            </w:pPr>
            <w:r>
              <w:rPr>
                <w:noProof/>
                <w:sz w:val="20"/>
              </w:rPr>
              <w:t>93 %</w:t>
            </w:r>
          </w:p>
        </w:tc>
        <w:tc>
          <w:tcPr>
            <w:tcW w:w="936" w:type="dxa"/>
            <w:noWrap/>
            <w:vAlign w:val="bottom"/>
            <w:hideMark/>
          </w:tcPr>
          <w:p w:rsidR="00CA65E6" w:rsidRDefault="00CB294D">
            <w:pPr>
              <w:spacing w:after="0"/>
              <w:jc w:val="center"/>
              <w:rPr>
                <w:noProof/>
                <w:sz w:val="20"/>
              </w:rPr>
            </w:pPr>
            <w:r>
              <w:rPr>
                <w:noProof/>
                <w:sz w:val="20"/>
              </w:rPr>
              <w:t>90 %</w:t>
            </w:r>
          </w:p>
        </w:tc>
      </w:tr>
      <w:tr w:rsidR="00CA65E6">
        <w:trPr>
          <w:trHeight w:val="255"/>
          <w:jc w:val="center"/>
        </w:trPr>
        <w:tc>
          <w:tcPr>
            <w:tcW w:w="4480" w:type="dxa"/>
            <w:noWrap/>
            <w:vAlign w:val="bottom"/>
            <w:hideMark/>
          </w:tcPr>
          <w:p w:rsidR="00CA65E6" w:rsidRDefault="00CB294D">
            <w:pPr>
              <w:spacing w:after="0"/>
              <w:jc w:val="left"/>
              <w:rPr>
                <w:noProof/>
                <w:sz w:val="20"/>
              </w:rPr>
            </w:pPr>
            <w:r>
              <w:rPr>
                <w:noProof/>
                <w:sz w:val="20"/>
              </w:rPr>
              <w:t>Sydafrika</w:t>
            </w:r>
          </w:p>
        </w:tc>
        <w:tc>
          <w:tcPr>
            <w:tcW w:w="935" w:type="dxa"/>
            <w:noWrap/>
            <w:vAlign w:val="bottom"/>
            <w:hideMark/>
          </w:tcPr>
          <w:p w:rsidR="00CA65E6" w:rsidRDefault="00CB294D">
            <w:pPr>
              <w:spacing w:after="0"/>
              <w:jc w:val="center"/>
              <w:rPr>
                <w:noProof/>
                <w:sz w:val="20"/>
              </w:rPr>
            </w:pPr>
            <w:r>
              <w:rPr>
                <w:noProof/>
                <w:sz w:val="20"/>
              </w:rPr>
              <w:t>91 %</w:t>
            </w:r>
          </w:p>
        </w:tc>
        <w:tc>
          <w:tcPr>
            <w:tcW w:w="936" w:type="dxa"/>
            <w:noWrap/>
            <w:vAlign w:val="bottom"/>
            <w:hideMark/>
          </w:tcPr>
          <w:p w:rsidR="00CA65E6" w:rsidRDefault="00CB294D">
            <w:pPr>
              <w:spacing w:after="0"/>
              <w:jc w:val="center"/>
              <w:rPr>
                <w:noProof/>
                <w:sz w:val="20"/>
              </w:rPr>
            </w:pPr>
            <w:r>
              <w:rPr>
                <w:noProof/>
                <w:sz w:val="20"/>
              </w:rPr>
              <w:t>91 %</w:t>
            </w:r>
          </w:p>
        </w:tc>
        <w:tc>
          <w:tcPr>
            <w:tcW w:w="936" w:type="dxa"/>
            <w:noWrap/>
            <w:vAlign w:val="bottom"/>
            <w:hideMark/>
          </w:tcPr>
          <w:p w:rsidR="00CA65E6" w:rsidRDefault="00CB294D">
            <w:pPr>
              <w:spacing w:after="0"/>
              <w:jc w:val="center"/>
              <w:rPr>
                <w:noProof/>
                <w:sz w:val="20"/>
              </w:rPr>
            </w:pPr>
            <w:r>
              <w:rPr>
                <w:noProof/>
                <w:sz w:val="20"/>
              </w:rPr>
              <w:t>85 %</w:t>
            </w:r>
          </w:p>
        </w:tc>
        <w:tc>
          <w:tcPr>
            <w:tcW w:w="936" w:type="dxa"/>
            <w:noWrap/>
            <w:vAlign w:val="bottom"/>
            <w:hideMark/>
          </w:tcPr>
          <w:p w:rsidR="00CA65E6" w:rsidRDefault="00CB294D">
            <w:pPr>
              <w:spacing w:after="0"/>
              <w:jc w:val="center"/>
              <w:rPr>
                <w:noProof/>
                <w:sz w:val="20"/>
              </w:rPr>
            </w:pPr>
            <w:r>
              <w:rPr>
                <w:noProof/>
                <w:sz w:val="20"/>
              </w:rPr>
              <w:t>79 %</w:t>
            </w:r>
          </w:p>
        </w:tc>
      </w:tr>
      <w:tr w:rsidR="00CA65E6">
        <w:trPr>
          <w:trHeight w:val="255"/>
          <w:jc w:val="center"/>
        </w:trPr>
        <w:tc>
          <w:tcPr>
            <w:tcW w:w="4480" w:type="dxa"/>
            <w:noWrap/>
            <w:vAlign w:val="bottom"/>
            <w:hideMark/>
          </w:tcPr>
          <w:p w:rsidR="00CA65E6" w:rsidRDefault="00CB294D">
            <w:pPr>
              <w:spacing w:after="0"/>
              <w:jc w:val="left"/>
              <w:rPr>
                <w:noProof/>
                <w:sz w:val="20"/>
              </w:rPr>
            </w:pPr>
            <w:r>
              <w:rPr>
                <w:noProof/>
                <w:sz w:val="20"/>
              </w:rPr>
              <w:t>Sydkorea</w:t>
            </w:r>
          </w:p>
        </w:tc>
        <w:tc>
          <w:tcPr>
            <w:tcW w:w="935" w:type="dxa"/>
            <w:noWrap/>
            <w:vAlign w:val="bottom"/>
            <w:hideMark/>
          </w:tcPr>
          <w:p w:rsidR="00CA65E6" w:rsidRDefault="00CB294D">
            <w:pPr>
              <w:spacing w:after="0"/>
              <w:jc w:val="center"/>
              <w:rPr>
                <w:noProof/>
                <w:sz w:val="20"/>
              </w:rPr>
            </w:pPr>
            <w:r>
              <w:rPr>
                <w:noProof/>
                <w:sz w:val="20"/>
              </w:rPr>
              <w:t>82 %</w:t>
            </w:r>
          </w:p>
        </w:tc>
        <w:tc>
          <w:tcPr>
            <w:tcW w:w="936" w:type="dxa"/>
            <w:noWrap/>
            <w:vAlign w:val="bottom"/>
            <w:hideMark/>
          </w:tcPr>
          <w:p w:rsidR="00CA65E6" w:rsidRDefault="00CB294D">
            <w:pPr>
              <w:spacing w:after="0"/>
              <w:jc w:val="center"/>
              <w:rPr>
                <w:noProof/>
                <w:sz w:val="20"/>
              </w:rPr>
            </w:pPr>
            <w:r>
              <w:rPr>
                <w:noProof/>
                <w:sz w:val="20"/>
              </w:rPr>
              <w:t>84 %</w:t>
            </w:r>
          </w:p>
        </w:tc>
        <w:tc>
          <w:tcPr>
            <w:tcW w:w="936" w:type="dxa"/>
            <w:noWrap/>
            <w:vAlign w:val="bottom"/>
            <w:hideMark/>
          </w:tcPr>
          <w:p w:rsidR="00CA65E6" w:rsidRDefault="00CB294D">
            <w:pPr>
              <w:spacing w:after="0"/>
              <w:jc w:val="center"/>
              <w:rPr>
                <w:noProof/>
                <w:sz w:val="20"/>
              </w:rPr>
            </w:pPr>
            <w:r>
              <w:rPr>
                <w:noProof/>
                <w:sz w:val="20"/>
              </w:rPr>
              <w:t>85 %</w:t>
            </w:r>
          </w:p>
        </w:tc>
        <w:tc>
          <w:tcPr>
            <w:tcW w:w="936" w:type="dxa"/>
            <w:noWrap/>
            <w:vAlign w:val="bottom"/>
            <w:hideMark/>
          </w:tcPr>
          <w:p w:rsidR="00CA65E6" w:rsidRDefault="00CB294D">
            <w:pPr>
              <w:spacing w:after="0"/>
              <w:jc w:val="center"/>
              <w:rPr>
                <w:noProof/>
                <w:sz w:val="20"/>
              </w:rPr>
            </w:pPr>
            <w:r>
              <w:rPr>
                <w:noProof/>
                <w:sz w:val="20"/>
              </w:rPr>
              <w:t>87 %</w:t>
            </w:r>
          </w:p>
        </w:tc>
      </w:tr>
      <w:tr w:rsidR="00CA65E6">
        <w:trPr>
          <w:trHeight w:val="255"/>
          <w:jc w:val="center"/>
        </w:trPr>
        <w:tc>
          <w:tcPr>
            <w:tcW w:w="4480" w:type="dxa"/>
            <w:noWrap/>
            <w:vAlign w:val="bottom"/>
            <w:hideMark/>
          </w:tcPr>
          <w:p w:rsidR="00CA65E6" w:rsidRDefault="00CB294D">
            <w:pPr>
              <w:spacing w:after="0"/>
              <w:jc w:val="left"/>
              <w:rPr>
                <w:noProof/>
                <w:sz w:val="20"/>
              </w:rPr>
            </w:pPr>
            <w:r>
              <w:rPr>
                <w:noProof/>
                <w:sz w:val="20"/>
              </w:rPr>
              <w:t>Schweiz</w:t>
            </w:r>
          </w:p>
        </w:tc>
        <w:tc>
          <w:tcPr>
            <w:tcW w:w="935" w:type="dxa"/>
            <w:noWrap/>
            <w:vAlign w:val="bottom"/>
            <w:hideMark/>
          </w:tcPr>
          <w:p w:rsidR="00CA65E6" w:rsidRDefault="00CB294D">
            <w:pPr>
              <w:spacing w:after="0"/>
              <w:jc w:val="center"/>
              <w:rPr>
                <w:noProof/>
                <w:sz w:val="20"/>
              </w:rPr>
            </w:pPr>
            <w:r>
              <w:rPr>
                <w:noProof/>
                <w:sz w:val="20"/>
              </w:rPr>
              <w:t>92 %</w:t>
            </w:r>
          </w:p>
        </w:tc>
        <w:tc>
          <w:tcPr>
            <w:tcW w:w="936" w:type="dxa"/>
            <w:noWrap/>
            <w:vAlign w:val="bottom"/>
            <w:hideMark/>
          </w:tcPr>
          <w:p w:rsidR="00CA65E6" w:rsidRDefault="00CB294D">
            <w:pPr>
              <w:spacing w:after="0"/>
              <w:jc w:val="center"/>
              <w:rPr>
                <w:noProof/>
                <w:sz w:val="20"/>
              </w:rPr>
            </w:pPr>
            <w:r>
              <w:rPr>
                <w:noProof/>
                <w:sz w:val="20"/>
              </w:rPr>
              <w:t>91 %</w:t>
            </w:r>
          </w:p>
        </w:tc>
        <w:tc>
          <w:tcPr>
            <w:tcW w:w="936" w:type="dxa"/>
            <w:noWrap/>
            <w:vAlign w:val="bottom"/>
            <w:hideMark/>
          </w:tcPr>
          <w:p w:rsidR="00CA65E6" w:rsidRDefault="00CB294D">
            <w:pPr>
              <w:spacing w:after="0"/>
              <w:jc w:val="center"/>
              <w:rPr>
                <w:noProof/>
                <w:sz w:val="20"/>
              </w:rPr>
            </w:pPr>
            <w:r>
              <w:rPr>
                <w:noProof/>
                <w:sz w:val="20"/>
              </w:rPr>
              <w:t>86 %</w:t>
            </w:r>
          </w:p>
        </w:tc>
        <w:tc>
          <w:tcPr>
            <w:tcW w:w="936" w:type="dxa"/>
            <w:noWrap/>
            <w:vAlign w:val="bottom"/>
            <w:hideMark/>
          </w:tcPr>
          <w:p w:rsidR="00CA65E6" w:rsidRDefault="00CB294D">
            <w:pPr>
              <w:spacing w:after="0"/>
              <w:jc w:val="center"/>
              <w:rPr>
                <w:noProof/>
                <w:sz w:val="20"/>
              </w:rPr>
            </w:pPr>
            <w:r>
              <w:rPr>
                <w:noProof/>
                <w:sz w:val="20"/>
              </w:rPr>
              <w:t>83 %</w:t>
            </w:r>
          </w:p>
        </w:tc>
      </w:tr>
      <w:tr w:rsidR="00CA65E6">
        <w:trPr>
          <w:trHeight w:val="255"/>
          <w:jc w:val="center"/>
        </w:trPr>
        <w:tc>
          <w:tcPr>
            <w:tcW w:w="4480" w:type="dxa"/>
            <w:noWrap/>
            <w:vAlign w:val="bottom"/>
            <w:hideMark/>
          </w:tcPr>
          <w:p w:rsidR="00CA65E6" w:rsidRDefault="00CB294D">
            <w:pPr>
              <w:spacing w:after="0"/>
              <w:jc w:val="left"/>
              <w:rPr>
                <w:noProof/>
                <w:sz w:val="20"/>
              </w:rPr>
            </w:pPr>
            <w:r>
              <w:rPr>
                <w:noProof/>
                <w:sz w:val="20"/>
              </w:rPr>
              <w:t>Tunisien</w:t>
            </w:r>
          </w:p>
        </w:tc>
        <w:tc>
          <w:tcPr>
            <w:tcW w:w="935" w:type="dxa"/>
            <w:noWrap/>
            <w:vAlign w:val="bottom"/>
            <w:hideMark/>
          </w:tcPr>
          <w:p w:rsidR="00CA65E6" w:rsidRDefault="00CB294D">
            <w:pPr>
              <w:spacing w:after="0"/>
              <w:jc w:val="center"/>
              <w:rPr>
                <w:noProof/>
                <w:sz w:val="20"/>
              </w:rPr>
            </w:pPr>
            <w:r>
              <w:rPr>
                <w:noProof/>
                <w:sz w:val="20"/>
              </w:rPr>
              <w:t>95 %</w:t>
            </w:r>
          </w:p>
        </w:tc>
        <w:tc>
          <w:tcPr>
            <w:tcW w:w="936" w:type="dxa"/>
            <w:noWrap/>
            <w:vAlign w:val="bottom"/>
            <w:hideMark/>
          </w:tcPr>
          <w:p w:rsidR="00CA65E6" w:rsidRDefault="00CB294D">
            <w:pPr>
              <w:spacing w:after="0"/>
              <w:jc w:val="center"/>
              <w:rPr>
                <w:noProof/>
                <w:sz w:val="20"/>
              </w:rPr>
            </w:pPr>
            <w:r>
              <w:rPr>
                <w:noProof/>
                <w:sz w:val="20"/>
              </w:rPr>
              <w:t>95 %</w:t>
            </w:r>
          </w:p>
        </w:tc>
        <w:tc>
          <w:tcPr>
            <w:tcW w:w="936" w:type="dxa"/>
            <w:noWrap/>
            <w:vAlign w:val="bottom"/>
            <w:hideMark/>
          </w:tcPr>
          <w:p w:rsidR="00CA65E6" w:rsidRDefault="00CB294D">
            <w:pPr>
              <w:spacing w:after="0"/>
              <w:jc w:val="center"/>
              <w:rPr>
                <w:noProof/>
                <w:sz w:val="20"/>
              </w:rPr>
            </w:pPr>
            <w:r>
              <w:rPr>
                <w:noProof/>
                <w:sz w:val="20"/>
              </w:rPr>
              <w:t>95 %</w:t>
            </w:r>
          </w:p>
        </w:tc>
        <w:tc>
          <w:tcPr>
            <w:tcW w:w="936" w:type="dxa"/>
            <w:noWrap/>
            <w:vAlign w:val="bottom"/>
            <w:hideMark/>
          </w:tcPr>
          <w:p w:rsidR="00CA65E6" w:rsidRDefault="00CB294D">
            <w:pPr>
              <w:spacing w:after="0"/>
              <w:jc w:val="center"/>
              <w:rPr>
                <w:noProof/>
                <w:sz w:val="20"/>
              </w:rPr>
            </w:pPr>
            <w:r>
              <w:rPr>
                <w:noProof/>
                <w:sz w:val="20"/>
              </w:rPr>
              <w:t>96 %</w:t>
            </w:r>
          </w:p>
        </w:tc>
      </w:tr>
      <w:tr w:rsidR="00CA65E6">
        <w:trPr>
          <w:trHeight w:val="255"/>
          <w:jc w:val="center"/>
        </w:trPr>
        <w:tc>
          <w:tcPr>
            <w:tcW w:w="4480" w:type="dxa"/>
            <w:noWrap/>
            <w:vAlign w:val="bottom"/>
            <w:hideMark/>
          </w:tcPr>
          <w:p w:rsidR="00CA65E6" w:rsidRDefault="00CB294D">
            <w:pPr>
              <w:spacing w:after="0"/>
              <w:jc w:val="left"/>
              <w:rPr>
                <w:noProof/>
                <w:sz w:val="20"/>
              </w:rPr>
            </w:pPr>
            <w:r>
              <w:rPr>
                <w:noProof/>
                <w:sz w:val="20"/>
              </w:rPr>
              <w:t>Turkiet</w:t>
            </w:r>
          </w:p>
        </w:tc>
        <w:tc>
          <w:tcPr>
            <w:tcW w:w="935" w:type="dxa"/>
            <w:noWrap/>
            <w:vAlign w:val="bottom"/>
            <w:hideMark/>
          </w:tcPr>
          <w:p w:rsidR="00CA65E6" w:rsidRDefault="00CB294D">
            <w:pPr>
              <w:spacing w:after="0"/>
              <w:jc w:val="center"/>
              <w:rPr>
                <w:noProof/>
                <w:sz w:val="20"/>
              </w:rPr>
            </w:pPr>
            <w:r>
              <w:rPr>
                <w:noProof/>
                <w:sz w:val="20"/>
              </w:rPr>
              <w:t>92 %</w:t>
            </w:r>
          </w:p>
        </w:tc>
        <w:tc>
          <w:tcPr>
            <w:tcW w:w="936" w:type="dxa"/>
            <w:noWrap/>
            <w:vAlign w:val="bottom"/>
            <w:hideMark/>
          </w:tcPr>
          <w:p w:rsidR="00CA65E6" w:rsidRDefault="00CB294D">
            <w:pPr>
              <w:spacing w:after="0"/>
              <w:jc w:val="center"/>
              <w:rPr>
                <w:noProof/>
                <w:sz w:val="20"/>
              </w:rPr>
            </w:pPr>
            <w:r>
              <w:rPr>
                <w:noProof/>
                <w:sz w:val="20"/>
              </w:rPr>
              <w:t>93 %</w:t>
            </w:r>
          </w:p>
        </w:tc>
        <w:tc>
          <w:tcPr>
            <w:tcW w:w="936" w:type="dxa"/>
            <w:noWrap/>
            <w:vAlign w:val="bottom"/>
            <w:hideMark/>
          </w:tcPr>
          <w:p w:rsidR="00CA65E6" w:rsidRDefault="00CB294D">
            <w:pPr>
              <w:spacing w:after="0"/>
              <w:jc w:val="center"/>
              <w:rPr>
                <w:noProof/>
                <w:sz w:val="20"/>
              </w:rPr>
            </w:pPr>
            <w:r>
              <w:rPr>
                <w:noProof/>
                <w:sz w:val="20"/>
              </w:rPr>
              <w:t>93 %</w:t>
            </w:r>
          </w:p>
        </w:tc>
        <w:tc>
          <w:tcPr>
            <w:tcW w:w="936" w:type="dxa"/>
            <w:noWrap/>
            <w:vAlign w:val="bottom"/>
            <w:hideMark/>
          </w:tcPr>
          <w:p w:rsidR="00CA65E6" w:rsidRDefault="00CB294D">
            <w:pPr>
              <w:spacing w:after="0"/>
              <w:jc w:val="center"/>
              <w:rPr>
                <w:noProof/>
                <w:sz w:val="20"/>
              </w:rPr>
            </w:pPr>
            <w:r>
              <w:rPr>
                <w:noProof/>
                <w:sz w:val="20"/>
              </w:rPr>
              <w:t>93 %</w:t>
            </w:r>
          </w:p>
        </w:tc>
      </w:tr>
      <w:tr w:rsidR="00CA65E6">
        <w:trPr>
          <w:trHeight w:val="255"/>
          <w:jc w:val="center"/>
        </w:trPr>
        <w:tc>
          <w:tcPr>
            <w:tcW w:w="4480" w:type="dxa"/>
            <w:noWrap/>
            <w:vAlign w:val="bottom"/>
            <w:hideMark/>
          </w:tcPr>
          <w:p w:rsidR="00CA65E6" w:rsidRDefault="00CB294D">
            <w:pPr>
              <w:spacing w:after="0"/>
              <w:jc w:val="left"/>
              <w:rPr>
                <w:noProof/>
                <w:sz w:val="20"/>
              </w:rPr>
            </w:pPr>
            <w:r>
              <w:rPr>
                <w:noProof/>
                <w:sz w:val="20"/>
              </w:rPr>
              <w:t>Ukraina</w:t>
            </w:r>
          </w:p>
        </w:tc>
        <w:tc>
          <w:tcPr>
            <w:tcW w:w="935" w:type="dxa"/>
            <w:noWrap/>
            <w:vAlign w:val="bottom"/>
            <w:hideMark/>
          </w:tcPr>
          <w:p w:rsidR="00CA65E6" w:rsidRDefault="00CB294D">
            <w:pPr>
              <w:spacing w:after="0"/>
              <w:jc w:val="center"/>
              <w:rPr>
                <w:noProof/>
                <w:sz w:val="20"/>
              </w:rPr>
            </w:pPr>
            <w:r>
              <w:rPr>
                <w:noProof/>
                <w:sz w:val="20"/>
              </w:rPr>
              <w:t>89 %</w:t>
            </w:r>
          </w:p>
        </w:tc>
        <w:tc>
          <w:tcPr>
            <w:tcW w:w="936" w:type="dxa"/>
            <w:noWrap/>
            <w:vAlign w:val="bottom"/>
            <w:hideMark/>
          </w:tcPr>
          <w:p w:rsidR="00CA65E6" w:rsidRDefault="00CB294D">
            <w:pPr>
              <w:spacing w:after="0"/>
              <w:jc w:val="center"/>
              <w:rPr>
                <w:noProof/>
                <w:sz w:val="20"/>
              </w:rPr>
            </w:pPr>
            <w:r>
              <w:rPr>
                <w:noProof/>
                <w:sz w:val="20"/>
              </w:rPr>
              <w:t>86 %</w:t>
            </w:r>
          </w:p>
        </w:tc>
        <w:tc>
          <w:tcPr>
            <w:tcW w:w="936" w:type="dxa"/>
            <w:noWrap/>
            <w:vAlign w:val="bottom"/>
            <w:hideMark/>
          </w:tcPr>
          <w:p w:rsidR="00CA65E6" w:rsidRDefault="00CB294D">
            <w:pPr>
              <w:spacing w:after="0"/>
              <w:jc w:val="center"/>
              <w:rPr>
                <w:noProof/>
                <w:sz w:val="20"/>
              </w:rPr>
            </w:pPr>
            <w:r>
              <w:rPr>
                <w:noProof/>
                <w:sz w:val="20"/>
              </w:rPr>
              <w:t>87 %</w:t>
            </w:r>
          </w:p>
        </w:tc>
        <w:tc>
          <w:tcPr>
            <w:tcW w:w="936" w:type="dxa"/>
            <w:noWrap/>
            <w:vAlign w:val="bottom"/>
            <w:hideMark/>
          </w:tcPr>
          <w:p w:rsidR="00CA65E6" w:rsidRDefault="00CB294D">
            <w:pPr>
              <w:spacing w:after="0"/>
              <w:jc w:val="center"/>
              <w:rPr>
                <w:noProof/>
                <w:sz w:val="20"/>
              </w:rPr>
            </w:pPr>
            <w:r>
              <w:rPr>
                <w:noProof/>
                <w:sz w:val="20"/>
              </w:rPr>
              <w:t>89 %</w:t>
            </w:r>
          </w:p>
        </w:tc>
      </w:tr>
      <w:tr w:rsidR="00CA65E6">
        <w:trPr>
          <w:trHeight w:val="255"/>
          <w:jc w:val="center"/>
        </w:trPr>
        <w:tc>
          <w:tcPr>
            <w:tcW w:w="4480" w:type="dxa"/>
            <w:noWrap/>
            <w:vAlign w:val="bottom"/>
            <w:hideMark/>
          </w:tcPr>
          <w:p w:rsidR="00CA65E6" w:rsidRDefault="00CB294D">
            <w:pPr>
              <w:spacing w:after="0"/>
              <w:jc w:val="left"/>
              <w:rPr>
                <w:noProof/>
                <w:sz w:val="20"/>
              </w:rPr>
            </w:pPr>
            <w:r>
              <w:rPr>
                <w:noProof/>
                <w:sz w:val="20"/>
              </w:rPr>
              <w:t>Avtal om ekonomiskt partnerskap, Centralafrika (Kamerun)</w:t>
            </w:r>
          </w:p>
        </w:tc>
        <w:tc>
          <w:tcPr>
            <w:tcW w:w="935" w:type="dxa"/>
            <w:noWrap/>
            <w:vAlign w:val="bottom"/>
            <w:hideMark/>
          </w:tcPr>
          <w:p w:rsidR="00CA65E6" w:rsidRDefault="00CB294D">
            <w:pPr>
              <w:spacing w:after="0"/>
              <w:jc w:val="center"/>
              <w:rPr>
                <w:noProof/>
                <w:sz w:val="20"/>
              </w:rPr>
            </w:pPr>
            <w:r>
              <w:rPr>
                <w:noProof/>
                <w:sz w:val="20"/>
              </w:rPr>
              <w:t>98 %</w:t>
            </w:r>
          </w:p>
        </w:tc>
        <w:tc>
          <w:tcPr>
            <w:tcW w:w="936" w:type="dxa"/>
            <w:noWrap/>
            <w:vAlign w:val="bottom"/>
            <w:hideMark/>
          </w:tcPr>
          <w:p w:rsidR="00CA65E6" w:rsidRDefault="00CB294D">
            <w:pPr>
              <w:spacing w:after="0"/>
              <w:jc w:val="center"/>
              <w:rPr>
                <w:noProof/>
                <w:sz w:val="20"/>
              </w:rPr>
            </w:pPr>
            <w:r>
              <w:rPr>
                <w:noProof/>
                <w:sz w:val="20"/>
              </w:rPr>
              <w:t>98 %</w:t>
            </w:r>
          </w:p>
        </w:tc>
        <w:tc>
          <w:tcPr>
            <w:tcW w:w="936" w:type="dxa"/>
            <w:noWrap/>
            <w:vAlign w:val="bottom"/>
            <w:hideMark/>
          </w:tcPr>
          <w:p w:rsidR="00CA65E6" w:rsidRDefault="00CB294D">
            <w:pPr>
              <w:spacing w:after="0"/>
              <w:jc w:val="center"/>
              <w:rPr>
                <w:noProof/>
                <w:sz w:val="20"/>
              </w:rPr>
            </w:pPr>
            <w:r>
              <w:rPr>
                <w:noProof/>
                <w:sz w:val="20"/>
              </w:rPr>
              <w:t>91 %</w:t>
            </w:r>
          </w:p>
        </w:tc>
        <w:tc>
          <w:tcPr>
            <w:tcW w:w="936" w:type="dxa"/>
            <w:noWrap/>
            <w:vAlign w:val="bottom"/>
            <w:hideMark/>
          </w:tcPr>
          <w:p w:rsidR="00CA65E6" w:rsidRDefault="00CB294D">
            <w:pPr>
              <w:spacing w:after="0"/>
              <w:jc w:val="center"/>
              <w:rPr>
                <w:noProof/>
                <w:sz w:val="20"/>
              </w:rPr>
            </w:pPr>
            <w:r>
              <w:rPr>
                <w:noProof/>
                <w:sz w:val="20"/>
              </w:rPr>
              <w:t>97 %</w:t>
            </w:r>
          </w:p>
        </w:tc>
      </w:tr>
      <w:tr w:rsidR="00CA65E6">
        <w:trPr>
          <w:trHeight w:val="255"/>
          <w:jc w:val="center"/>
        </w:trPr>
        <w:tc>
          <w:tcPr>
            <w:tcW w:w="4480" w:type="dxa"/>
            <w:noWrap/>
            <w:vAlign w:val="bottom"/>
            <w:hideMark/>
          </w:tcPr>
          <w:p w:rsidR="00CA65E6" w:rsidRDefault="00CB294D">
            <w:pPr>
              <w:spacing w:after="0"/>
              <w:jc w:val="left"/>
              <w:rPr>
                <w:noProof/>
                <w:sz w:val="20"/>
              </w:rPr>
            </w:pPr>
            <w:r>
              <w:rPr>
                <w:noProof/>
                <w:sz w:val="20"/>
              </w:rPr>
              <w:t>Avtal om ekonomiskt partnerskap, östra och södra Afrika</w:t>
            </w:r>
          </w:p>
        </w:tc>
        <w:tc>
          <w:tcPr>
            <w:tcW w:w="935" w:type="dxa"/>
            <w:noWrap/>
            <w:vAlign w:val="bottom"/>
            <w:hideMark/>
          </w:tcPr>
          <w:p w:rsidR="00CA65E6" w:rsidRDefault="00CB294D">
            <w:pPr>
              <w:spacing w:after="0"/>
              <w:jc w:val="center"/>
              <w:rPr>
                <w:noProof/>
                <w:sz w:val="20"/>
              </w:rPr>
            </w:pPr>
            <w:r>
              <w:rPr>
                <w:noProof/>
                <w:sz w:val="20"/>
              </w:rPr>
              <w:t>96 %</w:t>
            </w:r>
          </w:p>
        </w:tc>
        <w:tc>
          <w:tcPr>
            <w:tcW w:w="936" w:type="dxa"/>
            <w:noWrap/>
            <w:vAlign w:val="bottom"/>
            <w:hideMark/>
          </w:tcPr>
          <w:p w:rsidR="00CA65E6" w:rsidRDefault="00CB294D">
            <w:pPr>
              <w:spacing w:after="0"/>
              <w:jc w:val="center"/>
              <w:rPr>
                <w:noProof/>
                <w:sz w:val="20"/>
              </w:rPr>
            </w:pPr>
            <w:r>
              <w:rPr>
                <w:noProof/>
                <w:sz w:val="20"/>
              </w:rPr>
              <w:t>96 %</w:t>
            </w:r>
          </w:p>
        </w:tc>
        <w:tc>
          <w:tcPr>
            <w:tcW w:w="936" w:type="dxa"/>
            <w:noWrap/>
            <w:vAlign w:val="bottom"/>
            <w:hideMark/>
          </w:tcPr>
          <w:p w:rsidR="00CA65E6" w:rsidRDefault="00CB294D">
            <w:pPr>
              <w:spacing w:after="0"/>
              <w:jc w:val="center"/>
              <w:rPr>
                <w:noProof/>
                <w:sz w:val="20"/>
              </w:rPr>
            </w:pPr>
            <w:r>
              <w:rPr>
                <w:noProof/>
                <w:sz w:val="20"/>
              </w:rPr>
              <w:t>97 %</w:t>
            </w:r>
          </w:p>
        </w:tc>
        <w:tc>
          <w:tcPr>
            <w:tcW w:w="936" w:type="dxa"/>
            <w:noWrap/>
            <w:vAlign w:val="bottom"/>
            <w:hideMark/>
          </w:tcPr>
          <w:p w:rsidR="00CA65E6" w:rsidRDefault="00CB294D">
            <w:pPr>
              <w:spacing w:after="0"/>
              <w:jc w:val="center"/>
              <w:rPr>
                <w:noProof/>
                <w:sz w:val="20"/>
              </w:rPr>
            </w:pPr>
            <w:r>
              <w:rPr>
                <w:noProof/>
                <w:sz w:val="20"/>
              </w:rPr>
              <w:t>97 %</w:t>
            </w:r>
          </w:p>
        </w:tc>
      </w:tr>
      <w:tr w:rsidR="00CA65E6">
        <w:trPr>
          <w:trHeight w:val="255"/>
          <w:jc w:val="center"/>
        </w:trPr>
        <w:tc>
          <w:tcPr>
            <w:tcW w:w="4480" w:type="dxa"/>
            <w:noWrap/>
            <w:vAlign w:val="bottom"/>
            <w:hideMark/>
          </w:tcPr>
          <w:p w:rsidR="00CA65E6" w:rsidRDefault="00CB294D">
            <w:pPr>
              <w:spacing w:after="0"/>
              <w:jc w:val="left"/>
              <w:rPr>
                <w:noProof/>
                <w:sz w:val="20"/>
              </w:rPr>
            </w:pPr>
            <w:r>
              <w:rPr>
                <w:noProof/>
                <w:sz w:val="20"/>
              </w:rPr>
              <w:t>Avtal om ekonomiskt partnerskap, Cariforum</w:t>
            </w:r>
          </w:p>
        </w:tc>
        <w:tc>
          <w:tcPr>
            <w:tcW w:w="935" w:type="dxa"/>
            <w:noWrap/>
            <w:vAlign w:val="bottom"/>
            <w:hideMark/>
          </w:tcPr>
          <w:p w:rsidR="00CA65E6" w:rsidRDefault="00CB294D">
            <w:pPr>
              <w:spacing w:after="0"/>
              <w:jc w:val="center"/>
              <w:rPr>
                <w:noProof/>
                <w:sz w:val="20"/>
              </w:rPr>
            </w:pPr>
            <w:r>
              <w:rPr>
                <w:noProof/>
                <w:sz w:val="20"/>
              </w:rPr>
              <w:t>79 %</w:t>
            </w:r>
          </w:p>
        </w:tc>
        <w:tc>
          <w:tcPr>
            <w:tcW w:w="936" w:type="dxa"/>
            <w:noWrap/>
            <w:vAlign w:val="bottom"/>
            <w:hideMark/>
          </w:tcPr>
          <w:p w:rsidR="00CA65E6" w:rsidRDefault="00CB294D">
            <w:pPr>
              <w:spacing w:after="0"/>
              <w:jc w:val="center"/>
              <w:rPr>
                <w:noProof/>
                <w:sz w:val="20"/>
              </w:rPr>
            </w:pPr>
            <w:r>
              <w:rPr>
                <w:noProof/>
                <w:sz w:val="20"/>
              </w:rPr>
              <w:t>80 %</w:t>
            </w:r>
          </w:p>
        </w:tc>
        <w:tc>
          <w:tcPr>
            <w:tcW w:w="936" w:type="dxa"/>
            <w:noWrap/>
            <w:vAlign w:val="bottom"/>
            <w:hideMark/>
          </w:tcPr>
          <w:p w:rsidR="00CA65E6" w:rsidRDefault="00CB294D">
            <w:pPr>
              <w:spacing w:after="0"/>
              <w:jc w:val="center"/>
              <w:rPr>
                <w:noProof/>
                <w:sz w:val="20"/>
              </w:rPr>
            </w:pPr>
            <w:r>
              <w:rPr>
                <w:noProof/>
                <w:sz w:val="20"/>
              </w:rPr>
              <w:t>91 %</w:t>
            </w:r>
          </w:p>
        </w:tc>
        <w:tc>
          <w:tcPr>
            <w:tcW w:w="936" w:type="dxa"/>
            <w:noWrap/>
            <w:vAlign w:val="bottom"/>
            <w:hideMark/>
          </w:tcPr>
          <w:p w:rsidR="00CA65E6" w:rsidRDefault="00CB294D">
            <w:pPr>
              <w:spacing w:after="0"/>
              <w:jc w:val="center"/>
              <w:rPr>
                <w:noProof/>
                <w:sz w:val="20"/>
              </w:rPr>
            </w:pPr>
            <w:r>
              <w:rPr>
                <w:noProof/>
                <w:sz w:val="20"/>
              </w:rPr>
              <w:t>92 %</w:t>
            </w:r>
          </w:p>
        </w:tc>
      </w:tr>
      <w:tr w:rsidR="00CA65E6">
        <w:trPr>
          <w:trHeight w:val="255"/>
          <w:jc w:val="center"/>
        </w:trPr>
        <w:tc>
          <w:tcPr>
            <w:tcW w:w="4480" w:type="dxa"/>
            <w:noWrap/>
            <w:vAlign w:val="bottom"/>
            <w:hideMark/>
          </w:tcPr>
          <w:p w:rsidR="00CA65E6" w:rsidRDefault="00CB294D">
            <w:pPr>
              <w:spacing w:after="0"/>
              <w:jc w:val="left"/>
              <w:rPr>
                <w:noProof/>
                <w:sz w:val="20"/>
              </w:rPr>
            </w:pPr>
            <w:r>
              <w:rPr>
                <w:noProof/>
                <w:sz w:val="20"/>
              </w:rPr>
              <w:t>Centralamerika, 6 länder</w:t>
            </w:r>
          </w:p>
        </w:tc>
        <w:tc>
          <w:tcPr>
            <w:tcW w:w="935" w:type="dxa"/>
            <w:noWrap/>
            <w:vAlign w:val="bottom"/>
            <w:hideMark/>
          </w:tcPr>
          <w:p w:rsidR="00CA65E6" w:rsidRDefault="00CB294D">
            <w:pPr>
              <w:spacing w:after="0"/>
              <w:jc w:val="center"/>
              <w:rPr>
                <w:noProof/>
                <w:sz w:val="20"/>
              </w:rPr>
            </w:pPr>
            <w:r>
              <w:rPr>
                <w:noProof/>
                <w:sz w:val="20"/>
              </w:rPr>
              <w:t>86 %</w:t>
            </w:r>
          </w:p>
        </w:tc>
        <w:tc>
          <w:tcPr>
            <w:tcW w:w="936" w:type="dxa"/>
            <w:noWrap/>
            <w:vAlign w:val="bottom"/>
            <w:hideMark/>
          </w:tcPr>
          <w:p w:rsidR="00CA65E6" w:rsidRDefault="00CB294D">
            <w:pPr>
              <w:spacing w:after="0"/>
              <w:jc w:val="center"/>
              <w:rPr>
                <w:noProof/>
                <w:sz w:val="20"/>
              </w:rPr>
            </w:pPr>
            <w:r>
              <w:rPr>
                <w:noProof/>
                <w:sz w:val="20"/>
              </w:rPr>
              <w:t>94 %</w:t>
            </w:r>
          </w:p>
        </w:tc>
        <w:tc>
          <w:tcPr>
            <w:tcW w:w="936" w:type="dxa"/>
            <w:noWrap/>
            <w:vAlign w:val="bottom"/>
            <w:hideMark/>
          </w:tcPr>
          <w:p w:rsidR="00CA65E6" w:rsidRDefault="00CB294D">
            <w:pPr>
              <w:spacing w:after="0"/>
              <w:jc w:val="center"/>
              <w:rPr>
                <w:noProof/>
                <w:sz w:val="20"/>
              </w:rPr>
            </w:pPr>
            <w:r>
              <w:rPr>
                <w:noProof/>
                <w:sz w:val="20"/>
              </w:rPr>
              <w:t>92 %</w:t>
            </w:r>
          </w:p>
        </w:tc>
        <w:tc>
          <w:tcPr>
            <w:tcW w:w="936" w:type="dxa"/>
            <w:noWrap/>
            <w:vAlign w:val="bottom"/>
            <w:hideMark/>
          </w:tcPr>
          <w:p w:rsidR="00CA65E6" w:rsidRDefault="00CB294D">
            <w:pPr>
              <w:spacing w:after="0"/>
              <w:jc w:val="center"/>
              <w:rPr>
                <w:noProof/>
                <w:sz w:val="20"/>
              </w:rPr>
            </w:pPr>
            <w:r>
              <w:rPr>
                <w:noProof/>
                <w:sz w:val="20"/>
              </w:rPr>
              <w:t>92 %</w:t>
            </w:r>
          </w:p>
        </w:tc>
      </w:tr>
    </w:tbl>
    <w:p w:rsidR="00CA65E6" w:rsidRDefault="00CA65E6">
      <w:pPr>
        <w:jc w:val="center"/>
        <w:rPr>
          <w:b/>
          <w:noProof/>
        </w:rPr>
      </w:pPr>
    </w:p>
    <w:p w:rsidR="00CA65E6" w:rsidRDefault="00CB294D">
      <w:pPr>
        <w:spacing w:after="0"/>
        <w:jc w:val="left"/>
        <w:rPr>
          <w:b/>
          <w:noProof/>
        </w:rPr>
      </w:pPr>
      <w:r>
        <w:rPr>
          <w:noProof/>
        </w:rPr>
        <w:br w:type="page"/>
      </w:r>
    </w:p>
    <w:p w:rsidR="00CA65E6" w:rsidRDefault="00CB294D">
      <w:pPr>
        <w:pStyle w:val="Heading1"/>
        <w:numPr>
          <w:ilvl w:val="0"/>
          <w:numId w:val="0"/>
        </w:numPr>
        <w:ind w:left="480" w:hanging="480"/>
        <w:rPr>
          <w:noProof/>
        </w:rPr>
      </w:pPr>
      <w:bookmarkStart w:id="177" w:name="_Toc494126164"/>
      <w:bookmarkStart w:id="178" w:name="_Toc497132398"/>
      <w:r>
        <w:rPr>
          <w:noProof/>
        </w:rPr>
        <w:t>Bilaga 5 – Utnyttjande av förmånstullar vid export från EU</w:t>
      </w:r>
      <w:bookmarkEnd w:id="177"/>
      <w:bookmarkEnd w:id="178"/>
    </w:p>
    <w:p w:rsidR="00CA65E6" w:rsidRDefault="00CA65E6">
      <w:pPr>
        <w:rPr>
          <w:noProof/>
        </w:rPr>
      </w:pPr>
    </w:p>
    <w:tbl>
      <w:tblPr>
        <w:tblW w:w="5355" w:type="dxa"/>
        <w:jc w:val="center"/>
        <w:tblInd w:w="93" w:type="dxa"/>
        <w:tblLayout w:type="fixed"/>
        <w:tblLook w:val="04A0" w:firstRow="1" w:lastRow="0" w:firstColumn="1" w:lastColumn="0" w:noHBand="0" w:noVBand="1"/>
      </w:tblPr>
      <w:tblGrid>
        <w:gridCol w:w="2177"/>
        <w:gridCol w:w="794"/>
        <w:gridCol w:w="795"/>
        <w:gridCol w:w="794"/>
        <w:gridCol w:w="795"/>
      </w:tblGrid>
      <w:tr w:rsidR="00CA65E6">
        <w:trPr>
          <w:trHeight w:val="255"/>
          <w:jc w:val="center"/>
        </w:trPr>
        <w:tc>
          <w:tcPr>
            <w:tcW w:w="2175" w:type="dxa"/>
            <w:tcBorders>
              <w:top w:val="nil"/>
              <w:left w:val="nil"/>
              <w:bottom w:val="single" w:sz="4" w:space="0" w:color="95B3D7"/>
              <w:right w:val="nil"/>
            </w:tcBorders>
            <w:shd w:val="clear" w:color="auto" w:fill="DCE6F1"/>
            <w:noWrap/>
            <w:vAlign w:val="bottom"/>
            <w:hideMark/>
          </w:tcPr>
          <w:p w:rsidR="00CA65E6" w:rsidRDefault="00CB294D">
            <w:pPr>
              <w:spacing w:after="0"/>
              <w:jc w:val="left"/>
              <w:rPr>
                <w:b/>
                <w:bCs/>
                <w:noProof/>
                <w:color w:val="000000"/>
                <w:sz w:val="20"/>
              </w:rPr>
            </w:pPr>
            <w:r>
              <w:rPr>
                <w:b/>
                <w:noProof/>
                <w:color w:val="000000"/>
                <w:sz w:val="20"/>
              </w:rPr>
              <w:t>Importland</w:t>
            </w:r>
          </w:p>
        </w:tc>
        <w:tc>
          <w:tcPr>
            <w:tcW w:w="793" w:type="dxa"/>
            <w:tcBorders>
              <w:top w:val="nil"/>
              <w:left w:val="nil"/>
              <w:bottom w:val="single" w:sz="4" w:space="0" w:color="95B3D7"/>
              <w:right w:val="nil"/>
            </w:tcBorders>
            <w:shd w:val="clear" w:color="auto" w:fill="DCE6F1"/>
            <w:noWrap/>
            <w:vAlign w:val="bottom"/>
            <w:hideMark/>
          </w:tcPr>
          <w:p w:rsidR="00CA65E6" w:rsidRDefault="00CB294D">
            <w:pPr>
              <w:spacing w:after="0"/>
              <w:jc w:val="center"/>
              <w:rPr>
                <w:b/>
                <w:bCs/>
                <w:noProof/>
                <w:color w:val="000000"/>
                <w:sz w:val="20"/>
              </w:rPr>
            </w:pPr>
            <w:r>
              <w:rPr>
                <w:b/>
                <w:noProof/>
                <w:color w:val="000000"/>
                <w:sz w:val="20"/>
              </w:rPr>
              <w:t>2013</w:t>
            </w:r>
          </w:p>
        </w:tc>
        <w:tc>
          <w:tcPr>
            <w:tcW w:w="794" w:type="dxa"/>
            <w:tcBorders>
              <w:top w:val="nil"/>
              <w:left w:val="nil"/>
              <w:bottom w:val="single" w:sz="4" w:space="0" w:color="95B3D7"/>
              <w:right w:val="nil"/>
            </w:tcBorders>
            <w:shd w:val="clear" w:color="auto" w:fill="DCE6F1"/>
            <w:noWrap/>
            <w:vAlign w:val="bottom"/>
            <w:hideMark/>
          </w:tcPr>
          <w:p w:rsidR="00CA65E6" w:rsidRDefault="00CB294D">
            <w:pPr>
              <w:spacing w:after="0"/>
              <w:jc w:val="center"/>
              <w:rPr>
                <w:b/>
                <w:bCs/>
                <w:noProof/>
                <w:color w:val="000000"/>
                <w:sz w:val="20"/>
              </w:rPr>
            </w:pPr>
            <w:r>
              <w:rPr>
                <w:b/>
                <w:noProof/>
                <w:color w:val="000000"/>
                <w:sz w:val="20"/>
              </w:rPr>
              <w:t>2014</w:t>
            </w:r>
          </w:p>
        </w:tc>
        <w:tc>
          <w:tcPr>
            <w:tcW w:w="793" w:type="dxa"/>
            <w:tcBorders>
              <w:top w:val="nil"/>
              <w:left w:val="nil"/>
              <w:bottom w:val="single" w:sz="4" w:space="0" w:color="95B3D7"/>
              <w:right w:val="nil"/>
            </w:tcBorders>
            <w:shd w:val="clear" w:color="auto" w:fill="DCE6F1"/>
            <w:noWrap/>
            <w:vAlign w:val="bottom"/>
            <w:hideMark/>
          </w:tcPr>
          <w:p w:rsidR="00CA65E6" w:rsidRDefault="00CB294D">
            <w:pPr>
              <w:spacing w:after="0"/>
              <w:jc w:val="center"/>
              <w:rPr>
                <w:b/>
                <w:bCs/>
                <w:noProof/>
                <w:color w:val="000000"/>
                <w:sz w:val="20"/>
              </w:rPr>
            </w:pPr>
            <w:r>
              <w:rPr>
                <w:b/>
                <w:noProof/>
                <w:color w:val="000000"/>
                <w:sz w:val="20"/>
              </w:rPr>
              <w:t>2015</w:t>
            </w:r>
          </w:p>
        </w:tc>
        <w:tc>
          <w:tcPr>
            <w:tcW w:w="794" w:type="dxa"/>
            <w:tcBorders>
              <w:top w:val="nil"/>
              <w:left w:val="nil"/>
              <w:bottom w:val="single" w:sz="4" w:space="0" w:color="95B3D7"/>
              <w:right w:val="nil"/>
            </w:tcBorders>
            <w:shd w:val="clear" w:color="auto" w:fill="DCE6F1"/>
            <w:noWrap/>
            <w:vAlign w:val="bottom"/>
            <w:hideMark/>
          </w:tcPr>
          <w:p w:rsidR="00CA65E6" w:rsidRDefault="00CB294D">
            <w:pPr>
              <w:spacing w:after="0"/>
              <w:jc w:val="center"/>
              <w:rPr>
                <w:b/>
                <w:bCs/>
                <w:noProof/>
                <w:color w:val="000000"/>
                <w:sz w:val="20"/>
              </w:rPr>
            </w:pPr>
            <w:r>
              <w:rPr>
                <w:b/>
                <w:noProof/>
                <w:color w:val="000000"/>
                <w:sz w:val="20"/>
              </w:rPr>
              <w:t>2016</w:t>
            </w:r>
          </w:p>
        </w:tc>
      </w:tr>
      <w:tr w:rsidR="00CA65E6">
        <w:trPr>
          <w:trHeight w:val="255"/>
          <w:jc w:val="center"/>
        </w:trPr>
        <w:tc>
          <w:tcPr>
            <w:tcW w:w="2175" w:type="dxa"/>
            <w:noWrap/>
            <w:vAlign w:val="bottom"/>
            <w:hideMark/>
          </w:tcPr>
          <w:p w:rsidR="00CA65E6" w:rsidRDefault="00CB294D">
            <w:pPr>
              <w:spacing w:after="0"/>
              <w:jc w:val="left"/>
              <w:rPr>
                <w:noProof/>
                <w:sz w:val="20"/>
              </w:rPr>
            </w:pPr>
            <w:r>
              <w:rPr>
                <w:noProof/>
                <w:sz w:val="20"/>
              </w:rPr>
              <w:t>Albanien</w:t>
            </w:r>
          </w:p>
        </w:tc>
        <w:tc>
          <w:tcPr>
            <w:tcW w:w="793" w:type="dxa"/>
            <w:noWrap/>
            <w:vAlign w:val="bottom"/>
            <w:hideMark/>
          </w:tcPr>
          <w:p w:rsidR="00CA65E6" w:rsidRDefault="00CA65E6">
            <w:pPr>
              <w:spacing w:after="0"/>
              <w:jc w:val="left"/>
              <w:rPr>
                <w:noProof/>
                <w:sz w:val="20"/>
              </w:rPr>
            </w:pPr>
          </w:p>
        </w:tc>
        <w:tc>
          <w:tcPr>
            <w:tcW w:w="794" w:type="dxa"/>
            <w:noWrap/>
            <w:vAlign w:val="bottom"/>
            <w:hideMark/>
          </w:tcPr>
          <w:p w:rsidR="00CA65E6" w:rsidRDefault="00CB294D">
            <w:pPr>
              <w:spacing w:after="0"/>
              <w:jc w:val="center"/>
              <w:rPr>
                <w:noProof/>
                <w:sz w:val="20"/>
              </w:rPr>
            </w:pPr>
            <w:r>
              <w:rPr>
                <w:noProof/>
                <w:sz w:val="20"/>
              </w:rPr>
              <w:t>73 %</w:t>
            </w:r>
          </w:p>
        </w:tc>
        <w:tc>
          <w:tcPr>
            <w:tcW w:w="793" w:type="dxa"/>
            <w:noWrap/>
            <w:vAlign w:val="bottom"/>
            <w:hideMark/>
          </w:tcPr>
          <w:p w:rsidR="00CA65E6" w:rsidRDefault="00CB294D">
            <w:pPr>
              <w:spacing w:after="0"/>
              <w:jc w:val="center"/>
              <w:rPr>
                <w:noProof/>
                <w:sz w:val="20"/>
              </w:rPr>
            </w:pPr>
            <w:r>
              <w:rPr>
                <w:noProof/>
                <w:sz w:val="20"/>
              </w:rPr>
              <w:t>76 %</w:t>
            </w:r>
          </w:p>
        </w:tc>
        <w:tc>
          <w:tcPr>
            <w:tcW w:w="794" w:type="dxa"/>
            <w:noWrap/>
            <w:vAlign w:val="bottom"/>
            <w:hideMark/>
          </w:tcPr>
          <w:p w:rsidR="00CA65E6" w:rsidRDefault="00CB294D">
            <w:pPr>
              <w:spacing w:after="0"/>
              <w:jc w:val="center"/>
              <w:rPr>
                <w:noProof/>
                <w:sz w:val="20"/>
              </w:rPr>
            </w:pPr>
            <w:r>
              <w:rPr>
                <w:noProof/>
                <w:sz w:val="20"/>
              </w:rPr>
              <w:t>80 %</w:t>
            </w:r>
          </w:p>
        </w:tc>
      </w:tr>
      <w:tr w:rsidR="00CA65E6">
        <w:trPr>
          <w:trHeight w:val="255"/>
          <w:jc w:val="center"/>
        </w:trPr>
        <w:tc>
          <w:tcPr>
            <w:tcW w:w="2175" w:type="dxa"/>
            <w:noWrap/>
            <w:vAlign w:val="bottom"/>
            <w:hideMark/>
          </w:tcPr>
          <w:p w:rsidR="00CA65E6" w:rsidRDefault="00CB294D">
            <w:pPr>
              <w:spacing w:after="0"/>
              <w:jc w:val="left"/>
              <w:rPr>
                <w:noProof/>
                <w:sz w:val="20"/>
              </w:rPr>
            </w:pPr>
            <w:r>
              <w:rPr>
                <w:noProof/>
                <w:sz w:val="20"/>
              </w:rPr>
              <w:t>Chile</w:t>
            </w:r>
          </w:p>
        </w:tc>
        <w:tc>
          <w:tcPr>
            <w:tcW w:w="793" w:type="dxa"/>
            <w:noWrap/>
            <w:vAlign w:val="bottom"/>
            <w:hideMark/>
          </w:tcPr>
          <w:p w:rsidR="00CA65E6" w:rsidRDefault="00CB294D">
            <w:pPr>
              <w:spacing w:after="0"/>
              <w:jc w:val="center"/>
              <w:rPr>
                <w:noProof/>
                <w:sz w:val="20"/>
              </w:rPr>
            </w:pPr>
            <w:r>
              <w:rPr>
                <w:noProof/>
                <w:sz w:val="20"/>
              </w:rPr>
              <w:t>78 %</w:t>
            </w:r>
          </w:p>
        </w:tc>
        <w:tc>
          <w:tcPr>
            <w:tcW w:w="794" w:type="dxa"/>
            <w:noWrap/>
            <w:vAlign w:val="bottom"/>
            <w:hideMark/>
          </w:tcPr>
          <w:p w:rsidR="00CA65E6" w:rsidRDefault="00CB294D">
            <w:pPr>
              <w:spacing w:after="0"/>
              <w:jc w:val="center"/>
              <w:rPr>
                <w:noProof/>
                <w:sz w:val="20"/>
              </w:rPr>
            </w:pPr>
            <w:r>
              <w:rPr>
                <w:noProof/>
                <w:sz w:val="20"/>
              </w:rPr>
              <w:t>78 %</w:t>
            </w:r>
          </w:p>
        </w:tc>
        <w:tc>
          <w:tcPr>
            <w:tcW w:w="793" w:type="dxa"/>
            <w:noWrap/>
            <w:vAlign w:val="bottom"/>
            <w:hideMark/>
          </w:tcPr>
          <w:p w:rsidR="00CA65E6" w:rsidRDefault="00CB294D">
            <w:pPr>
              <w:spacing w:after="0"/>
              <w:jc w:val="center"/>
              <w:rPr>
                <w:noProof/>
                <w:sz w:val="20"/>
              </w:rPr>
            </w:pPr>
            <w:r>
              <w:rPr>
                <w:noProof/>
                <w:sz w:val="20"/>
              </w:rPr>
              <w:t>76 %</w:t>
            </w:r>
          </w:p>
        </w:tc>
        <w:tc>
          <w:tcPr>
            <w:tcW w:w="794" w:type="dxa"/>
            <w:noWrap/>
            <w:vAlign w:val="bottom"/>
            <w:hideMark/>
          </w:tcPr>
          <w:p w:rsidR="00CA65E6" w:rsidRDefault="00CB294D">
            <w:pPr>
              <w:spacing w:after="0"/>
              <w:jc w:val="center"/>
              <w:rPr>
                <w:noProof/>
                <w:sz w:val="20"/>
              </w:rPr>
            </w:pPr>
            <w:r>
              <w:rPr>
                <w:noProof/>
                <w:sz w:val="20"/>
              </w:rPr>
              <w:t>74 %</w:t>
            </w:r>
          </w:p>
        </w:tc>
      </w:tr>
      <w:tr w:rsidR="00CA65E6">
        <w:trPr>
          <w:trHeight w:val="255"/>
          <w:jc w:val="center"/>
        </w:trPr>
        <w:tc>
          <w:tcPr>
            <w:tcW w:w="2175" w:type="dxa"/>
            <w:noWrap/>
            <w:vAlign w:val="bottom"/>
            <w:hideMark/>
          </w:tcPr>
          <w:p w:rsidR="00CA65E6" w:rsidRDefault="00CB294D">
            <w:pPr>
              <w:spacing w:after="0"/>
              <w:jc w:val="left"/>
              <w:rPr>
                <w:noProof/>
                <w:sz w:val="20"/>
              </w:rPr>
            </w:pPr>
            <w:r>
              <w:rPr>
                <w:noProof/>
                <w:sz w:val="20"/>
              </w:rPr>
              <w:t>Colombia</w:t>
            </w:r>
          </w:p>
        </w:tc>
        <w:tc>
          <w:tcPr>
            <w:tcW w:w="793" w:type="dxa"/>
            <w:noWrap/>
            <w:vAlign w:val="bottom"/>
            <w:hideMark/>
          </w:tcPr>
          <w:p w:rsidR="00CA65E6" w:rsidRDefault="00CA65E6">
            <w:pPr>
              <w:spacing w:after="0"/>
              <w:jc w:val="left"/>
              <w:rPr>
                <w:noProof/>
                <w:sz w:val="20"/>
              </w:rPr>
            </w:pPr>
          </w:p>
        </w:tc>
        <w:tc>
          <w:tcPr>
            <w:tcW w:w="794" w:type="dxa"/>
            <w:noWrap/>
            <w:vAlign w:val="bottom"/>
            <w:hideMark/>
          </w:tcPr>
          <w:p w:rsidR="00CA65E6" w:rsidRDefault="00CB294D">
            <w:pPr>
              <w:spacing w:after="0"/>
              <w:jc w:val="center"/>
              <w:rPr>
                <w:noProof/>
                <w:sz w:val="20"/>
              </w:rPr>
            </w:pPr>
            <w:r>
              <w:rPr>
                <w:noProof/>
                <w:sz w:val="20"/>
              </w:rPr>
              <w:t>56 %</w:t>
            </w:r>
          </w:p>
        </w:tc>
        <w:tc>
          <w:tcPr>
            <w:tcW w:w="793" w:type="dxa"/>
            <w:noWrap/>
            <w:vAlign w:val="bottom"/>
            <w:hideMark/>
          </w:tcPr>
          <w:p w:rsidR="00CA65E6" w:rsidRDefault="00CB294D">
            <w:pPr>
              <w:spacing w:after="0"/>
              <w:jc w:val="center"/>
              <w:rPr>
                <w:noProof/>
                <w:sz w:val="20"/>
              </w:rPr>
            </w:pPr>
            <w:r>
              <w:rPr>
                <w:noProof/>
                <w:sz w:val="20"/>
              </w:rPr>
              <w:t>63 %</w:t>
            </w:r>
          </w:p>
        </w:tc>
        <w:tc>
          <w:tcPr>
            <w:tcW w:w="794" w:type="dxa"/>
            <w:noWrap/>
            <w:vAlign w:val="bottom"/>
            <w:hideMark/>
          </w:tcPr>
          <w:p w:rsidR="00CA65E6" w:rsidRDefault="00CB294D">
            <w:pPr>
              <w:spacing w:after="0"/>
              <w:jc w:val="center"/>
              <w:rPr>
                <w:noProof/>
                <w:sz w:val="20"/>
              </w:rPr>
            </w:pPr>
            <w:r>
              <w:rPr>
                <w:noProof/>
                <w:sz w:val="20"/>
              </w:rPr>
              <w:t>71 %</w:t>
            </w:r>
          </w:p>
        </w:tc>
      </w:tr>
      <w:tr w:rsidR="00CA65E6">
        <w:trPr>
          <w:trHeight w:val="255"/>
          <w:jc w:val="center"/>
        </w:trPr>
        <w:tc>
          <w:tcPr>
            <w:tcW w:w="2175" w:type="dxa"/>
            <w:noWrap/>
            <w:vAlign w:val="bottom"/>
            <w:hideMark/>
          </w:tcPr>
          <w:p w:rsidR="00CA65E6" w:rsidRDefault="00CB294D">
            <w:pPr>
              <w:spacing w:after="0"/>
              <w:jc w:val="left"/>
              <w:rPr>
                <w:noProof/>
                <w:sz w:val="20"/>
              </w:rPr>
            </w:pPr>
            <w:r>
              <w:rPr>
                <w:noProof/>
                <w:sz w:val="20"/>
              </w:rPr>
              <w:t>Costa Rica</w:t>
            </w:r>
          </w:p>
        </w:tc>
        <w:tc>
          <w:tcPr>
            <w:tcW w:w="793" w:type="dxa"/>
            <w:noWrap/>
            <w:vAlign w:val="bottom"/>
            <w:hideMark/>
          </w:tcPr>
          <w:p w:rsidR="00CA65E6" w:rsidRDefault="00CA65E6">
            <w:pPr>
              <w:spacing w:after="0"/>
              <w:jc w:val="left"/>
              <w:rPr>
                <w:noProof/>
                <w:sz w:val="20"/>
              </w:rPr>
            </w:pPr>
          </w:p>
        </w:tc>
        <w:tc>
          <w:tcPr>
            <w:tcW w:w="794" w:type="dxa"/>
            <w:noWrap/>
            <w:vAlign w:val="bottom"/>
            <w:hideMark/>
          </w:tcPr>
          <w:p w:rsidR="00CA65E6" w:rsidRDefault="00CB294D">
            <w:pPr>
              <w:spacing w:after="0"/>
              <w:jc w:val="center"/>
              <w:rPr>
                <w:noProof/>
                <w:sz w:val="20"/>
              </w:rPr>
            </w:pPr>
            <w:r>
              <w:rPr>
                <w:noProof/>
                <w:sz w:val="20"/>
              </w:rPr>
              <w:t>18 %</w:t>
            </w:r>
          </w:p>
        </w:tc>
        <w:tc>
          <w:tcPr>
            <w:tcW w:w="793" w:type="dxa"/>
            <w:noWrap/>
            <w:vAlign w:val="bottom"/>
            <w:hideMark/>
          </w:tcPr>
          <w:p w:rsidR="00CA65E6" w:rsidRDefault="00CA65E6">
            <w:pPr>
              <w:spacing w:after="0"/>
              <w:jc w:val="left"/>
              <w:rPr>
                <w:noProof/>
                <w:sz w:val="20"/>
              </w:rPr>
            </w:pPr>
          </w:p>
        </w:tc>
        <w:tc>
          <w:tcPr>
            <w:tcW w:w="794" w:type="dxa"/>
            <w:noWrap/>
            <w:vAlign w:val="bottom"/>
            <w:hideMark/>
          </w:tcPr>
          <w:p w:rsidR="00CA65E6" w:rsidRDefault="00CB294D">
            <w:pPr>
              <w:spacing w:after="0"/>
              <w:jc w:val="center"/>
              <w:rPr>
                <w:noProof/>
                <w:sz w:val="20"/>
              </w:rPr>
            </w:pPr>
            <w:r>
              <w:rPr>
                <w:noProof/>
                <w:sz w:val="20"/>
              </w:rPr>
              <w:t>38 %</w:t>
            </w:r>
          </w:p>
        </w:tc>
      </w:tr>
      <w:tr w:rsidR="00CA65E6">
        <w:trPr>
          <w:trHeight w:val="255"/>
          <w:jc w:val="center"/>
        </w:trPr>
        <w:tc>
          <w:tcPr>
            <w:tcW w:w="2175" w:type="dxa"/>
            <w:noWrap/>
            <w:vAlign w:val="bottom"/>
            <w:hideMark/>
          </w:tcPr>
          <w:p w:rsidR="00CA65E6" w:rsidRDefault="00CB294D">
            <w:pPr>
              <w:spacing w:after="0"/>
              <w:jc w:val="left"/>
              <w:rPr>
                <w:noProof/>
                <w:sz w:val="20"/>
              </w:rPr>
            </w:pPr>
            <w:r>
              <w:rPr>
                <w:noProof/>
                <w:sz w:val="20"/>
              </w:rPr>
              <w:t>Egypten</w:t>
            </w:r>
          </w:p>
        </w:tc>
        <w:tc>
          <w:tcPr>
            <w:tcW w:w="793" w:type="dxa"/>
            <w:noWrap/>
            <w:vAlign w:val="bottom"/>
            <w:hideMark/>
          </w:tcPr>
          <w:p w:rsidR="00CA65E6" w:rsidRDefault="00CA65E6">
            <w:pPr>
              <w:spacing w:after="0"/>
              <w:jc w:val="left"/>
              <w:rPr>
                <w:noProof/>
                <w:sz w:val="20"/>
              </w:rPr>
            </w:pPr>
          </w:p>
        </w:tc>
        <w:tc>
          <w:tcPr>
            <w:tcW w:w="794" w:type="dxa"/>
            <w:noWrap/>
            <w:vAlign w:val="bottom"/>
            <w:hideMark/>
          </w:tcPr>
          <w:p w:rsidR="00CA65E6" w:rsidRDefault="00CA65E6">
            <w:pPr>
              <w:spacing w:after="0"/>
              <w:jc w:val="left"/>
              <w:rPr>
                <w:noProof/>
                <w:sz w:val="20"/>
              </w:rPr>
            </w:pPr>
          </w:p>
        </w:tc>
        <w:tc>
          <w:tcPr>
            <w:tcW w:w="793" w:type="dxa"/>
            <w:noWrap/>
            <w:vAlign w:val="bottom"/>
            <w:hideMark/>
          </w:tcPr>
          <w:p w:rsidR="00CA65E6" w:rsidRDefault="00CB294D">
            <w:pPr>
              <w:spacing w:after="0"/>
              <w:jc w:val="center"/>
              <w:rPr>
                <w:noProof/>
                <w:sz w:val="20"/>
              </w:rPr>
            </w:pPr>
            <w:r>
              <w:rPr>
                <w:noProof/>
                <w:sz w:val="20"/>
              </w:rPr>
              <w:t>78 %</w:t>
            </w:r>
          </w:p>
        </w:tc>
        <w:tc>
          <w:tcPr>
            <w:tcW w:w="794" w:type="dxa"/>
            <w:noWrap/>
            <w:vAlign w:val="bottom"/>
            <w:hideMark/>
          </w:tcPr>
          <w:p w:rsidR="00CA65E6" w:rsidRDefault="00CB294D">
            <w:pPr>
              <w:spacing w:after="0"/>
              <w:jc w:val="center"/>
              <w:rPr>
                <w:noProof/>
                <w:sz w:val="20"/>
              </w:rPr>
            </w:pPr>
            <w:r>
              <w:rPr>
                <w:noProof/>
                <w:sz w:val="20"/>
              </w:rPr>
              <w:t>85 %</w:t>
            </w:r>
          </w:p>
        </w:tc>
      </w:tr>
      <w:tr w:rsidR="00CA65E6">
        <w:trPr>
          <w:trHeight w:val="255"/>
          <w:jc w:val="center"/>
        </w:trPr>
        <w:tc>
          <w:tcPr>
            <w:tcW w:w="2175" w:type="dxa"/>
            <w:noWrap/>
            <w:vAlign w:val="bottom"/>
            <w:hideMark/>
          </w:tcPr>
          <w:p w:rsidR="00CA65E6" w:rsidRDefault="00CB294D">
            <w:pPr>
              <w:spacing w:after="0"/>
              <w:jc w:val="left"/>
              <w:rPr>
                <w:noProof/>
                <w:sz w:val="20"/>
              </w:rPr>
            </w:pPr>
            <w:r>
              <w:rPr>
                <w:noProof/>
                <w:sz w:val="20"/>
              </w:rPr>
              <w:t>F.d. jugoslaviska republiken Makedonien</w:t>
            </w:r>
          </w:p>
        </w:tc>
        <w:tc>
          <w:tcPr>
            <w:tcW w:w="793" w:type="dxa"/>
            <w:noWrap/>
            <w:vAlign w:val="bottom"/>
            <w:hideMark/>
          </w:tcPr>
          <w:p w:rsidR="00CA65E6" w:rsidRDefault="00CA65E6">
            <w:pPr>
              <w:spacing w:after="0"/>
              <w:jc w:val="left"/>
              <w:rPr>
                <w:noProof/>
                <w:sz w:val="20"/>
              </w:rPr>
            </w:pPr>
          </w:p>
        </w:tc>
        <w:tc>
          <w:tcPr>
            <w:tcW w:w="794" w:type="dxa"/>
            <w:noWrap/>
            <w:vAlign w:val="bottom"/>
            <w:hideMark/>
          </w:tcPr>
          <w:p w:rsidR="00CA65E6" w:rsidRDefault="00CB294D">
            <w:pPr>
              <w:spacing w:after="0"/>
              <w:jc w:val="center"/>
              <w:rPr>
                <w:noProof/>
                <w:sz w:val="20"/>
              </w:rPr>
            </w:pPr>
            <w:r>
              <w:rPr>
                <w:noProof/>
                <w:sz w:val="20"/>
              </w:rPr>
              <w:t>90 %</w:t>
            </w:r>
          </w:p>
        </w:tc>
        <w:tc>
          <w:tcPr>
            <w:tcW w:w="793" w:type="dxa"/>
            <w:noWrap/>
            <w:vAlign w:val="bottom"/>
            <w:hideMark/>
          </w:tcPr>
          <w:p w:rsidR="00CA65E6" w:rsidRDefault="00CA65E6">
            <w:pPr>
              <w:spacing w:after="0"/>
              <w:jc w:val="left"/>
              <w:rPr>
                <w:noProof/>
                <w:sz w:val="20"/>
              </w:rPr>
            </w:pPr>
          </w:p>
        </w:tc>
        <w:tc>
          <w:tcPr>
            <w:tcW w:w="794" w:type="dxa"/>
            <w:noWrap/>
            <w:vAlign w:val="bottom"/>
            <w:hideMark/>
          </w:tcPr>
          <w:p w:rsidR="00CA65E6" w:rsidRDefault="00CB294D">
            <w:pPr>
              <w:spacing w:after="0"/>
              <w:jc w:val="center"/>
              <w:rPr>
                <w:noProof/>
                <w:sz w:val="20"/>
              </w:rPr>
            </w:pPr>
            <w:r>
              <w:rPr>
                <w:noProof/>
                <w:sz w:val="20"/>
              </w:rPr>
              <w:t>90 %</w:t>
            </w:r>
          </w:p>
        </w:tc>
      </w:tr>
      <w:tr w:rsidR="00CA65E6">
        <w:trPr>
          <w:trHeight w:val="255"/>
          <w:jc w:val="center"/>
        </w:trPr>
        <w:tc>
          <w:tcPr>
            <w:tcW w:w="2175" w:type="dxa"/>
            <w:noWrap/>
            <w:vAlign w:val="bottom"/>
            <w:hideMark/>
          </w:tcPr>
          <w:p w:rsidR="00CA65E6" w:rsidRDefault="00CB294D">
            <w:pPr>
              <w:spacing w:after="0"/>
              <w:jc w:val="left"/>
              <w:rPr>
                <w:noProof/>
                <w:sz w:val="20"/>
              </w:rPr>
            </w:pPr>
            <w:r>
              <w:rPr>
                <w:noProof/>
                <w:sz w:val="20"/>
              </w:rPr>
              <w:t>Israel</w:t>
            </w:r>
          </w:p>
        </w:tc>
        <w:tc>
          <w:tcPr>
            <w:tcW w:w="793" w:type="dxa"/>
            <w:noWrap/>
            <w:vAlign w:val="bottom"/>
            <w:hideMark/>
          </w:tcPr>
          <w:p w:rsidR="00CA65E6" w:rsidRDefault="00CA65E6">
            <w:pPr>
              <w:spacing w:after="0"/>
              <w:jc w:val="left"/>
              <w:rPr>
                <w:noProof/>
                <w:sz w:val="20"/>
              </w:rPr>
            </w:pPr>
          </w:p>
        </w:tc>
        <w:tc>
          <w:tcPr>
            <w:tcW w:w="794" w:type="dxa"/>
            <w:noWrap/>
            <w:vAlign w:val="bottom"/>
            <w:hideMark/>
          </w:tcPr>
          <w:p w:rsidR="00CA65E6" w:rsidRDefault="00CA65E6">
            <w:pPr>
              <w:spacing w:after="0"/>
              <w:jc w:val="left"/>
              <w:rPr>
                <w:noProof/>
                <w:sz w:val="20"/>
              </w:rPr>
            </w:pPr>
          </w:p>
        </w:tc>
        <w:tc>
          <w:tcPr>
            <w:tcW w:w="793" w:type="dxa"/>
            <w:noWrap/>
            <w:vAlign w:val="bottom"/>
            <w:hideMark/>
          </w:tcPr>
          <w:p w:rsidR="00CA65E6" w:rsidRDefault="00CA65E6">
            <w:pPr>
              <w:spacing w:after="0"/>
              <w:jc w:val="left"/>
              <w:rPr>
                <w:noProof/>
                <w:sz w:val="20"/>
              </w:rPr>
            </w:pPr>
          </w:p>
        </w:tc>
        <w:tc>
          <w:tcPr>
            <w:tcW w:w="794" w:type="dxa"/>
            <w:noWrap/>
            <w:vAlign w:val="bottom"/>
            <w:hideMark/>
          </w:tcPr>
          <w:p w:rsidR="00CA65E6" w:rsidRDefault="00CB294D">
            <w:pPr>
              <w:spacing w:after="0"/>
              <w:jc w:val="center"/>
              <w:rPr>
                <w:noProof/>
                <w:sz w:val="20"/>
              </w:rPr>
            </w:pPr>
            <w:r>
              <w:rPr>
                <w:noProof/>
                <w:sz w:val="20"/>
              </w:rPr>
              <w:t>89 %</w:t>
            </w:r>
          </w:p>
        </w:tc>
      </w:tr>
      <w:tr w:rsidR="00CA65E6">
        <w:trPr>
          <w:trHeight w:val="255"/>
          <w:jc w:val="center"/>
        </w:trPr>
        <w:tc>
          <w:tcPr>
            <w:tcW w:w="2175" w:type="dxa"/>
            <w:noWrap/>
            <w:vAlign w:val="bottom"/>
            <w:hideMark/>
          </w:tcPr>
          <w:p w:rsidR="00CA65E6" w:rsidRDefault="00CB294D">
            <w:pPr>
              <w:spacing w:after="0"/>
              <w:jc w:val="left"/>
              <w:rPr>
                <w:noProof/>
                <w:sz w:val="20"/>
              </w:rPr>
            </w:pPr>
            <w:r>
              <w:rPr>
                <w:noProof/>
                <w:sz w:val="20"/>
              </w:rPr>
              <w:t>Kosovo</w:t>
            </w:r>
          </w:p>
        </w:tc>
        <w:tc>
          <w:tcPr>
            <w:tcW w:w="793" w:type="dxa"/>
            <w:noWrap/>
            <w:vAlign w:val="bottom"/>
            <w:hideMark/>
          </w:tcPr>
          <w:p w:rsidR="00CA65E6" w:rsidRDefault="00CA65E6">
            <w:pPr>
              <w:spacing w:after="0"/>
              <w:jc w:val="left"/>
              <w:rPr>
                <w:noProof/>
                <w:sz w:val="20"/>
              </w:rPr>
            </w:pPr>
          </w:p>
        </w:tc>
        <w:tc>
          <w:tcPr>
            <w:tcW w:w="794" w:type="dxa"/>
            <w:noWrap/>
            <w:vAlign w:val="bottom"/>
            <w:hideMark/>
          </w:tcPr>
          <w:p w:rsidR="00CA65E6" w:rsidRDefault="00CA65E6">
            <w:pPr>
              <w:spacing w:after="0"/>
              <w:jc w:val="left"/>
              <w:rPr>
                <w:noProof/>
                <w:sz w:val="20"/>
              </w:rPr>
            </w:pPr>
          </w:p>
        </w:tc>
        <w:tc>
          <w:tcPr>
            <w:tcW w:w="793" w:type="dxa"/>
            <w:noWrap/>
            <w:vAlign w:val="bottom"/>
            <w:hideMark/>
          </w:tcPr>
          <w:p w:rsidR="00CA65E6" w:rsidRDefault="00CA65E6">
            <w:pPr>
              <w:spacing w:after="0"/>
              <w:jc w:val="left"/>
              <w:rPr>
                <w:noProof/>
                <w:sz w:val="20"/>
              </w:rPr>
            </w:pPr>
          </w:p>
        </w:tc>
        <w:tc>
          <w:tcPr>
            <w:tcW w:w="794" w:type="dxa"/>
            <w:noWrap/>
            <w:vAlign w:val="bottom"/>
            <w:hideMark/>
          </w:tcPr>
          <w:p w:rsidR="00CA65E6" w:rsidRDefault="00CB294D">
            <w:pPr>
              <w:spacing w:after="0"/>
              <w:jc w:val="center"/>
              <w:rPr>
                <w:noProof/>
                <w:sz w:val="20"/>
              </w:rPr>
            </w:pPr>
            <w:r>
              <w:rPr>
                <w:noProof/>
                <w:sz w:val="20"/>
              </w:rPr>
              <w:t>44 %</w:t>
            </w:r>
          </w:p>
        </w:tc>
      </w:tr>
      <w:tr w:rsidR="00CA65E6">
        <w:trPr>
          <w:trHeight w:val="255"/>
          <w:jc w:val="center"/>
        </w:trPr>
        <w:tc>
          <w:tcPr>
            <w:tcW w:w="2175" w:type="dxa"/>
            <w:noWrap/>
            <w:vAlign w:val="bottom"/>
            <w:hideMark/>
          </w:tcPr>
          <w:p w:rsidR="00CA65E6" w:rsidRDefault="00CB294D">
            <w:pPr>
              <w:spacing w:after="0"/>
              <w:jc w:val="left"/>
              <w:rPr>
                <w:noProof/>
                <w:sz w:val="20"/>
              </w:rPr>
            </w:pPr>
            <w:r>
              <w:rPr>
                <w:noProof/>
                <w:sz w:val="20"/>
              </w:rPr>
              <w:t>Libanon</w:t>
            </w:r>
          </w:p>
        </w:tc>
        <w:tc>
          <w:tcPr>
            <w:tcW w:w="793" w:type="dxa"/>
            <w:noWrap/>
            <w:vAlign w:val="bottom"/>
            <w:hideMark/>
          </w:tcPr>
          <w:p w:rsidR="00CA65E6" w:rsidRDefault="00CB294D">
            <w:pPr>
              <w:spacing w:after="0"/>
              <w:jc w:val="center"/>
              <w:rPr>
                <w:noProof/>
                <w:sz w:val="20"/>
              </w:rPr>
            </w:pPr>
            <w:r>
              <w:rPr>
                <w:noProof/>
                <w:sz w:val="20"/>
              </w:rPr>
              <w:t>49 %</w:t>
            </w:r>
          </w:p>
        </w:tc>
        <w:tc>
          <w:tcPr>
            <w:tcW w:w="794" w:type="dxa"/>
            <w:noWrap/>
            <w:vAlign w:val="bottom"/>
            <w:hideMark/>
          </w:tcPr>
          <w:p w:rsidR="00CA65E6" w:rsidRDefault="00CB294D">
            <w:pPr>
              <w:spacing w:after="0"/>
              <w:jc w:val="center"/>
              <w:rPr>
                <w:noProof/>
                <w:sz w:val="20"/>
              </w:rPr>
            </w:pPr>
            <w:r>
              <w:rPr>
                <w:noProof/>
                <w:sz w:val="20"/>
              </w:rPr>
              <w:t>74 %</w:t>
            </w:r>
          </w:p>
        </w:tc>
        <w:tc>
          <w:tcPr>
            <w:tcW w:w="793" w:type="dxa"/>
            <w:noWrap/>
            <w:vAlign w:val="bottom"/>
            <w:hideMark/>
          </w:tcPr>
          <w:p w:rsidR="00CA65E6" w:rsidRDefault="00CB294D">
            <w:pPr>
              <w:spacing w:after="0"/>
              <w:jc w:val="center"/>
              <w:rPr>
                <w:noProof/>
                <w:sz w:val="20"/>
              </w:rPr>
            </w:pPr>
            <w:r>
              <w:rPr>
                <w:noProof/>
                <w:sz w:val="20"/>
              </w:rPr>
              <w:t>74 %</w:t>
            </w:r>
          </w:p>
        </w:tc>
        <w:tc>
          <w:tcPr>
            <w:tcW w:w="794" w:type="dxa"/>
            <w:noWrap/>
            <w:vAlign w:val="bottom"/>
            <w:hideMark/>
          </w:tcPr>
          <w:p w:rsidR="00CA65E6" w:rsidRDefault="00CA65E6">
            <w:pPr>
              <w:spacing w:after="0"/>
              <w:jc w:val="left"/>
              <w:rPr>
                <w:noProof/>
                <w:sz w:val="20"/>
              </w:rPr>
            </w:pPr>
          </w:p>
        </w:tc>
      </w:tr>
      <w:tr w:rsidR="00CA65E6">
        <w:trPr>
          <w:trHeight w:val="255"/>
          <w:jc w:val="center"/>
        </w:trPr>
        <w:tc>
          <w:tcPr>
            <w:tcW w:w="2175" w:type="dxa"/>
            <w:noWrap/>
            <w:vAlign w:val="bottom"/>
            <w:hideMark/>
          </w:tcPr>
          <w:p w:rsidR="00CA65E6" w:rsidRDefault="00CB294D">
            <w:pPr>
              <w:spacing w:after="0"/>
              <w:jc w:val="left"/>
              <w:rPr>
                <w:noProof/>
                <w:sz w:val="20"/>
              </w:rPr>
            </w:pPr>
            <w:r>
              <w:rPr>
                <w:noProof/>
                <w:sz w:val="20"/>
              </w:rPr>
              <w:t>Mexiko</w:t>
            </w:r>
          </w:p>
        </w:tc>
        <w:tc>
          <w:tcPr>
            <w:tcW w:w="793" w:type="dxa"/>
            <w:noWrap/>
            <w:vAlign w:val="bottom"/>
            <w:hideMark/>
          </w:tcPr>
          <w:p w:rsidR="00CA65E6" w:rsidRDefault="00CA65E6">
            <w:pPr>
              <w:spacing w:after="0"/>
              <w:jc w:val="left"/>
              <w:rPr>
                <w:noProof/>
                <w:sz w:val="20"/>
              </w:rPr>
            </w:pPr>
          </w:p>
        </w:tc>
        <w:tc>
          <w:tcPr>
            <w:tcW w:w="794" w:type="dxa"/>
            <w:noWrap/>
            <w:vAlign w:val="bottom"/>
            <w:hideMark/>
          </w:tcPr>
          <w:p w:rsidR="00CA65E6" w:rsidRDefault="00CB294D">
            <w:pPr>
              <w:spacing w:after="0"/>
              <w:jc w:val="center"/>
              <w:rPr>
                <w:noProof/>
                <w:sz w:val="20"/>
              </w:rPr>
            </w:pPr>
            <w:r>
              <w:rPr>
                <w:noProof/>
                <w:sz w:val="20"/>
              </w:rPr>
              <w:t>68 %</w:t>
            </w:r>
          </w:p>
        </w:tc>
        <w:tc>
          <w:tcPr>
            <w:tcW w:w="793" w:type="dxa"/>
            <w:noWrap/>
            <w:vAlign w:val="bottom"/>
            <w:hideMark/>
          </w:tcPr>
          <w:p w:rsidR="00CA65E6" w:rsidRDefault="00CA65E6">
            <w:pPr>
              <w:spacing w:after="0"/>
              <w:jc w:val="left"/>
              <w:rPr>
                <w:noProof/>
                <w:sz w:val="20"/>
              </w:rPr>
            </w:pPr>
          </w:p>
        </w:tc>
        <w:tc>
          <w:tcPr>
            <w:tcW w:w="794" w:type="dxa"/>
            <w:noWrap/>
            <w:vAlign w:val="bottom"/>
            <w:hideMark/>
          </w:tcPr>
          <w:p w:rsidR="00CA65E6" w:rsidRDefault="00CA65E6">
            <w:pPr>
              <w:spacing w:after="0"/>
              <w:jc w:val="left"/>
              <w:rPr>
                <w:noProof/>
                <w:sz w:val="20"/>
              </w:rPr>
            </w:pPr>
          </w:p>
        </w:tc>
      </w:tr>
      <w:tr w:rsidR="00CA65E6">
        <w:trPr>
          <w:trHeight w:val="255"/>
          <w:jc w:val="center"/>
        </w:trPr>
        <w:tc>
          <w:tcPr>
            <w:tcW w:w="2175" w:type="dxa"/>
            <w:noWrap/>
            <w:vAlign w:val="bottom"/>
            <w:hideMark/>
          </w:tcPr>
          <w:p w:rsidR="00CA65E6" w:rsidRDefault="00CB294D">
            <w:pPr>
              <w:spacing w:after="0"/>
              <w:jc w:val="left"/>
              <w:rPr>
                <w:noProof/>
                <w:sz w:val="20"/>
              </w:rPr>
            </w:pPr>
            <w:r>
              <w:rPr>
                <w:noProof/>
                <w:sz w:val="20"/>
              </w:rPr>
              <w:t>Montenegro</w:t>
            </w:r>
          </w:p>
        </w:tc>
        <w:tc>
          <w:tcPr>
            <w:tcW w:w="793" w:type="dxa"/>
            <w:noWrap/>
            <w:vAlign w:val="bottom"/>
            <w:hideMark/>
          </w:tcPr>
          <w:p w:rsidR="00CA65E6" w:rsidRDefault="00CB294D">
            <w:pPr>
              <w:spacing w:after="0"/>
              <w:jc w:val="center"/>
              <w:rPr>
                <w:noProof/>
                <w:sz w:val="20"/>
              </w:rPr>
            </w:pPr>
            <w:r>
              <w:rPr>
                <w:noProof/>
                <w:sz w:val="20"/>
              </w:rPr>
              <w:t>86 %</w:t>
            </w:r>
          </w:p>
        </w:tc>
        <w:tc>
          <w:tcPr>
            <w:tcW w:w="794" w:type="dxa"/>
            <w:noWrap/>
            <w:vAlign w:val="bottom"/>
            <w:hideMark/>
          </w:tcPr>
          <w:p w:rsidR="00CA65E6" w:rsidRDefault="00CB294D">
            <w:pPr>
              <w:spacing w:after="0"/>
              <w:jc w:val="center"/>
              <w:rPr>
                <w:noProof/>
                <w:sz w:val="20"/>
              </w:rPr>
            </w:pPr>
            <w:r>
              <w:rPr>
                <w:noProof/>
                <w:sz w:val="20"/>
              </w:rPr>
              <w:t>86 %</w:t>
            </w:r>
          </w:p>
        </w:tc>
        <w:tc>
          <w:tcPr>
            <w:tcW w:w="793" w:type="dxa"/>
            <w:noWrap/>
            <w:vAlign w:val="bottom"/>
            <w:hideMark/>
          </w:tcPr>
          <w:p w:rsidR="00CA65E6" w:rsidRDefault="00CB294D">
            <w:pPr>
              <w:spacing w:after="0"/>
              <w:jc w:val="center"/>
              <w:rPr>
                <w:noProof/>
                <w:sz w:val="20"/>
              </w:rPr>
            </w:pPr>
            <w:r>
              <w:rPr>
                <w:noProof/>
                <w:sz w:val="20"/>
              </w:rPr>
              <w:t>85 %</w:t>
            </w:r>
          </w:p>
        </w:tc>
        <w:tc>
          <w:tcPr>
            <w:tcW w:w="794" w:type="dxa"/>
            <w:noWrap/>
            <w:vAlign w:val="bottom"/>
            <w:hideMark/>
          </w:tcPr>
          <w:p w:rsidR="00CA65E6" w:rsidRDefault="00CB294D">
            <w:pPr>
              <w:spacing w:after="0"/>
              <w:jc w:val="center"/>
              <w:rPr>
                <w:noProof/>
                <w:sz w:val="20"/>
              </w:rPr>
            </w:pPr>
            <w:r>
              <w:rPr>
                <w:noProof/>
                <w:sz w:val="20"/>
              </w:rPr>
              <w:t>85 %</w:t>
            </w:r>
          </w:p>
        </w:tc>
      </w:tr>
      <w:tr w:rsidR="00CA65E6">
        <w:trPr>
          <w:trHeight w:val="255"/>
          <w:jc w:val="center"/>
        </w:trPr>
        <w:tc>
          <w:tcPr>
            <w:tcW w:w="2175" w:type="dxa"/>
            <w:noWrap/>
            <w:vAlign w:val="bottom"/>
            <w:hideMark/>
          </w:tcPr>
          <w:p w:rsidR="00CA65E6" w:rsidRDefault="00CB294D">
            <w:pPr>
              <w:spacing w:after="0"/>
              <w:jc w:val="left"/>
              <w:rPr>
                <w:noProof/>
                <w:sz w:val="20"/>
              </w:rPr>
            </w:pPr>
            <w:r>
              <w:rPr>
                <w:noProof/>
                <w:sz w:val="20"/>
              </w:rPr>
              <w:t>Marocko</w:t>
            </w:r>
          </w:p>
        </w:tc>
        <w:tc>
          <w:tcPr>
            <w:tcW w:w="793" w:type="dxa"/>
            <w:noWrap/>
            <w:vAlign w:val="bottom"/>
            <w:hideMark/>
          </w:tcPr>
          <w:p w:rsidR="00CA65E6" w:rsidRDefault="00CA65E6">
            <w:pPr>
              <w:spacing w:after="0"/>
              <w:jc w:val="left"/>
              <w:rPr>
                <w:noProof/>
                <w:sz w:val="20"/>
              </w:rPr>
            </w:pPr>
          </w:p>
        </w:tc>
        <w:tc>
          <w:tcPr>
            <w:tcW w:w="794" w:type="dxa"/>
            <w:noWrap/>
            <w:vAlign w:val="bottom"/>
            <w:hideMark/>
          </w:tcPr>
          <w:p w:rsidR="00CA65E6" w:rsidRDefault="00CA65E6">
            <w:pPr>
              <w:spacing w:after="0"/>
              <w:jc w:val="left"/>
              <w:rPr>
                <w:noProof/>
                <w:sz w:val="20"/>
              </w:rPr>
            </w:pPr>
          </w:p>
        </w:tc>
        <w:tc>
          <w:tcPr>
            <w:tcW w:w="793" w:type="dxa"/>
            <w:noWrap/>
            <w:vAlign w:val="bottom"/>
            <w:hideMark/>
          </w:tcPr>
          <w:p w:rsidR="00CA65E6" w:rsidRDefault="00CA65E6">
            <w:pPr>
              <w:spacing w:after="0"/>
              <w:jc w:val="left"/>
              <w:rPr>
                <w:noProof/>
                <w:sz w:val="20"/>
              </w:rPr>
            </w:pPr>
          </w:p>
        </w:tc>
        <w:tc>
          <w:tcPr>
            <w:tcW w:w="794" w:type="dxa"/>
            <w:noWrap/>
            <w:vAlign w:val="bottom"/>
            <w:hideMark/>
          </w:tcPr>
          <w:p w:rsidR="00CA65E6" w:rsidRDefault="00CB294D">
            <w:pPr>
              <w:spacing w:after="0"/>
              <w:jc w:val="center"/>
              <w:rPr>
                <w:noProof/>
                <w:sz w:val="20"/>
              </w:rPr>
            </w:pPr>
            <w:r>
              <w:rPr>
                <w:noProof/>
                <w:sz w:val="20"/>
              </w:rPr>
              <w:t>52 %</w:t>
            </w:r>
          </w:p>
        </w:tc>
      </w:tr>
      <w:tr w:rsidR="00CA65E6">
        <w:trPr>
          <w:trHeight w:val="255"/>
          <w:jc w:val="center"/>
        </w:trPr>
        <w:tc>
          <w:tcPr>
            <w:tcW w:w="2175" w:type="dxa"/>
            <w:noWrap/>
            <w:vAlign w:val="bottom"/>
            <w:hideMark/>
          </w:tcPr>
          <w:p w:rsidR="00CA65E6" w:rsidRDefault="00CB294D">
            <w:pPr>
              <w:spacing w:after="0"/>
              <w:jc w:val="left"/>
              <w:rPr>
                <w:noProof/>
                <w:sz w:val="20"/>
              </w:rPr>
            </w:pPr>
            <w:r>
              <w:rPr>
                <w:noProof/>
                <w:sz w:val="20"/>
              </w:rPr>
              <w:t>Nicaragua</w:t>
            </w:r>
          </w:p>
        </w:tc>
        <w:tc>
          <w:tcPr>
            <w:tcW w:w="793" w:type="dxa"/>
            <w:noWrap/>
            <w:vAlign w:val="bottom"/>
            <w:hideMark/>
          </w:tcPr>
          <w:p w:rsidR="00CA65E6" w:rsidRDefault="00CB294D">
            <w:pPr>
              <w:spacing w:after="0"/>
              <w:jc w:val="center"/>
              <w:rPr>
                <w:noProof/>
                <w:sz w:val="20"/>
              </w:rPr>
            </w:pPr>
            <w:r>
              <w:rPr>
                <w:noProof/>
                <w:sz w:val="20"/>
              </w:rPr>
              <w:t>0 %</w:t>
            </w:r>
          </w:p>
        </w:tc>
        <w:tc>
          <w:tcPr>
            <w:tcW w:w="794" w:type="dxa"/>
            <w:noWrap/>
            <w:vAlign w:val="bottom"/>
            <w:hideMark/>
          </w:tcPr>
          <w:p w:rsidR="00CA65E6" w:rsidRDefault="00CB294D">
            <w:pPr>
              <w:spacing w:after="0"/>
              <w:jc w:val="center"/>
              <w:rPr>
                <w:noProof/>
                <w:sz w:val="20"/>
              </w:rPr>
            </w:pPr>
            <w:r>
              <w:rPr>
                <w:noProof/>
                <w:sz w:val="20"/>
              </w:rPr>
              <w:t>12 %</w:t>
            </w:r>
          </w:p>
        </w:tc>
        <w:tc>
          <w:tcPr>
            <w:tcW w:w="793" w:type="dxa"/>
            <w:noWrap/>
            <w:vAlign w:val="bottom"/>
            <w:hideMark/>
          </w:tcPr>
          <w:p w:rsidR="00CA65E6" w:rsidRDefault="00CB294D">
            <w:pPr>
              <w:spacing w:after="0"/>
              <w:jc w:val="center"/>
              <w:rPr>
                <w:noProof/>
                <w:sz w:val="20"/>
              </w:rPr>
            </w:pPr>
            <w:r>
              <w:rPr>
                <w:noProof/>
                <w:sz w:val="20"/>
              </w:rPr>
              <w:t>22 %</w:t>
            </w:r>
          </w:p>
        </w:tc>
        <w:tc>
          <w:tcPr>
            <w:tcW w:w="794" w:type="dxa"/>
            <w:noWrap/>
            <w:vAlign w:val="bottom"/>
            <w:hideMark/>
          </w:tcPr>
          <w:p w:rsidR="00CA65E6" w:rsidRDefault="00CA65E6">
            <w:pPr>
              <w:spacing w:after="0"/>
              <w:jc w:val="left"/>
              <w:rPr>
                <w:noProof/>
                <w:sz w:val="20"/>
              </w:rPr>
            </w:pPr>
          </w:p>
        </w:tc>
      </w:tr>
      <w:tr w:rsidR="00CA65E6">
        <w:trPr>
          <w:trHeight w:val="255"/>
          <w:jc w:val="center"/>
        </w:trPr>
        <w:tc>
          <w:tcPr>
            <w:tcW w:w="2175" w:type="dxa"/>
            <w:noWrap/>
            <w:vAlign w:val="bottom"/>
            <w:hideMark/>
          </w:tcPr>
          <w:p w:rsidR="00CA65E6" w:rsidRDefault="00CB294D">
            <w:pPr>
              <w:spacing w:after="0"/>
              <w:jc w:val="left"/>
              <w:rPr>
                <w:noProof/>
                <w:sz w:val="20"/>
              </w:rPr>
            </w:pPr>
            <w:r>
              <w:rPr>
                <w:noProof/>
                <w:sz w:val="20"/>
              </w:rPr>
              <w:t>Peru</w:t>
            </w:r>
          </w:p>
        </w:tc>
        <w:tc>
          <w:tcPr>
            <w:tcW w:w="793" w:type="dxa"/>
            <w:noWrap/>
            <w:vAlign w:val="bottom"/>
            <w:hideMark/>
          </w:tcPr>
          <w:p w:rsidR="00CA65E6" w:rsidRDefault="00CA65E6">
            <w:pPr>
              <w:spacing w:after="0"/>
              <w:jc w:val="left"/>
              <w:rPr>
                <w:noProof/>
                <w:sz w:val="20"/>
              </w:rPr>
            </w:pPr>
          </w:p>
        </w:tc>
        <w:tc>
          <w:tcPr>
            <w:tcW w:w="794" w:type="dxa"/>
            <w:noWrap/>
            <w:vAlign w:val="bottom"/>
            <w:hideMark/>
          </w:tcPr>
          <w:p w:rsidR="00CA65E6" w:rsidRDefault="00CB294D">
            <w:pPr>
              <w:spacing w:after="0"/>
              <w:jc w:val="center"/>
              <w:rPr>
                <w:noProof/>
                <w:sz w:val="20"/>
              </w:rPr>
            </w:pPr>
            <w:r>
              <w:rPr>
                <w:noProof/>
                <w:sz w:val="20"/>
              </w:rPr>
              <w:t>42 %</w:t>
            </w:r>
          </w:p>
        </w:tc>
        <w:tc>
          <w:tcPr>
            <w:tcW w:w="793" w:type="dxa"/>
            <w:noWrap/>
            <w:vAlign w:val="bottom"/>
            <w:hideMark/>
          </w:tcPr>
          <w:p w:rsidR="00CA65E6" w:rsidRDefault="00CA65E6">
            <w:pPr>
              <w:spacing w:after="0"/>
              <w:jc w:val="left"/>
              <w:rPr>
                <w:noProof/>
                <w:sz w:val="20"/>
              </w:rPr>
            </w:pPr>
          </w:p>
        </w:tc>
        <w:tc>
          <w:tcPr>
            <w:tcW w:w="794" w:type="dxa"/>
            <w:noWrap/>
            <w:vAlign w:val="bottom"/>
            <w:hideMark/>
          </w:tcPr>
          <w:p w:rsidR="00CA65E6" w:rsidRDefault="00CA65E6">
            <w:pPr>
              <w:spacing w:after="0"/>
              <w:jc w:val="left"/>
              <w:rPr>
                <w:noProof/>
                <w:sz w:val="20"/>
              </w:rPr>
            </w:pPr>
          </w:p>
        </w:tc>
      </w:tr>
      <w:tr w:rsidR="00CA65E6">
        <w:trPr>
          <w:trHeight w:val="255"/>
          <w:jc w:val="center"/>
        </w:trPr>
        <w:tc>
          <w:tcPr>
            <w:tcW w:w="2175" w:type="dxa"/>
            <w:noWrap/>
            <w:vAlign w:val="bottom"/>
            <w:hideMark/>
          </w:tcPr>
          <w:p w:rsidR="00CA65E6" w:rsidRDefault="00CB294D">
            <w:pPr>
              <w:spacing w:after="0"/>
              <w:jc w:val="left"/>
              <w:rPr>
                <w:noProof/>
                <w:sz w:val="20"/>
              </w:rPr>
            </w:pPr>
            <w:r>
              <w:rPr>
                <w:noProof/>
                <w:sz w:val="20"/>
              </w:rPr>
              <w:t>Serbien</w:t>
            </w:r>
          </w:p>
        </w:tc>
        <w:tc>
          <w:tcPr>
            <w:tcW w:w="793" w:type="dxa"/>
            <w:noWrap/>
            <w:vAlign w:val="bottom"/>
            <w:hideMark/>
          </w:tcPr>
          <w:p w:rsidR="00CA65E6" w:rsidRDefault="00CB294D">
            <w:pPr>
              <w:spacing w:after="0"/>
              <w:jc w:val="center"/>
              <w:rPr>
                <w:noProof/>
                <w:sz w:val="20"/>
              </w:rPr>
            </w:pPr>
            <w:r>
              <w:rPr>
                <w:noProof/>
                <w:sz w:val="20"/>
              </w:rPr>
              <w:t>89 %</w:t>
            </w:r>
          </w:p>
        </w:tc>
        <w:tc>
          <w:tcPr>
            <w:tcW w:w="794" w:type="dxa"/>
            <w:noWrap/>
            <w:vAlign w:val="bottom"/>
            <w:hideMark/>
          </w:tcPr>
          <w:p w:rsidR="00CA65E6" w:rsidRDefault="00CB294D">
            <w:pPr>
              <w:spacing w:after="0"/>
              <w:jc w:val="center"/>
              <w:rPr>
                <w:noProof/>
                <w:sz w:val="20"/>
              </w:rPr>
            </w:pPr>
            <w:r>
              <w:rPr>
                <w:noProof/>
                <w:sz w:val="20"/>
              </w:rPr>
              <w:t>90 %</w:t>
            </w:r>
          </w:p>
        </w:tc>
        <w:tc>
          <w:tcPr>
            <w:tcW w:w="793" w:type="dxa"/>
            <w:noWrap/>
            <w:vAlign w:val="bottom"/>
            <w:hideMark/>
          </w:tcPr>
          <w:p w:rsidR="00CA65E6" w:rsidRDefault="00CB294D">
            <w:pPr>
              <w:spacing w:after="0"/>
              <w:jc w:val="center"/>
              <w:rPr>
                <w:noProof/>
                <w:sz w:val="20"/>
              </w:rPr>
            </w:pPr>
            <w:r>
              <w:rPr>
                <w:noProof/>
                <w:sz w:val="20"/>
              </w:rPr>
              <w:t>89 %</w:t>
            </w:r>
          </w:p>
        </w:tc>
        <w:tc>
          <w:tcPr>
            <w:tcW w:w="794" w:type="dxa"/>
            <w:noWrap/>
            <w:vAlign w:val="bottom"/>
            <w:hideMark/>
          </w:tcPr>
          <w:p w:rsidR="00CA65E6" w:rsidRDefault="00CB294D">
            <w:pPr>
              <w:spacing w:after="0"/>
              <w:jc w:val="center"/>
              <w:rPr>
                <w:noProof/>
                <w:sz w:val="20"/>
              </w:rPr>
            </w:pPr>
            <w:r>
              <w:rPr>
                <w:noProof/>
                <w:sz w:val="20"/>
              </w:rPr>
              <w:t>90 %</w:t>
            </w:r>
          </w:p>
        </w:tc>
      </w:tr>
      <w:tr w:rsidR="00CA65E6">
        <w:trPr>
          <w:trHeight w:val="255"/>
          <w:jc w:val="center"/>
        </w:trPr>
        <w:tc>
          <w:tcPr>
            <w:tcW w:w="2175" w:type="dxa"/>
            <w:noWrap/>
            <w:vAlign w:val="bottom"/>
            <w:hideMark/>
          </w:tcPr>
          <w:p w:rsidR="00CA65E6" w:rsidRDefault="00CB294D">
            <w:pPr>
              <w:spacing w:after="0"/>
              <w:jc w:val="left"/>
              <w:rPr>
                <w:noProof/>
                <w:sz w:val="20"/>
              </w:rPr>
            </w:pPr>
            <w:r>
              <w:rPr>
                <w:noProof/>
                <w:sz w:val="20"/>
              </w:rPr>
              <w:t>Sydkorea</w:t>
            </w:r>
          </w:p>
        </w:tc>
        <w:tc>
          <w:tcPr>
            <w:tcW w:w="793" w:type="dxa"/>
            <w:noWrap/>
            <w:vAlign w:val="bottom"/>
            <w:hideMark/>
          </w:tcPr>
          <w:p w:rsidR="00CA65E6" w:rsidRDefault="00CB294D">
            <w:pPr>
              <w:spacing w:after="0"/>
              <w:jc w:val="center"/>
              <w:rPr>
                <w:noProof/>
                <w:sz w:val="20"/>
              </w:rPr>
            </w:pPr>
            <w:r>
              <w:rPr>
                <w:noProof/>
                <w:sz w:val="20"/>
              </w:rPr>
              <w:t>65 %</w:t>
            </w:r>
          </w:p>
        </w:tc>
        <w:tc>
          <w:tcPr>
            <w:tcW w:w="794" w:type="dxa"/>
            <w:noWrap/>
            <w:vAlign w:val="bottom"/>
            <w:hideMark/>
          </w:tcPr>
          <w:p w:rsidR="00CA65E6" w:rsidRDefault="00CB294D">
            <w:pPr>
              <w:spacing w:after="0"/>
              <w:jc w:val="center"/>
              <w:rPr>
                <w:noProof/>
                <w:sz w:val="20"/>
              </w:rPr>
            </w:pPr>
            <w:r>
              <w:rPr>
                <w:noProof/>
                <w:sz w:val="20"/>
              </w:rPr>
              <w:t>65 %</w:t>
            </w:r>
          </w:p>
        </w:tc>
        <w:tc>
          <w:tcPr>
            <w:tcW w:w="793" w:type="dxa"/>
            <w:noWrap/>
            <w:vAlign w:val="bottom"/>
            <w:hideMark/>
          </w:tcPr>
          <w:p w:rsidR="00CA65E6" w:rsidRDefault="00CB294D">
            <w:pPr>
              <w:spacing w:after="0"/>
              <w:jc w:val="center"/>
              <w:rPr>
                <w:noProof/>
                <w:sz w:val="20"/>
              </w:rPr>
            </w:pPr>
            <w:r>
              <w:rPr>
                <w:noProof/>
                <w:sz w:val="20"/>
              </w:rPr>
              <w:t>68 %</w:t>
            </w:r>
          </w:p>
        </w:tc>
        <w:tc>
          <w:tcPr>
            <w:tcW w:w="794" w:type="dxa"/>
            <w:noWrap/>
            <w:vAlign w:val="bottom"/>
            <w:hideMark/>
          </w:tcPr>
          <w:p w:rsidR="00CA65E6" w:rsidRDefault="00CB294D">
            <w:pPr>
              <w:spacing w:after="0"/>
              <w:jc w:val="center"/>
              <w:rPr>
                <w:noProof/>
                <w:sz w:val="20"/>
              </w:rPr>
            </w:pPr>
            <w:r>
              <w:rPr>
                <w:noProof/>
                <w:sz w:val="20"/>
              </w:rPr>
              <w:t>71 %</w:t>
            </w:r>
          </w:p>
        </w:tc>
      </w:tr>
      <w:tr w:rsidR="00CA65E6">
        <w:trPr>
          <w:trHeight w:val="255"/>
          <w:jc w:val="center"/>
        </w:trPr>
        <w:tc>
          <w:tcPr>
            <w:tcW w:w="2175" w:type="dxa"/>
            <w:noWrap/>
            <w:vAlign w:val="bottom"/>
            <w:hideMark/>
          </w:tcPr>
          <w:p w:rsidR="00CA65E6" w:rsidRDefault="00CB294D">
            <w:pPr>
              <w:spacing w:after="0"/>
              <w:jc w:val="left"/>
              <w:rPr>
                <w:noProof/>
                <w:sz w:val="20"/>
              </w:rPr>
            </w:pPr>
            <w:r>
              <w:rPr>
                <w:noProof/>
                <w:sz w:val="20"/>
              </w:rPr>
              <w:t>Schweiz</w:t>
            </w:r>
          </w:p>
        </w:tc>
        <w:tc>
          <w:tcPr>
            <w:tcW w:w="793" w:type="dxa"/>
            <w:noWrap/>
            <w:vAlign w:val="bottom"/>
            <w:hideMark/>
          </w:tcPr>
          <w:p w:rsidR="00CA65E6" w:rsidRDefault="00CB294D">
            <w:pPr>
              <w:spacing w:after="0"/>
              <w:jc w:val="center"/>
              <w:rPr>
                <w:noProof/>
                <w:sz w:val="20"/>
              </w:rPr>
            </w:pPr>
            <w:r>
              <w:rPr>
                <w:noProof/>
                <w:sz w:val="20"/>
              </w:rPr>
              <w:t>80 %</w:t>
            </w:r>
          </w:p>
        </w:tc>
        <w:tc>
          <w:tcPr>
            <w:tcW w:w="794" w:type="dxa"/>
            <w:noWrap/>
            <w:vAlign w:val="bottom"/>
            <w:hideMark/>
          </w:tcPr>
          <w:p w:rsidR="00CA65E6" w:rsidRDefault="00CB294D">
            <w:pPr>
              <w:spacing w:after="0"/>
              <w:jc w:val="center"/>
              <w:rPr>
                <w:noProof/>
                <w:sz w:val="20"/>
              </w:rPr>
            </w:pPr>
            <w:r>
              <w:rPr>
                <w:noProof/>
                <w:sz w:val="20"/>
              </w:rPr>
              <w:t>80 %</w:t>
            </w:r>
          </w:p>
        </w:tc>
        <w:tc>
          <w:tcPr>
            <w:tcW w:w="793" w:type="dxa"/>
            <w:noWrap/>
            <w:vAlign w:val="bottom"/>
            <w:hideMark/>
          </w:tcPr>
          <w:p w:rsidR="00CA65E6" w:rsidRDefault="00CB294D">
            <w:pPr>
              <w:spacing w:after="0"/>
              <w:jc w:val="center"/>
              <w:rPr>
                <w:noProof/>
                <w:sz w:val="20"/>
              </w:rPr>
            </w:pPr>
            <w:r>
              <w:rPr>
                <w:noProof/>
                <w:sz w:val="20"/>
              </w:rPr>
              <w:t>78 %</w:t>
            </w:r>
          </w:p>
        </w:tc>
        <w:tc>
          <w:tcPr>
            <w:tcW w:w="794" w:type="dxa"/>
            <w:noWrap/>
            <w:vAlign w:val="bottom"/>
            <w:hideMark/>
          </w:tcPr>
          <w:p w:rsidR="00CA65E6" w:rsidRDefault="00CB294D">
            <w:pPr>
              <w:spacing w:after="0"/>
              <w:jc w:val="center"/>
              <w:rPr>
                <w:noProof/>
                <w:sz w:val="20"/>
              </w:rPr>
            </w:pPr>
            <w:r>
              <w:rPr>
                <w:noProof/>
                <w:sz w:val="20"/>
              </w:rPr>
              <w:t>79 %</w:t>
            </w:r>
          </w:p>
        </w:tc>
      </w:tr>
      <w:tr w:rsidR="00CA65E6">
        <w:trPr>
          <w:trHeight w:val="255"/>
          <w:jc w:val="center"/>
        </w:trPr>
        <w:tc>
          <w:tcPr>
            <w:tcW w:w="2175" w:type="dxa"/>
            <w:noWrap/>
            <w:vAlign w:val="bottom"/>
            <w:hideMark/>
          </w:tcPr>
          <w:p w:rsidR="00CA65E6" w:rsidRDefault="00CB294D">
            <w:pPr>
              <w:spacing w:after="0"/>
              <w:jc w:val="left"/>
              <w:rPr>
                <w:noProof/>
                <w:sz w:val="20"/>
              </w:rPr>
            </w:pPr>
            <w:r>
              <w:rPr>
                <w:noProof/>
                <w:sz w:val="20"/>
              </w:rPr>
              <w:t>Turkiet</w:t>
            </w:r>
          </w:p>
        </w:tc>
        <w:tc>
          <w:tcPr>
            <w:tcW w:w="793" w:type="dxa"/>
            <w:noWrap/>
            <w:vAlign w:val="bottom"/>
            <w:hideMark/>
          </w:tcPr>
          <w:p w:rsidR="00CA65E6" w:rsidRDefault="00CA65E6">
            <w:pPr>
              <w:spacing w:after="0"/>
              <w:jc w:val="left"/>
              <w:rPr>
                <w:noProof/>
                <w:sz w:val="20"/>
              </w:rPr>
            </w:pPr>
          </w:p>
        </w:tc>
        <w:tc>
          <w:tcPr>
            <w:tcW w:w="794" w:type="dxa"/>
            <w:noWrap/>
            <w:vAlign w:val="bottom"/>
            <w:hideMark/>
          </w:tcPr>
          <w:p w:rsidR="00CA65E6" w:rsidRDefault="00CA65E6">
            <w:pPr>
              <w:spacing w:after="0"/>
              <w:jc w:val="left"/>
              <w:rPr>
                <w:noProof/>
                <w:sz w:val="20"/>
              </w:rPr>
            </w:pPr>
          </w:p>
        </w:tc>
        <w:tc>
          <w:tcPr>
            <w:tcW w:w="793" w:type="dxa"/>
            <w:noWrap/>
            <w:vAlign w:val="bottom"/>
            <w:hideMark/>
          </w:tcPr>
          <w:p w:rsidR="00CA65E6" w:rsidRDefault="00CA65E6">
            <w:pPr>
              <w:spacing w:after="0"/>
              <w:jc w:val="left"/>
              <w:rPr>
                <w:noProof/>
                <w:sz w:val="20"/>
              </w:rPr>
            </w:pPr>
          </w:p>
        </w:tc>
        <w:tc>
          <w:tcPr>
            <w:tcW w:w="794" w:type="dxa"/>
            <w:noWrap/>
            <w:vAlign w:val="bottom"/>
            <w:hideMark/>
          </w:tcPr>
          <w:p w:rsidR="00CA65E6" w:rsidRDefault="00CB294D">
            <w:pPr>
              <w:spacing w:after="0"/>
              <w:jc w:val="center"/>
              <w:rPr>
                <w:noProof/>
                <w:sz w:val="20"/>
              </w:rPr>
            </w:pPr>
            <w:r>
              <w:rPr>
                <w:noProof/>
                <w:sz w:val="20"/>
              </w:rPr>
              <w:t>95 %</w:t>
            </w:r>
          </w:p>
        </w:tc>
      </w:tr>
    </w:tbl>
    <w:p w:rsidR="00CA65E6" w:rsidRDefault="00CA65E6">
      <w:pPr>
        <w:jc w:val="center"/>
        <w:rPr>
          <w:b/>
          <w:noProof/>
        </w:rPr>
      </w:pPr>
    </w:p>
    <w:p w:rsidR="00CA65E6" w:rsidRDefault="00CA65E6">
      <w:pPr>
        <w:rPr>
          <w:noProof/>
        </w:rPr>
      </w:pPr>
    </w:p>
    <w:p w:rsidR="00CA65E6" w:rsidRDefault="00CA65E6">
      <w:pPr>
        <w:rPr>
          <w:noProof/>
        </w:rPr>
      </w:pPr>
    </w:p>
    <w:sectPr w:rsidR="00CA65E6">
      <w:headerReference w:type="even" r:id="rId42"/>
      <w:headerReference w:type="default" r:id="rId43"/>
      <w:footerReference w:type="even" r:id="rId44"/>
      <w:footerReference w:type="default" r:id="rId45"/>
      <w:headerReference w:type="first" r:id="rId46"/>
      <w:footerReference w:type="first" r:id="rId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65E6" w:rsidRDefault="00CB294D">
      <w:pPr>
        <w:spacing w:after="0"/>
      </w:pPr>
      <w:r>
        <w:separator/>
      </w:r>
    </w:p>
  </w:endnote>
  <w:endnote w:type="continuationSeparator" w:id="0">
    <w:p w:rsidR="00CA65E6" w:rsidRDefault="00CB29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EUAlbertina">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A77" w:rsidRPr="00AC6A77" w:rsidRDefault="00AC6A77" w:rsidP="00AC6A7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5E6" w:rsidRDefault="00CA65E6">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5E6" w:rsidRDefault="00CB294D">
    <w:pPr>
      <w:pStyle w:val="Footer"/>
      <w:jc w:val="center"/>
    </w:pPr>
    <w:r>
      <w:fldChar w:fldCharType="begin"/>
    </w:r>
    <w:r>
      <w:instrText>PAGE</w:instrText>
    </w:r>
    <w:r>
      <w:fldChar w:fldCharType="separate"/>
    </w:r>
    <w:r>
      <w:rPr>
        <w:noProof/>
      </w:rPr>
      <w:t>19</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7330235"/>
      <w:docPartObj>
        <w:docPartGallery w:val="Page Numbers (Bottom of Page)"/>
        <w:docPartUnique/>
      </w:docPartObj>
    </w:sdtPr>
    <w:sdtEndPr>
      <w:rPr>
        <w:noProof/>
      </w:rPr>
    </w:sdtEndPr>
    <w:sdtContent>
      <w:p w:rsidR="00CA65E6" w:rsidRDefault="00CB294D">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rsidR="00CA65E6" w:rsidRDefault="00CA65E6">
    <w:pPr>
      <w:pStyle w:val="FooterCoverPag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5E6" w:rsidRDefault="00CA65E6">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5E6" w:rsidRDefault="00CB294D">
    <w:pPr>
      <w:pStyle w:val="Footer"/>
      <w:jc w:val="center"/>
    </w:pPr>
    <w:r>
      <w:fldChar w:fldCharType="begin"/>
    </w:r>
    <w:r>
      <w:instrText>PAGE</w:instrText>
    </w:r>
    <w:r>
      <w:fldChar w:fldCharType="separate"/>
    </w:r>
    <w:r>
      <w:rPr>
        <w:noProof/>
      </w:rPr>
      <w:t>4</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498820"/>
      <w:docPartObj>
        <w:docPartGallery w:val="Page Numbers (Bottom of Page)"/>
        <w:docPartUnique/>
      </w:docPartObj>
    </w:sdtPr>
    <w:sdtEndPr>
      <w:rPr>
        <w:noProof/>
      </w:rPr>
    </w:sdtEndPr>
    <w:sdtContent>
      <w:p w:rsidR="00CA65E6" w:rsidRDefault="00CB294D">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rsidR="00CA65E6" w:rsidRDefault="00CA65E6">
    <w:pPr>
      <w:pStyle w:val="FooterCoverPage"/>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5E6" w:rsidRDefault="00CA65E6">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5E6" w:rsidRDefault="00CB294D">
    <w:pPr>
      <w:pStyle w:val="Footer"/>
      <w:jc w:val="center"/>
    </w:pPr>
    <w:r>
      <w:fldChar w:fldCharType="begin"/>
    </w:r>
    <w:r>
      <w:instrText>PAGE</w:instrText>
    </w:r>
    <w:r>
      <w:fldChar w:fldCharType="separate"/>
    </w:r>
    <w:r>
      <w:rPr>
        <w:noProof/>
      </w:rPr>
      <w:t>42</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8577406"/>
      <w:docPartObj>
        <w:docPartGallery w:val="Page Numbers (Bottom of Page)"/>
        <w:docPartUnique/>
      </w:docPartObj>
    </w:sdtPr>
    <w:sdtEndPr>
      <w:rPr>
        <w:noProof/>
      </w:rPr>
    </w:sdtEndPr>
    <w:sdtContent>
      <w:p w:rsidR="00CA65E6" w:rsidRDefault="00CB294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CA65E6" w:rsidRDefault="00CA65E6">
    <w:pPr>
      <w:pStyle w:val="FooterCover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A77" w:rsidRPr="00AC6A77" w:rsidRDefault="00AC6A77" w:rsidP="00AC6A77">
    <w:pPr>
      <w:pStyle w:val="FooterCoverPage"/>
      <w:rPr>
        <w:rFonts w:ascii="Arial" w:hAnsi="Arial" w:cs="Arial"/>
        <w:b/>
        <w:sz w:val="48"/>
      </w:rPr>
    </w:pPr>
    <w:r w:rsidRPr="00AC6A77">
      <w:rPr>
        <w:rFonts w:ascii="Arial" w:hAnsi="Arial" w:cs="Arial"/>
        <w:b/>
        <w:sz w:val="48"/>
      </w:rPr>
      <w:t>SV</w:t>
    </w:r>
    <w:r w:rsidRPr="00AC6A77">
      <w:rPr>
        <w:rFonts w:ascii="Arial" w:hAnsi="Arial" w:cs="Arial"/>
        <w:b/>
        <w:sz w:val="48"/>
      </w:rPr>
      <w:tab/>
    </w:r>
    <w:r w:rsidRPr="00AC6A77">
      <w:rPr>
        <w:rFonts w:ascii="Arial" w:hAnsi="Arial" w:cs="Arial"/>
        <w:b/>
        <w:sz w:val="48"/>
      </w:rPr>
      <w:tab/>
    </w:r>
    <w:r w:rsidRPr="00AC6A77">
      <w:tab/>
    </w:r>
    <w:r w:rsidRPr="00AC6A77">
      <w:rPr>
        <w:rFonts w:ascii="Arial" w:hAnsi="Arial" w:cs="Arial"/>
        <w:b/>
        <w:sz w:val="48"/>
      </w:rPr>
      <w:t>SV</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A77" w:rsidRPr="00AC6A77" w:rsidRDefault="00AC6A77" w:rsidP="00AC6A77">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5E6" w:rsidRDefault="00CA65E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5E6" w:rsidRDefault="00CB294D">
    <w:pPr>
      <w:pStyle w:val="Footer"/>
      <w:jc w:val="center"/>
    </w:pPr>
    <w:r>
      <w:fldChar w:fldCharType="begin"/>
    </w:r>
    <w:r>
      <w:instrText>PAGE</w:instrText>
    </w:r>
    <w:r>
      <w:fldChar w:fldCharType="separate"/>
    </w:r>
    <w:r w:rsidR="00AC6A77">
      <w:rPr>
        <w:noProof/>
      </w:rPr>
      <w:t>3</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9094845"/>
      <w:docPartObj>
        <w:docPartGallery w:val="Page Numbers (Bottom of Page)"/>
        <w:docPartUnique/>
      </w:docPartObj>
    </w:sdtPr>
    <w:sdtEndPr>
      <w:rPr>
        <w:noProof/>
      </w:rPr>
    </w:sdtEndPr>
    <w:sdtContent>
      <w:p w:rsidR="00CA65E6" w:rsidRDefault="00CB294D">
        <w:pPr>
          <w:pStyle w:val="Footer"/>
          <w:jc w:val="center"/>
        </w:pPr>
        <w:r>
          <w:fldChar w:fldCharType="begin"/>
        </w:r>
        <w:r>
          <w:instrText xml:space="preserve"> PAGE   \* MERGEFORMAT </w:instrText>
        </w:r>
        <w:r>
          <w:fldChar w:fldCharType="separate"/>
        </w:r>
        <w:r w:rsidR="00AC6A77">
          <w:rPr>
            <w:noProof/>
          </w:rPr>
          <w:t>2</w:t>
        </w:r>
        <w:r>
          <w:rPr>
            <w:noProof/>
          </w:rPr>
          <w:fldChar w:fldCharType="end"/>
        </w:r>
      </w:p>
    </w:sdtContent>
  </w:sdt>
  <w:p w:rsidR="00CA65E6" w:rsidRDefault="00CA65E6">
    <w:pPr>
      <w:pStyle w:val="FooterCover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5E6" w:rsidRDefault="00CA65E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5E6" w:rsidRDefault="00CB294D">
    <w:pPr>
      <w:pStyle w:val="Footer"/>
      <w:jc w:val="center"/>
    </w:pPr>
    <w:r>
      <w:fldChar w:fldCharType="begin"/>
    </w:r>
    <w:r>
      <w:instrText>PAGE</w:instrText>
    </w:r>
    <w:r>
      <w:fldChar w:fldCharType="separate"/>
    </w:r>
    <w:r>
      <w:rPr>
        <w:noProof/>
      </w:rPr>
      <w:t>4</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875719"/>
      <w:docPartObj>
        <w:docPartGallery w:val="Page Numbers (Bottom of Page)"/>
        <w:docPartUnique/>
      </w:docPartObj>
    </w:sdtPr>
    <w:sdtEndPr>
      <w:rPr>
        <w:noProof/>
      </w:rPr>
    </w:sdtEndPr>
    <w:sdtContent>
      <w:p w:rsidR="00CA65E6" w:rsidRDefault="00CB294D">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CA65E6" w:rsidRDefault="00CA65E6">
    <w:pPr>
      <w:pStyle w:val="FooterCover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65E6" w:rsidRDefault="00CB294D">
      <w:pPr>
        <w:spacing w:after="0"/>
      </w:pPr>
      <w:r>
        <w:separator/>
      </w:r>
    </w:p>
  </w:footnote>
  <w:footnote w:type="continuationSeparator" w:id="0">
    <w:p w:rsidR="00CA65E6" w:rsidRDefault="00CB294D">
      <w:pPr>
        <w:spacing w:after="0"/>
      </w:pPr>
      <w:r>
        <w:continuationSeparator/>
      </w:r>
    </w:p>
  </w:footnote>
  <w:footnote w:id="1">
    <w:p w:rsidR="00CA65E6" w:rsidRDefault="00CB294D">
      <w:pPr>
        <w:pStyle w:val="FootnoteText"/>
        <w:spacing w:after="120"/>
        <w:ind w:left="284" w:hanging="284"/>
      </w:pPr>
      <w:r>
        <w:rPr>
          <w:rStyle w:val="FootnoteReference"/>
        </w:rPr>
        <w:footnoteRef/>
      </w:r>
      <w:r>
        <w:t xml:space="preserve"> Europeiska kommissionens meddelande </w:t>
      </w:r>
      <w:r>
        <w:rPr>
          <w:i/>
        </w:rPr>
        <w:t>Handel för alla –</w:t>
      </w:r>
      <w:r>
        <w:t xml:space="preserve"> </w:t>
      </w:r>
      <w:r>
        <w:rPr>
          <w:i/>
        </w:rPr>
        <w:t>Mot en mer ansvarsfull handels- och investeringspolitik</w:t>
      </w:r>
      <w:r>
        <w:t xml:space="preserve">, COM(2015) 497 final. </w:t>
      </w:r>
      <w:hyperlink w:history="1"/>
      <w:r>
        <w:t xml:space="preserve">Samma föresatser upprepades i kommissionens </w:t>
      </w:r>
      <w:r>
        <w:rPr>
          <w:i/>
        </w:rPr>
        <w:t>Rapport om genomförandet av den handelspolitiska strategin Handel för alla</w:t>
      </w:r>
      <w:r>
        <w:t>, COM(2017) 491 final.</w:t>
      </w:r>
    </w:p>
  </w:footnote>
  <w:footnote w:id="2">
    <w:p w:rsidR="00CA65E6" w:rsidRDefault="00CB294D">
      <w:pPr>
        <w:pStyle w:val="Default"/>
        <w:spacing w:after="120"/>
        <w:ind w:left="284" w:hanging="284"/>
      </w:pPr>
      <w:r>
        <w:rPr>
          <w:rStyle w:val="FootnoteReference"/>
        </w:rPr>
        <w:footnoteRef/>
      </w:r>
      <w:r>
        <w:t xml:space="preserve"> </w:t>
      </w:r>
      <w:r>
        <w:rPr>
          <w:color w:val="auto"/>
          <w:sz w:val="20"/>
        </w:rPr>
        <w:t>Denna rapporteringsperiod omfattar EU:s frihandelsavtal med Sydkorea (se den senaste årsrapporten COM(2017) 614), Centralamerika (se COM(2017) 160) och Colombia-Peru (se COM(2017) 585).</w:t>
      </w:r>
    </w:p>
  </w:footnote>
  <w:footnote w:id="3">
    <w:p w:rsidR="00CA65E6" w:rsidRDefault="00CB294D">
      <w:pPr>
        <w:pStyle w:val="FootnoteText"/>
        <w:spacing w:after="120"/>
        <w:ind w:left="284" w:hanging="284"/>
      </w:pPr>
      <w:r>
        <w:rPr>
          <w:rStyle w:val="FootnoteReference"/>
        </w:rPr>
        <w:footnoteRef/>
      </w:r>
      <w:r>
        <w:t xml:space="preserve"> Europeiska kommissionen, meddelande </w:t>
      </w:r>
      <w:r>
        <w:rPr>
          <w:i/>
        </w:rPr>
        <w:t>Ett konkurrenskraftigt Europa i världen</w:t>
      </w:r>
      <w:r>
        <w:t>, KOM(2006) 567 slutlig.</w:t>
      </w:r>
    </w:p>
  </w:footnote>
  <w:footnote w:id="4">
    <w:p w:rsidR="00CA65E6" w:rsidRDefault="00CB294D">
      <w:pPr>
        <w:pStyle w:val="FootnoteText"/>
      </w:pPr>
      <w:r>
        <w:rPr>
          <w:rStyle w:val="FootnoteReference"/>
        </w:rPr>
        <w:footnoteRef/>
      </w:r>
      <w:r>
        <w:t xml:space="preserve"> Frihandelsavtalet mellan EU och Korea trädde i kraft i juli 2011.</w:t>
      </w:r>
    </w:p>
  </w:footnote>
  <w:footnote w:id="5">
    <w:p w:rsidR="00CA65E6" w:rsidRDefault="00CB294D">
      <w:pPr>
        <w:pStyle w:val="FootnoteText"/>
        <w:spacing w:after="120"/>
        <w:ind w:left="284" w:hanging="284"/>
      </w:pPr>
      <w:r>
        <w:rPr>
          <w:rStyle w:val="FootnoteReference"/>
        </w:rPr>
        <w:footnoteRef/>
      </w:r>
      <w:r>
        <w:t xml:space="preserve"> Frihandelsavtalet mellan EU och Peru trädde i kraft i mars 2013 och avtalet mellan EU och Colombia trädde i kraft i augusti 2013.</w:t>
      </w:r>
    </w:p>
  </w:footnote>
  <w:footnote w:id="6">
    <w:p w:rsidR="00CA65E6" w:rsidRDefault="00CB294D">
      <w:pPr>
        <w:pStyle w:val="FootnoteText"/>
        <w:spacing w:after="120"/>
        <w:ind w:left="284" w:hanging="284"/>
      </w:pPr>
      <w:r>
        <w:rPr>
          <w:rStyle w:val="FootnoteReference"/>
        </w:rPr>
        <w:footnoteRef/>
      </w:r>
      <w:r>
        <w:t xml:space="preserve"> Frihandelsavtalet har tillämpats preliminärt sedan den 1 augusti 2013 med Honduras, Nicaragua och Panama, sedan den 1 oktober 2013 med Costa Rica och El Salvador och sedan den 1 december 2013 med </w:t>
      </w:r>
      <w:hyperlink r:id="rId1">
        <w:r>
          <w:t>Guatemala</w:t>
        </w:r>
      </w:hyperlink>
      <w:r>
        <w:t>, och omfattar samtliga sex centralamerikanska partnerländer.</w:t>
      </w:r>
    </w:p>
  </w:footnote>
  <w:footnote w:id="7">
    <w:p w:rsidR="00CA65E6" w:rsidRDefault="00CB294D">
      <w:pPr>
        <w:pStyle w:val="FootnoteText"/>
      </w:pPr>
      <w:r>
        <w:rPr>
          <w:rStyle w:val="FootnoteReference"/>
        </w:rPr>
        <w:footnoteRef/>
      </w:r>
      <w:r>
        <w:t xml:space="preserve"> En mer detaljerad förklaring av tillvägagångssättet finns i bilaga 3.</w:t>
      </w:r>
    </w:p>
  </w:footnote>
  <w:footnote w:id="8">
    <w:p w:rsidR="00CA65E6" w:rsidRDefault="00CB294D">
      <w:pPr>
        <w:pStyle w:val="FootnoteText"/>
        <w:spacing w:after="120"/>
        <w:ind w:left="284" w:hanging="284"/>
      </w:pPr>
      <w:r>
        <w:rPr>
          <w:rStyle w:val="FootnoteReference"/>
        </w:rPr>
        <w:footnoteRef/>
      </w:r>
      <w:r>
        <w:t xml:space="preserve"> Det djupgående och omfattande frihandelsavtalet mellan EU och Ukraina började tillämpas preliminärt den 1 januari 2016. De djupgående och omfattande frihandelsavtalen med Georgien och Moldavien började tillämpas preliminärt den 1 september 2014.</w:t>
      </w:r>
    </w:p>
  </w:footnote>
  <w:footnote w:id="9">
    <w:p w:rsidR="00CA65E6" w:rsidRDefault="00CB294D">
      <w:pPr>
        <w:pStyle w:val="FootnoteText"/>
        <w:spacing w:after="120"/>
        <w:ind w:left="284" w:hanging="284"/>
      </w:pPr>
      <w:r>
        <w:rPr>
          <w:rStyle w:val="FootnoteReference"/>
        </w:rPr>
        <w:footnoteRef/>
      </w:r>
      <w:r>
        <w:t xml:space="preserve"> Det finns inga data tillgängliga för tjänstehandeln mellan EU och Ukraina under perioden sedan det djupgående och omfattande frihandelsavtalet började tillämpas.</w:t>
      </w:r>
    </w:p>
  </w:footnote>
  <w:footnote w:id="10">
    <w:p w:rsidR="00CA65E6" w:rsidRDefault="00CB294D">
      <w:pPr>
        <w:pStyle w:val="FootnoteText"/>
        <w:spacing w:after="120"/>
        <w:ind w:left="284" w:hanging="284"/>
      </w:pPr>
      <w:r>
        <w:rPr>
          <w:rStyle w:val="FootnoteReference"/>
        </w:rPr>
        <w:footnoteRef/>
      </w:r>
      <w:r>
        <w:t xml:space="preserve"> Båda de individuella avtalen om ekonomiskt partnerskap kommer att ersättas av avtalet om ekonomiskt partnerskap mellan EU och Västafrika när detta träder i kraft.</w:t>
      </w:r>
    </w:p>
  </w:footnote>
  <w:footnote w:id="11">
    <w:p w:rsidR="00CA65E6" w:rsidRDefault="00CB294D">
      <w:pPr>
        <w:pStyle w:val="FootnoteText"/>
        <w:spacing w:after="120"/>
        <w:ind w:left="284" w:hanging="284"/>
      </w:pPr>
      <w:r>
        <w:rPr>
          <w:rStyle w:val="FootnoteReference"/>
        </w:rPr>
        <w:footnoteRef/>
      </w:r>
      <w:r>
        <w:t xml:space="preserve"> Avtalet om Europeiska ekonomiska samarbetsområdet (EES-avtalet) från 1992 med Island och Norge ökade den fria rörligheten för varor, tjänster, investeringar och människor i området. Det avtalet tas inte upp i denna rapport.</w:t>
      </w:r>
    </w:p>
  </w:footnote>
  <w:footnote w:id="12">
    <w:p w:rsidR="00CA65E6" w:rsidRDefault="00CB294D">
      <w:pPr>
        <w:pStyle w:val="FootnoteText"/>
        <w:spacing w:after="120"/>
        <w:ind w:left="284" w:hanging="284"/>
        <w:rPr>
          <w:lang w:val="fi-FI"/>
        </w:rPr>
      </w:pPr>
      <w:r>
        <w:rPr>
          <w:rStyle w:val="FootnoteReference"/>
        </w:rPr>
        <w:footnoteRef/>
      </w:r>
      <w:r>
        <w:t xml:space="preserve"> Algeriet, Egypten, Israel, Jordanien. </w:t>
      </w:r>
      <w:r>
        <w:rPr>
          <w:lang w:val="fi-FI"/>
        </w:rPr>
        <w:t>Libanon, Marocko, Palestina och Tunisien.</w:t>
      </w:r>
    </w:p>
  </w:footnote>
  <w:footnote w:id="13">
    <w:p w:rsidR="00CA65E6" w:rsidRDefault="00CB294D">
      <w:pPr>
        <w:pStyle w:val="FootnoteText"/>
        <w:spacing w:after="120"/>
        <w:ind w:left="284" w:hanging="284"/>
      </w:pPr>
      <w:r>
        <w:rPr>
          <w:rStyle w:val="FootnoteReference"/>
        </w:rPr>
        <w:footnoteRef/>
      </w:r>
      <w:r>
        <w:t xml:space="preserve"> En fullständig förteckning finns i bilaga 2.</w:t>
      </w:r>
    </w:p>
  </w:footnote>
  <w:footnote w:id="14">
    <w:p w:rsidR="00CA65E6" w:rsidRDefault="00CB294D">
      <w:pPr>
        <w:pStyle w:val="FootnoteText"/>
        <w:spacing w:after="120"/>
        <w:ind w:left="284" w:hanging="284"/>
      </w:pPr>
      <w:r>
        <w:rPr>
          <w:rStyle w:val="FootnoteReference"/>
        </w:rPr>
        <w:footnoteRef/>
      </w:r>
      <w:r>
        <w:rPr>
          <w:rStyle w:val="FootnoteReference"/>
        </w:rPr>
        <w:t xml:space="preserve"> </w:t>
      </w:r>
      <w:r>
        <w:t>För att behålla och stärka sin marknadsställning i Chile håller EU och Chile för närvarande på att undersöka möjligheten att modernisera det befintliga avtalet.</w:t>
      </w:r>
    </w:p>
  </w:footnote>
  <w:footnote w:id="15">
    <w:p w:rsidR="00CA65E6" w:rsidRDefault="00CB294D">
      <w:pPr>
        <w:pStyle w:val="FootnoteText"/>
        <w:spacing w:after="120"/>
        <w:ind w:left="284" w:hanging="284"/>
      </w:pPr>
      <w:r>
        <w:rPr>
          <w:rStyle w:val="FootnoteReference"/>
        </w:rPr>
        <w:footnoteRef/>
      </w:r>
      <w:r>
        <w:t xml:space="preserve"> Samråd mellan </w:t>
      </w:r>
      <w:hyperlink r:id="rId2" w:tooltip="Arbetsgivarorganisation">
        <w:r>
          <w:t>företag</w:t>
        </w:r>
      </w:hyperlink>
      <w:r>
        <w:t xml:space="preserve">, </w:t>
      </w:r>
      <w:hyperlink r:id="rId3" w:tooltip="Arbetarrörelsen">
        <w:r>
          <w:t>företrädare för arbetstagare</w:t>
        </w:r>
      </w:hyperlink>
      <w:r>
        <w:t xml:space="preserve"> och </w:t>
      </w:r>
      <w:hyperlink r:id="rId4" w:tooltip="Stat">
        <w:r>
          <w:t>staten</w:t>
        </w:r>
      </w:hyperlink>
      <w:r>
        <w:t>.</w:t>
      </w:r>
    </w:p>
  </w:footnote>
  <w:footnote w:id="16">
    <w:p w:rsidR="00CA65E6" w:rsidRDefault="00CB294D">
      <w:pPr>
        <w:spacing w:after="120"/>
      </w:pPr>
      <w:r>
        <w:rPr>
          <w:rStyle w:val="FootnoteReference"/>
          <w:sz w:val="20"/>
        </w:rPr>
        <w:footnoteRef/>
      </w:r>
      <w:r>
        <w:rPr>
          <w:rStyle w:val="FootnoteReference"/>
        </w:rPr>
        <w:t xml:space="preserve"> </w:t>
      </w:r>
      <w:r>
        <w:rPr>
          <w:sz w:val="20"/>
        </w:rPr>
        <w:t xml:space="preserve">För närvarande för kommissionen omfattande diskussioner med Europaparlamentet, rådet och intressenter i syfte att effektivisera genomförandet och tillämpningen av bestämmelserna om handel och hållbar utveckling i EU:s avtal. Den 11 juli 2017 offentliggjorde kommissionen ett icke-officiellt dokument som tjänar som utgångspunkt för denna diskussion. Se: </w:t>
      </w:r>
      <w:hyperlink r:id="rId5">
        <w:r>
          <w:rPr>
            <w:rStyle w:val="Hyperlink"/>
            <w:sz w:val="20"/>
          </w:rPr>
          <w:t>http://trade.ec.europa.eu/doclib/docs/2017/july/tradoc_155686.pdf</w:t>
        </w:r>
      </w:hyperlink>
    </w:p>
  </w:footnote>
  <w:footnote w:id="17">
    <w:p w:rsidR="00CA65E6" w:rsidRDefault="00CB294D">
      <w:pPr>
        <w:pStyle w:val="FootnoteText"/>
        <w:spacing w:after="0"/>
        <w:ind w:left="284" w:hanging="284"/>
      </w:pPr>
      <w:r>
        <w:rPr>
          <w:rStyle w:val="FootnoteReference"/>
        </w:rPr>
        <w:footnoteRef/>
      </w:r>
      <w:r>
        <w:t xml:space="preserve"> Utvärderingen av frihandelsavtalet med Chile gjordes 2012 av ITAQA Sarl och utvärderingen för Mexiko gjordes 2016 av Ecorys. De slutliga rapporterna har offentliggjorts på:</w:t>
      </w:r>
    </w:p>
    <w:p w:rsidR="00CA65E6" w:rsidRDefault="00CB294D">
      <w:pPr>
        <w:pStyle w:val="FootnoteText"/>
        <w:spacing w:after="0"/>
        <w:ind w:left="568" w:hanging="284"/>
      </w:pPr>
      <w:r>
        <w:t>http://trade.ec.europa.eu/doclib/docs/2012/august/tradoc_149881.pdf, och</w:t>
      </w:r>
    </w:p>
    <w:p w:rsidR="00CA65E6" w:rsidRDefault="00CB294D">
      <w:pPr>
        <w:pStyle w:val="FootnoteText"/>
        <w:spacing w:after="120"/>
        <w:ind w:left="568" w:hanging="284"/>
      </w:pPr>
      <w:r>
        <w:t>http://trade.ec.europa.eu/doclib/docs/2017/august/tradoc_156011.pdf</w:t>
      </w:r>
    </w:p>
  </w:footnote>
  <w:footnote w:id="18">
    <w:p w:rsidR="00CA65E6" w:rsidRDefault="00CB294D">
      <w:pPr>
        <w:pStyle w:val="FootnoteText"/>
        <w:spacing w:after="120"/>
        <w:ind w:left="284" w:hanging="284"/>
      </w:pPr>
      <w:r>
        <w:rPr>
          <w:rStyle w:val="FootnoteReference"/>
        </w:rPr>
        <w:footnoteRef/>
      </w:r>
      <w:r>
        <w:t xml:space="preserve"> Allmänna tjänstehandelsavtalet.</w:t>
      </w:r>
    </w:p>
  </w:footnote>
  <w:footnote w:id="19">
    <w:p w:rsidR="00CA65E6" w:rsidRDefault="00CB294D">
      <w:pPr>
        <w:spacing w:after="120"/>
        <w:ind w:left="284" w:hanging="284"/>
      </w:pPr>
      <w:r>
        <w:rPr>
          <w:rStyle w:val="FootnoteReference"/>
        </w:rPr>
        <w:footnoteRef/>
      </w:r>
      <w:r>
        <w:t xml:space="preserve"> </w:t>
      </w:r>
      <w:r>
        <w:rPr>
          <w:sz w:val="20"/>
        </w:rPr>
        <w:t xml:space="preserve"> </w:t>
      </w:r>
      <w:hyperlink r:id="rId6">
        <w:r>
          <w:rPr>
            <w:rStyle w:val="Hyperlink"/>
            <w:sz w:val="20"/>
          </w:rPr>
          <w:t>http://ec.europa.eu/trade/policy/in-focus/ceta/</w:t>
        </w:r>
      </w:hyperlink>
    </w:p>
  </w:footnote>
  <w:footnote w:id="20">
    <w:p w:rsidR="00CA65E6" w:rsidRDefault="00CB294D">
      <w:pPr>
        <w:pStyle w:val="FootnoteText"/>
        <w:spacing w:after="120"/>
        <w:ind w:left="284" w:hanging="284"/>
      </w:pPr>
      <w:r>
        <w:rPr>
          <w:rStyle w:val="FootnoteReference"/>
        </w:rPr>
        <w:footnoteRef/>
      </w:r>
      <w:r>
        <w:t xml:space="preserve"> http://trade.ec.europa.eu/doclib/docs/2016/june/tradoc_154622.pdf</w:t>
      </w:r>
    </w:p>
  </w:footnote>
  <w:footnote w:id="21">
    <w:p w:rsidR="00CA65E6" w:rsidRDefault="00CB294D">
      <w:pPr>
        <w:pStyle w:val="FootnoteText"/>
        <w:spacing w:after="120"/>
        <w:ind w:left="284" w:hanging="284"/>
      </w:pPr>
      <w:r>
        <w:rPr>
          <w:rStyle w:val="FootnoteReference"/>
        </w:rPr>
        <w:footnoteRef/>
      </w:r>
      <w:r>
        <w:t xml:space="preserve"> http://ec.europa.eu/trade/trade-policy-and-you/in-focus/exporters-stories/</w:t>
      </w:r>
    </w:p>
  </w:footnote>
  <w:footnote w:id="22">
    <w:p w:rsidR="00CA65E6" w:rsidRDefault="00CB294D">
      <w:pPr>
        <w:pStyle w:val="FootnoteText"/>
        <w:spacing w:after="120"/>
        <w:ind w:left="284" w:hanging="284"/>
      </w:pPr>
      <w:r>
        <w:rPr>
          <w:rStyle w:val="FootnoteReference"/>
        </w:rPr>
        <w:footnoteRef/>
      </w:r>
      <w:r>
        <w:t xml:space="preserve"> http://madb.europa.eu/madb/indexPubli.htm</w:t>
      </w:r>
    </w:p>
  </w:footnote>
  <w:footnote w:id="23">
    <w:p w:rsidR="00CA65E6" w:rsidRDefault="00CB294D">
      <w:pPr>
        <w:pStyle w:val="FootnoteText"/>
        <w:spacing w:after="120"/>
        <w:ind w:left="284" w:hanging="284"/>
      </w:pPr>
      <w:r>
        <w:rPr>
          <w:rStyle w:val="FootnoteReference"/>
        </w:rPr>
        <w:footnoteRef/>
      </w:r>
      <w:r>
        <w:t xml:space="preserve"> T.ex. försöker kommissionen nu införa bestämmelser om samarbete avseende djurskydd och antimikrobiell resistens i alla nya frihandelsavtal. Det gör den för att försöka skapa lika villkor mellan EU:s och handelspartnernas standarder för jordbruksproduktion.</w:t>
      </w:r>
    </w:p>
  </w:footnote>
  <w:footnote w:id="24">
    <w:p w:rsidR="00CA65E6" w:rsidRDefault="00CB294D">
      <w:pPr>
        <w:pStyle w:val="FootnoteText"/>
        <w:spacing w:after="120"/>
        <w:ind w:left="284" w:hanging="284"/>
      </w:pPr>
      <w:r>
        <w:rPr>
          <w:rStyle w:val="FootnoteReference"/>
        </w:rPr>
        <w:footnoteRef/>
      </w:r>
      <w:r>
        <w:t xml:space="preserve"> Frihandelsavtalet började tillämpas preliminärt den 1 augusti för Honduras, Nicaragua och Panama, den 1 oktober för Costa Rica och El Salvador och den 1 december för Guatemala.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A77" w:rsidRPr="00AC6A77" w:rsidRDefault="00AC6A77" w:rsidP="00AC6A7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5E6" w:rsidRDefault="00CA65E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5E6" w:rsidRDefault="00CA65E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5E6" w:rsidRDefault="00CA65E6">
    <w:pPr>
      <w:pStyle w:val="Header"/>
      <w:spacing w:after="0"/>
    </w:pPr>
  </w:p>
  <w:p w:rsidR="00CA65E6" w:rsidRDefault="00CA65E6">
    <w:pPr>
      <w:pStyle w:val="Header"/>
      <w:spacing w:after="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5E6" w:rsidRDefault="00CA65E6">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5E6" w:rsidRDefault="00CA65E6">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5E6" w:rsidRDefault="00CA65E6">
    <w:pPr>
      <w:pStyle w:val="Header"/>
      <w:spacing w:after="0"/>
    </w:pPr>
  </w:p>
  <w:p w:rsidR="00CA65E6" w:rsidRDefault="00CA65E6">
    <w:pPr>
      <w:pStyle w:val="Header"/>
      <w:spacing w:after="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5E6" w:rsidRDefault="00CA65E6">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5E6" w:rsidRDefault="00CA65E6">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5E6" w:rsidRDefault="00CA65E6">
    <w:pPr>
      <w:pStyle w:val="Header"/>
      <w:spacing w:after="0"/>
    </w:pPr>
  </w:p>
  <w:p w:rsidR="00CA65E6" w:rsidRDefault="00CA65E6">
    <w:pPr>
      <w:pStyle w:val="Header"/>
      <w:spacing w:after="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A77" w:rsidRPr="00AC6A77" w:rsidRDefault="00AC6A77" w:rsidP="00AC6A77">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A77" w:rsidRPr="00AC6A77" w:rsidRDefault="00AC6A77" w:rsidP="00AC6A77">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5E6" w:rsidRDefault="00CA65E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5E6" w:rsidRDefault="00CA65E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5E6" w:rsidRDefault="00CA65E6">
    <w:pPr>
      <w:pStyle w:val="Header"/>
      <w:spacing w:after="0"/>
    </w:pPr>
  </w:p>
  <w:p w:rsidR="00CA65E6" w:rsidRDefault="00CA65E6">
    <w:pPr>
      <w:pStyle w:val="Header"/>
      <w:spacing w:after="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5E6" w:rsidRDefault="00CA65E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5E6" w:rsidRDefault="00CA65E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5E6" w:rsidRDefault="00CA65E6">
    <w:pPr>
      <w:pStyle w:val="Header"/>
      <w:spacing w:after="0"/>
    </w:pPr>
  </w:p>
  <w:p w:rsidR="00CA65E6" w:rsidRDefault="00CA65E6">
    <w:pPr>
      <w:pStyle w:val="Heade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37C4951"/>
    <w:multiLevelType w:val="hybridMultilevel"/>
    <w:tmpl w:val="D04EC1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5750A20"/>
    <w:multiLevelType w:val="hybridMultilevel"/>
    <w:tmpl w:val="1CFE9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9263720"/>
    <w:multiLevelType w:val="hybridMultilevel"/>
    <w:tmpl w:val="29585C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A767E0B"/>
    <w:multiLevelType w:val="hybridMultilevel"/>
    <w:tmpl w:val="87C887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5F03A82"/>
    <w:multiLevelType w:val="hybridMultilevel"/>
    <w:tmpl w:val="A7B679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AFC7533"/>
    <w:multiLevelType w:val="hybridMultilevel"/>
    <w:tmpl w:val="0FACA5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1CAD57C0"/>
    <w:multiLevelType w:val="hybridMultilevel"/>
    <w:tmpl w:val="558C5A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F734306"/>
    <w:multiLevelType w:val="multilevel"/>
    <w:tmpl w:val="4CB07FD0"/>
    <w:lvl w:ilvl="0">
      <w:start w:val="1"/>
      <w:numFmt w:val="decimal"/>
      <w:pStyle w:val="Heading1"/>
      <w:lvlText w:val="%1."/>
      <w:lvlJc w:val="left"/>
      <w:pPr>
        <w:tabs>
          <w:tab w:val="num" w:pos="622"/>
        </w:tabs>
        <w:ind w:left="622"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2564"/>
        </w:tabs>
        <w:ind w:left="2564"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7517817"/>
    <w:multiLevelType w:val="hybridMultilevel"/>
    <w:tmpl w:val="CE82E3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5">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32E067DC"/>
    <w:multiLevelType w:val="hybridMultilevel"/>
    <w:tmpl w:val="583EC8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9">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7BB3586"/>
    <w:multiLevelType w:val="hybridMultilevel"/>
    <w:tmpl w:val="2C807C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38C75A74"/>
    <w:multiLevelType w:val="hybridMultilevel"/>
    <w:tmpl w:val="D9FC32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397456CC"/>
    <w:multiLevelType w:val="hybridMultilevel"/>
    <w:tmpl w:val="1CA65D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3AB863E1"/>
    <w:multiLevelType w:val="hybridMultilevel"/>
    <w:tmpl w:val="D116BA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5">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6">
    <w:nsid w:val="3E28448A"/>
    <w:multiLevelType w:val="hybridMultilevel"/>
    <w:tmpl w:val="33B064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3F987DDE"/>
    <w:multiLevelType w:val="hybridMultilevel"/>
    <w:tmpl w:val="DF06A9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9">
    <w:nsid w:val="498B1AC4"/>
    <w:multiLevelType w:val="hybridMultilevel"/>
    <w:tmpl w:val="F9DE44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49ED59A0"/>
    <w:multiLevelType w:val="hybridMultilevel"/>
    <w:tmpl w:val="12769C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54BD2D12"/>
    <w:multiLevelType w:val="hybridMultilevel"/>
    <w:tmpl w:val="7A2C63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3">
    <w:nsid w:val="55AB371D"/>
    <w:multiLevelType w:val="hybridMultilevel"/>
    <w:tmpl w:val="A052D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35">
    <w:nsid w:val="5FA2112C"/>
    <w:multiLevelType w:val="hybridMultilevel"/>
    <w:tmpl w:val="D91831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7">
    <w:nsid w:val="61112655"/>
    <w:multiLevelType w:val="hybridMultilevel"/>
    <w:tmpl w:val="A2949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39">
    <w:nsid w:val="661A4084"/>
    <w:multiLevelType w:val="hybridMultilevel"/>
    <w:tmpl w:val="A6F453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66436675"/>
    <w:multiLevelType w:val="hybridMultilevel"/>
    <w:tmpl w:val="A24241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42">
    <w:nsid w:val="70664079"/>
    <w:multiLevelType w:val="hybridMultilevel"/>
    <w:tmpl w:val="2DD218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nsid w:val="74471D95"/>
    <w:multiLevelType w:val="hybridMultilevel"/>
    <w:tmpl w:val="0342641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5">
    <w:nsid w:val="7C1A505E"/>
    <w:multiLevelType w:val="hybridMultilevel"/>
    <w:tmpl w:val="CB086F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7C6B63E6"/>
    <w:multiLevelType w:val="singleLevel"/>
    <w:tmpl w:val="0292EEF0"/>
    <w:name w:val="LegalNumParListTemplate"/>
    <w:lvl w:ilvl="0">
      <w:start w:val="1"/>
      <w:numFmt w:val="decimal"/>
      <w:lvlText w:val="%1."/>
      <w:lvlJc w:val="left"/>
      <w:pPr>
        <w:tabs>
          <w:tab w:val="num" w:pos="476"/>
        </w:tabs>
        <w:ind w:left="476" w:hanging="476"/>
      </w:pPr>
    </w:lvl>
  </w:abstractNum>
  <w:num w:numId="1">
    <w:abstractNumId w:val="1"/>
  </w:num>
  <w:num w:numId="2">
    <w:abstractNumId w:val="0"/>
  </w:num>
  <w:num w:numId="3">
    <w:abstractNumId w:val="11"/>
  </w:num>
  <w:num w:numId="4">
    <w:abstractNumId w:val="25"/>
  </w:num>
  <w:num w:numId="5">
    <w:abstractNumId w:val="14"/>
  </w:num>
  <w:num w:numId="6">
    <w:abstractNumId w:val="24"/>
  </w:num>
  <w:num w:numId="7">
    <w:abstractNumId w:val="38"/>
  </w:num>
  <w:num w:numId="8">
    <w:abstractNumId w:val="41"/>
  </w:num>
  <w:num w:numId="9">
    <w:abstractNumId w:val="18"/>
  </w:num>
  <w:num w:numId="10">
    <w:abstractNumId w:val="36"/>
  </w:num>
  <w:num w:numId="11">
    <w:abstractNumId w:val="34"/>
  </w:num>
  <w:num w:numId="12">
    <w:abstractNumId w:val="28"/>
  </w:num>
  <w:num w:numId="13">
    <w:abstractNumId w:val="32"/>
  </w:num>
  <w:num w:numId="14">
    <w:abstractNumId w:val="12"/>
  </w:num>
  <w:num w:numId="15">
    <w:abstractNumId w:val="19"/>
  </w:num>
  <w:num w:numId="16">
    <w:abstractNumId w:val="9"/>
  </w:num>
  <w:num w:numId="17">
    <w:abstractNumId w:val="15"/>
  </w:num>
  <w:num w:numId="18">
    <w:abstractNumId w:val="43"/>
  </w:num>
  <w:num w:numId="19">
    <w:abstractNumId w:val="16"/>
  </w:num>
  <w:num w:numId="20">
    <w:abstractNumId w:val="37"/>
  </w:num>
  <w:num w:numId="21">
    <w:abstractNumId w:val="33"/>
  </w:num>
  <w:num w:numId="2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num>
  <w:num w:numId="24">
    <w:abstractNumId w:val="35"/>
  </w:num>
  <w:num w:numId="25">
    <w:abstractNumId w:val="39"/>
  </w:num>
  <w:num w:numId="26">
    <w:abstractNumId w:val="2"/>
  </w:num>
  <w:num w:numId="27">
    <w:abstractNumId w:val="23"/>
  </w:num>
  <w:num w:numId="28">
    <w:abstractNumId w:val="30"/>
  </w:num>
  <w:num w:numId="29">
    <w:abstractNumId w:val="17"/>
  </w:num>
  <w:num w:numId="30">
    <w:abstractNumId w:val="8"/>
  </w:num>
  <w:num w:numId="31">
    <w:abstractNumId w:val="20"/>
  </w:num>
  <w:num w:numId="32">
    <w:abstractNumId w:val="13"/>
  </w:num>
  <w:num w:numId="33">
    <w:abstractNumId w:val="5"/>
  </w:num>
  <w:num w:numId="34">
    <w:abstractNumId w:val="7"/>
  </w:num>
  <w:num w:numId="35">
    <w:abstractNumId w:val="31"/>
  </w:num>
  <w:num w:numId="36">
    <w:abstractNumId w:val="3"/>
  </w:num>
  <w:num w:numId="37">
    <w:abstractNumId w:val="29"/>
  </w:num>
  <w:num w:numId="38">
    <w:abstractNumId w:val="27"/>
  </w:num>
  <w:num w:numId="39">
    <w:abstractNumId w:val="42"/>
  </w:num>
  <w:num w:numId="40">
    <w:abstractNumId w:val="6"/>
  </w:num>
  <w:num w:numId="41">
    <w:abstractNumId w:val="10"/>
  </w:num>
  <w:num w:numId="42">
    <w:abstractNumId w:val="22"/>
  </w:num>
  <w:num w:numId="43">
    <w:abstractNumId w:val="21"/>
  </w:num>
  <w:num w:numId="44">
    <w:abstractNumId w:val="26"/>
  </w:num>
  <w:num w:numId="45">
    <w:abstractNumId w:val="4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B1115CF7-D0E0-48CF-8463-B45044FCA3BC"/>
    <w:docVar w:name="LW_COVERPAGE_TYPE" w:val="1"/>
    <w:docVar w:name="LW_CROSSREFERENCE" w:val="{SWD(2017) 364 final}"/>
    <w:docVar w:name="LW_DocType" w:val="NORMAL"/>
    <w:docVar w:name="LW_EMISSION" w:val="9.11.2017"/>
    <w:docVar w:name="LW_EMISSION_ISODATE" w:val="2017-11-09"/>
    <w:docVar w:name="LW_EMISSION_LOCATION" w:val="BRX"/>
    <w:docVar w:name="LW_EMISSION_PREFIX" w:val="Bryssel den"/>
    <w:docVar w:name="LW_EMISSION_SUFFIX" w:val="&lt;EMPTY&gt;"/>
    <w:docVar w:name="LW_ID_DOCTYPE_NONLW" w:val="CP-008"/>
    <w:docVar w:name="LW_LANGUE" w:val="SV"/>
    <w:docVar w:name="LW_LEVEL_OF_SENSITIVITY" w:val="Standard treatment"/>
    <w:docVar w:name="LW_NOM.INST" w:val="EUROPEISKA KOMMISSIONEN"/>
    <w:docVar w:name="LW_NOM.INST_JOINTDOC" w:val="&lt;EMPTY&gt;"/>
    <w:docVar w:name="LW_PART_NBR" w:val="1"/>
    <w:docVar w:name="LW_PART_NBR_TOTAL" w:val="1"/>
    <w:docVar w:name="LW_REF.INST.NEW" w:val="COM"/>
    <w:docVar w:name="LW_REF.INST.NEW_ADOPTED" w:val="final"/>
    <w:docVar w:name="LW_REF.INST.NEW_TEXT" w:val="(2017) 654"/>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OUS.TITRE.OBJ.CP" w:val="&lt;UNUSED&gt;"/>
    <w:docVar w:name="LW_SUPERTITRE" w:val="&lt;UNUSED&gt;"/>
    <w:docVar w:name="LW_TITRE.OBJ.CP" w:val="om genomförandet av frihandelsavtalen_x000b__x000b_1 januari 2016-31 december 2016"/>
    <w:docVar w:name="LW_TYPE.DOC.CP" w:val="RAPPORT FRÅN KOMMISSIONEN TILL EUROPAPARLAMENTET, RÅDET, EUROPEISKA EKONOMISKA OCH SOCIALA KOMMITTÉN SAMT REGIONKOMMITTÉN"/>
  </w:docVars>
  <w:rsids>
    <w:rsidRoot w:val="00CA65E6"/>
    <w:rsid w:val="00AC6A77"/>
    <w:rsid w:val="00CA65E6"/>
    <w:rsid w:val="00CB29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sv-SE" w:eastAsia="sv-SE" w:bidi="sv-SE"/>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jc w:val="both"/>
    </w:pPr>
    <w:rPr>
      <w:rFonts w:eastAsia="Times New Roman"/>
      <w:sz w:val="24"/>
    </w:rPr>
  </w:style>
  <w:style w:type="paragraph" w:styleId="Heading1">
    <w:name w:val="heading 1"/>
    <w:basedOn w:val="Normal"/>
    <w:next w:val="Text1"/>
    <w:link w:val="Heading1Char"/>
    <w:qFormat/>
    <w:pPr>
      <w:keepNext/>
      <w:numPr>
        <w:numId w:val="3"/>
      </w:numPr>
      <w:spacing w:before="240"/>
      <w:outlineLvl w:val="0"/>
    </w:pPr>
    <w:rPr>
      <w:b/>
      <w:smallCaps/>
    </w:rPr>
  </w:style>
  <w:style w:type="paragraph" w:styleId="Heading2">
    <w:name w:val="heading 2"/>
    <w:basedOn w:val="Normal"/>
    <w:next w:val="Text2"/>
    <w:link w:val="Heading2Char"/>
    <w:qFormat/>
    <w:pPr>
      <w:keepNext/>
      <w:numPr>
        <w:ilvl w:val="1"/>
        <w:numId w:val="3"/>
      </w:numPr>
      <w:outlineLvl w:val="1"/>
    </w:pPr>
    <w:rPr>
      <w:b/>
    </w:rPr>
  </w:style>
  <w:style w:type="paragraph" w:styleId="Heading3">
    <w:name w:val="heading 3"/>
    <w:basedOn w:val="Normal"/>
    <w:next w:val="Text3"/>
    <w:link w:val="Heading3Char"/>
    <w:qFormat/>
    <w:pPr>
      <w:keepNext/>
      <w:numPr>
        <w:ilvl w:val="2"/>
        <w:numId w:val="3"/>
      </w:numPr>
      <w:tabs>
        <w:tab w:val="clear" w:pos="2564"/>
        <w:tab w:val="num" w:pos="1920"/>
      </w:tabs>
      <w:ind w:left="1920"/>
      <w:outlineLvl w:val="2"/>
    </w:pPr>
    <w:rPr>
      <w:i/>
    </w:rPr>
  </w:style>
  <w:style w:type="paragraph" w:styleId="Heading4">
    <w:name w:val="heading 4"/>
    <w:basedOn w:val="Normal"/>
    <w:next w:val="Text4"/>
    <w:link w:val="Heading4Char"/>
    <w:qFormat/>
    <w:pPr>
      <w:keepNext/>
      <w:numPr>
        <w:ilvl w:val="3"/>
        <w:numId w:val="3"/>
      </w:numPr>
      <w:outlineLvl w:val="3"/>
    </w:pPr>
  </w:style>
  <w:style w:type="paragraph" w:styleId="Heading5">
    <w:name w:val="heading 5"/>
    <w:basedOn w:val="Normal"/>
    <w:next w:val="Normal"/>
    <w:link w:val="Heading5Char"/>
    <w:qFormat/>
    <w:pPr>
      <w:tabs>
        <w:tab w:val="num" w:pos="0"/>
      </w:tabs>
      <w:spacing w:before="240" w:after="60"/>
      <w:jc w:val="left"/>
      <w:outlineLvl w:val="4"/>
    </w:pPr>
    <w:rPr>
      <w:b/>
      <w:smallCaps/>
    </w:rPr>
  </w:style>
  <w:style w:type="paragraph" w:styleId="Heading6">
    <w:name w:val="heading 6"/>
    <w:basedOn w:val="Normal"/>
    <w:next w:val="Normal"/>
    <w:link w:val="Heading6Char"/>
    <w:qFormat/>
    <w:pPr>
      <w:tabs>
        <w:tab w:val="num" w:pos="0"/>
      </w:tabs>
      <w:spacing w:before="240" w:after="60"/>
      <w:outlineLvl w:val="5"/>
    </w:pPr>
    <w:rPr>
      <w:rFonts w:ascii="Arial" w:hAnsi="Arial"/>
      <w:i/>
      <w:sz w:val="22"/>
    </w:rPr>
  </w:style>
  <w:style w:type="paragraph" w:styleId="Heading7">
    <w:name w:val="heading 7"/>
    <w:basedOn w:val="Normal"/>
    <w:next w:val="Normal"/>
    <w:link w:val="Heading7Char"/>
    <w:qFormat/>
    <w:pPr>
      <w:tabs>
        <w:tab w:val="num" w:pos="0"/>
      </w:tabs>
      <w:spacing w:before="240" w:after="60"/>
      <w:outlineLvl w:val="6"/>
    </w:pPr>
    <w:rPr>
      <w:rFonts w:ascii="Arial" w:hAnsi="Arial"/>
      <w:sz w:val="20"/>
    </w:rPr>
  </w:style>
  <w:style w:type="paragraph" w:styleId="Heading8">
    <w:name w:val="heading 8"/>
    <w:basedOn w:val="Normal"/>
    <w:next w:val="Normal"/>
    <w:link w:val="Heading8Char"/>
    <w:qFormat/>
    <w:pPr>
      <w:tabs>
        <w:tab w:val="num" w:pos="0"/>
      </w:tabs>
      <w:spacing w:before="240" w:after="60"/>
      <w:outlineLvl w:val="7"/>
    </w:pPr>
    <w:rPr>
      <w:rFonts w:ascii="Arial" w:hAnsi="Arial"/>
      <w:i/>
      <w:sz w:val="20"/>
    </w:rPr>
  </w:style>
  <w:style w:type="paragraph" w:styleId="Heading9">
    <w:name w:val="heading 9"/>
    <w:basedOn w:val="Normal"/>
    <w:next w:val="Normal"/>
    <w:link w:val="Heading9Char"/>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eastAsia="Times New Roman"/>
      <w:b/>
      <w:smallCaps/>
      <w:sz w:val="24"/>
      <w:lang w:val="sv-SE"/>
    </w:rPr>
  </w:style>
  <w:style w:type="character" w:customStyle="1" w:styleId="Heading2Char">
    <w:name w:val="Heading 2 Char"/>
    <w:basedOn w:val="DefaultParagraphFont"/>
    <w:link w:val="Heading2"/>
    <w:rPr>
      <w:rFonts w:eastAsia="Times New Roman"/>
      <w:b/>
      <w:sz w:val="24"/>
      <w:lang w:val="sv-SE"/>
    </w:rPr>
  </w:style>
  <w:style w:type="character" w:customStyle="1" w:styleId="Heading3Char">
    <w:name w:val="Heading 3 Char"/>
    <w:basedOn w:val="DefaultParagraphFont"/>
    <w:link w:val="Heading3"/>
    <w:rPr>
      <w:rFonts w:eastAsia="Times New Roman"/>
      <w:i/>
      <w:sz w:val="24"/>
      <w:lang w:val="sv-SE"/>
    </w:rPr>
  </w:style>
  <w:style w:type="character" w:customStyle="1" w:styleId="Heading4Char">
    <w:name w:val="Heading 4 Char"/>
    <w:basedOn w:val="DefaultParagraphFont"/>
    <w:link w:val="Heading4"/>
    <w:rPr>
      <w:rFonts w:eastAsia="Times New Roman"/>
      <w:sz w:val="24"/>
      <w:lang w:val="sv-SE"/>
    </w:rPr>
  </w:style>
  <w:style w:type="character" w:customStyle="1" w:styleId="Heading5Char">
    <w:name w:val="Heading 5 Char"/>
    <w:basedOn w:val="DefaultParagraphFont"/>
    <w:link w:val="Heading5"/>
    <w:rPr>
      <w:rFonts w:eastAsia="Times New Roman"/>
      <w:b/>
      <w:smallCaps/>
      <w:sz w:val="24"/>
      <w:lang w:val="sv-SE"/>
    </w:rPr>
  </w:style>
  <w:style w:type="character" w:customStyle="1" w:styleId="Heading6Char">
    <w:name w:val="Heading 6 Char"/>
    <w:basedOn w:val="DefaultParagraphFont"/>
    <w:link w:val="Heading6"/>
    <w:rPr>
      <w:rFonts w:ascii="Arial" w:eastAsia="Times New Roman" w:hAnsi="Arial"/>
      <w:i/>
      <w:sz w:val="22"/>
      <w:lang w:val="sv-SE"/>
    </w:rPr>
  </w:style>
  <w:style w:type="character" w:customStyle="1" w:styleId="Heading7Char">
    <w:name w:val="Heading 7 Char"/>
    <w:basedOn w:val="DefaultParagraphFont"/>
    <w:link w:val="Heading7"/>
    <w:rPr>
      <w:rFonts w:ascii="Arial" w:eastAsia="Times New Roman" w:hAnsi="Arial"/>
      <w:lang w:val="sv-SE"/>
    </w:rPr>
  </w:style>
  <w:style w:type="character" w:customStyle="1" w:styleId="Heading8Char">
    <w:name w:val="Heading 8 Char"/>
    <w:basedOn w:val="DefaultParagraphFont"/>
    <w:link w:val="Heading8"/>
    <w:rPr>
      <w:rFonts w:ascii="Arial" w:eastAsia="Times New Roman" w:hAnsi="Arial"/>
      <w:i/>
      <w:lang w:val="sv-SE"/>
    </w:rPr>
  </w:style>
  <w:style w:type="character" w:customStyle="1" w:styleId="Heading9Char">
    <w:name w:val="Heading 9 Char"/>
    <w:basedOn w:val="DefaultParagraphFont"/>
    <w:link w:val="Heading9"/>
    <w:rPr>
      <w:rFonts w:ascii="Arial" w:eastAsia="Times New Roman" w:hAnsi="Arial"/>
      <w:i/>
      <w:sz w:val="18"/>
      <w:lang w:val="sv-SE"/>
    </w:rPr>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eastAsia="Times New Roman"/>
      <w:sz w:val="24"/>
      <w:lang w:val="sv-SE"/>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eastAsia="Times New Roman"/>
      <w:sz w:val="24"/>
      <w:lang w:val="sv-SE"/>
    </w:rPr>
  </w:style>
  <w:style w:type="paragraph" w:styleId="BodyText3">
    <w:name w:val="Body Text 3"/>
    <w:basedOn w:val="Normal"/>
    <w:link w:val="BodyText3Char"/>
    <w:pPr>
      <w:spacing w:after="120"/>
    </w:pPr>
    <w:rPr>
      <w:sz w:val="16"/>
    </w:rPr>
  </w:style>
  <w:style w:type="character" w:customStyle="1" w:styleId="BodyText3Char">
    <w:name w:val="Body Text 3 Char"/>
    <w:basedOn w:val="DefaultParagraphFont"/>
    <w:link w:val="BodyText3"/>
    <w:rPr>
      <w:rFonts w:eastAsia="Times New Roman"/>
      <w:sz w:val="16"/>
      <w:lang w:val="sv-SE"/>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eastAsia="Times New Roman"/>
      <w:sz w:val="24"/>
      <w:lang w:val="sv-SE"/>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Pr>
      <w:rFonts w:eastAsia="Times New Roman"/>
      <w:sz w:val="24"/>
      <w:lang w:val="sv-SE"/>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eastAsia="Times New Roman"/>
      <w:sz w:val="24"/>
      <w:lang w:val="sv-SE"/>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Pr>
      <w:rFonts w:eastAsia="Times New Roman"/>
      <w:sz w:val="24"/>
      <w:lang w:val="sv-SE"/>
    </w:rPr>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rPr>
      <w:rFonts w:eastAsia="Times New Roman"/>
      <w:sz w:val="16"/>
      <w:lang w:val="sv-SE"/>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character" w:customStyle="1" w:styleId="ClosingChar">
    <w:name w:val="Closing Char"/>
    <w:basedOn w:val="DefaultParagraphFont"/>
    <w:link w:val="Closing"/>
    <w:rPr>
      <w:rFonts w:eastAsia="Times New Roman"/>
      <w:sz w:val="24"/>
      <w:lang w:val="sv-SE"/>
    </w:r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rPr>
      <w:rFonts w:eastAsia="Times New Roman"/>
      <w:lang w:val="sv-SE"/>
    </w:rPr>
  </w:style>
  <w:style w:type="paragraph" w:styleId="Date">
    <w:name w:val="Date"/>
    <w:basedOn w:val="Normal"/>
    <w:next w:val="References"/>
    <w:link w:val="DateChar"/>
    <w:pPr>
      <w:spacing w:after="0"/>
      <w:ind w:left="5103" w:right="-567"/>
      <w:jc w:val="left"/>
    </w:pPr>
  </w:style>
  <w:style w:type="character" w:customStyle="1" w:styleId="DateChar">
    <w:name w:val="Date Char"/>
    <w:basedOn w:val="DefaultParagraphFont"/>
    <w:link w:val="Date"/>
    <w:rPr>
      <w:rFonts w:eastAsia="Times New Roman"/>
      <w:sz w:val="24"/>
      <w:lang w:val="sv-SE"/>
    </w:rPr>
  </w:style>
  <w:style w:type="paragraph" w:customStyle="1" w:styleId="References">
    <w:name w:val="References"/>
    <w:basedOn w:val="Normal"/>
    <w:next w:val="AddressTR"/>
    <w:pPr>
      <w:ind w:left="5103"/>
      <w:jc w:val="left"/>
    </w:pPr>
    <w:rPr>
      <w:sz w:val="20"/>
    </w:rPr>
  </w:style>
  <w:style w:type="paragraph" w:styleId="DocumentMap">
    <w:name w:val="Document Map"/>
    <w:basedOn w:val="Normal"/>
    <w:link w:val="DocumentMapChar"/>
    <w:pPr>
      <w:shd w:val="clear" w:color="auto" w:fill="000080"/>
    </w:pPr>
    <w:rPr>
      <w:rFonts w:ascii="Tahoma" w:hAnsi="Tahoma"/>
    </w:rPr>
  </w:style>
  <w:style w:type="character" w:customStyle="1" w:styleId="DocumentMapChar">
    <w:name w:val="Document Map Char"/>
    <w:basedOn w:val="DefaultParagraphFont"/>
    <w:link w:val="DocumentMap"/>
    <w:rPr>
      <w:rFonts w:ascii="Tahoma" w:eastAsia="Times New Roman" w:hAnsi="Tahoma"/>
      <w:sz w:val="24"/>
      <w:shd w:val="clear" w:color="auto" w:fill="000080"/>
      <w:lang w:val="sv-SE"/>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rPr>
      <w:sz w:val="20"/>
    </w:rPr>
  </w:style>
  <w:style w:type="character" w:customStyle="1" w:styleId="EndnoteTextChar">
    <w:name w:val="Endnote Text Char"/>
    <w:basedOn w:val="DefaultParagraphFont"/>
    <w:link w:val="EndnoteText"/>
    <w:rPr>
      <w:rFonts w:eastAsia="Times New Roman"/>
      <w:lang w:val="sv-SE"/>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lang w:eastAsia="en-US" w:bidi="ar-SA"/>
    </w:rPr>
  </w:style>
  <w:style w:type="character" w:customStyle="1" w:styleId="FooterChar">
    <w:name w:val="Footer Char"/>
    <w:basedOn w:val="DefaultParagraphFont"/>
    <w:link w:val="Footer"/>
    <w:uiPriority w:val="99"/>
    <w:rPr>
      <w:sz w:val="24"/>
      <w:szCs w:val="22"/>
      <w:lang w:eastAsia="en-US" w:bidi="ar-SA"/>
    </w:rPr>
  </w:style>
  <w:style w:type="paragraph" w:styleId="FootnoteText">
    <w:name w:val="footnote text"/>
    <w:aliases w:val="fn,footnote text,Footnotes,Footnote ak,ft,fn cafc,fn Char,footnote text Char,Footnotes Char,Footnote ak Char,Footnotes Char Char,fn Char Char,footnote text Char Char Char Ch,Footnote ak Char Char,C,f,footnote citation,Cha"/>
    <w:basedOn w:val="Normal"/>
    <w:link w:val="FootnoteTextChar"/>
    <w:uiPriority w:val="99"/>
    <w:pPr>
      <w:ind w:left="357" w:hanging="357"/>
    </w:pPr>
    <w:rPr>
      <w:sz w:val="20"/>
    </w:rPr>
  </w:style>
  <w:style w:type="character" w:customStyle="1" w:styleId="FootnoteTextChar">
    <w:name w:val="Footnote Text Char"/>
    <w:aliases w:val="fn Char1,footnote text Char1,Footnotes Char1,Footnote ak Char1,ft Char,fn cafc Char,fn Char Char1,footnote text Char Char,Footnotes Char Char1,Footnote ak Char Char1,Footnotes Char Char Char,fn Char Char Char,C Char,f Char,Cha Char"/>
    <w:basedOn w:val="DefaultParagraphFont"/>
    <w:link w:val="FootnoteText"/>
    <w:uiPriority w:val="99"/>
    <w:rPr>
      <w:rFonts w:eastAsia="Times New Roman"/>
      <w:lang w:val="sv-SE"/>
    </w:rPr>
  </w:style>
  <w:style w:type="paragraph" w:styleId="Header">
    <w:name w:val="header"/>
    <w:basedOn w:val="Normal"/>
    <w:link w:val="HeaderChar"/>
    <w:uiPriority w:val="99"/>
    <w:unhideWhenUsed/>
    <w:pPr>
      <w:tabs>
        <w:tab w:val="center" w:pos="4535"/>
        <w:tab w:val="right" w:pos="9071"/>
      </w:tabs>
      <w:spacing w:after="120"/>
    </w:pPr>
    <w:rPr>
      <w:rFonts w:eastAsiaTheme="minorHAnsi"/>
      <w:szCs w:val="22"/>
      <w:lang w:eastAsia="en-US" w:bidi="ar-SA"/>
    </w:rPr>
  </w:style>
  <w:style w:type="character" w:customStyle="1" w:styleId="HeaderChar">
    <w:name w:val="Header Char"/>
    <w:basedOn w:val="DefaultParagraphFont"/>
    <w:link w:val="Header"/>
    <w:uiPriority w:val="99"/>
    <w:rPr>
      <w:sz w:val="24"/>
      <w:szCs w:val="22"/>
      <w:lang w:eastAsia="en-US" w:bidi="ar-SA"/>
    </w:rPr>
  </w:style>
  <w:style w:type="paragraph" w:styleId="Index1">
    <w:name w:val="index 1"/>
    <w:basedOn w:val="Normal"/>
    <w:next w:val="Normal"/>
    <w:autoRedefine/>
    <w:pPr>
      <w:ind w:left="240" w:hanging="240"/>
    </w:pPr>
  </w:style>
  <w:style w:type="paragraph" w:styleId="Index2">
    <w:name w:val="index 2"/>
    <w:basedOn w:val="Normal"/>
    <w:next w:val="Normal"/>
    <w:autoRedefine/>
    <w:pPr>
      <w:ind w:left="480" w:hanging="240"/>
    </w:pPr>
  </w:style>
  <w:style w:type="paragraph" w:styleId="Index3">
    <w:name w:val="index 3"/>
    <w:basedOn w:val="Normal"/>
    <w:next w:val="Normal"/>
    <w:autoRedefine/>
    <w:pPr>
      <w:ind w:left="720" w:hanging="240"/>
    </w:pPr>
  </w:style>
  <w:style w:type="paragraph" w:styleId="Index4">
    <w:name w:val="index 4"/>
    <w:basedOn w:val="Normal"/>
    <w:next w:val="Normal"/>
    <w:autoRedefine/>
    <w:pPr>
      <w:ind w:left="960" w:hanging="240"/>
    </w:pPr>
  </w:style>
  <w:style w:type="paragraph" w:styleId="Index5">
    <w:name w:val="index 5"/>
    <w:basedOn w:val="Normal"/>
    <w:next w:val="Normal"/>
    <w:autoRedefine/>
    <w:pPr>
      <w:ind w:left="1200" w:hanging="240"/>
    </w:pPr>
  </w:style>
  <w:style w:type="paragraph" w:styleId="Index6">
    <w:name w:val="index 6"/>
    <w:basedOn w:val="Normal"/>
    <w:next w:val="Normal"/>
    <w:autoRedefine/>
    <w:pPr>
      <w:ind w:left="1440" w:hanging="240"/>
    </w:pPr>
  </w:style>
  <w:style w:type="paragraph" w:styleId="Index7">
    <w:name w:val="index 7"/>
    <w:basedOn w:val="Normal"/>
    <w:next w:val="Normal"/>
    <w:autoRedefine/>
    <w:pPr>
      <w:ind w:left="1680" w:hanging="240"/>
    </w:pPr>
  </w:style>
  <w:style w:type="paragraph" w:styleId="Index8">
    <w:name w:val="index 8"/>
    <w:basedOn w:val="Normal"/>
    <w:next w:val="Normal"/>
    <w:autoRedefine/>
    <w:pPr>
      <w:ind w:left="1920" w:hanging="240"/>
    </w:pPr>
  </w:style>
  <w:style w:type="paragraph" w:styleId="Index9">
    <w:name w:val="index 9"/>
    <w:basedOn w:val="Normal"/>
    <w:next w:val="Normal"/>
    <w:autoRedefine/>
    <w:pPr>
      <w:ind w:left="2160" w:hanging="240"/>
    </w:pPr>
  </w:style>
  <w:style w:type="paragraph" w:styleId="IndexHeading">
    <w:name w:val="index heading"/>
    <w:basedOn w:val="Normal"/>
    <w:next w:val="Index1"/>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Times New Roman" w:hAnsi="Courier New"/>
    </w:rPr>
  </w:style>
  <w:style w:type="character" w:customStyle="1" w:styleId="MacroTextChar">
    <w:name w:val="Macro Text Char"/>
    <w:basedOn w:val="DefaultParagraphFont"/>
    <w:link w:val="MacroText"/>
    <w:rPr>
      <w:rFonts w:ascii="Courier New" w:eastAsia="Times New Roman" w:hAnsi="Courier New"/>
      <w:lang w:val="sv-SE"/>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Pr>
      <w:rFonts w:ascii="Arial" w:eastAsia="Times New Roman" w:hAnsi="Arial"/>
      <w:sz w:val="24"/>
      <w:shd w:val="pct20" w:color="auto" w:fill="auto"/>
      <w:lang w:val="sv-SE"/>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eastAsia="Times New Roman"/>
      <w:sz w:val="24"/>
      <w:lang w:val="sv-SE"/>
    </w:r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rPr>
      <w:rFonts w:ascii="Courier New" w:hAnsi="Courier New"/>
      <w:sz w:val="20"/>
    </w:rPr>
  </w:style>
  <w:style w:type="character" w:customStyle="1" w:styleId="PlainTextChar">
    <w:name w:val="Plain Text Char"/>
    <w:basedOn w:val="DefaultParagraphFont"/>
    <w:link w:val="PlainText"/>
    <w:rPr>
      <w:rFonts w:ascii="Courier New" w:eastAsia="Times New Roman" w:hAnsi="Courier New"/>
      <w:lang w:val="sv-SE"/>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rPr>
      <w:rFonts w:eastAsia="Times New Roman"/>
      <w:sz w:val="24"/>
      <w:lang w:val="sv-SE"/>
    </w:rPr>
  </w:style>
  <w:style w:type="paragraph" w:styleId="Signature">
    <w:name w:val="Signature"/>
    <w:basedOn w:val="Normal"/>
    <w:next w:val="Enclosures"/>
    <w:link w:val="SignatureChar"/>
    <w:pPr>
      <w:tabs>
        <w:tab w:val="left" w:pos="5103"/>
      </w:tabs>
      <w:spacing w:before="1200" w:after="0"/>
      <w:ind w:left="5103"/>
      <w:jc w:val="center"/>
    </w:pPr>
  </w:style>
  <w:style w:type="character" w:customStyle="1" w:styleId="SignatureChar">
    <w:name w:val="Signature Char"/>
    <w:basedOn w:val="DefaultParagraphFont"/>
    <w:link w:val="Signature"/>
    <w:rPr>
      <w:rFonts w:eastAsia="Times New Roman"/>
      <w:sz w:val="24"/>
      <w:lang w:val="sv-SE"/>
    </w:rPr>
  </w:style>
  <w:style w:type="paragraph" w:styleId="Subtitle">
    <w:name w:val="Subtitle"/>
    <w:basedOn w:val="Normal"/>
    <w:link w:val="SubtitleChar"/>
    <w:qFormat/>
    <w:pPr>
      <w:spacing w:after="60"/>
      <w:jc w:val="center"/>
      <w:outlineLvl w:val="1"/>
    </w:pPr>
    <w:rPr>
      <w:rFonts w:ascii="Arial" w:hAnsi="Arial"/>
    </w:rPr>
  </w:style>
  <w:style w:type="character" w:customStyle="1" w:styleId="SubtitleChar">
    <w:name w:val="Subtitle Char"/>
    <w:basedOn w:val="DefaultParagraphFont"/>
    <w:link w:val="Subtitle"/>
    <w:rPr>
      <w:rFonts w:ascii="Arial" w:eastAsia="Times New Roman" w:hAnsi="Arial"/>
      <w:sz w:val="24"/>
      <w:lang w:val="sv-SE"/>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pPr>
      <w:ind w:left="240" w:hanging="240"/>
    </w:pPr>
  </w:style>
  <w:style w:type="paragraph" w:styleId="TableofFigures">
    <w:name w:val="table of figures"/>
    <w:basedOn w:val="Normal"/>
    <w:next w:val="Normal"/>
    <w:pPr>
      <w:ind w:left="480" w:hanging="480"/>
    </w:pPr>
  </w:style>
  <w:style w:type="paragraph" w:styleId="Title">
    <w:name w:val="Title"/>
    <w:basedOn w:val="Normal"/>
    <w:next w:val="SubTitle1"/>
    <w:link w:val="TitleChar"/>
    <w:qFormat/>
    <w:pPr>
      <w:spacing w:after="480"/>
      <w:jc w:val="center"/>
    </w:pPr>
    <w:rPr>
      <w:b/>
      <w:kern w:val="28"/>
      <w:sz w:val="48"/>
    </w:rPr>
  </w:style>
  <w:style w:type="character" w:customStyle="1" w:styleId="TitleChar">
    <w:name w:val="Title Char"/>
    <w:basedOn w:val="DefaultParagraphFont"/>
    <w:link w:val="Title"/>
    <w:rPr>
      <w:rFonts w:eastAsia="Times New Roman"/>
      <w:b/>
      <w:kern w:val="28"/>
      <w:sz w:val="48"/>
      <w:lang w:val="sv-SE"/>
    </w:rPr>
  </w:style>
  <w:style w:type="paragraph" w:styleId="TOAHeading">
    <w:name w:val="toa heading"/>
    <w:basedOn w:val="Normal"/>
    <w:next w:val="Normal"/>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pPr>
      <w:tabs>
        <w:tab w:val="right" w:leader="dot" w:pos="8641"/>
      </w:tabs>
      <w:spacing w:before="60" w:after="60"/>
      <w:ind w:left="2880" w:right="720" w:hanging="964"/>
    </w:pPr>
  </w:style>
  <w:style w:type="paragraph" w:styleId="TOC5">
    <w:name w:val="toc 5"/>
    <w:basedOn w:val="Normal"/>
    <w:next w:val="Normal"/>
    <w:pPr>
      <w:tabs>
        <w:tab w:val="right" w:leader="dot" w:pos="8641"/>
      </w:tabs>
      <w:spacing w:before="240" w:after="120"/>
      <w:ind w:right="720"/>
    </w:pPr>
    <w:rPr>
      <w:caps/>
    </w:rPr>
  </w:style>
  <w:style w:type="paragraph" w:styleId="TOC6">
    <w:name w:val="toc 6"/>
    <w:basedOn w:val="Normal"/>
    <w:next w:val="Normal"/>
    <w:autoRedefine/>
    <w:pPr>
      <w:ind w:left="1200"/>
    </w:pPr>
  </w:style>
  <w:style w:type="paragraph" w:styleId="TOC7">
    <w:name w:val="toc 7"/>
    <w:basedOn w:val="Normal"/>
    <w:next w:val="Normal"/>
    <w:autoRedefine/>
    <w:pPr>
      <w:ind w:left="1440"/>
    </w:pPr>
  </w:style>
  <w:style w:type="paragraph" w:styleId="TOC8">
    <w:name w:val="toc 8"/>
    <w:basedOn w:val="Normal"/>
    <w:next w:val="Normal"/>
    <w:autoRedefine/>
    <w:pPr>
      <w:ind w:left="1680"/>
    </w:pPr>
  </w:style>
  <w:style w:type="paragraph" w:styleId="TOC9">
    <w:name w:val="toc 9"/>
    <w:basedOn w:val="Normal"/>
    <w:next w:val="Normal"/>
    <w:autoRedefine/>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jc w:val="left"/>
    </w:pPr>
    <w:rPr>
      <w:rFonts w:eastAsiaTheme="minorHAnsi"/>
      <w:szCs w:val="22"/>
    </w:rPr>
  </w:style>
  <w:style w:type="paragraph" w:customStyle="1" w:styleId="LegalNumPar2">
    <w:name w:val="LegalNumPar2"/>
    <w:basedOn w:val="Normal"/>
    <w:pPr>
      <w:numPr>
        <w:ilvl w:val="1"/>
        <w:numId w:val="19"/>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9"/>
      </w:numPr>
      <w:spacing w:line="360" w:lineRule="auto"/>
      <w:jc w:val="left"/>
    </w:pPr>
    <w:rPr>
      <w:rFonts w:eastAsiaTheme="minorHAnsi"/>
      <w:szCs w:val="22"/>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rPr>
  </w:style>
  <w:style w:type="paragraph" w:customStyle="1" w:styleId="ZDGName">
    <w:name w:val="Z_DGName"/>
    <w:basedOn w:val="Normal"/>
    <w:uiPriority w:val="99"/>
    <w:pPr>
      <w:widowControl w:val="0"/>
      <w:autoSpaceDE w:val="0"/>
      <w:autoSpaceDN w:val="0"/>
      <w:spacing w:after="0"/>
      <w:ind w:right="85"/>
      <w:jc w:val="left"/>
    </w:pPr>
    <w:rPr>
      <w:rFonts w:ascii="Arial" w:eastAsiaTheme="minorEastAsia" w:hAnsi="Arial" w:cs="Arial"/>
      <w:sz w:val="16"/>
      <w:szCs w:val="16"/>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link w:val="FooterCoverPage"/>
    <w:rPr>
      <w:rFonts w:eastAsia="Times New Roman"/>
      <w:sz w:val="24"/>
    </w:rPr>
  </w:style>
  <w:style w:type="character" w:styleId="FootnoteReference">
    <w:name w:val="footnote reference"/>
    <w:aliases w:val="Ref,de nota al pie,Footnote Reference1,Ref1,de nota al pie1,註腳內容,de nota al pie + (Asian) MS Mincho,11 pt,-E Fußnotenzeichen,16 Point,Superscript 6 Point,註?腳內—e"/>
    <w:uiPriority w:val="99"/>
    <w:rPr>
      <w:vertAlign w:val="superscript"/>
    </w:rPr>
  </w:style>
  <w:style w:type="paragraph" w:customStyle="1" w:styleId="NormalLinespacingMultiple12li">
    <w:name w:val="Normal + Line spacing:  Multiple 1.2 li"/>
    <w:basedOn w:val="Normal"/>
    <w:rPr>
      <w:szCs w:val="24"/>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unhideWhenUsed/>
    <w:rPr>
      <w:color w:val="800080" w:themeColor="followedHyperlink"/>
      <w:u w:val="single"/>
    </w:rPr>
  </w:style>
  <w:style w:type="paragraph" w:styleId="BalloonText">
    <w:name w:val="Balloon Text"/>
    <w:basedOn w:val="Normal"/>
    <w:link w:val="BalloonTextChar"/>
    <w:uiPriority w:val="99"/>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Times New Roman" w:hAnsi="Tahoma" w:cs="Tahoma"/>
      <w:sz w:val="16"/>
      <w:szCs w:val="16"/>
      <w:lang w:val="sv-SE"/>
    </w:rPr>
  </w:style>
  <w:style w:type="character" w:styleId="CommentReference">
    <w:name w:val="annotation reference"/>
    <w:basedOn w:val="DefaultParagraphFont"/>
    <w:unhideWhenUsed/>
    <w:rPr>
      <w:sz w:val="16"/>
      <w:szCs w:val="16"/>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eastAsia="Times New Roman"/>
      <w:b/>
      <w:bCs/>
      <w:lang w:val="sv-SE"/>
    </w:rPr>
  </w:style>
  <w:style w:type="paragraph" w:styleId="Revision">
    <w:name w:val="Revision"/>
    <w:hidden/>
    <w:uiPriority w:val="99"/>
    <w:semiHidden/>
    <w:rPr>
      <w:rFonts w:eastAsia="Times New Roman"/>
      <w:sz w:val="24"/>
    </w:rPr>
  </w:style>
  <w:style w:type="paragraph" w:styleId="ListParagraph">
    <w:name w:val="List Paragraph"/>
    <w:basedOn w:val="Normal"/>
    <w:uiPriority w:val="34"/>
    <w:qFormat/>
    <w:pPr>
      <w:spacing w:after="200" w:line="276" w:lineRule="auto"/>
      <w:ind w:left="720"/>
      <w:contextualSpacing/>
      <w:jc w:val="left"/>
    </w:pPr>
    <w:rPr>
      <w:rFonts w:eastAsia="Calibri" w:cs="SimSun"/>
      <w:szCs w:val="22"/>
    </w:rPr>
  </w:style>
  <w:style w:type="paragraph" w:customStyle="1" w:styleId="CM1">
    <w:name w:val="CM1"/>
    <w:basedOn w:val="Normal"/>
    <w:next w:val="Normal"/>
    <w:uiPriority w:val="99"/>
    <w:pPr>
      <w:autoSpaceDE w:val="0"/>
      <w:autoSpaceDN w:val="0"/>
      <w:adjustRightInd w:val="0"/>
      <w:spacing w:after="0"/>
      <w:jc w:val="left"/>
    </w:pPr>
    <w:rPr>
      <w:rFonts w:ascii="EUAlbertina" w:eastAsiaTheme="minorHAnsi" w:hAnsi="EUAlbertina" w:cstheme="minorBidi"/>
      <w:szCs w:val="24"/>
    </w:rPr>
  </w:style>
  <w:style w:type="table" w:styleId="TableGrid">
    <w:name w:val="Table Grid"/>
    <w:basedOn w:val="TableNormal"/>
    <w:uiPriority w:val="5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Heading1Char"/>
    <w:link w:val="HeaderCoverPage"/>
    <w:rPr>
      <w:rFonts w:eastAsia="Times New Roman"/>
      <w:b w:val="0"/>
      <w:smallCaps w:val="0"/>
      <w:sz w:val="24"/>
      <w:lang w:val="sv-SE"/>
    </w:rPr>
  </w:style>
  <w:style w:type="paragraph" w:customStyle="1" w:styleId="Default">
    <w:name w:val="Default"/>
    <w:pPr>
      <w:autoSpaceDE w:val="0"/>
      <w:autoSpaceDN w:val="0"/>
      <w:adjustRightInd w:val="0"/>
    </w:pPr>
    <w:rPr>
      <w:rFonts w:eastAsia="Times New Roman"/>
      <w:color w:val="000000"/>
      <w:sz w:val="24"/>
      <w:szCs w:val="24"/>
    </w:rPr>
  </w:style>
  <w:style w:type="paragraph" w:customStyle="1" w:styleId="Declassification">
    <w:name w:val="Declassification"/>
    <w:basedOn w:val="Normal"/>
    <w:next w:val="Normal"/>
    <w:pPr>
      <w:spacing w:after="0"/>
    </w:pPr>
    <w:rPr>
      <w:rFonts w:eastAsiaTheme="minorHAnsi"/>
      <w:szCs w:val="22"/>
      <w:lang w:eastAsia="en-US" w:bidi="ar-SA"/>
    </w:rPr>
  </w:style>
  <w:style w:type="paragraph" w:customStyle="1" w:styleId="HeaderLandscape">
    <w:name w:val="HeaderLandscape"/>
    <w:basedOn w:val="Normal"/>
    <w:pPr>
      <w:tabs>
        <w:tab w:val="center" w:pos="7285"/>
        <w:tab w:val="right" w:pos="14003"/>
      </w:tabs>
      <w:spacing w:after="120"/>
    </w:pPr>
    <w:rPr>
      <w:rFonts w:eastAsiaTheme="minorHAnsi"/>
      <w:szCs w:val="22"/>
      <w:lang w:eastAsia="en-US" w:bidi="ar-SA"/>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lang w:eastAsia="en-US" w:bidi="ar-SA"/>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sv-SE" w:eastAsia="sv-SE" w:bidi="sv-SE"/>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jc w:val="both"/>
    </w:pPr>
    <w:rPr>
      <w:rFonts w:eastAsia="Times New Roman"/>
      <w:sz w:val="24"/>
    </w:rPr>
  </w:style>
  <w:style w:type="paragraph" w:styleId="Heading1">
    <w:name w:val="heading 1"/>
    <w:basedOn w:val="Normal"/>
    <w:next w:val="Text1"/>
    <w:link w:val="Heading1Char"/>
    <w:qFormat/>
    <w:pPr>
      <w:keepNext/>
      <w:numPr>
        <w:numId w:val="3"/>
      </w:numPr>
      <w:spacing w:before="240"/>
      <w:outlineLvl w:val="0"/>
    </w:pPr>
    <w:rPr>
      <w:b/>
      <w:smallCaps/>
    </w:rPr>
  </w:style>
  <w:style w:type="paragraph" w:styleId="Heading2">
    <w:name w:val="heading 2"/>
    <w:basedOn w:val="Normal"/>
    <w:next w:val="Text2"/>
    <w:link w:val="Heading2Char"/>
    <w:qFormat/>
    <w:pPr>
      <w:keepNext/>
      <w:numPr>
        <w:ilvl w:val="1"/>
        <w:numId w:val="3"/>
      </w:numPr>
      <w:outlineLvl w:val="1"/>
    </w:pPr>
    <w:rPr>
      <w:b/>
    </w:rPr>
  </w:style>
  <w:style w:type="paragraph" w:styleId="Heading3">
    <w:name w:val="heading 3"/>
    <w:basedOn w:val="Normal"/>
    <w:next w:val="Text3"/>
    <w:link w:val="Heading3Char"/>
    <w:qFormat/>
    <w:pPr>
      <w:keepNext/>
      <w:numPr>
        <w:ilvl w:val="2"/>
        <w:numId w:val="3"/>
      </w:numPr>
      <w:tabs>
        <w:tab w:val="clear" w:pos="2564"/>
        <w:tab w:val="num" w:pos="1920"/>
      </w:tabs>
      <w:ind w:left="1920"/>
      <w:outlineLvl w:val="2"/>
    </w:pPr>
    <w:rPr>
      <w:i/>
    </w:rPr>
  </w:style>
  <w:style w:type="paragraph" w:styleId="Heading4">
    <w:name w:val="heading 4"/>
    <w:basedOn w:val="Normal"/>
    <w:next w:val="Text4"/>
    <w:link w:val="Heading4Char"/>
    <w:qFormat/>
    <w:pPr>
      <w:keepNext/>
      <w:numPr>
        <w:ilvl w:val="3"/>
        <w:numId w:val="3"/>
      </w:numPr>
      <w:outlineLvl w:val="3"/>
    </w:pPr>
  </w:style>
  <w:style w:type="paragraph" w:styleId="Heading5">
    <w:name w:val="heading 5"/>
    <w:basedOn w:val="Normal"/>
    <w:next w:val="Normal"/>
    <w:link w:val="Heading5Char"/>
    <w:qFormat/>
    <w:pPr>
      <w:tabs>
        <w:tab w:val="num" w:pos="0"/>
      </w:tabs>
      <w:spacing w:before="240" w:after="60"/>
      <w:jc w:val="left"/>
      <w:outlineLvl w:val="4"/>
    </w:pPr>
    <w:rPr>
      <w:b/>
      <w:smallCaps/>
    </w:rPr>
  </w:style>
  <w:style w:type="paragraph" w:styleId="Heading6">
    <w:name w:val="heading 6"/>
    <w:basedOn w:val="Normal"/>
    <w:next w:val="Normal"/>
    <w:link w:val="Heading6Char"/>
    <w:qFormat/>
    <w:pPr>
      <w:tabs>
        <w:tab w:val="num" w:pos="0"/>
      </w:tabs>
      <w:spacing w:before="240" w:after="60"/>
      <w:outlineLvl w:val="5"/>
    </w:pPr>
    <w:rPr>
      <w:rFonts w:ascii="Arial" w:hAnsi="Arial"/>
      <w:i/>
      <w:sz w:val="22"/>
    </w:rPr>
  </w:style>
  <w:style w:type="paragraph" w:styleId="Heading7">
    <w:name w:val="heading 7"/>
    <w:basedOn w:val="Normal"/>
    <w:next w:val="Normal"/>
    <w:link w:val="Heading7Char"/>
    <w:qFormat/>
    <w:pPr>
      <w:tabs>
        <w:tab w:val="num" w:pos="0"/>
      </w:tabs>
      <w:spacing w:before="240" w:after="60"/>
      <w:outlineLvl w:val="6"/>
    </w:pPr>
    <w:rPr>
      <w:rFonts w:ascii="Arial" w:hAnsi="Arial"/>
      <w:sz w:val="20"/>
    </w:rPr>
  </w:style>
  <w:style w:type="paragraph" w:styleId="Heading8">
    <w:name w:val="heading 8"/>
    <w:basedOn w:val="Normal"/>
    <w:next w:val="Normal"/>
    <w:link w:val="Heading8Char"/>
    <w:qFormat/>
    <w:pPr>
      <w:tabs>
        <w:tab w:val="num" w:pos="0"/>
      </w:tabs>
      <w:spacing w:before="240" w:after="60"/>
      <w:outlineLvl w:val="7"/>
    </w:pPr>
    <w:rPr>
      <w:rFonts w:ascii="Arial" w:hAnsi="Arial"/>
      <w:i/>
      <w:sz w:val="20"/>
    </w:rPr>
  </w:style>
  <w:style w:type="paragraph" w:styleId="Heading9">
    <w:name w:val="heading 9"/>
    <w:basedOn w:val="Normal"/>
    <w:next w:val="Normal"/>
    <w:link w:val="Heading9Char"/>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eastAsia="Times New Roman"/>
      <w:b/>
      <w:smallCaps/>
      <w:sz w:val="24"/>
      <w:lang w:val="sv-SE"/>
    </w:rPr>
  </w:style>
  <w:style w:type="character" w:customStyle="1" w:styleId="Heading2Char">
    <w:name w:val="Heading 2 Char"/>
    <w:basedOn w:val="DefaultParagraphFont"/>
    <w:link w:val="Heading2"/>
    <w:rPr>
      <w:rFonts w:eastAsia="Times New Roman"/>
      <w:b/>
      <w:sz w:val="24"/>
      <w:lang w:val="sv-SE"/>
    </w:rPr>
  </w:style>
  <w:style w:type="character" w:customStyle="1" w:styleId="Heading3Char">
    <w:name w:val="Heading 3 Char"/>
    <w:basedOn w:val="DefaultParagraphFont"/>
    <w:link w:val="Heading3"/>
    <w:rPr>
      <w:rFonts w:eastAsia="Times New Roman"/>
      <w:i/>
      <w:sz w:val="24"/>
      <w:lang w:val="sv-SE"/>
    </w:rPr>
  </w:style>
  <w:style w:type="character" w:customStyle="1" w:styleId="Heading4Char">
    <w:name w:val="Heading 4 Char"/>
    <w:basedOn w:val="DefaultParagraphFont"/>
    <w:link w:val="Heading4"/>
    <w:rPr>
      <w:rFonts w:eastAsia="Times New Roman"/>
      <w:sz w:val="24"/>
      <w:lang w:val="sv-SE"/>
    </w:rPr>
  </w:style>
  <w:style w:type="character" w:customStyle="1" w:styleId="Heading5Char">
    <w:name w:val="Heading 5 Char"/>
    <w:basedOn w:val="DefaultParagraphFont"/>
    <w:link w:val="Heading5"/>
    <w:rPr>
      <w:rFonts w:eastAsia="Times New Roman"/>
      <w:b/>
      <w:smallCaps/>
      <w:sz w:val="24"/>
      <w:lang w:val="sv-SE"/>
    </w:rPr>
  </w:style>
  <w:style w:type="character" w:customStyle="1" w:styleId="Heading6Char">
    <w:name w:val="Heading 6 Char"/>
    <w:basedOn w:val="DefaultParagraphFont"/>
    <w:link w:val="Heading6"/>
    <w:rPr>
      <w:rFonts w:ascii="Arial" w:eastAsia="Times New Roman" w:hAnsi="Arial"/>
      <w:i/>
      <w:sz w:val="22"/>
      <w:lang w:val="sv-SE"/>
    </w:rPr>
  </w:style>
  <w:style w:type="character" w:customStyle="1" w:styleId="Heading7Char">
    <w:name w:val="Heading 7 Char"/>
    <w:basedOn w:val="DefaultParagraphFont"/>
    <w:link w:val="Heading7"/>
    <w:rPr>
      <w:rFonts w:ascii="Arial" w:eastAsia="Times New Roman" w:hAnsi="Arial"/>
      <w:lang w:val="sv-SE"/>
    </w:rPr>
  </w:style>
  <w:style w:type="character" w:customStyle="1" w:styleId="Heading8Char">
    <w:name w:val="Heading 8 Char"/>
    <w:basedOn w:val="DefaultParagraphFont"/>
    <w:link w:val="Heading8"/>
    <w:rPr>
      <w:rFonts w:ascii="Arial" w:eastAsia="Times New Roman" w:hAnsi="Arial"/>
      <w:i/>
      <w:lang w:val="sv-SE"/>
    </w:rPr>
  </w:style>
  <w:style w:type="character" w:customStyle="1" w:styleId="Heading9Char">
    <w:name w:val="Heading 9 Char"/>
    <w:basedOn w:val="DefaultParagraphFont"/>
    <w:link w:val="Heading9"/>
    <w:rPr>
      <w:rFonts w:ascii="Arial" w:eastAsia="Times New Roman" w:hAnsi="Arial"/>
      <w:i/>
      <w:sz w:val="18"/>
      <w:lang w:val="sv-SE"/>
    </w:rPr>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eastAsia="Times New Roman"/>
      <w:sz w:val="24"/>
      <w:lang w:val="sv-SE"/>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eastAsia="Times New Roman"/>
      <w:sz w:val="24"/>
      <w:lang w:val="sv-SE"/>
    </w:rPr>
  </w:style>
  <w:style w:type="paragraph" w:styleId="BodyText3">
    <w:name w:val="Body Text 3"/>
    <w:basedOn w:val="Normal"/>
    <w:link w:val="BodyText3Char"/>
    <w:pPr>
      <w:spacing w:after="120"/>
    </w:pPr>
    <w:rPr>
      <w:sz w:val="16"/>
    </w:rPr>
  </w:style>
  <w:style w:type="character" w:customStyle="1" w:styleId="BodyText3Char">
    <w:name w:val="Body Text 3 Char"/>
    <w:basedOn w:val="DefaultParagraphFont"/>
    <w:link w:val="BodyText3"/>
    <w:rPr>
      <w:rFonts w:eastAsia="Times New Roman"/>
      <w:sz w:val="16"/>
      <w:lang w:val="sv-SE"/>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eastAsia="Times New Roman"/>
      <w:sz w:val="24"/>
      <w:lang w:val="sv-SE"/>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Pr>
      <w:rFonts w:eastAsia="Times New Roman"/>
      <w:sz w:val="24"/>
      <w:lang w:val="sv-SE"/>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eastAsia="Times New Roman"/>
      <w:sz w:val="24"/>
      <w:lang w:val="sv-SE"/>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Pr>
      <w:rFonts w:eastAsia="Times New Roman"/>
      <w:sz w:val="24"/>
      <w:lang w:val="sv-SE"/>
    </w:rPr>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rPr>
      <w:rFonts w:eastAsia="Times New Roman"/>
      <w:sz w:val="16"/>
      <w:lang w:val="sv-SE"/>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character" w:customStyle="1" w:styleId="ClosingChar">
    <w:name w:val="Closing Char"/>
    <w:basedOn w:val="DefaultParagraphFont"/>
    <w:link w:val="Closing"/>
    <w:rPr>
      <w:rFonts w:eastAsia="Times New Roman"/>
      <w:sz w:val="24"/>
      <w:lang w:val="sv-SE"/>
    </w:r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rPr>
      <w:rFonts w:eastAsia="Times New Roman"/>
      <w:lang w:val="sv-SE"/>
    </w:rPr>
  </w:style>
  <w:style w:type="paragraph" w:styleId="Date">
    <w:name w:val="Date"/>
    <w:basedOn w:val="Normal"/>
    <w:next w:val="References"/>
    <w:link w:val="DateChar"/>
    <w:pPr>
      <w:spacing w:after="0"/>
      <w:ind w:left="5103" w:right="-567"/>
      <w:jc w:val="left"/>
    </w:pPr>
  </w:style>
  <w:style w:type="character" w:customStyle="1" w:styleId="DateChar">
    <w:name w:val="Date Char"/>
    <w:basedOn w:val="DefaultParagraphFont"/>
    <w:link w:val="Date"/>
    <w:rPr>
      <w:rFonts w:eastAsia="Times New Roman"/>
      <w:sz w:val="24"/>
      <w:lang w:val="sv-SE"/>
    </w:rPr>
  </w:style>
  <w:style w:type="paragraph" w:customStyle="1" w:styleId="References">
    <w:name w:val="References"/>
    <w:basedOn w:val="Normal"/>
    <w:next w:val="AddressTR"/>
    <w:pPr>
      <w:ind w:left="5103"/>
      <w:jc w:val="left"/>
    </w:pPr>
    <w:rPr>
      <w:sz w:val="20"/>
    </w:rPr>
  </w:style>
  <w:style w:type="paragraph" w:styleId="DocumentMap">
    <w:name w:val="Document Map"/>
    <w:basedOn w:val="Normal"/>
    <w:link w:val="DocumentMapChar"/>
    <w:pPr>
      <w:shd w:val="clear" w:color="auto" w:fill="000080"/>
    </w:pPr>
    <w:rPr>
      <w:rFonts w:ascii="Tahoma" w:hAnsi="Tahoma"/>
    </w:rPr>
  </w:style>
  <w:style w:type="character" w:customStyle="1" w:styleId="DocumentMapChar">
    <w:name w:val="Document Map Char"/>
    <w:basedOn w:val="DefaultParagraphFont"/>
    <w:link w:val="DocumentMap"/>
    <w:rPr>
      <w:rFonts w:ascii="Tahoma" w:eastAsia="Times New Roman" w:hAnsi="Tahoma"/>
      <w:sz w:val="24"/>
      <w:shd w:val="clear" w:color="auto" w:fill="000080"/>
      <w:lang w:val="sv-SE"/>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rPr>
      <w:sz w:val="20"/>
    </w:rPr>
  </w:style>
  <w:style w:type="character" w:customStyle="1" w:styleId="EndnoteTextChar">
    <w:name w:val="Endnote Text Char"/>
    <w:basedOn w:val="DefaultParagraphFont"/>
    <w:link w:val="EndnoteText"/>
    <w:rPr>
      <w:rFonts w:eastAsia="Times New Roman"/>
      <w:lang w:val="sv-SE"/>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lang w:eastAsia="en-US" w:bidi="ar-SA"/>
    </w:rPr>
  </w:style>
  <w:style w:type="character" w:customStyle="1" w:styleId="FooterChar">
    <w:name w:val="Footer Char"/>
    <w:basedOn w:val="DefaultParagraphFont"/>
    <w:link w:val="Footer"/>
    <w:uiPriority w:val="99"/>
    <w:rPr>
      <w:sz w:val="24"/>
      <w:szCs w:val="22"/>
      <w:lang w:eastAsia="en-US" w:bidi="ar-SA"/>
    </w:rPr>
  </w:style>
  <w:style w:type="paragraph" w:styleId="FootnoteText">
    <w:name w:val="footnote text"/>
    <w:aliases w:val="fn,footnote text,Footnotes,Footnote ak,ft,fn cafc,fn Char,footnote text Char,Footnotes Char,Footnote ak Char,Footnotes Char Char,fn Char Char,footnote text Char Char Char Ch,Footnote ak Char Char,C,f,footnote citation,Cha"/>
    <w:basedOn w:val="Normal"/>
    <w:link w:val="FootnoteTextChar"/>
    <w:uiPriority w:val="99"/>
    <w:pPr>
      <w:ind w:left="357" w:hanging="357"/>
    </w:pPr>
    <w:rPr>
      <w:sz w:val="20"/>
    </w:rPr>
  </w:style>
  <w:style w:type="character" w:customStyle="1" w:styleId="FootnoteTextChar">
    <w:name w:val="Footnote Text Char"/>
    <w:aliases w:val="fn Char1,footnote text Char1,Footnotes Char1,Footnote ak Char1,ft Char,fn cafc Char,fn Char Char1,footnote text Char Char,Footnotes Char Char1,Footnote ak Char Char1,Footnotes Char Char Char,fn Char Char Char,C Char,f Char,Cha Char"/>
    <w:basedOn w:val="DefaultParagraphFont"/>
    <w:link w:val="FootnoteText"/>
    <w:uiPriority w:val="99"/>
    <w:rPr>
      <w:rFonts w:eastAsia="Times New Roman"/>
      <w:lang w:val="sv-SE"/>
    </w:rPr>
  </w:style>
  <w:style w:type="paragraph" w:styleId="Header">
    <w:name w:val="header"/>
    <w:basedOn w:val="Normal"/>
    <w:link w:val="HeaderChar"/>
    <w:uiPriority w:val="99"/>
    <w:unhideWhenUsed/>
    <w:pPr>
      <w:tabs>
        <w:tab w:val="center" w:pos="4535"/>
        <w:tab w:val="right" w:pos="9071"/>
      </w:tabs>
      <w:spacing w:after="120"/>
    </w:pPr>
    <w:rPr>
      <w:rFonts w:eastAsiaTheme="minorHAnsi"/>
      <w:szCs w:val="22"/>
      <w:lang w:eastAsia="en-US" w:bidi="ar-SA"/>
    </w:rPr>
  </w:style>
  <w:style w:type="character" w:customStyle="1" w:styleId="HeaderChar">
    <w:name w:val="Header Char"/>
    <w:basedOn w:val="DefaultParagraphFont"/>
    <w:link w:val="Header"/>
    <w:uiPriority w:val="99"/>
    <w:rPr>
      <w:sz w:val="24"/>
      <w:szCs w:val="22"/>
      <w:lang w:eastAsia="en-US" w:bidi="ar-SA"/>
    </w:rPr>
  </w:style>
  <w:style w:type="paragraph" w:styleId="Index1">
    <w:name w:val="index 1"/>
    <w:basedOn w:val="Normal"/>
    <w:next w:val="Normal"/>
    <w:autoRedefine/>
    <w:pPr>
      <w:ind w:left="240" w:hanging="240"/>
    </w:pPr>
  </w:style>
  <w:style w:type="paragraph" w:styleId="Index2">
    <w:name w:val="index 2"/>
    <w:basedOn w:val="Normal"/>
    <w:next w:val="Normal"/>
    <w:autoRedefine/>
    <w:pPr>
      <w:ind w:left="480" w:hanging="240"/>
    </w:pPr>
  </w:style>
  <w:style w:type="paragraph" w:styleId="Index3">
    <w:name w:val="index 3"/>
    <w:basedOn w:val="Normal"/>
    <w:next w:val="Normal"/>
    <w:autoRedefine/>
    <w:pPr>
      <w:ind w:left="720" w:hanging="240"/>
    </w:pPr>
  </w:style>
  <w:style w:type="paragraph" w:styleId="Index4">
    <w:name w:val="index 4"/>
    <w:basedOn w:val="Normal"/>
    <w:next w:val="Normal"/>
    <w:autoRedefine/>
    <w:pPr>
      <w:ind w:left="960" w:hanging="240"/>
    </w:pPr>
  </w:style>
  <w:style w:type="paragraph" w:styleId="Index5">
    <w:name w:val="index 5"/>
    <w:basedOn w:val="Normal"/>
    <w:next w:val="Normal"/>
    <w:autoRedefine/>
    <w:pPr>
      <w:ind w:left="1200" w:hanging="240"/>
    </w:pPr>
  </w:style>
  <w:style w:type="paragraph" w:styleId="Index6">
    <w:name w:val="index 6"/>
    <w:basedOn w:val="Normal"/>
    <w:next w:val="Normal"/>
    <w:autoRedefine/>
    <w:pPr>
      <w:ind w:left="1440" w:hanging="240"/>
    </w:pPr>
  </w:style>
  <w:style w:type="paragraph" w:styleId="Index7">
    <w:name w:val="index 7"/>
    <w:basedOn w:val="Normal"/>
    <w:next w:val="Normal"/>
    <w:autoRedefine/>
    <w:pPr>
      <w:ind w:left="1680" w:hanging="240"/>
    </w:pPr>
  </w:style>
  <w:style w:type="paragraph" w:styleId="Index8">
    <w:name w:val="index 8"/>
    <w:basedOn w:val="Normal"/>
    <w:next w:val="Normal"/>
    <w:autoRedefine/>
    <w:pPr>
      <w:ind w:left="1920" w:hanging="240"/>
    </w:pPr>
  </w:style>
  <w:style w:type="paragraph" w:styleId="Index9">
    <w:name w:val="index 9"/>
    <w:basedOn w:val="Normal"/>
    <w:next w:val="Normal"/>
    <w:autoRedefine/>
    <w:pPr>
      <w:ind w:left="2160" w:hanging="240"/>
    </w:pPr>
  </w:style>
  <w:style w:type="paragraph" w:styleId="IndexHeading">
    <w:name w:val="index heading"/>
    <w:basedOn w:val="Normal"/>
    <w:next w:val="Index1"/>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Times New Roman" w:hAnsi="Courier New"/>
    </w:rPr>
  </w:style>
  <w:style w:type="character" w:customStyle="1" w:styleId="MacroTextChar">
    <w:name w:val="Macro Text Char"/>
    <w:basedOn w:val="DefaultParagraphFont"/>
    <w:link w:val="MacroText"/>
    <w:rPr>
      <w:rFonts w:ascii="Courier New" w:eastAsia="Times New Roman" w:hAnsi="Courier New"/>
      <w:lang w:val="sv-SE"/>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Pr>
      <w:rFonts w:ascii="Arial" w:eastAsia="Times New Roman" w:hAnsi="Arial"/>
      <w:sz w:val="24"/>
      <w:shd w:val="pct20" w:color="auto" w:fill="auto"/>
      <w:lang w:val="sv-SE"/>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eastAsia="Times New Roman"/>
      <w:sz w:val="24"/>
      <w:lang w:val="sv-SE"/>
    </w:r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rPr>
      <w:rFonts w:ascii="Courier New" w:hAnsi="Courier New"/>
      <w:sz w:val="20"/>
    </w:rPr>
  </w:style>
  <w:style w:type="character" w:customStyle="1" w:styleId="PlainTextChar">
    <w:name w:val="Plain Text Char"/>
    <w:basedOn w:val="DefaultParagraphFont"/>
    <w:link w:val="PlainText"/>
    <w:rPr>
      <w:rFonts w:ascii="Courier New" w:eastAsia="Times New Roman" w:hAnsi="Courier New"/>
      <w:lang w:val="sv-SE"/>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rPr>
      <w:rFonts w:eastAsia="Times New Roman"/>
      <w:sz w:val="24"/>
      <w:lang w:val="sv-SE"/>
    </w:rPr>
  </w:style>
  <w:style w:type="paragraph" w:styleId="Signature">
    <w:name w:val="Signature"/>
    <w:basedOn w:val="Normal"/>
    <w:next w:val="Enclosures"/>
    <w:link w:val="SignatureChar"/>
    <w:pPr>
      <w:tabs>
        <w:tab w:val="left" w:pos="5103"/>
      </w:tabs>
      <w:spacing w:before="1200" w:after="0"/>
      <w:ind w:left="5103"/>
      <w:jc w:val="center"/>
    </w:pPr>
  </w:style>
  <w:style w:type="character" w:customStyle="1" w:styleId="SignatureChar">
    <w:name w:val="Signature Char"/>
    <w:basedOn w:val="DefaultParagraphFont"/>
    <w:link w:val="Signature"/>
    <w:rPr>
      <w:rFonts w:eastAsia="Times New Roman"/>
      <w:sz w:val="24"/>
      <w:lang w:val="sv-SE"/>
    </w:rPr>
  </w:style>
  <w:style w:type="paragraph" w:styleId="Subtitle">
    <w:name w:val="Subtitle"/>
    <w:basedOn w:val="Normal"/>
    <w:link w:val="SubtitleChar"/>
    <w:qFormat/>
    <w:pPr>
      <w:spacing w:after="60"/>
      <w:jc w:val="center"/>
      <w:outlineLvl w:val="1"/>
    </w:pPr>
    <w:rPr>
      <w:rFonts w:ascii="Arial" w:hAnsi="Arial"/>
    </w:rPr>
  </w:style>
  <w:style w:type="character" w:customStyle="1" w:styleId="SubtitleChar">
    <w:name w:val="Subtitle Char"/>
    <w:basedOn w:val="DefaultParagraphFont"/>
    <w:link w:val="Subtitle"/>
    <w:rPr>
      <w:rFonts w:ascii="Arial" w:eastAsia="Times New Roman" w:hAnsi="Arial"/>
      <w:sz w:val="24"/>
      <w:lang w:val="sv-SE"/>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pPr>
      <w:ind w:left="240" w:hanging="240"/>
    </w:pPr>
  </w:style>
  <w:style w:type="paragraph" w:styleId="TableofFigures">
    <w:name w:val="table of figures"/>
    <w:basedOn w:val="Normal"/>
    <w:next w:val="Normal"/>
    <w:pPr>
      <w:ind w:left="480" w:hanging="480"/>
    </w:pPr>
  </w:style>
  <w:style w:type="paragraph" w:styleId="Title">
    <w:name w:val="Title"/>
    <w:basedOn w:val="Normal"/>
    <w:next w:val="SubTitle1"/>
    <w:link w:val="TitleChar"/>
    <w:qFormat/>
    <w:pPr>
      <w:spacing w:after="480"/>
      <w:jc w:val="center"/>
    </w:pPr>
    <w:rPr>
      <w:b/>
      <w:kern w:val="28"/>
      <w:sz w:val="48"/>
    </w:rPr>
  </w:style>
  <w:style w:type="character" w:customStyle="1" w:styleId="TitleChar">
    <w:name w:val="Title Char"/>
    <w:basedOn w:val="DefaultParagraphFont"/>
    <w:link w:val="Title"/>
    <w:rPr>
      <w:rFonts w:eastAsia="Times New Roman"/>
      <w:b/>
      <w:kern w:val="28"/>
      <w:sz w:val="48"/>
      <w:lang w:val="sv-SE"/>
    </w:rPr>
  </w:style>
  <w:style w:type="paragraph" w:styleId="TOAHeading">
    <w:name w:val="toa heading"/>
    <w:basedOn w:val="Normal"/>
    <w:next w:val="Normal"/>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pPr>
      <w:tabs>
        <w:tab w:val="right" w:leader="dot" w:pos="8641"/>
      </w:tabs>
      <w:spacing w:before="60" w:after="60"/>
      <w:ind w:left="2880" w:right="720" w:hanging="964"/>
    </w:pPr>
  </w:style>
  <w:style w:type="paragraph" w:styleId="TOC5">
    <w:name w:val="toc 5"/>
    <w:basedOn w:val="Normal"/>
    <w:next w:val="Normal"/>
    <w:pPr>
      <w:tabs>
        <w:tab w:val="right" w:leader="dot" w:pos="8641"/>
      </w:tabs>
      <w:spacing w:before="240" w:after="120"/>
      <w:ind w:right="720"/>
    </w:pPr>
    <w:rPr>
      <w:caps/>
    </w:rPr>
  </w:style>
  <w:style w:type="paragraph" w:styleId="TOC6">
    <w:name w:val="toc 6"/>
    <w:basedOn w:val="Normal"/>
    <w:next w:val="Normal"/>
    <w:autoRedefine/>
    <w:pPr>
      <w:ind w:left="1200"/>
    </w:pPr>
  </w:style>
  <w:style w:type="paragraph" w:styleId="TOC7">
    <w:name w:val="toc 7"/>
    <w:basedOn w:val="Normal"/>
    <w:next w:val="Normal"/>
    <w:autoRedefine/>
    <w:pPr>
      <w:ind w:left="1440"/>
    </w:pPr>
  </w:style>
  <w:style w:type="paragraph" w:styleId="TOC8">
    <w:name w:val="toc 8"/>
    <w:basedOn w:val="Normal"/>
    <w:next w:val="Normal"/>
    <w:autoRedefine/>
    <w:pPr>
      <w:ind w:left="1680"/>
    </w:pPr>
  </w:style>
  <w:style w:type="paragraph" w:styleId="TOC9">
    <w:name w:val="toc 9"/>
    <w:basedOn w:val="Normal"/>
    <w:next w:val="Normal"/>
    <w:autoRedefine/>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jc w:val="left"/>
    </w:pPr>
    <w:rPr>
      <w:rFonts w:eastAsiaTheme="minorHAnsi"/>
      <w:szCs w:val="22"/>
    </w:rPr>
  </w:style>
  <w:style w:type="paragraph" w:customStyle="1" w:styleId="LegalNumPar2">
    <w:name w:val="LegalNumPar2"/>
    <w:basedOn w:val="Normal"/>
    <w:pPr>
      <w:numPr>
        <w:ilvl w:val="1"/>
        <w:numId w:val="19"/>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9"/>
      </w:numPr>
      <w:spacing w:line="360" w:lineRule="auto"/>
      <w:jc w:val="left"/>
    </w:pPr>
    <w:rPr>
      <w:rFonts w:eastAsiaTheme="minorHAnsi"/>
      <w:szCs w:val="22"/>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rPr>
  </w:style>
  <w:style w:type="paragraph" w:customStyle="1" w:styleId="ZDGName">
    <w:name w:val="Z_DGName"/>
    <w:basedOn w:val="Normal"/>
    <w:uiPriority w:val="99"/>
    <w:pPr>
      <w:widowControl w:val="0"/>
      <w:autoSpaceDE w:val="0"/>
      <w:autoSpaceDN w:val="0"/>
      <w:spacing w:after="0"/>
      <w:ind w:right="85"/>
      <w:jc w:val="left"/>
    </w:pPr>
    <w:rPr>
      <w:rFonts w:ascii="Arial" w:eastAsiaTheme="minorEastAsia" w:hAnsi="Arial" w:cs="Arial"/>
      <w:sz w:val="16"/>
      <w:szCs w:val="16"/>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link w:val="FooterCoverPage"/>
    <w:rPr>
      <w:rFonts w:eastAsia="Times New Roman"/>
      <w:sz w:val="24"/>
    </w:rPr>
  </w:style>
  <w:style w:type="character" w:styleId="FootnoteReference">
    <w:name w:val="footnote reference"/>
    <w:aliases w:val="Ref,de nota al pie,Footnote Reference1,Ref1,de nota al pie1,註腳內容,de nota al pie + (Asian) MS Mincho,11 pt,-E Fußnotenzeichen,16 Point,Superscript 6 Point,註?腳內—e"/>
    <w:uiPriority w:val="99"/>
    <w:rPr>
      <w:vertAlign w:val="superscript"/>
    </w:rPr>
  </w:style>
  <w:style w:type="paragraph" w:customStyle="1" w:styleId="NormalLinespacingMultiple12li">
    <w:name w:val="Normal + Line spacing:  Multiple 1.2 li"/>
    <w:basedOn w:val="Normal"/>
    <w:rPr>
      <w:szCs w:val="24"/>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unhideWhenUsed/>
    <w:rPr>
      <w:color w:val="800080" w:themeColor="followedHyperlink"/>
      <w:u w:val="single"/>
    </w:rPr>
  </w:style>
  <w:style w:type="paragraph" w:styleId="BalloonText">
    <w:name w:val="Balloon Text"/>
    <w:basedOn w:val="Normal"/>
    <w:link w:val="BalloonTextChar"/>
    <w:uiPriority w:val="99"/>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Times New Roman" w:hAnsi="Tahoma" w:cs="Tahoma"/>
      <w:sz w:val="16"/>
      <w:szCs w:val="16"/>
      <w:lang w:val="sv-SE"/>
    </w:rPr>
  </w:style>
  <w:style w:type="character" w:styleId="CommentReference">
    <w:name w:val="annotation reference"/>
    <w:basedOn w:val="DefaultParagraphFont"/>
    <w:unhideWhenUsed/>
    <w:rPr>
      <w:sz w:val="16"/>
      <w:szCs w:val="16"/>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eastAsia="Times New Roman"/>
      <w:b/>
      <w:bCs/>
      <w:lang w:val="sv-SE"/>
    </w:rPr>
  </w:style>
  <w:style w:type="paragraph" w:styleId="Revision">
    <w:name w:val="Revision"/>
    <w:hidden/>
    <w:uiPriority w:val="99"/>
    <w:semiHidden/>
    <w:rPr>
      <w:rFonts w:eastAsia="Times New Roman"/>
      <w:sz w:val="24"/>
    </w:rPr>
  </w:style>
  <w:style w:type="paragraph" w:styleId="ListParagraph">
    <w:name w:val="List Paragraph"/>
    <w:basedOn w:val="Normal"/>
    <w:uiPriority w:val="34"/>
    <w:qFormat/>
    <w:pPr>
      <w:spacing w:after="200" w:line="276" w:lineRule="auto"/>
      <w:ind w:left="720"/>
      <w:contextualSpacing/>
      <w:jc w:val="left"/>
    </w:pPr>
    <w:rPr>
      <w:rFonts w:eastAsia="Calibri" w:cs="SimSun"/>
      <w:szCs w:val="22"/>
    </w:rPr>
  </w:style>
  <w:style w:type="paragraph" w:customStyle="1" w:styleId="CM1">
    <w:name w:val="CM1"/>
    <w:basedOn w:val="Normal"/>
    <w:next w:val="Normal"/>
    <w:uiPriority w:val="99"/>
    <w:pPr>
      <w:autoSpaceDE w:val="0"/>
      <w:autoSpaceDN w:val="0"/>
      <w:adjustRightInd w:val="0"/>
      <w:spacing w:after="0"/>
      <w:jc w:val="left"/>
    </w:pPr>
    <w:rPr>
      <w:rFonts w:ascii="EUAlbertina" w:eastAsiaTheme="minorHAnsi" w:hAnsi="EUAlbertina" w:cstheme="minorBidi"/>
      <w:szCs w:val="24"/>
    </w:rPr>
  </w:style>
  <w:style w:type="table" w:styleId="TableGrid">
    <w:name w:val="Table Grid"/>
    <w:basedOn w:val="TableNormal"/>
    <w:uiPriority w:val="5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Heading1Char"/>
    <w:link w:val="HeaderCoverPage"/>
    <w:rPr>
      <w:rFonts w:eastAsia="Times New Roman"/>
      <w:b w:val="0"/>
      <w:smallCaps w:val="0"/>
      <w:sz w:val="24"/>
      <w:lang w:val="sv-SE"/>
    </w:rPr>
  </w:style>
  <w:style w:type="paragraph" w:customStyle="1" w:styleId="Default">
    <w:name w:val="Default"/>
    <w:pPr>
      <w:autoSpaceDE w:val="0"/>
      <w:autoSpaceDN w:val="0"/>
      <w:adjustRightInd w:val="0"/>
    </w:pPr>
    <w:rPr>
      <w:rFonts w:eastAsia="Times New Roman"/>
      <w:color w:val="000000"/>
      <w:sz w:val="24"/>
      <w:szCs w:val="24"/>
    </w:rPr>
  </w:style>
  <w:style w:type="paragraph" w:customStyle="1" w:styleId="Declassification">
    <w:name w:val="Declassification"/>
    <w:basedOn w:val="Normal"/>
    <w:next w:val="Normal"/>
    <w:pPr>
      <w:spacing w:after="0"/>
    </w:pPr>
    <w:rPr>
      <w:rFonts w:eastAsiaTheme="minorHAnsi"/>
      <w:szCs w:val="22"/>
      <w:lang w:eastAsia="en-US" w:bidi="ar-SA"/>
    </w:rPr>
  </w:style>
  <w:style w:type="paragraph" w:customStyle="1" w:styleId="HeaderLandscape">
    <w:name w:val="HeaderLandscape"/>
    <w:basedOn w:val="Normal"/>
    <w:pPr>
      <w:tabs>
        <w:tab w:val="center" w:pos="7285"/>
        <w:tab w:val="right" w:pos="14003"/>
      </w:tabs>
      <w:spacing w:after="120"/>
    </w:pPr>
    <w:rPr>
      <w:rFonts w:eastAsiaTheme="minorHAnsi"/>
      <w:szCs w:val="22"/>
      <w:lang w:eastAsia="en-US" w:bidi="ar-SA"/>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lang w:eastAsia="en-US" w:bidi="ar-SA"/>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header" Target="header15.xml"/><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footer" Target="footer12.xml"/><Relationship Id="rId42" Type="http://schemas.openxmlformats.org/officeDocument/2006/relationships/header" Target="header16.xml"/><Relationship Id="rId47" Type="http://schemas.openxmlformats.org/officeDocument/2006/relationships/footer" Target="footer1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2.xml"/><Relationship Id="rId38" Type="http://schemas.openxmlformats.org/officeDocument/2006/relationships/footer" Target="footer14.xml"/><Relationship Id="rId46" Type="http://schemas.openxmlformats.org/officeDocument/2006/relationships/header" Target="header18.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0.xml"/><Relationship Id="rId41"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1.xml"/><Relationship Id="rId37" Type="http://schemas.openxmlformats.org/officeDocument/2006/relationships/footer" Target="footer13.xml"/><Relationship Id="rId40" Type="http://schemas.openxmlformats.org/officeDocument/2006/relationships/footer" Target="footer15.xml"/><Relationship Id="rId45" Type="http://schemas.openxmlformats.org/officeDocument/2006/relationships/footer" Target="footer1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yperlink" Target="http://biz.liga.net/svoy-biznes/all/stati/3512399-eksport-novogo-pokoleniya-ukraintsy-uchatsya-prodavat-tekhnologii.htm" TargetMode="External"/><Relationship Id="rId36" Type="http://schemas.openxmlformats.org/officeDocument/2006/relationships/header" Target="header14.xm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oter" Target="footer10.xml"/><Relationship Id="rId44"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2.png"/><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header" Target="header17.xml"/><Relationship Id="rId48" Type="http://schemas.openxmlformats.org/officeDocument/2006/relationships/fontTable" Target="fontTable.xml"/><Relationship Id="rId8" Type="http://schemas.openxmlformats.org/officeDocument/2006/relationships/image" Target="media/image1.emf"/></Relationships>
</file>

<file path=word/_rels/footnotes.xml.rels><?xml version="1.0" encoding="UTF-8" standalone="yes"?>
<Relationships xmlns="http://schemas.openxmlformats.org/package/2006/relationships"><Relationship Id="rId3" Type="http://schemas.openxmlformats.org/officeDocument/2006/relationships/hyperlink" Target="https://sv.wikipedia.org/wiki/Arbetarr%C3%B6relsen" TargetMode="External"/><Relationship Id="rId2" Type="http://schemas.openxmlformats.org/officeDocument/2006/relationships/hyperlink" Target="https://sv.wikipedia.org/wiki/Arbetsgivarorganisation" TargetMode="External"/><Relationship Id="rId1" Type="http://schemas.openxmlformats.org/officeDocument/2006/relationships/hyperlink" Target="http://trade.ec.europa.eu/doclib/press/index.cfm?id=993" TargetMode="External"/><Relationship Id="rId6" Type="http://schemas.openxmlformats.org/officeDocument/2006/relationships/hyperlink" Target="http://ec.europa.eu/trade/policy/in-focus/ceta/" TargetMode="External"/><Relationship Id="rId5" Type="http://schemas.openxmlformats.org/officeDocument/2006/relationships/hyperlink" Target="http://trade.ec.europa.eu/doclib/docs/2017/july/tradoc_155686.pdf" TargetMode="External"/><Relationship Id="rId4" Type="http://schemas.openxmlformats.org/officeDocument/2006/relationships/hyperlink" Target="https://sv.wikipedia.org/wiki/St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BEBEB"/>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4</Pages>
  <Words>10695</Words>
  <Characters>64064</Characters>
  <Application>Microsoft Office Word</Application>
  <DocSecurity>0</DocSecurity>
  <Lines>1408</Lines>
  <Paragraphs>737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74299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LAGES CARVALHO Patrick (SG)</cp:lastModifiedBy>
  <cp:revision>24</cp:revision>
  <dcterms:created xsi:type="dcterms:W3CDTF">2017-10-24T13:38:00Z</dcterms:created>
  <dcterms:modified xsi:type="dcterms:W3CDTF">2017-11-08T07:27:00Z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ies>
</file>