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1D6C43AE-DF34-4360-982E-8021C6C3B2D5" style="width:450.7pt;height:320.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jc w:val="center"/>
        <w:rPr>
          <w:rFonts w:ascii="Verdana" w:hAnsi="Verdana"/>
          <w:b/>
          <w:noProof/>
          <w:sz w:val="28"/>
          <w:szCs w:val="28"/>
        </w:rPr>
      </w:pPr>
      <w:bookmarkStart w:id="1" w:name="_GoBack"/>
      <w:bookmarkEnd w:id="1"/>
    </w:p>
    <w:p>
      <w:pPr>
        <w:spacing w:after="0"/>
        <w:jc w:val="center"/>
        <w:rPr>
          <w:rFonts w:ascii="Verdana" w:hAnsi="Verdana"/>
          <w:b/>
          <w:noProof/>
          <w:sz w:val="28"/>
          <w:szCs w:val="28"/>
        </w:rPr>
      </w:pPr>
    </w:p>
    <w:p>
      <w:pPr>
        <w:spacing w:after="0"/>
        <w:jc w:val="center"/>
        <w:rPr>
          <w:rFonts w:ascii="Verdana" w:hAnsi="Verdana"/>
          <w:b/>
          <w:noProof/>
          <w:sz w:val="28"/>
          <w:szCs w:val="28"/>
        </w:rPr>
      </w:pPr>
      <w:r>
        <w:rPr>
          <w:rFonts w:ascii="Verdana" w:hAnsi="Verdana"/>
          <w:b/>
          <w:noProof/>
          <w:sz w:val="28"/>
        </w:rPr>
        <w:t>Inhaltsverzeichnis</w:t>
      </w:r>
    </w:p>
    <w:p>
      <w:pPr>
        <w:spacing w:after="0"/>
        <w:jc w:val="center"/>
        <w:rPr>
          <w:rFonts w:ascii="Verdana" w:hAnsi="Verdana"/>
          <w:b/>
          <w:noProof/>
          <w:sz w:val="28"/>
          <w:szCs w:val="28"/>
        </w:rPr>
      </w:pPr>
    </w:p>
    <w:p>
      <w:pPr>
        <w:pStyle w:val="TOC1"/>
        <w:rPr>
          <w:rFonts w:asciiTheme="minorHAnsi" w:eastAsiaTheme="minorEastAsia" w:hAnsiTheme="minorHAnsi" w:cstheme="minorBidi"/>
          <w:noProof/>
          <w:sz w:val="22"/>
          <w:szCs w:val="22"/>
          <w:lang w:eastAsia="en-GB" w:bidi="ar-SA"/>
        </w:rPr>
      </w:pPr>
      <w:r>
        <w:rPr>
          <w:noProof/>
        </w:rPr>
        <w:fldChar w:fldCharType="begin"/>
      </w:r>
      <w:r>
        <w:rPr>
          <w:noProof/>
        </w:rPr>
        <w:instrText xml:space="preserve"> TOC \o "1-1" \h \z \u </w:instrText>
      </w:r>
      <w:r>
        <w:rPr>
          <w:noProof/>
        </w:rPr>
        <w:fldChar w:fldCharType="separate"/>
      </w:r>
      <w:hyperlink w:anchor="_Toc495933855" w:history="1">
        <w:r>
          <w:rPr>
            <w:rStyle w:val="Hyperlink"/>
            <w:noProof/>
          </w:rPr>
          <w:t>Einleitung</w:t>
        </w:r>
        <w:r>
          <w:rPr>
            <w:noProof/>
            <w:webHidden/>
          </w:rPr>
          <w:tab/>
        </w:r>
        <w:r>
          <w:rPr>
            <w:noProof/>
            <w:webHidden/>
          </w:rPr>
          <w:fldChar w:fldCharType="begin"/>
        </w:r>
        <w:r>
          <w:rPr>
            <w:noProof/>
            <w:webHidden/>
          </w:rPr>
          <w:instrText xml:space="preserve"> PAGEREF _Toc495933855 \h </w:instrText>
        </w:r>
        <w:r>
          <w:rPr>
            <w:noProof/>
            <w:webHidden/>
          </w:rPr>
        </w:r>
        <w:r>
          <w:rPr>
            <w:noProof/>
            <w:webHidden/>
          </w:rPr>
          <w:fldChar w:fldCharType="separate"/>
        </w:r>
        <w:r>
          <w:rPr>
            <w:noProof/>
            <w:webHidden/>
          </w:rPr>
          <w:t>3</w:t>
        </w:r>
        <w:r>
          <w:rPr>
            <w:noProof/>
            <w:webHidden/>
          </w:rPr>
          <w:fldChar w:fldCharType="end"/>
        </w:r>
      </w:hyperlink>
    </w:p>
    <w:p>
      <w:pPr>
        <w:pStyle w:val="TOC1"/>
        <w:ind w:left="0" w:firstLine="0"/>
        <w:rPr>
          <w:rFonts w:asciiTheme="minorHAnsi" w:eastAsiaTheme="minorEastAsia" w:hAnsiTheme="minorHAnsi" w:cstheme="minorBidi"/>
          <w:noProof/>
          <w:sz w:val="22"/>
          <w:szCs w:val="22"/>
          <w:lang w:eastAsia="en-GB" w:bidi="ar-SA"/>
        </w:rPr>
      </w:pPr>
      <w:hyperlink w:anchor="_Toc495933856" w:history="1">
        <w:r>
          <w:rPr>
            <w:rStyle w:val="Hyperlink"/>
            <w:noProof/>
          </w:rPr>
          <w:t>Überblick über die wichtigsten Maßnahmen der humanitären Hilfe im Jahr 2016</w:t>
        </w:r>
        <w:r>
          <w:rPr>
            <w:noProof/>
            <w:webHidden/>
          </w:rPr>
          <w:tab/>
        </w:r>
        <w:r>
          <w:rPr>
            <w:noProof/>
            <w:webHidden/>
          </w:rPr>
          <w:fldChar w:fldCharType="begin"/>
        </w:r>
        <w:r>
          <w:rPr>
            <w:noProof/>
            <w:webHidden/>
          </w:rPr>
          <w:instrText xml:space="preserve"> PAGEREF _Toc495933856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495933857" w:history="1">
        <w:r>
          <w:rPr>
            <w:rStyle w:val="Hyperlink"/>
            <w:noProof/>
          </w:rPr>
          <w:t>Zusätzliche Informationen und Quellen</w:t>
        </w:r>
        <w:r>
          <w:rPr>
            <w:noProof/>
            <w:webHidden/>
          </w:rPr>
          <w:tab/>
        </w:r>
        <w:r>
          <w:rPr>
            <w:noProof/>
            <w:webHidden/>
          </w:rPr>
          <w:fldChar w:fldCharType="begin"/>
        </w:r>
        <w:r>
          <w:rPr>
            <w:noProof/>
            <w:webHidden/>
          </w:rPr>
          <w:instrText xml:space="preserve"> PAGEREF _Toc495933857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Calibri" w:hAnsi="Calibri"/>
          <w:noProof/>
          <w:sz w:val="22"/>
          <w:szCs w:val="22"/>
        </w:rPr>
      </w:pPr>
      <w:r>
        <w:rPr>
          <w:noProof/>
        </w:rPr>
        <w:fldChar w:fldCharType="end"/>
      </w:r>
    </w:p>
    <w:p>
      <w:pPr>
        <w:pStyle w:val="ECHOHeading1"/>
        <w:spacing w:before="0"/>
        <w:ind w:left="0" w:firstLine="0"/>
        <w:jc w:val="center"/>
        <w:rPr>
          <w:noProof/>
          <w:u w:val="single"/>
        </w:rPr>
      </w:pPr>
      <w:r>
        <w:rPr>
          <w:noProof/>
        </w:rPr>
        <w:br w:type="page"/>
      </w:r>
      <w:bookmarkStart w:id="2" w:name="_Toc449608352"/>
      <w:bookmarkStart w:id="3" w:name="_Toc494787938"/>
      <w:bookmarkStart w:id="4" w:name="_Toc495933855"/>
      <w:r>
        <w:rPr>
          <w:noProof/>
          <w:u w:val="single"/>
        </w:rPr>
        <w:lastRenderedPageBreak/>
        <w:t>Einleitung</w:t>
      </w:r>
      <w:bookmarkEnd w:id="2"/>
      <w:bookmarkEnd w:id="3"/>
      <w:bookmarkEnd w:id="4"/>
    </w:p>
    <w:p>
      <w:pPr>
        <w:pStyle w:val="ECHOContent"/>
        <w:rPr>
          <w:noProof/>
        </w:rPr>
      </w:pPr>
      <w:r>
        <w:rPr>
          <w:noProof/>
        </w:rPr>
        <w:t>Dieser Jahresbericht gibt einen Überblick über die wichtigsten – von der Generaldirektion humanitäre Hilfe und Katastrophenschutz (GD ECHO) der Europäischen Kommission durchgeführten – Maßnahmen und Ergebnisse der humanitären Hilfe der Union im Jahr 2016. Gemäß Artikel 19 der Verordnung (EG) Nr. 1257/96 des Rates vom 20. Juni 1996 über die humanitäre Hilfe muss die Kommission dem Europäischen Parlament und dem Rat einen Jahresbericht mit einer Zusammenfassung der im Haushaltsjahr finanzierten Aktionen vorlegen.</w:t>
      </w:r>
    </w:p>
    <w:p>
      <w:pPr>
        <w:pStyle w:val="ECHOHeading1"/>
        <w:jc w:val="center"/>
        <w:rPr>
          <w:noProof/>
          <w:u w:val="single"/>
        </w:rPr>
      </w:pPr>
      <w:bookmarkStart w:id="5" w:name="_Toc449608354"/>
      <w:bookmarkStart w:id="6" w:name="_Toc494787939"/>
      <w:bookmarkStart w:id="7" w:name="_Toc495933856"/>
      <w:r>
        <w:rPr>
          <w:noProof/>
          <w:u w:val="single"/>
        </w:rPr>
        <w:t xml:space="preserve">Überblick über die wichtigsten Maßnahmen der </w:t>
      </w:r>
      <w:bookmarkStart w:id="8" w:name="_Toc418519948"/>
      <w:bookmarkStart w:id="9" w:name="_Toc290285584"/>
      <w:bookmarkStart w:id="10" w:name="_Toc311536310"/>
      <w:bookmarkStart w:id="11" w:name="_Toc311537615"/>
      <w:bookmarkStart w:id="12" w:name="_Toc316465398"/>
      <w:bookmarkEnd w:id="5"/>
      <w:r>
        <w:rPr>
          <w:noProof/>
          <w:u w:val="single"/>
        </w:rPr>
        <w:t>humanitären Hilfe im Jahr 2016</w:t>
      </w:r>
      <w:bookmarkEnd w:id="6"/>
      <w:bookmarkEnd w:id="7"/>
    </w:p>
    <w:p>
      <w:pPr>
        <w:jc w:val="both"/>
        <w:rPr>
          <w:rFonts w:ascii="Verdana" w:hAnsi="Verdana"/>
          <w:noProof/>
          <w:sz w:val="20"/>
          <w:szCs w:val="20"/>
        </w:rPr>
      </w:pPr>
      <w:r>
        <w:rPr>
          <w:rFonts w:ascii="Verdana" w:hAnsi="Verdana"/>
          <w:noProof/>
          <w:sz w:val="20"/>
        </w:rPr>
        <w:t>Im Jahr 2016 nahmen die Zahl, Komplexität und Schwere humanitärer Krisen zu. Mehr als 50 bewaffnete Konflikte waren zu verzeichnen und bei den größten und schwersten Krisen wie in Syrien, Jemen, Südsudan oder der Tschadsee-Region gab es praktisch keine Verbesserungen. Naturkatastrophen, die mit Megatrends wie Klimawandel, Verstädterung und Bevölkerungsdruck zusammenhängen, haben in letzter Zeit dazu geführt, dass jedes Jahr schätzungsweise 26 Millionen Menschen humanitäre Hilfe benötigen. 2016 waren insgesamt mehr als 95 Millionen Menschen in 40 Ländern auf humanitäre Hilfe angewiesen und fast 65 Millionen Menschen (die Hälfte davon Kinder) waren aus ihrer Heimat geflohen – mehr denn je zuvor.</w:t>
      </w:r>
    </w:p>
    <w:p>
      <w:pPr>
        <w:jc w:val="both"/>
        <w:rPr>
          <w:rFonts w:ascii="Verdana" w:hAnsi="Verdana"/>
          <w:noProof/>
          <w:sz w:val="20"/>
          <w:szCs w:val="20"/>
        </w:rPr>
      </w:pPr>
      <w:r>
        <w:rPr>
          <w:rFonts w:ascii="Verdana" w:hAnsi="Verdana"/>
          <w:noProof/>
          <w:sz w:val="20"/>
        </w:rPr>
        <w:t>Angesichts dieser dramatischen Lage war das EU-Budget für humanitäre Hilfe im Jahr 2016 mit 1,8 Mrd. EUR</w:t>
      </w:r>
      <w:r>
        <w:rPr>
          <w:rStyle w:val="FootnoteReference"/>
          <w:rFonts w:ascii="Verdana" w:hAnsi="Verdana"/>
          <w:noProof/>
          <w:sz w:val="20"/>
        </w:rPr>
        <w:footnoteReference w:id="1"/>
      </w:r>
      <w:r>
        <w:rPr>
          <w:rFonts w:ascii="Verdana" w:hAnsi="Verdana"/>
          <w:noProof/>
          <w:sz w:val="20"/>
        </w:rPr>
        <w:t xml:space="preserve"> so hoch wie noch nie. </w:t>
      </w:r>
    </w:p>
    <w:p>
      <w:pPr>
        <w:jc w:val="both"/>
        <w:rPr>
          <w:rFonts w:ascii="Verdana" w:hAnsi="Verdana"/>
          <w:b/>
          <w:noProof/>
          <w:sz w:val="20"/>
          <w:szCs w:val="20"/>
        </w:rPr>
      </w:pPr>
      <w:r>
        <w:rPr>
          <w:rFonts w:ascii="Verdana" w:hAnsi="Verdana"/>
          <w:b/>
          <w:noProof/>
          <w:sz w:val="20"/>
        </w:rPr>
        <w:t>Reaktion auf die Syrienkrise</w:t>
      </w:r>
    </w:p>
    <w:p>
      <w:pPr>
        <w:jc w:val="both"/>
        <w:rPr>
          <w:rFonts w:ascii="Verdana" w:hAnsi="Verdana"/>
          <w:noProof/>
          <w:sz w:val="20"/>
          <w:szCs w:val="20"/>
        </w:rPr>
      </w:pPr>
      <w:r>
        <w:rPr>
          <w:rFonts w:ascii="Verdana" w:hAnsi="Verdana"/>
          <w:noProof/>
          <w:sz w:val="20"/>
        </w:rPr>
        <w:t xml:space="preserve">Ein erheblicher Anteil des EU-Budgets 2016 für humanitäre Hilfe war dazu bestimmt, die Flüchtlinge in den am unmittelbarsten von der Krise in Syrien betroffenen Ländern sowie die notleidenden Menschen in Syrien selbst zu unterstützen. </w:t>
      </w:r>
    </w:p>
    <w:p>
      <w:pPr>
        <w:jc w:val="both"/>
        <w:rPr>
          <w:rFonts w:ascii="Verdana" w:hAnsi="Verdana"/>
          <w:noProof/>
          <w:sz w:val="20"/>
          <w:szCs w:val="20"/>
        </w:rPr>
      </w:pPr>
      <w:r>
        <w:rPr>
          <w:rFonts w:ascii="Verdana" w:hAnsi="Verdana"/>
          <w:noProof/>
          <w:sz w:val="20"/>
        </w:rPr>
        <w:t xml:space="preserve">Entsprechend den auf der Londoner Konferenz im Februar 2016 gemachten Zusagen stellte die Kommission 454 Mio. EUR für humanitäre Hilfe in Syrien und den Nachbarländern bereit. </w:t>
      </w:r>
    </w:p>
    <w:p>
      <w:pPr>
        <w:jc w:val="both"/>
        <w:rPr>
          <w:rFonts w:ascii="Verdana" w:hAnsi="Verdana"/>
          <w:noProof/>
          <w:sz w:val="20"/>
          <w:szCs w:val="20"/>
        </w:rPr>
      </w:pPr>
      <w:r>
        <w:rPr>
          <w:rFonts w:ascii="Verdana" w:hAnsi="Verdana"/>
          <w:noProof/>
          <w:sz w:val="20"/>
        </w:rPr>
        <w:t>Fast die Hälfte der humanitären Hilfe der Kommission innerhalb Syriens selbst wurde für unmittelbar lebensrettende humanitäre Sofortmaßnahmen eingesetzt. Darüber hinaus wurde Unterstützung in den Bereichen sauberes Trinkwasser, Sanitärversorgung und Hygiene, Nahrungsmittel und sonstige Hilfsgüter sowie Schutz von Minderjährigen finanziert. In Jordanien und Libanon wurden mit der humanitären Hilfe der EU Beiträge in folgenden Bereichen geleistet: Barzuwendungen für besonders schutzbedürftige Flüchtlinge, lebensrettende sekundäre Gesundheitsversorgung, non-formale Bildung, Unterkünfte sowie Wasser, Sanitärversorgung und Hygiene. Weitere Schwerpunkte waren das nachdrückliche internationale Engagement für einen ungehinderten humanitären Zugang, den Schutz von Flüchtlingen und die Achtung des humanitären Völkerrechts.</w:t>
      </w:r>
    </w:p>
    <w:p>
      <w:pPr>
        <w:jc w:val="both"/>
        <w:rPr>
          <w:rFonts w:ascii="Verdana" w:hAnsi="Verdana"/>
          <w:noProof/>
          <w:sz w:val="20"/>
          <w:szCs w:val="20"/>
        </w:rPr>
      </w:pPr>
      <w:r>
        <w:rPr>
          <w:rFonts w:ascii="Verdana" w:hAnsi="Verdana"/>
          <w:noProof/>
          <w:sz w:val="20"/>
        </w:rPr>
        <w:t>2016 richtete die EU auch die Fazilität für Flüchtlinge in der Türkei</w:t>
      </w:r>
      <w:r>
        <w:rPr>
          <w:rStyle w:val="FootnoteReference"/>
          <w:rFonts w:ascii="Verdana" w:hAnsi="Verdana"/>
          <w:noProof/>
          <w:sz w:val="20"/>
        </w:rPr>
        <w:footnoteReference w:id="2"/>
      </w:r>
      <w:r>
        <w:rPr>
          <w:rFonts w:ascii="Verdana" w:hAnsi="Verdana"/>
          <w:noProof/>
          <w:sz w:val="20"/>
        </w:rPr>
        <w:t xml:space="preserve"> ein, um zur Deckung des Bedarfs der drei Millionen Flüchtlinge beizutragen, die von der Türkei aufgenommen wurden. Mit den 1,4 Mrd. EUR, die im Rahmen der Fazilität 2016 und 2017 für humanitäre Hilfe vorgesehen sind, werden vor allem Flüchtlinge außerhalb der Lager (die überwältigende Mehrheit der Flüchtlinge in der Türkei, die gleichzeitig am schutzbedürftigsten sind) unterstützt. In diesem Zusammenhang hat die Kommission in Zusammenarbeit mit dem Welternährungsprogramm und dem Türkischen Roten Halbmond das größte humanitäre Projekt, das es je gab, auf den Weg gebracht, das Soziale Sicherheitsnetz für Notsituationen (Emergency Social Safety Net – ESSN), um den bedürftigsten Flüchtlingen monatliche Geldtransfers mithilfe von Debitkarten zukommen zu lassen.</w:t>
      </w:r>
    </w:p>
    <w:p>
      <w:pPr>
        <w:jc w:val="both"/>
        <w:rPr>
          <w:rFonts w:ascii="Verdana" w:hAnsi="Verdana"/>
          <w:b/>
          <w:noProof/>
          <w:sz w:val="20"/>
          <w:szCs w:val="20"/>
        </w:rPr>
      </w:pPr>
      <w:r>
        <w:rPr>
          <w:rFonts w:ascii="Verdana" w:hAnsi="Verdana"/>
          <w:b/>
          <w:noProof/>
          <w:sz w:val="20"/>
        </w:rPr>
        <w:t>Humanitäre Maßnahmen in Afrika</w:t>
      </w:r>
    </w:p>
    <w:p>
      <w:pPr>
        <w:jc w:val="both"/>
        <w:rPr>
          <w:rFonts w:ascii="Verdana" w:hAnsi="Verdana"/>
          <w:noProof/>
          <w:sz w:val="20"/>
          <w:szCs w:val="20"/>
        </w:rPr>
      </w:pPr>
      <w:r>
        <w:rPr>
          <w:rFonts w:ascii="Verdana" w:hAnsi="Verdana"/>
          <w:noProof/>
          <w:sz w:val="20"/>
        </w:rPr>
        <w:t>Wie in den Vorjahren wurde ein erheblicher Teil der humanitären Hilfe der EU zur Bewältigung humanitärer Krisen in Afrika eingesetzt. Besonderes Augenmerk lag dabei auf den komplexen Notsituationen in der Sahelzone und am Horn von Afrika sowie in der Tschadsee-Region, wo die Ernährungskrisen durch verschiedene langanhaltende Konflikte überlagert wurden. Insgesamt stellte die Kommission 747 Mio. EUR für Krisen in Subsahara-Afrika bereit. Davon ging der Löwenanteil an Sudan und Südsudan (192 Mio. EUR), das Horn von Afrika (203 Mio. EUR) und Westafrika (140 Mio. EUR). Sowohl am Horn von Afrika als auch in der Sahelzone bestand ein Kernelement der Strategie der Kommission darin, für eine enge Verknüpfung der humanitären Hilfe mit der Entwicklungshilfe der EU zu sorgen, um die Resilienz der betroffenen Gemeinschaften zu stärken. In der Zentralafrikanischen Republik war die EU als Geber humanitärer Hilfe mit ihrem konstanten öffentlichkeitswirksamen Engagement für die Zentralafrikanische Republik weiterhin sehr aktiv. Dabei ging es vor allem um die kurz- und längerfristige Unterstützung und die Stärkung der Resilienz der Opfer des Konflikts im Land selbst sowie der Flüchtlinge in den Nachbarländern.</w:t>
      </w:r>
    </w:p>
    <w:p>
      <w:pPr>
        <w:jc w:val="both"/>
        <w:rPr>
          <w:rFonts w:ascii="Verdana" w:hAnsi="Verdana"/>
          <w:b/>
          <w:noProof/>
          <w:sz w:val="20"/>
          <w:szCs w:val="20"/>
        </w:rPr>
      </w:pPr>
      <w:r>
        <w:rPr>
          <w:rFonts w:ascii="Verdana" w:hAnsi="Verdana"/>
          <w:b/>
          <w:noProof/>
          <w:sz w:val="20"/>
        </w:rPr>
        <w:t>Irak, Naher und Mittlerer Osten und Nordafrika</w:t>
      </w:r>
    </w:p>
    <w:p>
      <w:pPr>
        <w:jc w:val="both"/>
        <w:rPr>
          <w:rFonts w:ascii="Verdana" w:hAnsi="Verdana"/>
          <w:noProof/>
          <w:sz w:val="20"/>
          <w:szCs w:val="20"/>
        </w:rPr>
      </w:pPr>
      <w:r>
        <w:rPr>
          <w:rFonts w:ascii="Verdana" w:hAnsi="Verdana"/>
          <w:noProof/>
          <w:sz w:val="20"/>
        </w:rPr>
        <w:t>Die EU spielte eine wichtige Rolle bei der Unterstützung der Opfer des Konflikts in Irak (159 Mio. EUR) und engagierte sich auf der internationalen Bühne an vorderster Front (unter anderem durch eine hochrangige Veranstaltung unter der Schirmherrschaft von EU-Kommissar Stylianides im Rahmen der Generalversammlung der Vereinten Nationen). Im Zusammenhang mit dem Konflikt um Mossul leistete die EU über ihr Katastrophenschutzverfahren</w:t>
      </w:r>
      <w:r>
        <w:rPr>
          <w:rStyle w:val="FootnoteReference"/>
          <w:rFonts w:ascii="Verdana" w:hAnsi="Verdana"/>
          <w:noProof/>
          <w:sz w:val="20"/>
        </w:rPr>
        <w:footnoteReference w:id="3"/>
      </w:r>
      <w:r>
        <w:rPr>
          <w:rFonts w:ascii="Verdana" w:hAnsi="Verdana"/>
          <w:noProof/>
          <w:sz w:val="20"/>
        </w:rPr>
        <w:t xml:space="preserve"> auch Unterstützung bei der Bereitstellung und Koordinierung von Hilfe in Form von Sachleistungen aus den EU-Mitgliedstaaten. </w:t>
      </w:r>
    </w:p>
    <w:p>
      <w:pPr>
        <w:jc w:val="both"/>
        <w:rPr>
          <w:rFonts w:ascii="Verdana" w:hAnsi="Verdana"/>
          <w:noProof/>
          <w:sz w:val="20"/>
          <w:szCs w:val="20"/>
        </w:rPr>
      </w:pPr>
      <w:r>
        <w:rPr>
          <w:rFonts w:ascii="Verdana" w:hAnsi="Verdana"/>
          <w:noProof/>
          <w:sz w:val="20"/>
        </w:rPr>
        <w:t>Darüber hinaus gewährte die EU weiterhin beträchtliche Unterstützung für humanitäre Maßnahmen in Jemen (70 Mio. EUR), wo sich die Lage sowohl hinsichtlich der humanitären Grundbedürfnisse als auch hinsichtlich der Achtung des humanitären Völkerrechts weiter verschlechterte, sowie in Palästina (25 Mio. EUR). In Nordafrika wurde die Unterstützung zur Deckung des humanitären Bedarfs der saharauischen Flüchtlinge und der vom Konflikt betroffenen Bevölkerung in Libyen fortgesetzt.</w:t>
      </w:r>
    </w:p>
    <w:p>
      <w:pPr>
        <w:jc w:val="both"/>
        <w:rPr>
          <w:rFonts w:ascii="Verdana" w:hAnsi="Verdana"/>
          <w:b/>
          <w:noProof/>
          <w:sz w:val="20"/>
          <w:szCs w:val="20"/>
        </w:rPr>
      </w:pPr>
      <w:r>
        <w:rPr>
          <w:rFonts w:ascii="Verdana" w:hAnsi="Verdana"/>
          <w:b/>
          <w:noProof/>
          <w:sz w:val="20"/>
        </w:rPr>
        <w:t>Ukraine</w:t>
      </w:r>
    </w:p>
    <w:p>
      <w:pPr>
        <w:jc w:val="both"/>
        <w:rPr>
          <w:rFonts w:ascii="Verdana" w:hAnsi="Verdana"/>
          <w:noProof/>
          <w:sz w:val="20"/>
          <w:szCs w:val="20"/>
        </w:rPr>
      </w:pPr>
      <w:r>
        <w:rPr>
          <w:rFonts w:ascii="Verdana" w:hAnsi="Verdana"/>
          <w:noProof/>
          <w:sz w:val="20"/>
        </w:rPr>
        <w:t>Die EU gehörte weiterhin zu den wichtigsten Gebern humanitärer Hilfe in der Ukraine-Krise. Die Unterstützung erstreckte sich auf die Bereitstellung von Nahrungsmitteln, Unterkünften, Gesundheitsversorgung und psychologischer Betreuung für die vom Konflikt in der Ostukraine am stärksten betroffenen Menschen. Insgesamt stellte die EU infolge der Krise 28,4 Mio. EUR für humanitäre Hilfe bereit.</w:t>
      </w:r>
    </w:p>
    <w:p>
      <w:pPr>
        <w:jc w:val="both"/>
        <w:rPr>
          <w:rFonts w:ascii="Verdana" w:hAnsi="Verdana"/>
          <w:b/>
          <w:noProof/>
          <w:sz w:val="20"/>
          <w:szCs w:val="20"/>
        </w:rPr>
      </w:pPr>
    </w:p>
    <w:p>
      <w:pPr>
        <w:jc w:val="both"/>
        <w:rPr>
          <w:rFonts w:ascii="Verdana" w:hAnsi="Verdana"/>
          <w:b/>
          <w:noProof/>
          <w:sz w:val="20"/>
          <w:szCs w:val="20"/>
        </w:rPr>
      </w:pPr>
      <w:r>
        <w:rPr>
          <w:rFonts w:ascii="Verdana" w:hAnsi="Verdana"/>
          <w:b/>
          <w:noProof/>
          <w:sz w:val="20"/>
        </w:rPr>
        <w:t>Bewältigung von Naturkatastrophen</w:t>
      </w:r>
    </w:p>
    <w:p>
      <w:pPr>
        <w:jc w:val="both"/>
        <w:rPr>
          <w:rFonts w:ascii="Verdana" w:hAnsi="Verdana"/>
          <w:noProof/>
          <w:sz w:val="20"/>
          <w:szCs w:val="20"/>
        </w:rPr>
      </w:pPr>
      <w:r>
        <w:rPr>
          <w:rFonts w:ascii="Verdana" w:hAnsi="Verdana"/>
          <w:noProof/>
          <w:sz w:val="20"/>
        </w:rPr>
        <w:t>Eine rasche und wirksame Reaktion auf Naturkatastrophen war für die Kommission auch im Jahr 2016 ein zentrales Anliegen. Dies gilt sowohl für die Bereitstellung humanitärer Hilfe über Partnerorganisationen als auch für das EU-Katastrophenschutzverfahren, das der Erleichterung und Koordinierung der Sachhilfe der Mitgliedstaaten durch das Zentrum für die Koordination von Notfallmaßnahmen (ERCC) dient.</w:t>
      </w:r>
    </w:p>
    <w:p>
      <w:pPr>
        <w:jc w:val="both"/>
        <w:rPr>
          <w:rFonts w:ascii="Verdana" w:hAnsi="Verdana"/>
          <w:noProof/>
          <w:sz w:val="20"/>
          <w:szCs w:val="20"/>
        </w:rPr>
      </w:pPr>
      <w:r>
        <w:rPr>
          <w:rFonts w:ascii="Verdana" w:hAnsi="Verdana"/>
          <w:noProof/>
          <w:sz w:val="20"/>
        </w:rPr>
        <w:t>Ein wichtiger Schwerpunkt war die Reaktion auf das Wetterphänomen El Niño, das sich 2016 besonders verheerend auswirkte. Die Kommission stellte 298 Mio. EUR für humanitäre Soforthilfe für von El Niño betroffene Menschen bereit.</w:t>
      </w:r>
    </w:p>
    <w:p>
      <w:pPr>
        <w:jc w:val="both"/>
        <w:rPr>
          <w:rFonts w:ascii="Verdana" w:hAnsi="Verdana"/>
          <w:noProof/>
          <w:sz w:val="20"/>
          <w:szCs w:val="20"/>
        </w:rPr>
      </w:pPr>
      <w:r>
        <w:rPr>
          <w:rFonts w:ascii="Verdana" w:hAnsi="Verdana"/>
          <w:noProof/>
          <w:sz w:val="20"/>
        </w:rPr>
        <w:t>Die Kommission war auch darauf vorbereitet, im Falle plötzlich eintretender Katastrophen aktiv zu werden. Insbesondere stellte die EU Mittel bereit, um die Opfer des tropischen Wirbelsturms Winston in Fidschi, der Dürre in Papua-Neuguinea sowie des Erdbebens in Ecuador im Jahr 2016 durch humanitäre Hilfe und die Mobilisierung von europäischer Katastrophenschutzhilfe zu unterstützen.</w:t>
      </w:r>
    </w:p>
    <w:p>
      <w:pPr>
        <w:jc w:val="both"/>
        <w:rPr>
          <w:rFonts w:ascii="Verdana" w:hAnsi="Verdana"/>
          <w:b/>
          <w:noProof/>
          <w:sz w:val="20"/>
          <w:szCs w:val="20"/>
        </w:rPr>
      </w:pPr>
      <w:r>
        <w:rPr>
          <w:rFonts w:ascii="Verdana" w:hAnsi="Verdana"/>
          <w:b/>
          <w:noProof/>
          <w:sz w:val="20"/>
        </w:rPr>
        <w:t>Querschnittsthemen</w:t>
      </w:r>
    </w:p>
    <w:p>
      <w:pPr>
        <w:jc w:val="both"/>
        <w:rPr>
          <w:rFonts w:ascii="Verdana" w:hAnsi="Verdana"/>
          <w:noProof/>
          <w:sz w:val="20"/>
          <w:szCs w:val="20"/>
          <w:u w:val="single"/>
        </w:rPr>
      </w:pPr>
      <w:r>
        <w:rPr>
          <w:rFonts w:ascii="Verdana" w:hAnsi="Verdana"/>
          <w:noProof/>
          <w:sz w:val="20"/>
          <w:u w:val="single"/>
        </w:rPr>
        <w:t>Bildung in Notsituationen</w:t>
      </w:r>
    </w:p>
    <w:p>
      <w:pPr>
        <w:jc w:val="both"/>
        <w:rPr>
          <w:rFonts w:ascii="Verdana" w:hAnsi="Verdana"/>
          <w:noProof/>
          <w:sz w:val="20"/>
          <w:szCs w:val="20"/>
        </w:rPr>
      </w:pPr>
      <w:r>
        <w:rPr>
          <w:rFonts w:ascii="Verdana" w:hAnsi="Verdana"/>
          <w:noProof/>
          <w:sz w:val="20"/>
        </w:rPr>
        <w:t>Die Bildung in Notsituationen gehörte in den letzten Jahren zu den wichtigsten Prioritäten der Unterstützung der Kommission. Entsprechend der Zusage, die Kommissar Stylianides zu Beginn seines Mandats gegeben hatte, wies die Kommission 2016 mehr als 4 % der anfänglichen Mittelausstattung für humanitäre Hilfe Programmen zur Förderung der Bildung in humanitären Krisen zu.</w:t>
      </w:r>
    </w:p>
    <w:p>
      <w:pPr>
        <w:jc w:val="both"/>
        <w:rPr>
          <w:rFonts w:ascii="Verdana" w:hAnsi="Verdana"/>
          <w:noProof/>
          <w:sz w:val="20"/>
          <w:szCs w:val="20"/>
          <w:u w:val="single"/>
        </w:rPr>
      </w:pPr>
      <w:r>
        <w:rPr>
          <w:rFonts w:ascii="Verdana" w:hAnsi="Verdana"/>
          <w:noProof/>
          <w:sz w:val="20"/>
          <w:u w:val="single"/>
        </w:rPr>
        <w:t>Humanitärer Weltgipfel</w:t>
      </w:r>
    </w:p>
    <w:p>
      <w:pPr>
        <w:jc w:val="both"/>
        <w:rPr>
          <w:rFonts w:ascii="Verdana" w:hAnsi="Verdana"/>
          <w:noProof/>
          <w:sz w:val="20"/>
          <w:szCs w:val="20"/>
        </w:rPr>
      </w:pPr>
      <w:r>
        <w:rPr>
          <w:rFonts w:ascii="Verdana" w:hAnsi="Verdana"/>
          <w:noProof/>
          <w:sz w:val="20"/>
        </w:rPr>
        <w:t>Die Kommission beteiligte sich aktiv am Humanitären Weltgipfel, der am 23. und 24. Mai 2016 in Istanbul stattfand. Die EU machte rund 100 Zusagen. Diese betrafen eine neue, entwicklungsorientierte Politik im Bereich Flucht und Vertreibung</w:t>
      </w:r>
      <w:r>
        <w:rPr>
          <w:rStyle w:val="FootnoteReference"/>
          <w:rFonts w:ascii="Verdana" w:hAnsi="Verdana"/>
          <w:noProof/>
          <w:sz w:val="20"/>
        </w:rPr>
        <w:footnoteReference w:id="4"/>
      </w:r>
      <w:r>
        <w:rPr>
          <w:rFonts w:ascii="Verdana" w:hAnsi="Verdana"/>
          <w:noProof/>
          <w:sz w:val="20"/>
        </w:rPr>
        <w:t>, neue Leitlinien für humanitären Schutz, ein aktives Engagement und die Unterzeichnung des „Grand Bargain“ mit dem Ziel, die Wirksamkeit und Effizienz der Hilfe zu verbessern, die Bereitstellung weiterer Mittel für Bildung in Notsituationen aus dem Budget für humanitäre Hilfe sowie die Unterzeichnung der Charta zur Inklusion von Menschen mit Behinderungen bei humanitären Maßnahmen</w:t>
      </w:r>
      <w:r>
        <w:rPr>
          <w:rFonts w:ascii="Verdana" w:hAnsi="Verdana"/>
          <w:noProof/>
          <w:sz w:val="20"/>
          <w:vertAlign w:val="superscript"/>
        </w:rPr>
        <w:footnoteReference w:id="5"/>
      </w:r>
      <w:r>
        <w:rPr>
          <w:rFonts w:ascii="Verdana" w:hAnsi="Verdana"/>
          <w:noProof/>
          <w:sz w:val="20"/>
        </w:rPr>
        <w:t xml:space="preserve"> und der Charta über städtische Krisen</w:t>
      </w:r>
      <w:r>
        <w:rPr>
          <w:rFonts w:ascii="Verdana" w:hAnsi="Verdana"/>
          <w:noProof/>
          <w:sz w:val="20"/>
          <w:vertAlign w:val="superscript"/>
        </w:rPr>
        <w:footnoteReference w:id="6"/>
      </w:r>
      <w:r>
        <w:rPr>
          <w:rFonts w:ascii="Verdana" w:hAnsi="Verdana"/>
          <w:noProof/>
          <w:sz w:val="20"/>
        </w:rPr>
        <w:t>.</w:t>
      </w:r>
    </w:p>
    <w:p>
      <w:pPr>
        <w:jc w:val="both"/>
        <w:rPr>
          <w:rFonts w:ascii="Verdana" w:hAnsi="Verdana"/>
          <w:noProof/>
          <w:sz w:val="20"/>
          <w:szCs w:val="20"/>
          <w:u w:val="single"/>
        </w:rPr>
      </w:pPr>
      <w:r>
        <w:rPr>
          <w:rFonts w:ascii="Verdana" w:hAnsi="Verdana"/>
          <w:noProof/>
          <w:sz w:val="20"/>
          <w:u w:val="single"/>
        </w:rPr>
        <w:t>„Grand Bargain“</w:t>
      </w:r>
    </w:p>
    <w:p>
      <w:pPr>
        <w:jc w:val="both"/>
        <w:rPr>
          <w:rFonts w:ascii="Verdana" w:hAnsi="Verdana"/>
          <w:noProof/>
          <w:sz w:val="20"/>
          <w:szCs w:val="20"/>
        </w:rPr>
      </w:pPr>
      <w:r>
        <w:rPr>
          <w:rFonts w:ascii="Verdana" w:hAnsi="Verdana"/>
          <w:noProof/>
          <w:sz w:val="20"/>
        </w:rPr>
        <w:t>Die Kommission spielte eine führende Rolle bei den Verhandlungen über den „Grand Bargain“ im Vorfeld des Humanitären Weltgipfels sowie im ersten Jahr der Umsetzung dieser Vereinbarung: Im „Grand Bargain“ haben sich Geber und Hilfsorganisationen zu einem Maßnahmenpaket verpflichtet, mit dem die Effizienz der humanitären Hilfe im Geiste des gemeinsamen Handelns und des gegenseitigen Engagements gesteigert werden soll. Die Kommission beteiligt sich neben ihrer Rolle als Triebkraft für den „Grand Bargain“ insgesamt auch an der Organisation der Arbeiten zur unparteiischen und umfassenden Bewertung der humanitären Bedürfnisse. Dieser Arbeitsbereich gilt als besonders wichtig, da damit die Grundlagen für die strategische Planung und Finanzierung sowie für gezielte und effiziente humanitäre Maßnahmen geschaffen werden.</w:t>
      </w:r>
    </w:p>
    <w:p>
      <w:pPr>
        <w:jc w:val="both"/>
        <w:rPr>
          <w:rFonts w:ascii="Verdana" w:hAnsi="Verdana"/>
          <w:noProof/>
          <w:sz w:val="20"/>
          <w:szCs w:val="20"/>
          <w:u w:val="single"/>
        </w:rPr>
      </w:pPr>
      <w:r>
        <w:rPr>
          <w:rFonts w:ascii="Verdana" w:hAnsi="Verdana"/>
          <w:noProof/>
          <w:sz w:val="20"/>
          <w:u w:val="single"/>
        </w:rPr>
        <w:t>Verknüpfung von humanitärer Hilfe und Entwicklungszusammenarbeit</w:t>
      </w:r>
    </w:p>
    <w:p>
      <w:pPr>
        <w:jc w:val="both"/>
        <w:rPr>
          <w:rFonts w:ascii="Verdana" w:hAnsi="Verdana"/>
          <w:noProof/>
          <w:sz w:val="20"/>
          <w:szCs w:val="20"/>
        </w:rPr>
      </w:pPr>
      <w:r>
        <w:rPr>
          <w:rFonts w:ascii="Verdana" w:hAnsi="Verdana"/>
          <w:noProof/>
          <w:sz w:val="20"/>
        </w:rPr>
        <w:t>Die Bedeutung der Verknüpfung von humanitärer Hilfe und Entwicklungszusammenarbeit war bei den Beratungen auf verschiedenen einschlägigen multilateralen Veranstaltungen sowie auf europäischer Ebene ein wichtiges Thema. 2016 wurden in dieser Hinsicht Fortschritte sowohl auf politischer Ebene (z. B. mit dem überarbeiteten Europäischen Konsens über die Entwicklungspolitik</w:t>
      </w:r>
      <w:r>
        <w:rPr>
          <w:rStyle w:val="FootnoteReference"/>
          <w:rFonts w:ascii="Verdana" w:hAnsi="Verdana"/>
          <w:noProof/>
          <w:sz w:val="20"/>
        </w:rPr>
        <w:footnoteReference w:id="7"/>
      </w:r>
      <w:r>
        <w:rPr>
          <w:rFonts w:ascii="Verdana" w:hAnsi="Verdana"/>
          <w:noProof/>
          <w:sz w:val="20"/>
        </w:rPr>
        <w:t xml:space="preserve">, dem Humanitären Weltgipfel und dem „Grand Bargain“) als auch auf operativer Ebene erzielt.  </w:t>
      </w:r>
    </w:p>
    <w:p>
      <w:pPr>
        <w:jc w:val="both"/>
        <w:rPr>
          <w:rFonts w:ascii="Verdana" w:hAnsi="Verdana"/>
          <w:noProof/>
          <w:sz w:val="20"/>
          <w:szCs w:val="20"/>
        </w:rPr>
      </w:pPr>
      <w:r>
        <w:rPr>
          <w:rFonts w:ascii="Verdana" w:hAnsi="Verdana"/>
          <w:noProof/>
          <w:sz w:val="20"/>
        </w:rPr>
        <w:t xml:space="preserve">Die Kommissionsdienststellen arbeiteten in Haiti nach dem Hurrikan Matthew eng zusammen, insbesondere zur Stärkung der Ernährungssicherheit und der Resilienz im ländlichen Raum sowie zur Verbesserung der Resilienz in städtischen Gebieten. In Nigeria wurde ein gemeinsames Resilienzkonzept entwickelt, um die komplexe Krise im Nordosten des Landes anzugehen. Die Kommissionsdienststellen nahmen Vorbereitungen für die gemeinsame Festlegung von Pilotländern auf. Damit soll das Zusammenspiel von humanitärer Hilfe und Entwicklungszusammenarbeit weiter verbessert und stärker in den Vordergrund gerückt werden. </w:t>
      </w:r>
    </w:p>
    <w:p>
      <w:pPr>
        <w:jc w:val="both"/>
        <w:rPr>
          <w:rFonts w:ascii="Verdana" w:hAnsi="Verdana"/>
          <w:noProof/>
          <w:sz w:val="20"/>
          <w:szCs w:val="20"/>
        </w:rPr>
      </w:pPr>
      <w:r>
        <w:rPr>
          <w:rFonts w:ascii="Verdana" w:hAnsi="Verdana"/>
          <w:noProof/>
          <w:sz w:val="20"/>
        </w:rPr>
        <w:t>Was das Thema Flucht und Vertreibung angeht, so arbeiten die Kommissionsdienststellen eng mit dem Europäischen Auswärtigen Dienst (EAD) zusammen und unterstützen gemeinsam Maßnahmen vor Ort, die der Umsetzung des umfassenden, entwicklungsorientierten Konzepts in Bezug auf Flucht und Vertreibung dienen. Dabei handelt es sich um eine Folgemaßnahme zur „New Yorker Erklärung für Flüchtlinge und Migranten“, die von der Generalversammlung der Vereinten Nationen am 19. September 2016 verabschiedet wurde. Zudem wird auf diese Weise ein Beitrag zur weiteren Umsetzung der 2016 veröffentlichten „Globalen Strategie“ der Europäischen Union geleistet.</w:t>
      </w:r>
    </w:p>
    <w:p>
      <w:pPr>
        <w:jc w:val="both"/>
        <w:rPr>
          <w:rFonts w:ascii="Verdana" w:hAnsi="Verdana"/>
          <w:noProof/>
          <w:sz w:val="20"/>
          <w:szCs w:val="20"/>
        </w:rPr>
      </w:pPr>
      <w:r>
        <w:rPr>
          <w:rFonts w:ascii="Verdana" w:hAnsi="Verdana"/>
          <w:noProof/>
          <w:sz w:val="20"/>
        </w:rPr>
        <w:t>Die humanitäre Hilfe und die Entwicklungszusammenarbeit wurden verstärkt, um dem Bildungsbedarf von Kindern, die von Krisen oder Konflikten betroffen sind, besser gerecht werden zu können und um nachhaltigere Bildungssysteme im Kontext von Fragilität und in Krisensituationen mithilfe des Fonds „Education Cannot Wait“ aufzubauen, der auf dem Humanitären Weltgipfel ins Leben gerufen wurde.</w:t>
      </w:r>
    </w:p>
    <w:p>
      <w:pPr>
        <w:jc w:val="both"/>
        <w:rPr>
          <w:rFonts w:ascii="Verdana" w:hAnsi="Verdana"/>
          <w:noProof/>
          <w:sz w:val="20"/>
          <w:szCs w:val="20"/>
        </w:rPr>
      </w:pPr>
      <w:r>
        <w:rPr>
          <w:rFonts w:ascii="Verdana" w:hAnsi="Verdana"/>
          <w:noProof/>
          <w:sz w:val="20"/>
        </w:rPr>
        <w:t>Ferner setzte die Kommission weiterhin auf das „Verknüpfungskonzept“, um die Ernährungssicherheit in der Sahelzone durch die „Globale Allianz für die Resilienz-Initiative“ (AGIR) zu verbessern. In diesem Zusammenhang stellte die EU Entwicklungshilfe in Höhe von 1,5 Mrd. EUR zur Verfügung, um im Zeitraum 2014-2020 resilienzfördernde Maßnahmen in Westafrika zu unterstützen.</w:t>
      </w:r>
    </w:p>
    <w:p>
      <w:pPr>
        <w:jc w:val="both"/>
        <w:rPr>
          <w:rFonts w:ascii="Verdana" w:hAnsi="Verdana"/>
          <w:noProof/>
          <w:sz w:val="20"/>
          <w:szCs w:val="20"/>
        </w:rPr>
      </w:pPr>
      <w:r>
        <w:rPr>
          <w:rFonts w:ascii="Verdana" w:hAnsi="Verdana"/>
          <w:noProof/>
          <w:sz w:val="20"/>
        </w:rPr>
        <w:t>Die Reaktion auf die von „El Niño“ 2015/2016 verursachte Krise war ein weiteres gutes Beispiel für ein gemeinsames Vorgehen der Akteure der humanitären Hilfe und der Entwicklungszusammenarbeit sowie der internationalen Gemeinschaft und nationaler und lokaler Behörden. Insgesamt belief sich die finanzielle Unterstützung der EU auf 539 Mio. EUR.</w:t>
      </w:r>
    </w:p>
    <w:p>
      <w:pPr>
        <w:jc w:val="both"/>
        <w:rPr>
          <w:rFonts w:ascii="Verdana" w:hAnsi="Verdana"/>
          <w:noProof/>
          <w:sz w:val="20"/>
          <w:szCs w:val="20"/>
        </w:rPr>
      </w:pPr>
      <w:r>
        <w:rPr>
          <w:rFonts w:ascii="Verdana" w:hAnsi="Verdana"/>
          <w:noProof/>
          <w:sz w:val="20"/>
        </w:rPr>
        <w:t xml:space="preserve">Bei der Arbeit in von Krisen betroffenen Ländern wandte die EU weiterhin das Prinzip der Schadensvermeidung („do no harm“) an und bemühte sich um einen konfliktsensiblen Ansatz bei den von ihr unterstützten Maßnahmen. </w:t>
      </w:r>
    </w:p>
    <w:p>
      <w:pPr>
        <w:jc w:val="both"/>
        <w:rPr>
          <w:rFonts w:ascii="Verdana" w:hAnsi="Verdana"/>
          <w:noProof/>
          <w:sz w:val="20"/>
          <w:szCs w:val="20"/>
          <w:u w:val="single"/>
        </w:rPr>
      </w:pPr>
      <w:r>
        <w:rPr>
          <w:rFonts w:ascii="Verdana" w:hAnsi="Verdana"/>
          <w:noProof/>
          <w:sz w:val="20"/>
          <w:u w:val="single"/>
        </w:rPr>
        <w:t>Bargeld als Hilfemodalität</w:t>
      </w:r>
    </w:p>
    <w:p>
      <w:pPr>
        <w:jc w:val="both"/>
        <w:rPr>
          <w:noProof/>
        </w:rPr>
      </w:pPr>
      <w:r>
        <w:rPr>
          <w:rFonts w:ascii="Verdana" w:hAnsi="Verdana"/>
          <w:noProof/>
          <w:sz w:val="20"/>
        </w:rPr>
        <w:t>Gemäß ihren Zusagen im Rahmen des „Grand Bargain“ baute die Kommission die Unterstützung auf Bargeldbasis aus, wenn die Rahmenbedingungen dafür geeignet waren. Barmittel als Hilfemodalität kamen zunehmend in Form unbeschränkter, multifunktionaler Geldtransfers zum Einsatz, die den Betreffenden Würde, Entscheidungsfreiheit und Flexibilität geben. Weitere Vorteile der Nutzung von Barmitteln als Hilfemodalität sind die größere Effizienz und ein besseres Kosten-Nutzen-Verhältnis und letztlich eine gesteigerte Wirksamkeit aus Sicht der Geber und Steuerzahler, da ein größerer Teil der Unterstützung bei den bedürftigsten Personengruppen ankommt. Soweit möglich und angebracht wurde auch eine Ausrichtung an den lokalen und nationalen Strukturen angestrebt, etwa den Sozialschutzsystemen.</w:t>
      </w:r>
    </w:p>
    <w:p>
      <w:pPr>
        <w:jc w:val="both"/>
        <w:rPr>
          <w:rFonts w:ascii="Verdana" w:hAnsi="Verdana"/>
          <w:noProof/>
          <w:sz w:val="20"/>
          <w:szCs w:val="20"/>
          <w:u w:val="single"/>
        </w:rPr>
      </w:pPr>
      <w:r>
        <w:rPr>
          <w:rFonts w:ascii="Verdana" w:hAnsi="Verdana"/>
          <w:noProof/>
          <w:sz w:val="20"/>
          <w:u w:val="single"/>
        </w:rPr>
        <w:t>Flucht und Vertreibung</w:t>
      </w:r>
    </w:p>
    <w:p>
      <w:pPr>
        <w:jc w:val="both"/>
        <w:rPr>
          <w:noProof/>
          <w:sz w:val="20"/>
          <w:szCs w:val="20"/>
        </w:rPr>
      </w:pPr>
      <w:r>
        <w:rPr>
          <w:rFonts w:ascii="Verdana" w:hAnsi="Verdana"/>
          <w:noProof/>
          <w:sz w:val="20"/>
        </w:rPr>
        <w:t>Angesichts der dramatischen Zunahme der Zahl der Menschen weltweit, die aufgrund von Konflikten ihre Heimat verlassen mussten, und des besorgniserregenden Trends hin zu dauerhaften Fluchtsituationen nahm die Kommission ein neues entwicklungsorientiertes Konzept für das Problem von Flucht und Vertreibung an. Damit soll verhindert werden, dass Fluchtsituationen zu einem Dauerzustand werden, und die Abhängigkeit der Geflüchteten von humanitärer Hilfe schrittweise überwunden werden. Im Mittelpunkt dieses neuen Konzepts stehen die Förderung der Eigenständigkeit und die Schaffung von Möglichkeiten für die Geflüchteten, bis zu ihrer freiwilligen Rückkehr oder Neuansiedlung ein würdiges Leben durch Teilhabe an ihren Aufnahmegemeinschaften zu führen. Darüber hinaus wurde im Juni 2016 das Wissenszentrum für Migration und Demografie (KCMD) der Europäischen Kommission ins Leben gerufen, um die Erkenntnisse über langanhaltende Fluchtsituationen und deren Ursachen zu verbessern.</w:t>
      </w:r>
    </w:p>
    <w:p>
      <w:pPr>
        <w:jc w:val="both"/>
        <w:rPr>
          <w:rFonts w:ascii="Verdana" w:hAnsi="Verdana"/>
          <w:noProof/>
          <w:sz w:val="20"/>
          <w:szCs w:val="20"/>
          <w:u w:val="single"/>
        </w:rPr>
      </w:pPr>
      <w:r>
        <w:rPr>
          <w:rFonts w:ascii="Verdana" w:hAnsi="Verdana"/>
          <w:noProof/>
          <w:sz w:val="20"/>
          <w:u w:val="single"/>
        </w:rPr>
        <w:t>Vergessene Krisen</w:t>
      </w:r>
    </w:p>
    <w:p>
      <w:pPr>
        <w:jc w:val="both"/>
        <w:rPr>
          <w:rFonts w:ascii="Verdana" w:hAnsi="Verdana"/>
          <w:noProof/>
          <w:sz w:val="20"/>
          <w:szCs w:val="20"/>
        </w:rPr>
      </w:pPr>
      <w:r>
        <w:rPr>
          <w:rFonts w:ascii="Verdana" w:hAnsi="Verdana"/>
          <w:noProof/>
          <w:sz w:val="20"/>
        </w:rPr>
        <w:t>Die EU widmete der Unterstützung der Opfer von „vergessenen Krisen“ besondere Aufmerksamkeit. Hierfür sind grundsätzlich mindestens 15 % des anfänglichen Budgets für humanitäre Hilfe vorgesehen. Insbesondere wurde die humanitäre Hilfe der EU für die saharauischen Flüchtlinge in Algerien, die Binnenvertriebenen in Myanmar und Sudan, von Konflikten betroffene Bevölkerungsgruppen in Pakistan und die Flüchtlinge aus Darfur in Tschad fortgesetzt.</w:t>
      </w:r>
    </w:p>
    <w:p>
      <w:pPr>
        <w:jc w:val="both"/>
        <w:rPr>
          <w:rFonts w:ascii="Verdana" w:hAnsi="Verdana"/>
          <w:noProof/>
          <w:sz w:val="20"/>
          <w:szCs w:val="20"/>
        </w:rPr>
      </w:pPr>
      <w:r>
        <w:rPr>
          <w:rFonts w:ascii="Verdana" w:hAnsi="Verdana"/>
          <w:noProof/>
          <w:sz w:val="20"/>
          <w:u w:val="single"/>
        </w:rPr>
        <w:t>Nothilfe-Instrumentarium</w:t>
      </w:r>
    </w:p>
    <w:p>
      <w:pPr>
        <w:jc w:val="both"/>
        <w:rPr>
          <w:rFonts w:ascii="Verdana" w:eastAsia="Times New Roman" w:hAnsi="Verdana"/>
          <w:noProof/>
          <w:sz w:val="20"/>
          <w:szCs w:val="20"/>
        </w:rPr>
      </w:pPr>
      <w:r>
        <w:rPr>
          <w:rFonts w:ascii="Verdana" w:hAnsi="Verdana"/>
          <w:noProof/>
          <w:sz w:val="20"/>
        </w:rPr>
        <w:t>Das humanitäre Nothilfe-Instrumentarium der EU dient der raschen Reaktion auf plötzlich auftretende Notsituationen. Es umfasst drei Finanzierungsmechanismen für folgende Zwecke: Epidemien, kleinere Einsätze und Unterstützung für den Nothilfefonds für Katastrophenhilfe (DREF) der Internationalen Föderation der Rotkreuz- und Rothalbmondgesellschaften. Die Mittelausstattung belief sich auf insgesamt 11,5 Mio. EUR, davon 3,5 Mio. EUR für Epidemien, 5 Mio. EUR für kleinere Einsätze und 3 Mio. EUR für den DREF.</w:t>
      </w:r>
    </w:p>
    <w:p>
      <w:pPr>
        <w:jc w:val="both"/>
        <w:rPr>
          <w:rFonts w:ascii="Verdana" w:eastAsia="Times New Roman" w:hAnsi="Verdana"/>
          <w:noProof/>
          <w:sz w:val="20"/>
          <w:szCs w:val="20"/>
          <w:u w:val="single"/>
        </w:rPr>
      </w:pPr>
      <w:r>
        <w:rPr>
          <w:rFonts w:ascii="Verdana" w:hAnsi="Verdana"/>
          <w:noProof/>
          <w:sz w:val="20"/>
          <w:u w:val="single"/>
        </w:rPr>
        <w:t>ECHO Flight und andere humanitäre Transport- und Logistikeinsätze</w:t>
      </w:r>
    </w:p>
    <w:p>
      <w:pPr>
        <w:jc w:val="both"/>
        <w:rPr>
          <w:rFonts w:ascii="Verdana" w:eastAsia="Times New Roman" w:hAnsi="Verdana"/>
          <w:noProof/>
          <w:sz w:val="20"/>
          <w:szCs w:val="20"/>
        </w:rPr>
      </w:pPr>
      <w:r>
        <w:rPr>
          <w:rFonts w:ascii="Verdana" w:hAnsi="Verdana"/>
          <w:noProof/>
          <w:sz w:val="20"/>
        </w:rPr>
        <w:t xml:space="preserve">In bestimmten Krisensituationen sind humanitäre Flugdienste aus Sicherheitsgründen oder wegen fehlender Infrastrukturen die einzige Möglichkeit, um abgelegene Gebiete und Menschen in Not zu erreichen. Humanitäre Flugdienste werden auch für Evakuierungen aus medizinischen und Sicherheitsgründen genutzt. Um den erforderlichen Zugang zu unsicheren oder aus anderen Gründen schwer erreichbaren Gebieten zu ermöglichen, finanziert die Kommission spezielle Transport- und Logistikprogramme, vor allem über den humanitären Flugdienst der Vereinten Nationen (UNHAS) und den Koordinierungsmechanismus „Logistics Cluster“ (insgesamt 20,97 Mio. EUR). Die Kommission verfügt zudem über ihren eigenen Flugdienst „ECHO Flight“ zur Unterstützung der humanitären Helfer in Krisengebieten in Subsahara-Afrika (mit einem Budget von knapp 14 Mio. EUR). </w:t>
      </w:r>
    </w:p>
    <w:p>
      <w:pPr>
        <w:jc w:val="both"/>
        <w:rPr>
          <w:rFonts w:ascii="Verdana" w:eastAsia="Times New Roman" w:hAnsi="Verdana"/>
          <w:noProof/>
          <w:sz w:val="20"/>
          <w:szCs w:val="20"/>
          <w:u w:val="single"/>
        </w:rPr>
      </w:pPr>
      <w:r>
        <w:rPr>
          <w:noProof/>
        </w:rPr>
        <w:br w:type="page"/>
      </w:r>
      <w:r>
        <w:rPr>
          <w:rFonts w:ascii="Verdana" w:hAnsi="Verdana"/>
          <w:noProof/>
          <w:sz w:val="20"/>
          <w:u w:val="single"/>
        </w:rPr>
        <w:t>Evaluierung der humanitären Hilfe</w:t>
      </w:r>
    </w:p>
    <w:p>
      <w:pPr>
        <w:jc w:val="both"/>
        <w:rPr>
          <w:rFonts w:ascii="Verdana" w:hAnsi="Verdana"/>
          <w:noProof/>
          <w:sz w:val="20"/>
          <w:szCs w:val="20"/>
        </w:rPr>
      </w:pPr>
      <w:r>
        <w:rPr>
          <w:rFonts w:ascii="Verdana" w:hAnsi="Verdana"/>
          <w:noProof/>
          <w:sz w:val="20"/>
        </w:rPr>
        <w:t>Das Evaluierungsprogramm der GD ECHO erstreckt sich über fünf Jahre und erfasst sämtliche Tätigkeiten der GD ECHO in diesem Zeitraum. In Bezug auf die humanitäre Hilfe wird eine Reihe von geografischen und thematischen Evaluierungen vorgenommen, die alle wichtigen Aspekte der humanitären Maßnahmen der GD ECHO abdecken. Des Weiteren wird alle fünf Jahre eine umfassende Evaluierung durchgeführt, die auf 30 bereits vorhandenen Evaluierungen und gegebenenfalls weiteren Untersuchungen aufbaut. Eine solche umfassende Evaluierung erfolgt 2017 für den Zeitraum 2012-2016. Dabei wird die allgemeine Umsetzung der EU-Politik im Bereich der humanitären Hilfe untersucht.</w:t>
      </w:r>
    </w:p>
    <w:p>
      <w:pPr>
        <w:pStyle w:val="ECHOContentList"/>
        <w:numPr>
          <w:ilvl w:val="0"/>
          <w:numId w:val="0"/>
        </w:numPr>
        <w:rPr>
          <w:b/>
          <w:noProof/>
        </w:rPr>
      </w:pPr>
      <w:r>
        <w:rPr>
          <w:noProof/>
        </w:rPr>
        <w:br w:type="page"/>
      </w:r>
      <w:r>
        <w:rPr>
          <w:b/>
          <w:noProof/>
        </w:rPr>
        <w:t>Mittelausstattung 2016</w:t>
      </w:r>
    </w:p>
    <w:tbl>
      <w:tblPr>
        <w:tblW w:w="0" w:type="auto"/>
        <w:tblBorders>
          <w:top w:val="nil"/>
          <w:left w:val="nil"/>
          <w:bottom w:val="nil"/>
          <w:right w:val="nil"/>
        </w:tblBorders>
        <w:tblLayout w:type="fixed"/>
        <w:tblLook w:val="0000" w:firstRow="0" w:lastRow="0" w:firstColumn="0" w:lastColumn="0" w:noHBand="0" w:noVBand="0"/>
      </w:tblPr>
      <w:tblGrid>
        <w:gridCol w:w="8865"/>
      </w:tblGrid>
      <w:tr>
        <w:trPr>
          <w:trHeight w:val="118"/>
        </w:trPr>
        <w:tc>
          <w:tcPr>
            <w:tcW w:w="8865" w:type="dxa"/>
          </w:tcPr>
          <w:p>
            <w:pPr>
              <w:autoSpaceDE w:val="0"/>
              <w:autoSpaceDN w:val="0"/>
              <w:adjustRightInd w:val="0"/>
              <w:spacing w:after="0" w:line="240" w:lineRule="auto"/>
              <w:rPr>
                <w:rFonts w:ascii="Verdana" w:hAnsi="Verdana" w:cs="Arial"/>
                <w:noProof/>
                <w:color w:val="000000"/>
                <w:sz w:val="20"/>
                <w:szCs w:val="20"/>
              </w:rPr>
            </w:pPr>
            <w:r>
              <w:rPr>
                <w:rFonts w:ascii="Arial" w:hAnsi="Arial"/>
                <w:noProof/>
                <w:color w:val="000000"/>
                <w:sz w:val="24"/>
              </w:rPr>
              <w:t xml:space="preserve">1. </w:t>
            </w:r>
            <w:r>
              <w:rPr>
                <w:rFonts w:ascii="Verdana" w:hAnsi="Verdana"/>
                <w:noProof/>
                <w:color w:val="000000"/>
                <w:sz w:val="20"/>
              </w:rPr>
              <w:t>Liste der von der GD ECHO geschlossenen Finanzierungsvereinbarungen</w:t>
            </w:r>
            <w:r>
              <w:rPr>
                <w:rStyle w:val="FootnoteReference"/>
                <w:rFonts w:ascii="Verdana" w:hAnsi="Verdana"/>
                <w:noProof/>
                <w:color w:val="000000"/>
                <w:sz w:val="20"/>
              </w:rPr>
              <w:footnoteReference w:id="8"/>
            </w:r>
            <w:r>
              <w:rPr>
                <w:rFonts w:ascii="Verdana" w:hAnsi="Verdana"/>
                <w:noProof/>
                <w:color w:val="000000"/>
                <w:sz w:val="20"/>
              </w:rPr>
              <w:t>:</w:t>
            </w:r>
            <w:r>
              <w:rPr>
                <w:rFonts w:ascii="Verdana" w:hAnsi="Verdana"/>
                <w:b/>
                <w:noProof/>
                <w:color w:val="000000"/>
                <w:sz w:val="20"/>
              </w:rPr>
              <w:t xml:space="preserve"> </w:t>
            </w:r>
          </w:p>
        </w:tc>
      </w:tr>
    </w:tbl>
    <w:p>
      <w:pPr>
        <w:pStyle w:val="ECHOContentList"/>
        <w:numPr>
          <w:ilvl w:val="0"/>
          <w:numId w:val="0"/>
        </w:numPr>
        <w:rPr>
          <w:noProof/>
        </w:rPr>
      </w:pPr>
      <w:hyperlink r:id="rId16">
        <w:r>
          <w:rPr>
            <w:rStyle w:val="Hyperlink"/>
            <w:noProof/>
          </w:rPr>
          <w:t>http://ec.europa.eu/echo/files/funding/agreements/agreements_2016.pdf</w:t>
        </w:r>
      </w:hyperlink>
    </w:p>
    <w:bookmarkEnd w:id="8"/>
    <w:bookmarkEnd w:id="9"/>
    <w:bookmarkEnd w:id="10"/>
    <w:bookmarkEnd w:id="11"/>
    <w:bookmarkEnd w:id="12"/>
    <w:p>
      <w:pPr>
        <w:pStyle w:val="ECHOContentList"/>
        <w:numPr>
          <w:ilvl w:val="0"/>
          <w:numId w:val="0"/>
        </w:numPr>
        <w:tabs>
          <w:tab w:val="left" w:pos="1195"/>
        </w:tabs>
        <w:jc w:val="left"/>
        <w:rPr>
          <w:noProof/>
        </w:rPr>
      </w:pPr>
      <w:r>
        <w:rPr>
          <w:noProof/>
        </w:rPr>
        <w:t xml:space="preserve">2. GD ECHO: Ausführung des Haushalts 2016 </w:t>
      </w:r>
    </w:p>
    <w:tbl>
      <w:tblPr>
        <w:tblW w:w="7528" w:type="dxa"/>
        <w:tblInd w:w="93" w:type="dxa"/>
        <w:tblLook w:val="04A0" w:firstRow="1" w:lastRow="0" w:firstColumn="1" w:lastColumn="0" w:noHBand="0" w:noVBand="1"/>
      </w:tblPr>
      <w:tblGrid>
        <w:gridCol w:w="5423"/>
        <w:gridCol w:w="2105"/>
      </w:tblGrid>
      <w:tr>
        <w:trPr>
          <w:trHeight w:val="405"/>
        </w:trPr>
        <w:tc>
          <w:tcPr>
            <w:tcW w:w="7528" w:type="dxa"/>
            <w:gridSpan w:val="2"/>
            <w:tcBorders>
              <w:top w:val="single" w:sz="4" w:space="0" w:color="auto"/>
              <w:left w:val="single" w:sz="4" w:space="0" w:color="auto"/>
              <w:bottom w:val="single" w:sz="4" w:space="0" w:color="auto"/>
              <w:right w:val="nil"/>
            </w:tcBorders>
            <w:shd w:val="clear" w:color="000000" w:fill="FF6600"/>
            <w:noWrap/>
            <w:vAlign w:val="center"/>
            <w:hideMark/>
          </w:tcPr>
          <w:p>
            <w:pPr>
              <w:spacing w:after="0" w:line="240" w:lineRule="auto"/>
              <w:jc w:val="center"/>
              <w:rPr>
                <w:rFonts w:ascii="Arial Narrow" w:eastAsia="Times New Roman" w:hAnsi="Arial Narrow"/>
                <w:b/>
                <w:bCs/>
                <w:noProof/>
                <w:color w:val="000000"/>
                <w:sz w:val="32"/>
                <w:szCs w:val="32"/>
              </w:rPr>
            </w:pPr>
            <w:r>
              <w:rPr>
                <w:rFonts w:ascii="Arial Narrow" w:hAnsi="Arial Narrow"/>
                <w:b/>
                <w:noProof/>
                <w:color w:val="000000"/>
                <w:sz w:val="32"/>
              </w:rPr>
              <w:t>ECHO – AUSFÜHRUNG DES HAUSHALTS 2016</w:t>
            </w:r>
          </w:p>
        </w:tc>
      </w:tr>
      <w:tr>
        <w:trPr>
          <w:trHeight w:val="330"/>
        </w:trPr>
        <w:tc>
          <w:tcPr>
            <w:tcW w:w="5423" w:type="dxa"/>
            <w:tcBorders>
              <w:top w:val="nil"/>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c>
          <w:tcPr>
            <w:tcW w:w="2105" w:type="dxa"/>
            <w:tcBorders>
              <w:top w:val="nil"/>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r>
      <w:tr>
        <w:trPr>
          <w:trHeight w:val="330"/>
        </w:trPr>
        <w:tc>
          <w:tcPr>
            <w:tcW w:w="5423" w:type="dxa"/>
            <w:tcBorders>
              <w:top w:val="single" w:sz="4" w:space="0" w:color="auto"/>
              <w:left w:val="single" w:sz="4" w:space="0" w:color="auto"/>
              <w:bottom w:val="single" w:sz="4" w:space="0" w:color="auto"/>
              <w:right w:val="nil"/>
            </w:tcBorders>
            <w:shd w:val="clear" w:color="000000" w:fill="FF6600"/>
            <w:noWrap/>
            <w:vAlign w:val="center"/>
            <w:hideMark/>
          </w:tcPr>
          <w:p>
            <w:pPr>
              <w:spacing w:after="0" w:line="240" w:lineRule="auto"/>
              <w:jc w:val="center"/>
              <w:rPr>
                <w:rFonts w:ascii="Arial Narrow" w:eastAsia="Times New Roman" w:hAnsi="Arial Narrow"/>
                <w:b/>
                <w:bCs/>
                <w:noProof/>
                <w:color w:val="000000"/>
              </w:rPr>
            </w:pPr>
            <w:r>
              <w:rPr>
                <w:rFonts w:ascii="Arial Narrow" w:hAnsi="Arial Narrow"/>
                <w:b/>
                <w:noProof/>
                <w:color w:val="000000"/>
              </w:rPr>
              <w:t>Region/Land</w:t>
            </w:r>
          </w:p>
        </w:tc>
        <w:tc>
          <w:tcPr>
            <w:tcW w:w="2105" w:type="dxa"/>
            <w:tcBorders>
              <w:top w:val="single" w:sz="4" w:space="0" w:color="auto"/>
              <w:left w:val="nil"/>
              <w:bottom w:val="single" w:sz="4" w:space="0" w:color="auto"/>
              <w:right w:val="single" w:sz="4" w:space="0" w:color="auto"/>
            </w:tcBorders>
            <w:shd w:val="clear" w:color="000000" w:fill="FF6600"/>
            <w:noWrap/>
            <w:vAlign w:val="center"/>
            <w:hideMark/>
          </w:tcPr>
          <w:p>
            <w:pPr>
              <w:spacing w:after="0" w:line="240" w:lineRule="auto"/>
              <w:jc w:val="center"/>
              <w:rPr>
                <w:rFonts w:ascii="Arial Narrow" w:eastAsia="Times New Roman" w:hAnsi="Arial Narrow"/>
                <w:b/>
                <w:bCs/>
                <w:noProof/>
                <w:color w:val="000000"/>
              </w:rPr>
            </w:pPr>
            <w:r>
              <w:rPr>
                <w:rFonts w:ascii="Arial Narrow" w:hAnsi="Arial Narrow"/>
                <w:b/>
                <w:noProof/>
                <w:color w:val="000000"/>
              </w:rPr>
              <w:t>Betrag</w:t>
            </w:r>
          </w:p>
        </w:tc>
      </w:tr>
      <w:tr>
        <w:trPr>
          <w:trHeight w:val="330"/>
        </w:trPr>
        <w:tc>
          <w:tcPr>
            <w:tcW w:w="5423" w:type="dxa"/>
            <w:tcBorders>
              <w:top w:val="single" w:sz="4" w:space="0" w:color="auto"/>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Afrika</w:t>
            </w:r>
          </w:p>
        </w:tc>
        <w:tc>
          <w:tcPr>
            <w:tcW w:w="2105" w:type="dxa"/>
            <w:tcBorders>
              <w:top w:val="single" w:sz="4" w:space="0" w:color="auto"/>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767</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Sudan und Südsudan</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192</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Zentralafrika</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94</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Große Seen</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63</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Horn von Afrika</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203</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Südliches Afrika, Indischer Ozean</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47</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Westafrika</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140</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Nordafrika</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20</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Afrika</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10</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Naher und Mittlerer Osten und europäische Nachbarschaft</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747</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Naher und Mittlerer Osten</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634</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 xml:space="preserve">Europäische Nachbarschaft </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114</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Asien, Pazifik</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119</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Südwest- und Zentralasien</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73</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Südostasien und Pazifik</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47</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Mittel- und Südamerika, Karibik</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46</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Mittel- und Südamerika</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28</w:t>
            </w:r>
          </w:p>
        </w:tc>
      </w:tr>
      <w:tr>
        <w:trPr>
          <w:trHeight w:val="330"/>
        </w:trPr>
        <w:tc>
          <w:tcPr>
            <w:tcW w:w="5423" w:type="dxa"/>
            <w:tcBorders>
              <w:top w:val="nil"/>
              <w:left w:val="single" w:sz="4" w:space="0" w:color="auto"/>
              <w:bottom w:val="nil"/>
              <w:right w:val="nil"/>
            </w:tcBorders>
            <w:shd w:val="clear" w:color="000000" w:fill="FFFF99"/>
            <w:noWrap/>
            <w:vAlign w:val="center"/>
            <w:hideMark/>
          </w:tcPr>
          <w:p>
            <w:pPr>
              <w:spacing w:after="0" w:line="240" w:lineRule="auto"/>
              <w:rPr>
                <w:rFonts w:ascii="Arial Narrow" w:eastAsia="Times New Roman" w:hAnsi="Arial Narrow"/>
                <w:noProof/>
                <w:color w:val="000000"/>
              </w:rPr>
            </w:pPr>
            <w:r>
              <w:rPr>
                <w:rFonts w:ascii="Arial Narrow" w:hAnsi="Arial Narrow"/>
                <w:noProof/>
                <w:color w:val="000000"/>
              </w:rPr>
              <w:t>Karibik</w:t>
            </w:r>
          </w:p>
        </w:tc>
        <w:tc>
          <w:tcPr>
            <w:tcW w:w="2105" w:type="dxa"/>
            <w:tcBorders>
              <w:top w:val="nil"/>
              <w:left w:val="nil"/>
              <w:bottom w:val="nil"/>
              <w:right w:val="single" w:sz="4" w:space="0" w:color="auto"/>
            </w:tcBorders>
            <w:shd w:val="clear" w:color="000000" w:fill="FFFF99"/>
            <w:noWrap/>
            <w:vAlign w:val="center"/>
            <w:hideMark/>
          </w:tcPr>
          <w:p>
            <w:pPr>
              <w:spacing w:after="0" w:line="240" w:lineRule="auto"/>
              <w:jc w:val="right"/>
              <w:rPr>
                <w:rFonts w:ascii="Arial Narrow" w:eastAsia="Times New Roman" w:hAnsi="Arial Narrow"/>
                <w:noProof/>
                <w:color w:val="000000"/>
              </w:rPr>
            </w:pPr>
            <w:r>
              <w:rPr>
                <w:rFonts w:ascii="Arial Narrow" w:hAnsi="Arial Narrow"/>
                <w:noProof/>
                <w:color w:val="000000"/>
              </w:rPr>
              <w:t>18</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Katastrophen weltweit</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41</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Katastrophenschutz</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42</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EU-Freiwillige für humanitäre Hilfe</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8</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Verteilung von Milchprodukten</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30</w:t>
            </w:r>
          </w:p>
        </w:tc>
      </w:tr>
      <w:tr>
        <w:trPr>
          <w:trHeight w:val="330"/>
        </w:trPr>
        <w:tc>
          <w:tcPr>
            <w:tcW w:w="5423" w:type="dxa"/>
            <w:tcBorders>
              <w:top w:val="nil"/>
              <w:left w:val="single" w:sz="4" w:space="0" w:color="auto"/>
              <w:bottom w:val="nil"/>
              <w:right w:val="nil"/>
            </w:tcBorders>
            <w:shd w:val="clear" w:color="000000" w:fill="FFCC99"/>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Ergänzende Maßnahmen und Hilfeleistungen</w:t>
            </w:r>
          </w:p>
        </w:tc>
        <w:tc>
          <w:tcPr>
            <w:tcW w:w="2105" w:type="dxa"/>
            <w:tcBorders>
              <w:top w:val="nil"/>
              <w:left w:val="nil"/>
              <w:bottom w:val="nil"/>
              <w:right w:val="single" w:sz="4" w:space="0" w:color="auto"/>
            </w:tcBorders>
            <w:shd w:val="clear" w:color="000000" w:fill="FFCC99"/>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89</w:t>
            </w:r>
          </w:p>
        </w:tc>
      </w:tr>
      <w:tr>
        <w:trPr>
          <w:trHeight w:val="330"/>
        </w:trPr>
        <w:tc>
          <w:tcPr>
            <w:tcW w:w="5423" w:type="dxa"/>
            <w:tcBorders>
              <w:top w:val="nil"/>
              <w:left w:val="single" w:sz="4" w:space="0" w:color="auto"/>
              <w:bottom w:val="single" w:sz="4" w:space="0" w:color="auto"/>
              <w:right w:val="nil"/>
            </w:tcBorders>
            <w:shd w:val="clear" w:color="000000" w:fill="FF6600"/>
            <w:noWrap/>
            <w:vAlign w:val="center"/>
            <w:hideMark/>
          </w:tcPr>
          <w:p>
            <w:pPr>
              <w:spacing w:after="0" w:line="240" w:lineRule="auto"/>
              <w:rPr>
                <w:rFonts w:ascii="Arial Narrow" w:eastAsia="Times New Roman" w:hAnsi="Arial Narrow"/>
                <w:b/>
                <w:bCs/>
                <w:noProof/>
                <w:color w:val="000000"/>
              </w:rPr>
            </w:pPr>
            <w:r>
              <w:rPr>
                <w:rFonts w:ascii="Arial Narrow" w:hAnsi="Arial Narrow"/>
                <w:b/>
                <w:noProof/>
                <w:color w:val="000000"/>
              </w:rPr>
              <w:t>INSGESAMT</w:t>
            </w:r>
          </w:p>
        </w:tc>
        <w:tc>
          <w:tcPr>
            <w:tcW w:w="2105" w:type="dxa"/>
            <w:tcBorders>
              <w:top w:val="nil"/>
              <w:left w:val="nil"/>
              <w:bottom w:val="single" w:sz="4" w:space="0" w:color="auto"/>
              <w:right w:val="single" w:sz="4" w:space="0" w:color="auto"/>
            </w:tcBorders>
            <w:shd w:val="clear" w:color="000000" w:fill="FF6600"/>
            <w:noWrap/>
            <w:vAlign w:val="center"/>
            <w:hideMark/>
          </w:tcPr>
          <w:p>
            <w:pPr>
              <w:spacing w:after="0" w:line="240" w:lineRule="auto"/>
              <w:jc w:val="right"/>
              <w:rPr>
                <w:rFonts w:ascii="Arial Narrow" w:eastAsia="Times New Roman" w:hAnsi="Arial Narrow"/>
                <w:b/>
                <w:bCs/>
                <w:noProof/>
                <w:color w:val="000000"/>
              </w:rPr>
            </w:pPr>
            <w:r>
              <w:rPr>
                <w:rFonts w:ascii="Arial Narrow" w:hAnsi="Arial Narrow"/>
                <w:b/>
                <w:noProof/>
                <w:color w:val="000000"/>
              </w:rPr>
              <w:t>1,889</w:t>
            </w:r>
          </w:p>
        </w:tc>
      </w:tr>
      <w:tr>
        <w:trPr>
          <w:trHeight w:val="330"/>
        </w:trPr>
        <w:tc>
          <w:tcPr>
            <w:tcW w:w="5423" w:type="dxa"/>
            <w:tcBorders>
              <w:top w:val="single" w:sz="4" w:space="0" w:color="auto"/>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c>
          <w:tcPr>
            <w:tcW w:w="2105" w:type="dxa"/>
            <w:tcBorders>
              <w:top w:val="single" w:sz="4" w:space="0" w:color="auto"/>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r>
      <w:tr>
        <w:trPr>
          <w:trHeight w:val="330"/>
        </w:trPr>
        <w:tc>
          <w:tcPr>
            <w:tcW w:w="5423" w:type="dxa"/>
            <w:tcBorders>
              <w:top w:val="nil"/>
              <w:left w:val="nil"/>
              <w:bottom w:val="nil"/>
              <w:right w:val="nil"/>
            </w:tcBorders>
            <w:shd w:val="clear" w:color="auto" w:fill="auto"/>
            <w:noWrap/>
            <w:vAlign w:val="center"/>
            <w:hideMark/>
          </w:tcPr>
          <w:p>
            <w:pPr>
              <w:spacing w:after="0" w:line="240" w:lineRule="auto"/>
              <w:rPr>
                <w:rFonts w:ascii="Arial Narrow" w:eastAsia="Times New Roman" w:hAnsi="Arial Narrow"/>
                <w:noProof/>
                <w:color w:val="000000"/>
              </w:rPr>
            </w:pPr>
          </w:p>
        </w:tc>
        <w:tc>
          <w:tcPr>
            <w:tcW w:w="2105" w:type="dxa"/>
            <w:tcBorders>
              <w:top w:val="nil"/>
              <w:left w:val="nil"/>
              <w:bottom w:val="nil"/>
              <w:right w:val="nil"/>
            </w:tcBorders>
            <w:shd w:val="clear" w:color="auto" w:fill="auto"/>
            <w:noWrap/>
            <w:vAlign w:val="center"/>
            <w:hideMark/>
          </w:tcPr>
          <w:p>
            <w:pPr>
              <w:spacing w:after="0" w:line="240" w:lineRule="auto"/>
              <w:jc w:val="center"/>
              <w:rPr>
                <w:rFonts w:ascii="Arial Narrow" w:eastAsia="Times New Roman" w:hAnsi="Arial Narrow"/>
                <w:i/>
                <w:iCs/>
                <w:noProof/>
                <w:color w:val="000000"/>
                <w:sz w:val="20"/>
                <w:szCs w:val="20"/>
              </w:rPr>
            </w:pPr>
            <w:r>
              <w:rPr>
                <w:rFonts w:ascii="Arial Narrow" w:hAnsi="Arial Narrow"/>
                <w:i/>
                <w:noProof/>
                <w:color w:val="000000"/>
                <w:sz w:val="20"/>
              </w:rPr>
              <w:t>(in Mio. EUR)</w:t>
            </w:r>
          </w:p>
        </w:tc>
      </w:tr>
    </w:tbl>
    <w:p>
      <w:pPr>
        <w:pStyle w:val="ECHOContentList"/>
        <w:numPr>
          <w:ilvl w:val="0"/>
          <w:numId w:val="0"/>
        </w:numPr>
        <w:tabs>
          <w:tab w:val="left" w:pos="1195"/>
        </w:tabs>
        <w:jc w:val="left"/>
        <w:rPr>
          <w:noProof/>
        </w:rPr>
      </w:pPr>
    </w:p>
    <w:p>
      <w:pPr>
        <w:pStyle w:val="ECHOContentList"/>
        <w:numPr>
          <w:ilvl w:val="0"/>
          <w:numId w:val="0"/>
        </w:numPr>
        <w:tabs>
          <w:tab w:val="left" w:pos="1195"/>
        </w:tabs>
        <w:jc w:val="left"/>
        <w:rPr>
          <w:b/>
          <w:noProof/>
        </w:rPr>
      </w:pPr>
      <w:r>
        <w:rPr>
          <w:noProof/>
        </w:rPr>
        <w:br w:type="page"/>
      </w:r>
    </w:p>
    <w:p>
      <w:pPr>
        <w:pStyle w:val="ECHOHeading1"/>
        <w:jc w:val="center"/>
        <w:rPr>
          <w:noProof/>
          <w:u w:val="single"/>
        </w:rPr>
      </w:pPr>
      <w:bookmarkStart w:id="13" w:name="_Toc449608363"/>
      <w:bookmarkStart w:id="14" w:name="_Toc494787940"/>
      <w:bookmarkStart w:id="15" w:name="_Toc495933857"/>
      <w:r>
        <w:rPr>
          <w:noProof/>
          <w:u w:val="single"/>
        </w:rPr>
        <w:t>Zusätzliche Informationen und Quellen</w:t>
      </w:r>
      <w:bookmarkEnd w:id="13"/>
      <w:bookmarkEnd w:id="14"/>
      <w:bookmarkEnd w:id="15"/>
    </w:p>
    <w:p>
      <w:pPr>
        <w:pStyle w:val="ECHOContentList"/>
        <w:numPr>
          <w:ilvl w:val="0"/>
          <w:numId w:val="33"/>
        </w:numPr>
        <w:spacing w:after="0" w:line="240" w:lineRule="auto"/>
        <w:ind w:left="709" w:hanging="283"/>
        <w:jc w:val="left"/>
        <w:rPr>
          <w:noProof/>
        </w:rPr>
      </w:pPr>
      <w:r>
        <w:rPr>
          <w:noProof/>
        </w:rPr>
        <w:t>Allgemeine Informationen zur GD ECHO:</w:t>
      </w:r>
    </w:p>
    <w:p>
      <w:pPr>
        <w:pStyle w:val="ECHOContentList"/>
        <w:numPr>
          <w:ilvl w:val="0"/>
          <w:numId w:val="0"/>
        </w:numPr>
        <w:ind w:left="1080" w:hanging="371"/>
        <w:jc w:val="left"/>
        <w:rPr>
          <w:rStyle w:val="ECHOContentEmphasisChar"/>
          <w:b w:val="0"/>
          <w:noProof/>
          <w:color w:val="auto"/>
          <w:u w:val="single"/>
        </w:rPr>
      </w:pPr>
      <w:hyperlink r:id="rId17">
        <w:r>
          <w:rPr>
            <w:rStyle w:val="ECHOContentEmphasisChar"/>
            <w:b w:val="0"/>
            <w:noProof/>
            <w:color w:val="auto"/>
            <w:u w:val="single"/>
          </w:rPr>
          <w:t>http://ec.europa.eu/echo/en</w:t>
        </w:r>
      </w:hyperlink>
    </w:p>
    <w:p>
      <w:pPr>
        <w:pStyle w:val="ECHOContentList"/>
        <w:rPr>
          <w:rStyle w:val="ECHOContentEmphasisChar"/>
          <w:b w:val="0"/>
          <w:noProof/>
          <w:color w:val="auto"/>
        </w:rPr>
      </w:pPr>
      <w:r>
        <w:rPr>
          <w:noProof/>
        </w:rPr>
        <w:t>Finanzielle Informationen zu den humanitären Maßnahmen der Europäischen Kommission im Jahr 2016:</w:t>
      </w:r>
      <w:r>
        <w:rPr>
          <w:noProof/>
        </w:rPr>
        <w:tab/>
      </w:r>
      <w:r>
        <w:rPr>
          <w:noProof/>
        </w:rPr>
        <w:br/>
      </w:r>
      <w:hyperlink r:id="rId18">
        <w:r>
          <w:rPr>
            <w:rStyle w:val="Hyperlink"/>
            <w:noProof/>
            <w:color w:val="auto"/>
          </w:rPr>
          <w:t>http://ec.europa.eu/echo/funding-evaluations/funding-decisions-hips_en</w:t>
        </w:r>
      </w:hyperlink>
    </w:p>
    <w:p>
      <w:pPr>
        <w:pStyle w:val="ECHOContentList"/>
        <w:jc w:val="left"/>
        <w:rPr>
          <w:rStyle w:val="ECHOContentEmphasisChar"/>
          <w:b w:val="0"/>
          <w:noProof/>
          <w:color w:val="auto"/>
        </w:rPr>
      </w:pPr>
      <w:r>
        <w:rPr>
          <w:noProof/>
        </w:rPr>
        <w:t>Informationen über die Tätigkeit in vorangegangenen Jahren:</w:t>
      </w:r>
      <w:r>
        <w:rPr>
          <w:noProof/>
        </w:rPr>
        <w:tab/>
        <w:t xml:space="preserve"> </w:t>
      </w:r>
      <w:hyperlink r:id="rId19">
        <w:r>
          <w:rPr>
            <w:rStyle w:val="ECHOContentEmphasisChar"/>
            <w:b w:val="0"/>
            <w:noProof/>
            <w:color w:val="auto"/>
            <w:u w:val="single"/>
          </w:rPr>
          <w:t>http://ec.europa.eu/echo/about/annual_reports_en.htm</w:t>
        </w:r>
      </w:hyperlink>
    </w:p>
    <w:p>
      <w:pPr>
        <w:pStyle w:val="ECHOContentList"/>
        <w:jc w:val="left"/>
        <w:rPr>
          <w:rStyle w:val="ECHOContentEmphasisChar"/>
          <w:b w:val="0"/>
          <w:noProof/>
          <w:color w:val="auto"/>
        </w:rPr>
      </w:pPr>
      <w:r>
        <w:rPr>
          <w:noProof/>
        </w:rPr>
        <w:t xml:space="preserve">Jährlicher Tätigkeitsbericht 2016 der GD ECHO: </w:t>
      </w:r>
      <w:hyperlink r:id="rId20">
        <w:r>
          <w:rPr>
            <w:rStyle w:val="Hyperlink"/>
            <w:noProof/>
            <w:color w:val="000000"/>
          </w:rPr>
          <w:t>https://ec.europa.eu/info/publications/annual-activity-reports-2016_en</w:t>
        </w:r>
      </w:hyperlink>
    </w:p>
    <w:p>
      <w:pPr>
        <w:pStyle w:val="ECHOContentList"/>
        <w:jc w:val="left"/>
        <w:rPr>
          <w:rStyle w:val="ECHOContentEmphasisChar"/>
          <w:b w:val="0"/>
          <w:noProof/>
          <w:color w:val="auto"/>
        </w:rPr>
      </w:pPr>
      <w:r>
        <w:rPr>
          <w:noProof/>
        </w:rPr>
        <w:t>Jährliche Management- und Leistungsbilanz</w:t>
      </w:r>
      <w:r>
        <w:rPr>
          <w:rStyle w:val="ECHOContentEmphasisChar"/>
          <w:b w:val="0"/>
          <w:noProof/>
          <w:color w:val="auto"/>
        </w:rPr>
        <w:t>:</w:t>
      </w:r>
      <w:r>
        <w:rPr>
          <w:rStyle w:val="ECHOContentEmphasisChar"/>
          <w:b w:val="0"/>
          <w:noProof/>
          <w:color w:val="auto"/>
        </w:rPr>
        <w:br/>
      </w:r>
      <w:hyperlink r:id="rId21">
        <w:r>
          <w:rPr>
            <w:rStyle w:val="Hyperlink"/>
            <w:noProof/>
            <w:color w:val="000000"/>
          </w:rPr>
          <w:t>https://ec.europa.eu/info/node/10237</w:t>
        </w:r>
      </w:hyperlink>
    </w:p>
    <w:p>
      <w:pPr>
        <w:pStyle w:val="ECHOContentList"/>
        <w:jc w:val="left"/>
        <w:rPr>
          <w:rStyle w:val="Hyperlink"/>
          <w:noProof/>
          <w:color w:val="auto"/>
          <w:u w:val="none"/>
        </w:rPr>
      </w:pPr>
      <w:r>
        <w:rPr>
          <w:noProof/>
        </w:rPr>
        <w:t>Evaluierungsberichte der GD ECHO:</w:t>
      </w:r>
      <w:r>
        <w:rPr>
          <w:noProof/>
        </w:rPr>
        <w:br/>
      </w:r>
      <w:hyperlink r:id="rId22">
        <w:r>
          <w:rPr>
            <w:rStyle w:val="Hyperlink"/>
            <w:noProof/>
            <w:color w:val="auto"/>
          </w:rPr>
          <w:t>http://ec.europa.eu/echo/funding-evaluations/evaluations_en</w:t>
        </w:r>
      </w:hyperlink>
    </w:p>
    <w:p>
      <w:pPr>
        <w:pStyle w:val="ECHOContentList"/>
        <w:jc w:val="left"/>
        <w:rPr>
          <w:rStyle w:val="Hyperlink"/>
          <w:noProof/>
          <w:color w:val="auto"/>
          <w:u w:val="none"/>
        </w:rPr>
      </w:pPr>
      <w:r>
        <w:rPr>
          <w:rStyle w:val="Hyperlink"/>
          <w:noProof/>
          <w:color w:val="auto"/>
          <w:u w:val="none"/>
        </w:rPr>
        <w:t xml:space="preserve">Daten zur Finanzierung der humanitären Hilfe der Europäischen Kommission und der Mitgliedstaaten: </w:t>
      </w:r>
      <w:hyperlink r:id="rId23">
        <w:r>
          <w:rPr>
            <w:rStyle w:val="Hyperlink"/>
            <w:noProof/>
            <w:color w:val="auto"/>
          </w:rPr>
          <w:t>https://euaidexplorer.ec.europa.eu</w:t>
        </w:r>
      </w:hyperlink>
    </w:p>
    <w:p>
      <w:pPr>
        <w:pStyle w:val="ECHOContentList"/>
        <w:jc w:val="left"/>
        <w:rPr>
          <w:rStyle w:val="Hyperlink"/>
          <w:noProof/>
          <w:color w:val="auto"/>
          <w:u w:val="none"/>
        </w:rPr>
      </w:pPr>
      <w:r>
        <w:rPr>
          <w:rStyle w:val="Hyperlink"/>
          <w:noProof/>
          <w:color w:val="auto"/>
          <w:u w:val="none"/>
        </w:rPr>
        <w:t>Liste der Partner, die 2016 Finanzmittel erhalten haben:</w:t>
      </w:r>
    </w:p>
    <w:tbl>
      <w:tblPr>
        <w:tblW w:w="8095" w:type="dxa"/>
        <w:tblInd w:w="93" w:type="dxa"/>
        <w:tblLook w:val="04A0" w:firstRow="1" w:lastRow="0" w:firstColumn="1" w:lastColumn="0" w:noHBand="0" w:noVBand="1"/>
      </w:tblPr>
      <w:tblGrid>
        <w:gridCol w:w="4551"/>
        <w:gridCol w:w="3544"/>
      </w:tblGrid>
      <w:tr>
        <w:trPr>
          <w:trHeight w:val="705"/>
        </w:trPr>
        <w:tc>
          <w:tcPr>
            <w:tcW w:w="8095" w:type="dxa"/>
            <w:gridSpan w:val="2"/>
            <w:tcBorders>
              <w:top w:val="single" w:sz="4" w:space="0" w:color="auto"/>
              <w:left w:val="single" w:sz="4" w:space="0" w:color="auto"/>
              <w:bottom w:val="single" w:sz="4" w:space="0" w:color="auto"/>
              <w:right w:val="single" w:sz="4" w:space="0" w:color="000000"/>
            </w:tcBorders>
            <w:shd w:val="clear" w:color="000000" w:fill="FFFF99"/>
            <w:vAlign w:val="center"/>
            <w:hideMark/>
          </w:tcPr>
          <w:p>
            <w:pPr>
              <w:pStyle w:val="ECHOContentList"/>
              <w:numPr>
                <w:ilvl w:val="0"/>
                <w:numId w:val="0"/>
              </w:numPr>
              <w:ind w:left="360"/>
              <w:jc w:val="center"/>
              <w:rPr>
                <w:noProof/>
              </w:rPr>
            </w:pPr>
            <w:r>
              <w:rPr>
                <w:noProof/>
              </w:rPr>
              <w:t>PARTNER 2016 – HUMANITÄRE EINSÄTZE</w:t>
            </w:r>
          </w:p>
        </w:tc>
      </w:tr>
      <w:tr>
        <w:trPr>
          <w:trHeight w:val="300"/>
        </w:trPr>
        <w:tc>
          <w:tcPr>
            <w:tcW w:w="4551" w:type="dxa"/>
            <w:tcBorders>
              <w:top w:val="nil"/>
              <w:left w:val="nil"/>
              <w:bottom w:val="nil"/>
              <w:right w:val="nil"/>
            </w:tcBorders>
            <w:shd w:val="clear" w:color="FFFFFF" w:fill="auto"/>
            <w:vAlign w:val="center"/>
            <w:hideMark/>
          </w:tcPr>
          <w:p>
            <w:pPr>
              <w:spacing w:after="0" w:line="240" w:lineRule="auto"/>
              <w:rPr>
                <w:rFonts w:ascii="Arial" w:eastAsia="Times New Roman" w:hAnsi="Arial" w:cs="Arial"/>
                <w:noProof/>
                <w:color w:val="000000"/>
                <w:sz w:val="12"/>
                <w:szCs w:val="12"/>
              </w:rPr>
            </w:pPr>
          </w:p>
        </w:tc>
        <w:tc>
          <w:tcPr>
            <w:tcW w:w="3544" w:type="dxa"/>
            <w:tcBorders>
              <w:top w:val="nil"/>
              <w:left w:val="nil"/>
              <w:bottom w:val="nil"/>
              <w:right w:val="nil"/>
            </w:tcBorders>
            <w:shd w:val="clear" w:color="FFFFFF" w:fill="auto"/>
            <w:vAlign w:val="center"/>
            <w:hideMark/>
          </w:tcPr>
          <w:p>
            <w:pPr>
              <w:spacing w:after="0" w:line="240" w:lineRule="auto"/>
              <w:rPr>
                <w:rFonts w:ascii="Arial" w:eastAsia="Times New Roman" w:hAnsi="Arial" w:cs="Arial"/>
                <w:noProof/>
                <w:color w:val="000000"/>
                <w:sz w:val="12"/>
                <w:szCs w:val="12"/>
              </w:rPr>
            </w:pPr>
          </w:p>
        </w:tc>
      </w:tr>
      <w:tr>
        <w:trPr>
          <w:trHeight w:val="1005"/>
        </w:trPr>
        <w:tc>
          <w:tcPr>
            <w:tcW w:w="4551" w:type="dxa"/>
            <w:tcBorders>
              <w:top w:val="single" w:sz="4" w:space="0" w:color="000000"/>
              <w:left w:val="single" w:sz="4" w:space="0" w:color="000000"/>
              <w:bottom w:val="single" w:sz="4" w:space="0" w:color="000000"/>
              <w:right w:val="nil"/>
            </w:tcBorders>
            <w:shd w:val="clear" w:color="FFFFFF" w:fill="808080"/>
            <w:vAlign w:val="center"/>
            <w:hideMark/>
          </w:tcPr>
          <w:p>
            <w:pPr>
              <w:spacing w:after="0" w:line="240" w:lineRule="auto"/>
              <w:rPr>
                <w:rFonts w:ascii="Arial" w:eastAsia="Times New Roman" w:hAnsi="Arial" w:cs="Arial"/>
                <w:b/>
                <w:bCs/>
                <w:noProof/>
                <w:color w:val="FFFFFF"/>
                <w:sz w:val="20"/>
                <w:szCs w:val="20"/>
              </w:rPr>
            </w:pPr>
            <w:r>
              <w:rPr>
                <w:rFonts w:ascii="Arial" w:hAnsi="Arial"/>
                <w:b/>
                <w:noProof/>
                <w:color w:val="FFFFFF"/>
                <w:sz w:val="20"/>
              </w:rPr>
              <w:t>Name der Partnerorganisation</w:t>
            </w:r>
          </w:p>
        </w:tc>
        <w:tc>
          <w:tcPr>
            <w:tcW w:w="3544" w:type="dxa"/>
            <w:tcBorders>
              <w:top w:val="single" w:sz="4" w:space="0" w:color="auto"/>
              <w:left w:val="single" w:sz="4" w:space="0" w:color="auto"/>
              <w:bottom w:val="single" w:sz="4" w:space="0" w:color="000000"/>
              <w:right w:val="single" w:sz="4" w:space="0" w:color="auto"/>
            </w:tcBorders>
            <w:shd w:val="clear" w:color="FFFFFF" w:fill="808080"/>
            <w:vAlign w:val="center"/>
            <w:hideMark/>
          </w:tcPr>
          <w:p>
            <w:pPr>
              <w:spacing w:after="0" w:line="240" w:lineRule="auto"/>
              <w:rPr>
                <w:rFonts w:ascii="Arial" w:eastAsia="Times New Roman" w:hAnsi="Arial" w:cs="Arial"/>
                <w:b/>
                <w:bCs/>
                <w:noProof/>
                <w:color w:val="FFFFFF"/>
                <w:sz w:val="20"/>
                <w:szCs w:val="20"/>
              </w:rPr>
            </w:pPr>
            <w:r>
              <w:rPr>
                <w:rFonts w:ascii="Arial" w:hAnsi="Arial"/>
                <w:b/>
                <w:noProof/>
                <w:color w:val="FFFFFF"/>
                <w:sz w:val="20"/>
              </w:rPr>
              <w:t>Land</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s-ES"/>
              </w:rPr>
            </w:pPr>
            <w:r>
              <w:rPr>
                <w:rFonts w:ascii="Verdana" w:hAnsi="Verdana"/>
                <w:noProof/>
                <w:color w:val="000000"/>
                <w:sz w:val="18"/>
                <w:lang w:val="es-ES"/>
              </w:rPr>
              <w:t>ACCIÓN CONTRA EL HAMBRE - ES</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SPANIEN</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ACTED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ACTION AGAINST HUNGER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ACTION CONTRE LA FAIM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ACTIONAID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ADRA DANMARK - DK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DÄNEMARK</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ADRA DEUTSCHLAND E.V. - DE</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AGA KHAN FOUNDATION - UK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AGENCY FOR CO-OPERATION AND RESEARCH IN DEVELOPMENT - UK</w:t>
            </w:r>
          </w:p>
        </w:tc>
        <w:tc>
          <w:tcPr>
            <w:tcW w:w="354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AGRONOMES ET VETERINAIRES SANS FRONTIERES - FR</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pPr>
              <w:spacing w:after="0" w:line="240" w:lineRule="auto"/>
              <w:rPr>
                <w:rFonts w:ascii="Verdana" w:eastAsia="Times New Roman" w:hAnsi="Verdana" w:cs="Arial"/>
                <w:noProof/>
                <w:vanish/>
                <w:sz w:val="18"/>
                <w:szCs w:val="18"/>
              </w:rPr>
            </w:pPr>
            <w:r>
              <w:rPr>
                <w:rFonts w:ascii="Verdana" w:hAnsi="Verdana"/>
                <w:noProof/>
                <w:color w:val="000000"/>
                <w:sz w:val="18"/>
              </w:rPr>
              <w:t xml:space="preserve">ALLIANCE POUR L'ACTION MEDICALE INTERNATIONALE - FR </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ÄŒLOVEK V TÃSNI, O.P.S. - CZ</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TSCHECHISCHE REPUBLIK</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ARBEITER-SAMARITER-BUND DEUTSCHLAND E.V. - DE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ARTSEN ZONDER GRENZEN - NL</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NIEDERLANDE</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ASSOCIAZIONE INTERNAZIONALE VOLONTARI LAICI- SERVIZIO DI PACE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AT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ÖSTERREICH</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FR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NL</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NIEDERLANDE</w:t>
            </w:r>
          </w:p>
        </w:tc>
      </w:tr>
      <w:tr>
        <w:trPr>
          <w:trHeight w:val="570"/>
        </w:trPr>
        <w:tc>
          <w:tcPr>
            <w:tcW w:w="4551" w:type="dxa"/>
            <w:tcBorders>
              <w:top w:val="nil"/>
              <w:left w:val="single" w:sz="4" w:space="0" w:color="000000"/>
              <w:bottom w:val="single" w:sz="4" w:space="0" w:color="auto"/>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CARE - UK</w:t>
            </w:r>
          </w:p>
        </w:tc>
        <w:tc>
          <w:tcPr>
            <w:tcW w:w="3544"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AT</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ÖSTERREICH</w:t>
            </w:r>
          </w:p>
        </w:tc>
      </w:tr>
      <w:tr>
        <w:trPr>
          <w:trHeight w:val="570"/>
        </w:trPr>
        <w:tc>
          <w:tcPr>
            <w:tcW w:w="4551" w:type="dxa"/>
            <w:tcBorders>
              <w:top w:val="single" w:sz="4" w:space="0" w:color="auto"/>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CH</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SCHWEIZ</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CARITAS - LU</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LUXEMBURG</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CATHOLIC AGENCY FOR OVERSEAS DEVELOPMENT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CESVI FONDAZIONE ONLUS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ITALIEN</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CHRISTIAN AID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COMITATO INTERNAZIONALE PER LO SVILUPPO DEI POPOLI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ITALIEN</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CONCERN WORLDWIDE - IE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IRLAND</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COOPERAZIONE INTERNAZIONALE - IT</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ITALIEN</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DANISH COMMITTEE FOR AID TO AFGHAN REFUGEES - DK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DÄNEMARK</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DANSK FLYGTNINGEHJAELP - DK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DÄNEMARK</w:t>
            </w:r>
          </w:p>
        </w:tc>
      </w:tr>
      <w:tr>
        <w:trPr>
          <w:trHeight w:val="570"/>
        </w:trPr>
        <w:tc>
          <w:tcPr>
            <w:tcW w:w="4551" w:type="dxa"/>
            <w:tcBorders>
              <w:top w:val="single" w:sz="4" w:space="0" w:color="auto"/>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DEUTSCHE WELTHUNGERHILFE E.V. - DE</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EVANGELISCHES WERK FÜR DIAKONIE UND ENTWICKLUNG E.V.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FAO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FEDERACION DE ASOCIACIONES MEDICUS MUNDI ESPAÑA - ES</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SPANIEN</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FEDERATION HANDICAP INTERNATIONAL - FR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FOLKEKIRKENS NODHJAELP - DK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DÄNEMARK</w:t>
            </w:r>
          </w:p>
        </w:tc>
      </w:tr>
      <w:tr>
        <w:trPr>
          <w:trHeight w:val="570"/>
        </w:trPr>
        <w:tc>
          <w:tcPr>
            <w:tcW w:w="4551" w:type="dxa"/>
            <w:tcBorders>
              <w:top w:val="nil"/>
              <w:left w:val="single" w:sz="4" w:space="0" w:color="000000"/>
              <w:bottom w:val="single" w:sz="4" w:space="0" w:color="auto"/>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FONDAZIONE TERRE DES HOMMES ITALIA ONLUS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ITALIEN</w:t>
            </w:r>
          </w:p>
        </w:tc>
      </w:tr>
      <w:tr>
        <w:trPr>
          <w:trHeight w:val="570"/>
        </w:trPr>
        <w:tc>
          <w:tcPr>
            <w:tcW w:w="4551" w:type="dxa"/>
            <w:tcBorders>
              <w:top w:val="single" w:sz="4" w:space="0" w:color="auto"/>
              <w:left w:val="single" w:sz="4" w:space="0" w:color="auto"/>
              <w:bottom w:val="single" w:sz="4" w:space="0" w:color="auto"/>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FUNDACION ALIANZA POR LOS DERECHOS, LA IGUALD Y LA SOLIDARIDAD INTERNACIONAL - ES</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SPANIEN</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FUNDACION OXFAM INTERMON - ES</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SPANIEN</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FUNDACIÓN PLAN INTERNATIONAL ESPAÑA - ES</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SPANIEN</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FUNDACIÓN SAVE THE CHILDREN - ES</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SPANIEN</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GOAL - IE</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IRLAND</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GRUPPO DI VOLONTARIATO CIVILE - IT</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ITALIEN</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HELP - HILFE ZUR SELBSTHILFE E.V.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HELPAGE INTERNATIONAL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IFRC</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IKRK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 CATHOLIC MIGRATION COMMISSION - CH</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SCHWEIZ</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 MEDICAL CORPS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 NGO SAFETY ORGANISATION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 RESCUE COMMITTE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INTERSOS - IT</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ITALIEN</w:t>
            </w:r>
          </w:p>
        </w:tc>
      </w:tr>
      <w:tr>
        <w:trPr>
          <w:trHeight w:val="570"/>
        </w:trPr>
        <w:tc>
          <w:tcPr>
            <w:tcW w:w="4551" w:type="dxa"/>
            <w:tcBorders>
              <w:top w:val="nil"/>
              <w:left w:val="single" w:sz="4" w:space="0" w:color="000000"/>
              <w:bottom w:val="single" w:sz="4" w:space="0" w:color="auto"/>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IOM</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ISLAMIC RELIEF WORLDWIDE - UK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lang w:val="sv-SE"/>
              </w:rPr>
            </w:pPr>
            <w:r>
              <w:rPr>
                <w:rFonts w:ascii="Verdana" w:hAnsi="Verdana"/>
                <w:noProof/>
                <w:color w:val="000000"/>
                <w:sz w:val="18"/>
                <w:lang w:val="sv-SE"/>
              </w:rPr>
              <w:t>JOHANNITER-UNFALL-HILFE E.V. - DE</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pPr>
              <w:spacing w:after="0" w:line="240" w:lineRule="auto"/>
              <w:rPr>
                <w:rFonts w:ascii="Verdana" w:eastAsia="Times New Roman" w:hAnsi="Verdana" w:cs="Arial"/>
                <w:noProof/>
                <w:vanish/>
                <w:sz w:val="18"/>
                <w:szCs w:val="18"/>
              </w:rPr>
            </w:pPr>
            <w:r>
              <w:rPr>
                <w:rFonts w:ascii="Verdana" w:hAnsi="Verdana"/>
                <w:noProof/>
                <w:color w:val="000000"/>
                <w:sz w:val="18"/>
              </w:rPr>
              <w:t xml:space="preserve">KIRKENS NØDHJELP - NO </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NORWEGEN</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KIRKON ULKOMAANAPU SR. - FI</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FINNLAND</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lang w:val="fr-FR"/>
              </w:rPr>
            </w:pPr>
            <w:r>
              <w:rPr>
                <w:rFonts w:ascii="Verdana" w:hAnsi="Verdana"/>
                <w:noProof/>
                <w:color w:val="000000"/>
                <w:sz w:val="18"/>
                <w:lang w:val="fr-FR"/>
              </w:rPr>
              <w:t>LA CHAINE DE L'ESPOIR - FR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 xml:space="preserve">LUTHERISCHER WELTBUND - CH </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SCHWEIZ</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nb-NO"/>
              </w:rPr>
            </w:pPr>
            <w:r>
              <w:rPr>
                <w:rFonts w:ascii="Verdana" w:hAnsi="Verdana"/>
                <w:noProof/>
                <w:color w:val="000000"/>
                <w:sz w:val="18"/>
                <w:lang w:val="nb-NO"/>
              </w:rPr>
              <w:t>MALTESER HILFSDIENST E.V. - DE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MEDAIR - CH</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SCHWEIZ</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MEDECINS DU MONDE - BE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BELGIEN</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MEDECINS DU MONDE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MEDECINS SANS FRONTIERES - BE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BELGIEN</w:t>
            </w:r>
          </w:p>
        </w:tc>
      </w:tr>
      <w:tr>
        <w:trPr>
          <w:trHeight w:val="570"/>
        </w:trPr>
        <w:tc>
          <w:tcPr>
            <w:tcW w:w="4551" w:type="dxa"/>
            <w:tcBorders>
              <w:top w:val="nil"/>
              <w:left w:val="single" w:sz="4" w:space="0" w:color="000000"/>
              <w:bottom w:val="single" w:sz="4" w:space="0" w:color="auto"/>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MEDECINS SANS FRONTIERES - CH</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SCHWEIZ</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MEDICO INTERNATIONAL E.V - DE</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s-ES"/>
              </w:rPr>
            </w:pPr>
            <w:r>
              <w:rPr>
                <w:rFonts w:ascii="Verdana" w:hAnsi="Verdana"/>
                <w:noProof/>
                <w:color w:val="000000"/>
                <w:sz w:val="18"/>
                <w:lang w:val="es-ES"/>
              </w:rPr>
              <w:t>MEDICOS DEL MUNDO ESPAÑA - ES</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SPANIEN</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MERCY CORPS EUROPE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lang w:val="en-GB"/>
              </w:rPr>
            </w:pPr>
            <w:r>
              <w:rPr>
                <w:rFonts w:ascii="Verdana" w:hAnsi="Verdana"/>
                <w:noProof/>
                <w:color w:val="000000"/>
                <w:sz w:val="18"/>
                <w:lang w:val="en-GB"/>
              </w:rPr>
              <w:t>MISSION AVIATION FELLOWSHIP INTERNATIONAL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MISSION OST FORENING - DK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DÄNEMARK</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s-ES"/>
              </w:rPr>
            </w:pPr>
            <w:r>
              <w:rPr>
                <w:rFonts w:ascii="Verdana" w:hAnsi="Verdana"/>
                <w:noProof/>
                <w:color w:val="000000"/>
                <w:sz w:val="18"/>
                <w:lang w:val="es-ES"/>
              </w:rPr>
              <w:t>MOVIMIENTO POR LA PAZ, EL DESARME Y LA LIBERTAD - ES</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SPANIEN</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MUSLIM AID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NORWEGIAN REFUGEE COUNCIL – NO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NORWEGEN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OXFAM – UK</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n-GB"/>
              </w:rPr>
            </w:pPr>
            <w:r>
              <w:rPr>
                <w:rFonts w:ascii="Verdana" w:hAnsi="Verdana"/>
                <w:noProof/>
                <w:color w:val="000000"/>
                <w:sz w:val="18"/>
                <w:lang w:val="en-GB"/>
              </w:rPr>
              <w:t>OXFAM ITALIA ONLUS ASSOCIAZIONE – IT</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ITALIEN</w:t>
            </w:r>
          </w:p>
        </w:tc>
      </w:tr>
      <w:tr>
        <w:trPr>
          <w:trHeight w:val="570"/>
        </w:trPr>
        <w:tc>
          <w:tcPr>
            <w:tcW w:w="4551" w:type="dxa"/>
            <w:tcBorders>
              <w:top w:val="nil"/>
              <w:left w:val="single" w:sz="4" w:space="0" w:color="000000"/>
              <w:bottom w:val="single" w:sz="4" w:space="0" w:color="auto"/>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OXFAM-SOLIDARITE(IT) – BE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BELGIEN</w:t>
            </w:r>
          </w:p>
        </w:tc>
      </w:tr>
      <w:tr>
        <w:trPr>
          <w:trHeight w:val="570"/>
        </w:trPr>
        <w:tc>
          <w:tcPr>
            <w:tcW w:w="4551" w:type="dxa"/>
            <w:tcBorders>
              <w:top w:val="single" w:sz="4" w:space="0" w:color="auto"/>
              <w:left w:val="single" w:sz="4" w:space="0" w:color="auto"/>
              <w:bottom w:val="single" w:sz="4" w:space="0" w:color="auto"/>
              <w:right w:val="nil"/>
            </w:tcBorders>
            <w:shd w:val="clear" w:color="000000" w:fill="FFFFFF"/>
            <w:noWrap/>
            <w:vAlign w:val="center"/>
            <w:hideMark/>
          </w:tcPr>
          <w:p>
            <w:pPr>
              <w:spacing w:after="0" w:line="240" w:lineRule="auto"/>
              <w:rPr>
                <w:rFonts w:ascii="Verdana" w:eastAsia="Times New Roman" w:hAnsi="Verdana" w:cs="Arial"/>
                <w:noProof/>
                <w:vanish/>
                <w:sz w:val="18"/>
                <w:szCs w:val="18"/>
              </w:rPr>
            </w:pPr>
            <w:r>
              <w:rPr>
                <w:rFonts w:ascii="Verdana" w:hAnsi="Verdana"/>
                <w:noProof/>
                <w:color w:val="000000"/>
                <w:sz w:val="18"/>
              </w:rPr>
              <w:t xml:space="preserve">PELASTAKAA LAPSET - RÄDDA BARNEN - FI </w:t>
            </w:r>
          </w:p>
        </w:tc>
        <w:tc>
          <w:tcPr>
            <w:tcW w:w="3544"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FINNLAND</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PLAN INTERNATIONAL - UK</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sv-SE"/>
              </w:rPr>
            </w:pPr>
            <w:r>
              <w:rPr>
                <w:rFonts w:ascii="Verdana" w:hAnsi="Verdana"/>
                <w:noProof/>
                <w:color w:val="000000"/>
                <w:sz w:val="18"/>
                <w:lang w:val="sv-SE"/>
              </w:rPr>
              <w:t>PLAN INTERNATIONAL SVERIGE INSAMLINGSSTIFTELSE - SE</w:t>
            </w:r>
          </w:p>
        </w:tc>
        <w:tc>
          <w:tcPr>
            <w:tcW w:w="354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SCHWEDEN</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PLAN IRELAND CHARITABLE ASSISTANCE - IE</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IRLAND</w:t>
            </w:r>
          </w:p>
        </w:tc>
      </w:tr>
      <w:tr>
        <w:trPr>
          <w:trHeight w:val="570"/>
        </w:trPr>
        <w:tc>
          <w:tcPr>
            <w:tcW w:w="4551" w:type="dxa"/>
            <w:tcBorders>
              <w:top w:val="single" w:sz="4" w:space="0" w:color="auto"/>
              <w:left w:val="single" w:sz="4" w:space="0" w:color="000000"/>
              <w:bottom w:val="single" w:sz="4" w:space="0" w:color="000000"/>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POLSKA AKCJA HUMANITARNA - PL</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POLEN</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PRACTICAL ACTION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PREMIERE URGENCE INTERNATIONALE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RADDA BARNENS RKSFORBUND - SE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SCHWEDEN</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 BARNET - DK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DÄNEMARK</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REDD BARNA - NO</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NORWEGEN</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REDR - ENGINEERS FOR DISASTER RELIEF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RELIEF INTERNATIONAL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ROTES KREUZ - BE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BELGIEN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ROTES KREUZ – DE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nil"/>
              <w:left w:val="single" w:sz="4" w:space="0" w:color="000000"/>
              <w:bottom w:val="single" w:sz="4" w:space="0" w:color="auto"/>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ROTES KREUZ – DK</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DÄNEMARK</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ROTES KREUZ – ES</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SPANIEN</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ROTES KREUZ – FI</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FINNLAND</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ROTES KREUZ – FR</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ROTES KREUZ – LU</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LUXEMBURG</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ROTES KREUZ – NL</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NIEDERLANDE</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ROTES KREUZ – NO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NORWEGEN</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ROTES KREUZ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SAVE THE CHILDREN - NL</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NIEDERLANDE</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n-GB"/>
              </w:rPr>
            </w:pPr>
            <w:r>
              <w:rPr>
                <w:rFonts w:ascii="Verdana" w:hAnsi="Verdana"/>
                <w:noProof/>
                <w:color w:val="000000"/>
                <w:sz w:val="18"/>
                <w:lang w:val="en-GB"/>
              </w:rPr>
              <w:t>SAVE THE CHILDREN FUND - UK</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en-GB"/>
              </w:rPr>
            </w:pPr>
            <w:r>
              <w:rPr>
                <w:rFonts w:ascii="Verdana" w:hAnsi="Verdana"/>
                <w:noProof/>
                <w:color w:val="000000"/>
                <w:sz w:val="18"/>
                <w:lang w:val="en-GB"/>
              </w:rPr>
              <w:t>SAVE THE CHILDREN ITALIA ONLUS - IT</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ITALIEN</w:t>
            </w:r>
          </w:p>
        </w:tc>
      </w:tr>
      <w:tr>
        <w:trPr>
          <w:trHeight w:val="570"/>
        </w:trPr>
        <w:tc>
          <w:tcPr>
            <w:tcW w:w="4551" w:type="dxa"/>
            <w:tcBorders>
              <w:top w:val="nil"/>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SOLIDAR SUISSE - CH</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SCHWEIZ</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SOLIDARITES INTERNATIONAL - FR</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SOS SAHEL INTERNATIONAL FRANCE - FR</w:t>
            </w:r>
          </w:p>
        </w:tc>
        <w:tc>
          <w:tcPr>
            <w:tcW w:w="3544" w:type="dxa"/>
            <w:tcBorders>
              <w:top w:val="single" w:sz="4" w:space="0" w:color="auto"/>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SOS-KINDERDORF INTERNATIONAL - AT</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ÖSTERREICH</w:t>
            </w:r>
          </w:p>
        </w:tc>
      </w:tr>
      <w:tr>
        <w:trPr>
          <w:trHeight w:val="570"/>
        </w:trPr>
        <w:tc>
          <w:tcPr>
            <w:tcW w:w="4551" w:type="dxa"/>
            <w:tcBorders>
              <w:top w:val="single" w:sz="4" w:space="0" w:color="auto"/>
              <w:left w:val="single" w:sz="4" w:space="0" w:color="auto"/>
              <w:bottom w:val="single" w:sz="4" w:space="0" w:color="auto"/>
              <w:right w:val="nil"/>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STICHTING OXFAM NOVIB - NL</w:t>
            </w:r>
          </w:p>
        </w:tc>
        <w:tc>
          <w:tcPr>
            <w:tcW w:w="3544" w:type="dxa"/>
            <w:tcBorders>
              <w:top w:val="single" w:sz="4" w:space="0" w:color="auto"/>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NIEDERLANDE</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STICHTING WAR CHILD - NL</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NIEDERLANDE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lang w:val="nl-NL"/>
              </w:rPr>
            </w:pPr>
            <w:r>
              <w:rPr>
                <w:rFonts w:ascii="Verdana" w:hAnsi="Verdana"/>
                <w:noProof/>
                <w:color w:val="000000"/>
                <w:sz w:val="18"/>
                <w:lang w:val="nl-NL"/>
              </w:rPr>
              <w:t>STICHTING WORLD VISION NEDERLAND - NL</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NIEDERLANDE</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SVENSKA KYRKAN - SE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SCHWEDEN</w:t>
            </w:r>
          </w:p>
        </w:tc>
      </w:tr>
      <w:tr>
        <w:trPr>
          <w:trHeight w:val="570"/>
        </w:trPr>
        <w:tc>
          <w:tcPr>
            <w:tcW w:w="4551" w:type="dxa"/>
            <w:tcBorders>
              <w:top w:val="nil"/>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TEARFUND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TERRE DES HOMMES - CH</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SCHWEIZ</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TIERÄRZTE OHNE GRENZEN E.V. - DE</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TRIANGLE GENERATION HUMANITAIRE - FR</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FRANKREICH</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TROCAIRE - IE</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IRLAND</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 - OCHA</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 - OHCHR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 - PAHO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UNDP</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UNESCO</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UNFPA</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UNHCR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UNICEF</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UNISDR</w:t>
            </w:r>
          </w:p>
        </w:tc>
        <w:tc>
          <w:tcPr>
            <w:tcW w:w="3544" w:type="dxa"/>
            <w:tcBorders>
              <w:top w:val="nil"/>
              <w:left w:val="single" w:sz="4" w:space="0" w:color="auto"/>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auto"/>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UNOPS</w:t>
            </w:r>
          </w:p>
        </w:tc>
        <w:tc>
          <w:tcPr>
            <w:tcW w:w="3544" w:type="dxa"/>
            <w:tcBorders>
              <w:top w:val="nil"/>
              <w:left w:val="nil"/>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UNRWA</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single" w:sz="4" w:space="0" w:color="auto"/>
              <w:left w:val="single" w:sz="4" w:space="0" w:color="000000"/>
              <w:bottom w:val="single" w:sz="4" w:space="0" w:color="auto"/>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UNWOMEN</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WFP</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WHO</w:t>
            </w:r>
          </w:p>
        </w:tc>
        <w:tc>
          <w:tcPr>
            <w:tcW w:w="3544" w:type="dxa"/>
            <w:tcBorders>
              <w:top w:val="single" w:sz="4" w:space="0" w:color="auto"/>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INTERNATIONALE ORGANISATION</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WORLD VISION - DE</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DEUTSCHLAND</w:t>
            </w:r>
          </w:p>
        </w:tc>
      </w:tr>
      <w:tr>
        <w:trPr>
          <w:trHeight w:val="570"/>
        </w:trPr>
        <w:tc>
          <w:tcPr>
            <w:tcW w:w="4551" w:type="dxa"/>
            <w:tcBorders>
              <w:top w:val="nil"/>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WORLD VISION - UK</w:t>
            </w:r>
          </w:p>
        </w:tc>
        <w:tc>
          <w:tcPr>
            <w:tcW w:w="3544" w:type="dxa"/>
            <w:tcBorders>
              <w:top w:val="nil"/>
              <w:left w:val="nil"/>
              <w:bottom w:val="single" w:sz="4" w:space="0" w:color="000000"/>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VEREINIGTES KÖNIGREICH</w:t>
            </w:r>
          </w:p>
        </w:tc>
      </w:tr>
      <w:tr>
        <w:trPr>
          <w:trHeight w:val="570"/>
        </w:trPr>
        <w:tc>
          <w:tcPr>
            <w:tcW w:w="4551" w:type="dxa"/>
            <w:tcBorders>
              <w:top w:val="nil"/>
              <w:left w:val="single" w:sz="4" w:space="0" w:color="000000"/>
              <w:bottom w:val="single" w:sz="4" w:space="0" w:color="000000"/>
              <w:right w:val="nil"/>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ZOA - NL</w:t>
            </w:r>
          </w:p>
        </w:tc>
        <w:tc>
          <w:tcPr>
            <w:tcW w:w="3544" w:type="dxa"/>
            <w:tcBorders>
              <w:top w:val="nil"/>
              <w:left w:val="single" w:sz="4" w:space="0" w:color="auto"/>
              <w:bottom w:val="single" w:sz="4" w:space="0" w:color="auto"/>
              <w:right w:val="single" w:sz="4" w:space="0" w:color="auto"/>
            </w:tcBorders>
            <w:shd w:val="clear" w:color="FFFFFF" w:fill="FFFFFF"/>
            <w:vAlign w:val="center"/>
            <w:hideMark/>
          </w:tcPr>
          <w:p>
            <w:pPr>
              <w:spacing w:after="0" w:line="240" w:lineRule="auto"/>
              <w:rPr>
                <w:rFonts w:ascii="Verdana" w:eastAsia="Times New Roman" w:hAnsi="Verdana"/>
                <w:noProof/>
                <w:color w:val="000000"/>
                <w:sz w:val="18"/>
                <w:szCs w:val="18"/>
              </w:rPr>
            </w:pPr>
            <w:r>
              <w:rPr>
                <w:rFonts w:ascii="Verdana" w:hAnsi="Verdana"/>
                <w:noProof/>
                <w:color w:val="000000"/>
                <w:sz w:val="18"/>
              </w:rPr>
              <w:t>NIEDERLANDE</w:t>
            </w:r>
          </w:p>
        </w:tc>
      </w:tr>
    </w:tbl>
    <w:p>
      <w:pPr>
        <w:rPr>
          <w:noProof/>
        </w:rPr>
      </w:pPr>
    </w:p>
    <w:p>
      <w:pPr>
        <w:pStyle w:val="ECHOContentList"/>
        <w:numPr>
          <w:ilvl w:val="0"/>
          <w:numId w:val="0"/>
        </w:numPr>
        <w:ind w:left="720"/>
        <w:jc w:val="left"/>
        <w:rPr>
          <w:rStyle w:val="Hyperlink"/>
          <w:noProof/>
          <w:color w:val="auto"/>
          <w:u w:val="none"/>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021" w:right="1418" w:bottom="1440" w:left="179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fldChar w:fldCharType="begin"/>
    </w:r>
    <w:r>
      <w:instrText xml:space="preserve"> PAGE   \* MERGEFORMAT </w:instrText>
    </w:r>
    <w:r>
      <w:fldChar w:fldCharType="separate"/>
    </w:r>
    <w:r>
      <w:rPr>
        <w:noProof/>
      </w:rPr>
      <w:t>2</w:t>
    </w:r>
    <w:r>
      <w:rPr>
        <w:noProof/>
      </w:rPr>
      <w:fldChar w:fldCharType="end"/>
    </w:r>
  </w:p>
  <w:p>
    <w:pPr>
      <w:pStyle w:val="FooterDat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clear" w:pos="9071"/>
        <w:tab w:val="left" w:pos="5355"/>
      </w:tabs>
    </w:pPr>
    <w:r>
      <w:t>6</w:t>
    </w:r>
    <w:r>
      <w:tab/>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r>
        <w:rPr>
          <w:sz w:val="16"/>
        </w:rPr>
        <w:t>In diesem Betrag sind 173 Mio. EUR aus dem Europäischen Entwicklungsfonds enthalten.</w:t>
      </w:r>
    </w:p>
  </w:footnote>
  <w:footnote w:id="2">
    <w:p>
      <w:pPr>
        <w:pStyle w:val="FootnoteText"/>
        <w:jc w:val="left"/>
        <w:rPr>
          <w:sz w:val="16"/>
          <w:szCs w:val="16"/>
        </w:rPr>
      </w:pPr>
      <w:r>
        <w:rPr>
          <w:rStyle w:val="FootnoteReference"/>
        </w:rPr>
        <w:footnoteRef/>
      </w:r>
      <w:r>
        <w:t xml:space="preserve"> </w:t>
      </w:r>
      <w:r>
        <w:tab/>
      </w:r>
      <w:r>
        <w:rPr>
          <w:sz w:val="16"/>
        </w:rPr>
        <w:t>Beschluss C(2015) 9500 der Kommission vom 24. November 2015 über die Koordinierung der Maßnahmen der Union und der Mitgliedstaaten durch einen Koordinierungsmechanismus – die Fazilität für Flüchtlinge in der Türkei (ABl. C 407 vom 8.12.2015, S. 8), zuletzt geändert durch den Beschluss der Kommission vom 18. April 2017 über die Fazilität für Flüchtlinge in der Türkei und zur Änderung des Beschlusses C(2015) 9500 der Kommission vom 24. November 2015.</w:t>
      </w:r>
    </w:p>
  </w:footnote>
  <w:footnote w:id="3">
    <w:p>
      <w:pPr>
        <w:pStyle w:val="FootnoteText"/>
        <w:rPr>
          <w:sz w:val="16"/>
          <w:szCs w:val="16"/>
        </w:rPr>
      </w:pPr>
      <w:r>
        <w:rPr>
          <w:rStyle w:val="FootnoteReference"/>
          <w:sz w:val="16"/>
        </w:rPr>
        <w:footnoteRef/>
      </w:r>
      <w:r>
        <w:rPr>
          <w:sz w:val="16"/>
        </w:rPr>
        <w:t xml:space="preserve"> </w:t>
      </w:r>
      <w:r>
        <w:tab/>
      </w:r>
      <w:r>
        <w:rPr>
          <w:sz w:val="16"/>
        </w:rPr>
        <w:t>http://ec.europa.eu/echo/what/civil-protection/mechanism_en</w:t>
      </w:r>
    </w:p>
  </w:footnote>
  <w:footnote w:id="4">
    <w:p>
      <w:pPr>
        <w:pStyle w:val="FootnoteText"/>
        <w:rPr>
          <w:sz w:val="16"/>
          <w:szCs w:val="16"/>
        </w:rPr>
      </w:pPr>
      <w:r>
        <w:rPr>
          <w:rStyle w:val="FootnoteReference"/>
        </w:rPr>
        <w:footnoteRef/>
      </w:r>
      <w:r>
        <w:t xml:space="preserve"> </w:t>
      </w:r>
      <w:r>
        <w:tab/>
      </w:r>
      <w:r>
        <w:rPr>
          <w:sz w:val="16"/>
        </w:rPr>
        <w:t>Mitteilung der Kommission „Ein Leben in Würde: von Hilfeabhängigkeit zu Eigenständigkeit. Flucht und Entwicklung“ (COM(2016) 234 final).</w:t>
      </w:r>
    </w:p>
  </w:footnote>
  <w:footnote w:id="5">
    <w:p>
      <w:pPr>
        <w:pStyle w:val="FootnoteText"/>
        <w:rPr>
          <w:sz w:val="16"/>
          <w:szCs w:val="16"/>
        </w:rPr>
      </w:pPr>
      <w:r>
        <w:rPr>
          <w:rStyle w:val="FootnoteReference"/>
          <w:sz w:val="16"/>
        </w:rPr>
        <w:footnoteRef/>
      </w:r>
      <w:r>
        <w:rPr>
          <w:sz w:val="16"/>
        </w:rPr>
        <w:t xml:space="preserve"> </w:t>
      </w:r>
      <w:r>
        <w:tab/>
      </w:r>
      <w:r>
        <w:rPr>
          <w:sz w:val="16"/>
          <w:u w:val="single"/>
        </w:rPr>
        <w:t>http://humanitariandisabilitycharter.org/</w:t>
      </w:r>
    </w:p>
  </w:footnote>
  <w:footnote w:id="6">
    <w:p>
      <w:pPr>
        <w:pStyle w:val="FootnoteText"/>
        <w:rPr>
          <w:sz w:val="16"/>
          <w:szCs w:val="16"/>
        </w:rPr>
      </w:pPr>
      <w:r>
        <w:rPr>
          <w:rStyle w:val="FootnoteReference"/>
          <w:sz w:val="16"/>
        </w:rPr>
        <w:footnoteRef/>
      </w:r>
      <w:r>
        <w:rPr>
          <w:sz w:val="16"/>
        </w:rPr>
        <w:t xml:space="preserve"> </w:t>
      </w:r>
      <w:r>
        <w:tab/>
      </w:r>
      <w:hyperlink r:id="rId1">
        <w:r>
          <w:rPr>
            <w:rStyle w:val="Hyperlink"/>
            <w:rFonts w:ascii="Times New Roman" w:hAnsi="Times New Roman"/>
            <w:color w:val="auto"/>
            <w:sz w:val="16"/>
          </w:rPr>
          <w:t>https://unhabitat.org/wp-content/uploads/2016/05/Global-Alliance-for-Urban-Crises-Charter-for-WHS-Final.pdf</w:t>
        </w:r>
      </w:hyperlink>
    </w:p>
  </w:footnote>
  <w:footnote w:id="7">
    <w:p>
      <w:pPr>
        <w:pStyle w:val="FootnoteText"/>
        <w:jc w:val="left"/>
        <w:rPr>
          <w:sz w:val="16"/>
          <w:szCs w:val="16"/>
        </w:rPr>
      </w:pPr>
      <w:r>
        <w:rPr>
          <w:rStyle w:val="FootnoteReference"/>
        </w:rPr>
        <w:footnoteRef/>
      </w:r>
      <w:r>
        <w:t xml:space="preserve"> </w:t>
      </w:r>
      <w:r>
        <w:tab/>
      </w:r>
      <w:r>
        <w:rPr>
          <w:sz w:val="16"/>
        </w:rPr>
        <w:t>https://ec.europa.eu/europeaid/policies/european-development-policy/european-consensus-development_en</w:t>
      </w:r>
    </w:p>
  </w:footnote>
  <w:footnote w:id="8">
    <w:p>
      <w:pPr>
        <w:pStyle w:val="FootnoteText"/>
        <w:rPr>
          <w:sz w:val="16"/>
          <w:szCs w:val="16"/>
        </w:rPr>
      </w:pPr>
      <w:r>
        <w:rPr>
          <w:rStyle w:val="FootnoteReference"/>
        </w:rPr>
        <w:footnoteRef/>
      </w:r>
      <w:r>
        <w:tab/>
      </w:r>
      <w:r>
        <w:rPr>
          <w:sz w:val="16"/>
        </w:rPr>
        <w:t>Mit den Namen der betreffenden Partnerorganisationen.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360" w:lineRule="auto"/>
      <w:ind w:left="-1134"/>
      <w:rPr>
        <w:rFonts w:ascii="Verdana" w:hAnsi="Verdana"/>
        <w:sz w:val="14"/>
        <w:szCs w:val="14"/>
      </w:rPr>
    </w:pPr>
    <w:r>
      <w:rPr>
        <w:rFonts w:ascii="Verdana" w:hAnsi="Verdana"/>
        <w:b/>
        <w:sz w:val="14"/>
        <w:szCs w:val="14"/>
      </w:rPr>
      <w:br/>
    </w:r>
    <w:r>
      <w:rPr>
        <w:rFonts w:ascii="Verdana" w:hAnsi="Verdana"/>
        <w:sz w:val="14"/>
      </w:rPr>
      <w:t>Jahresbericht über die Strategien der Europäischen Union für humanitäre Hilfe und deren Umsetzung im Jahr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73B2CC1"/>
    <w:multiLevelType w:val="multilevel"/>
    <w:tmpl w:val="E1005B62"/>
    <w:lvl w:ilvl="0">
      <w:start w:val="1"/>
      <w:numFmt w:val="decimal"/>
      <w:pStyle w:val="AARHeading11"/>
      <w:lvlText w:val="%1."/>
      <w:lvlJc w:val="left"/>
      <w:pPr>
        <w:ind w:left="1004" w:hanging="720"/>
      </w:pPr>
      <w:rPr>
        <w:rFonts w:hint="default"/>
      </w:rPr>
    </w:lvl>
    <w:lvl w:ilvl="1">
      <w:start w:val="1"/>
      <w:numFmt w:val="decimal"/>
      <w:pStyle w:val="AARHeading211"/>
      <w:isLgl/>
      <w:lvlText w:val="%1.%2"/>
      <w:lvlJc w:val="left"/>
      <w:pPr>
        <w:ind w:left="720" w:hanging="720"/>
      </w:pPr>
      <w:rPr>
        <w:rFonts w:hint="default"/>
      </w:rPr>
    </w:lvl>
    <w:lvl w:ilvl="2">
      <w:start w:val="1"/>
      <w:numFmt w:val="decimal"/>
      <w:pStyle w:val="AARHeading3111"/>
      <w:isLgl/>
      <w:lvlText w:val="%1.%2.%3"/>
      <w:lvlJc w:val="left"/>
      <w:pPr>
        <w:ind w:left="2084" w:hanging="1080"/>
      </w:pPr>
      <w:rPr>
        <w:rFonts w:hint="default"/>
      </w:rPr>
    </w:lvl>
    <w:lvl w:ilvl="3">
      <w:start w:val="1"/>
      <w:numFmt w:val="decimal"/>
      <w:isLgl/>
      <w:lvlText w:val="%1.%2.%3.%4"/>
      <w:lvlJc w:val="left"/>
      <w:pPr>
        <w:ind w:left="3164" w:hanging="1800"/>
      </w:pPr>
      <w:rPr>
        <w:rFonts w:hint="default"/>
      </w:rPr>
    </w:lvl>
    <w:lvl w:ilvl="4">
      <w:start w:val="1"/>
      <w:numFmt w:val="decimal"/>
      <w:isLgl/>
      <w:lvlText w:val="%1.%2.%3.%4.%5"/>
      <w:lvlJc w:val="left"/>
      <w:pPr>
        <w:ind w:left="3884" w:hanging="2160"/>
      </w:pPr>
      <w:rPr>
        <w:rFonts w:hint="default"/>
      </w:rPr>
    </w:lvl>
    <w:lvl w:ilvl="5">
      <w:start w:val="1"/>
      <w:numFmt w:val="decimal"/>
      <w:isLgl/>
      <w:lvlText w:val="%1.%2.%3.%4.%5.%6"/>
      <w:lvlJc w:val="left"/>
      <w:pPr>
        <w:ind w:left="4604" w:hanging="2520"/>
      </w:pPr>
      <w:rPr>
        <w:rFonts w:hint="default"/>
      </w:rPr>
    </w:lvl>
    <w:lvl w:ilvl="6">
      <w:start w:val="1"/>
      <w:numFmt w:val="decimal"/>
      <w:isLgl/>
      <w:lvlText w:val="%1.%2.%3.%4.%5.%6.%7"/>
      <w:lvlJc w:val="left"/>
      <w:pPr>
        <w:ind w:left="5324" w:hanging="2880"/>
      </w:pPr>
      <w:rPr>
        <w:rFonts w:hint="default"/>
      </w:rPr>
    </w:lvl>
    <w:lvl w:ilvl="7">
      <w:start w:val="1"/>
      <w:numFmt w:val="decimal"/>
      <w:isLgl/>
      <w:lvlText w:val="%1.%2.%3.%4.%5.%6.%7.%8"/>
      <w:lvlJc w:val="left"/>
      <w:pPr>
        <w:ind w:left="6044" w:hanging="3240"/>
      </w:pPr>
      <w:rPr>
        <w:rFonts w:hint="default"/>
      </w:rPr>
    </w:lvl>
    <w:lvl w:ilvl="8">
      <w:start w:val="1"/>
      <w:numFmt w:val="decimal"/>
      <w:isLgl/>
      <w:lvlText w:val="%1.%2.%3.%4.%5.%6.%7.%8.%9"/>
      <w:lvlJc w:val="left"/>
      <w:pPr>
        <w:ind w:left="6764" w:hanging="3600"/>
      </w:pPr>
      <w:rPr>
        <w:rFonts w:hint="default"/>
      </w:r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DFA0061"/>
    <w:multiLevelType w:val="hybridMultilevel"/>
    <w:tmpl w:val="80443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49B4E93"/>
    <w:multiLevelType w:val="hybridMultilevel"/>
    <w:tmpl w:val="45B4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492207"/>
    <w:multiLevelType w:val="hybridMultilevel"/>
    <w:tmpl w:val="40C07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C26F71"/>
    <w:multiLevelType w:val="multilevel"/>
    <w:tmpl w:val="E01E7708"/>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6C53C36"/>
    <w:multiLevelType w:val="hybridMultilevel"/>
    <w:tmpl w:val="08B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4">
    <w:nsid w:val="7D76722E"/>
    <w:multiLevelType w:val="hybridMultilevel"/>
    <w:tmpl w:val="EECA57C4"/>
    <w:lvl w:ilvl="0" w:tplc="E81E72EE">
      <w:start w:val="1"/>
      <w:numFmt w:val="bullet"/>
      <w:pStyle w:val="ECHOContentLis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2"/>
  </w:num>
  <w:num w:numId="4">
    <w:abstractNumId w:val="21"/>
  </w:num>
  <w:num w:numId="5">
    <w:abstractNumId w:val="16"/>
  </w:num>
  <w:num w:numId="6">
    <w:abstractNumId w:val="28"/>
  </w:num>
  <w:num w:numId="7">
    <w:abstractNumId w:val="31"/>
  </w:num>
  <w:num w:numId="8">
    <w:abstractNumId w:val="30"/>
  </w:num>
  <w:num w:numId="9">
    <w:abstractNumId w:val="33"/>
  </w:num>
  <w:num w:numId="10">
    <w:abstractNumId w:val="11"/>
  </w:num>
  <w:num w:numId="11">
    <w:abstractNumId w:val="9"/>
  </w:num>
  <w:num w:numId="12">
    <w:abstractNumId w:val="23"/>
  </w:num>
  <w:num w:numId="13">
    <w:abstractNumId w:val="12"/>
  </w:num>
  <w:num w:numId="14">
    <w:abstractNumId w:val="20"/>
  </w:num>
  <w:num w:numId="15">
    <w:abstractNumId w:val="19"/>
    <w:lvlOverride w:ilvl="0">
      <w:startOverride w:val="1"/>
    </w:lvlOverride>
  </w:num>
  <w:num w:numId="16">
    <w:abstractNumId w:val="10"/>
  </w:num>
  <w:num w:numId="17">
    <w:abstractNumId w:val="6"/>
  </w:num>
  <w:num w:numId="18">
    <w:abstractNumId w:val="2"/>
  </w:num>
  <w:num w:numId="19">
    <w:abstractNumId w:val="1"/>
  </w:num>
  <w:num w:numId="20">
    <w:abstractNumId w:val="24"/>
  </w:num>
  <w:num w:numId="21">
    <w:abstractNumId w:val="27"/>
  </w:num>
  <w:num w:numId="22">
    <w:abstractNumId w:val="25"/>
  </w:num>
  <w:num w:numId="23">
    <w:abstractNumId w:val="29"/>
  </w:num>
  <w:num w:numId="24">
    <w:abstractNumId w:val="3"/>
  </w:num>
  <w:num w:numId="25">
    <w:abstractNumId w:val="13"/>
  </w:num>
  <w:num w:numId="26">
    <w:abstractNumId w:val="15"/>
  </w:num>
  <w:num w:numId="27">
    <w:abstractNumId w:val="14"/>
  </w:num>
  <w:num w:numId="28">
    <w:abstractNumId w:val="0"/>
  </w:num>
  <w:num w:numId="29">
    <w:abstractNumId w:val="17"/>
  </w:num>
  <w:num w:numId="30">
    <w:abstractNumId w:val="34"/>
  </w:num>
  <w:num w:numId="31">
    <w:abstractNumId w:val="4"/>
  </w:num>
  <w:num w:numId="32">
    <w:abstractNumId w:val="8"/>
  </w:num>
  <w:num w:numId="33">
    <w:abstractNumId w:val="26"/>
  </w:num>
  <w:num w:numId="34">
    <w:abstractNumId w:val="7"/>
  </w:num>
  <w:num w:numId="35">
    <w:abstractNumId w:val="32"/>
  </w:num>
  <w:num w:numId="3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D6C43AE-DF34-4360-982E-8021C6C3B2D5"/>
    <w:docVar w:name="LW_COVERPAGE_TYPE" w:val="1"/>
    <w:docVar w:name="LW_CROSSREFERENCE" w:val="&lt;UNUSED&gt;"/>
    <w:docVar w:name="LW_DocType" w:val="NORMAL"/>
    <w:docVar w:name="LW_EMISSION" w:val="13.11.2017"/>
    <w:docVar w:name="LW_EMISSION_ISODATE" w:val="2017-11-13"/>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6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Jahresbericht über die Strategien der Europäischen Union für humanitäre Hilfe und deren Umsetzung im Jahr 2016"/>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pPr>
      <w:keepNext/>
      <w:spacing w:before="360" w:after="120" w:line="240" w:lineRule="auto"/>
      <w:ind w:hanging="850"/>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pPr>
      <w:keepNext/>
      <w:numPr>
        <w:ilvl w:val="1"/>
        <w:numId w:val="7"/>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pPr>
      <w:keepNext/>
      <w:numPr>
        <w:ilvl w:val="2"/>
        <w:numId w:val="7"/>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pPr>
      <w:keepNext/>
      <w:numPr>
        <w:ilvl w:val="3"/>
        <w:numId w:val="7"/>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semiHidden/>
    <w:unhideWhenUsed/>
    <w:qFormat/>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Cs/>
      <w:sz w:val="24"/>
      <w:szCs w:val="28"/>
      <w:lang w:eastAsia="de-DE"/>
    </w:rPr>
  </w:style>
  <w:style w:type="character" w:customStyle="1" w:styleId="Heading3Char">
    <w:name w:val="Heading 3 Char"/>
    <w:link w:val="Heading3"/>
    <w:rPr>
      <w:rFonts w:ascii="Times New Roman" w:eastAsia="Times New Roman" w:hAnsi="Times New Roman"/>
      <w:bCs/>
      <w:i/>
      <w:sz w:val="24"/>
      <w:szCs w:val="26"/>
      <w:lang w:eastAsia="de-DE"/>
    </w:rPr>
  </w:style>
  <w:style w:type="character" w:customStyle="1" w:styleId="Heading4Char">
    <w:name w:val="Heading 4 Char"/>
    <w:link w:val="Heading4"/>
    <w:rPr>
      <w:rFonts w:ascii="Times New Roman" w:eastAsia="Times New Roman" w:hAnsi="Times New Roman"/>
      <w:bCs/>
      <w:sz w:val="24"/>
      <w:szCs w:val="28"/>
      <w:lang w:eastAsia="de-DE"/>
    </w:rPr>
  </w:style>
  <w:style w:type="character" w:customStyle="1" w:styleId="Heading5Char">
    <w:name w:val="Heading 5 Char"/>
    <w:link w:val="Heading5"/>
    <w:uiPriority w:val="9"/>
    <w:semiHidden/>
    <w:rPr>
      <w:rFonts w:ascii="Cambria" w:eastAsia="Times New Roman" w:hAnsi="Cambria" w:cs="Times New Roman"/>
      <w:b/>
      <w:bCs/>
      <w:color w:val="7F7F7F"/>
      <w:lang w:eastAsia="de-DE"/>
    </w:rPr>
  </w:style>
  <w:style w:type="character" w:customStyle="1" w:styleId="Heading6Char">
    <w:name w:val="Heading 6 Char"/>
    <w:link w:val="Heading6"/>
    <w:uiPriority w:val="9"/>
    <w:semiHidden/>
    <w:rPr>
      <w:rFonts w:ascii="Cambria" w:eastAsia="Times New Roman" w:hAnsi="Cambria" w:cs="Times New Roman"/>
      <w:b/>
      <w:bCs/>
      <w:i/>
      <w:iCs/>
      <w:color w:val="7F7F7F"/>
      <w:lang w:eastAsia="de-DE"/>
    </w:rPr>
  </w:style>
  <w:style w:type="character" w:customStyle="1" w:styleId="Heading7Char">
    <w:name w:val="Heading 7 Char"/>
    <w:link w:val="Heading7"/>
    <w:uiPriority w:val="9"/>
    <w:semiHidden/>
    <w:rPr>
      <w:rFonts w:ascii="Cambria" w:eastAsia="Times New Roman" w:hAnsi="Cambria" w:cs="Times New Roman"/>
      <w:i/>
      <w:iCs/>
      <w:lang w:eastAsia="de-DE"/>
    </w:rPr>
  </w:style>
  <w:style w:type="character" w:customStyle="1" w:styleId="Heading8Char">
    <w:name w:val="Heading 8 Char"/>
    <w:link w:val="Heading8"/>
    <w:uiPriority w:val="9"/>
    <w:semiHidden/>
    <w:rPr>
      <w:rFonts w:ascii="Cambria" w:eastAsia="Times New Roman" w:hAnsi="Cambria" w:cs="Times New Roman"/>
      <w:sz w:val="20"/>
      <w:szCs w:val="20"/>
      <w:lang w:eastAsia="de-DE"/>
    </w:rPr>
  </w:style>
  <w:style w:type="character" w:customStyle="1" w:styleId="Heading9Char">
    <w:name w:val="Heading 9 Char"/>
    <w:link w:val="Heading9"/>
    <w:uiPriority w:val="9"/>
    <w:semiHidden/>
    <w:rPr>
      <w:rFonts w:ascii="Cambria" w:eastAsia="Times New Roman" w:hAnsi="Cambria" w:cs="Times New Roman"/>
      <w:i/>
      <w:iCs/>
      <w:spacing w:val="5"/>
      <w:sz w:val="20"/>
      <w:szCs w:val="20"/>
      <w:lang w:eastAsia="de-DE"/>
    </w:rPr>
  </w:style>
  <w:style w:type="paragraph" w:customStyle="1" w:styleId="Accompagnant">
    <w:name w:val="Accompagnant"/>
    <w:basedOn w:val="Normal"/>
    <w:next w:val="Normal"/>
    <w:pPr>
      <w:spacing w:after="240" w:line="240" w:lineRule="auto"/>
      <w:jc w:val="center"/>
    </w:pPr>
    <w:rPr>
      <w:rFonts w:ascii="Times New Roman" w:eastAsia="Times New Roman" w:hAnsi="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 Exposant 3 Poi,Ref"/>
    <w:link w:val="Nota"/>
    <w:qFormat/>
    <w:rPr>
      <w:vertAlign w:val="superscript"/>
    </w:rPr>
  </w:style>
  <w:style w:type="paragraph" w:styleId="FootnoteText">
    <w:name w:val="footnote text"/>
    <w:basedOn w:val="Normal"/>
    <w:link w:val="FootnoteTextChar2"/>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Text Char1 Char Char Char Char Char Char"/>
    <w:rPr>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ManualHeading1">
    <w:name w:val="Manual Heading 1"/>
    <w:basedOn w:val="Normal"/>
    <w:next w:val="Normal"/>
    <w:link w:val="ManualHeading1Char"/>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lang w:val="de-DE" w:eastAsia="de-DE"/>
    </w:rPr>
  </w:style>
  <w:style w:type="paragraph" w:customStyle="1" w:styleId="References">
    <w:name w:val="References"/>
    <w:basedOn w:val="Normal"/>
    <w:next w:val="Normal"/>
    <w:pPr>
      <w:spacing w:after="240" w:line="240" w:lineRule="auto"/>
      <w:ind w:left="5103"/>
    </w:pPr>
    <w:rPr>
      <w:rFonts w:ascii="Times New Roman" w:eastAsia="Times New Roman" w:hAnsi="Times New Roman"/>
      <w:sz w:val="20"/>
      <w:szCs w:val="20"/>
    </w:rPr>
  </w:style>
  <w:style w:type="character" w:styleId="Hyperlink">
    <w:name w:val="Hyperlink"/>
    <w:uiPriority w:val="99"/>
    <w:rPr>
      <w:rFonts w:ascii="Verdana" w:hAnsi="Verdana"/>
      <w:color w:val="0000FF"/>
      <w:sz w:val="20"/>
      <w:u w:val="single"/>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ft Char"/>
    <w:rPr>
      <w:rFonts w:ascii="Verdana" w:eastAsia="Times New Roman" w:hAnsi="Verdana"/>
      <w:sz w:val="16"/>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rPr>
  </w:style>
  <w:style w:type="character" w:styleId="Strong">
    <w:name w:val="Strong"/>
    <w:uiPriority w:val="22"/>
    <w:qFormat/>
    <w:rPr>
      <w:b/>
      <w:bCs/>
    </w:rPr>
  </w:style>
  <w:style w:type="paragraph" w:customStyle="1" w:styleId="Default">
    <w:name w:val="Default"/>
    <w:pPr>
      <w:autoSpaceDE w:val="0"/>
      <w:autoSpaceDN w:val="0"/>
      <w:adjustRightInd w:val="0"/>
      <w:spacing w:after="200" w:line="276" w:lineRule="auto"/>
    </w:pPr>
    <w:rPr>
      <w:rFonts w:ascii="Times New Roman" w:eastAsia="Times New Roman" w:hAnsi="Times New Roman"/>
      <w:color w:val="000000"/>
      <w:sz w:val="24"/>
      <w:szCs w:val="24"/>
    </w:rPr>
  </w:style>
  <w:style w:type="paragraph" w:styleId="BalloonText">
    <w:name w:val="Balloon Text"/>
    <w:basedOn w:val="Normal"/>
    <w:link w:val="BalloonTextChar"/>
    <w:uiPriority w:val="99"/>
    <w:unhideWhenUsed/>
    <w:pPr>
      <w:spacing w:after="0" w:line="240" w:lineRule="auto"/>
    </w:pPr>
    <w:rPr>
      <w:rFonts w:ascii="Tahoma" w:eastAsia="Times New Roman" w:hAnsi="Tahoma"/>
      <w:sz w:val="16"/>
      <w:szCs w:val="16"/>
    </w:rPr>
  </w:style>
  <w:style w:type="character" w:customStyle="1" w:styleId="BalloonTextChar">
    <w:name w:val="Balloon Text Char"/>
    <w:link w:val="BalloonText"/>
    <w:uiPriority w:val="99"/>
    <w:rPr>
      <w:rFonts w:ascii="Tahoma" w:eastAsia="Times New Roman" w:hAnsi="Tahoma" w:cs="Times New Roman"/>
      <w:sz w:val="16"/>
      <w:szCs w:val="16"/>
      <w:lang w:val="de-DE" w:eastAsia="de-DE"/>
    </w:r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rPr>
  </w:style>
  <w:style w:type="character" w:customStyle="1" w:styleId="bold-about1">
    <w:name w:val="bold-about1"/>
    <w:rPr>
      <w:b/>
      <w:bCs/>
      <w:color w:val="A1620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link w:val="CommentText"/>
    <w:uiPriority w:val="99"/>
    <w:rPr>
      <w:rFonts w:ascii="Calibri" w:eastAsia="Times New Roman" w:hAnsi="Calibri" w:cs="Times New Roman"/>
      <w:sz w:val="20"/>
      <w:szCs w:val="20"/>
      <w:lang w:val="de-DE" w:eastAsia="de-DE"/>
    </w:rPr>
  </w:style>
  <w:style w:type="character" w:customStyle="1" w:styleId="st1">
    <w:name w:val="st1"/>
  </w:style>
  <w:style w:type="paragraph" w:customStyle="1" w:styleId="BodyBulletpoints">
    <w:name w:val="Body Bullet points"/>
    <w:basedOn w:val="Normal"/>
    <w:link w:val="BodyBulletpointsChar"/>
    <w:autoRedefine/>
    <w:uiPriority w:val="99"/>
    <w:pPr>
      <w:autoSpaceDE w:val="0"/>
      <w:autoSpaceDN w:val="0"/>
      <w:adjustRightInd w:val="0"/>
      <w:spacing w:after="0" w:line="240" w:lineRule="auto"/>
      <w:ind w:left="1"/>
      <w:jc w:val="both"/>
    </w:pPr>
    <w:rPr>
      <w:rFonts w:ascii="Verdana" w:eastAsia="Times New Roman" w:hAnsi="Verdana"/>
      <w:color w:val="000000"/>
      <w:sz w:val="20"/>
      <w:szCs w:val="20"/>
    </w:rPr>
  </w:style>
  <w:style w:type="character" w:customStyle="1" w:styleId="BodyBulletpointsChar">
    <w:name w:val="Body Bullet points Char"/>
    <w:link w:val="BodyBulletpoints"/>
    <w:uiPriority w:val="99"/>
    <w:locked/>
    <w:rPr>
      <w:rFonts w:ascii="Verdana" w:eastAsia="Times New Roman" w:hAnsi="Verdana" w:cs="Times New Roman"/>
      <w:color w:val="000000"/>
      <w:sz w:val="20"/>
      <w:szCs w:val="20"/>
      <w:lang w:eastAsia="de-DE"/>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ascii="Calibri" w:eastAsia="Times New Roman" w:hAnsi="Calibri" w:cs="Times New Roman"/>
      <w:b/>
      <w:bCs/>
      <w:sz w:val="20"/>
      <w:szCs w:val="20"/>
      <w:lang w:val="de-DE" w:eastAsia="de-D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200" w:line="276" w:lineRule="auto"/>
    </w:pPr>
    <w:rPr>
      <w:rFonts w:eastAsia="Times New Roman"/>
      <w:sz w:val="22"/>
      <w:szCs w:val="22"/>
    </w:rPr>
  </w:style>
  <w:style w:type="character" w:customStyle="1" w:styleId="FootnoteTextChar1CharChar1">
    <w:name w:val="Footnote Text Char1 Char Char1"/>
    <w:aliases w:val="Footnote Text Char Char Char Char1,Footnote Text Char1 Char Char Char Char1,Footnote Text Char Char Char Char Char Char1,Footnote Text Char1 Char1 Char Char1,Footnote Text Char Char Char1 Char Char1"/>
    <w:uiPriority w:val="99"/>
    <w:locked/>
    <w:rPr>
      <w:lang w:eastAsia="de-DE"/>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Title">
    <w:name w:val="Title"/>
    <w:basedOn w:val="Normal"/>
    <w:next w:val="Normal"/>
    <w:link w:val="TitleChar"/>
    <w:uiPriority w:val="1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Pr>
      <w:rFonts w:ascii="Cambria" w:eastAsia="Times New Roman" w:hAnsi="Cambria" w:cs="Times New Roman"/>
      <w:spacing w:val="5"/>
      <w:sz w:val="52"/>
      <w:szCs w:val="52"/>
      <w:lang w:eastAsia="de-DE"/>
    </w:rPr>
  </w:style>
  <w:style w:type="paragraph" w:styleId="Subtitle">
    <w:name w:val="Subtitle"/>
    <w:basedOn w:val="Normal"/>
    <w:next w:val="Normal"/>
    <w:link w:val="SubtitleChar"/>
    <w:uiPriority w:val="11"/>
    <w:pPr>
      <w:spacing w:after="600"/>
    </w:pPr>
    <w:rPr>
      <w:rFonts w:ascii="Cambria" w:eastAsia="Times New Roman" w:hAnsi="Cambria"/>
      <w:i/>
      <w:iCs/>
      <w:spacing w:val="13"/>
      <w:sz w:val="24"/>
      <w:szCs w:val="24"/>
    </w:rPr>
  </w:style>
  <w:style w:type="character" w:customStyle="1" w:styleId="SubtitleChar">
    <w:name w:val="Subtitle Char"/>
    <w:link w:val="Subtitle"/>
    <w:uiPriority w:val="11"/>
    <w:rPr>
      <w:rFonts w:ascii="Cambria" w:eastAsia="Times New Roman" w:hAnsi="Cambria" w:cs="Times New Roman"/>
      <w:i/>
      <w:iCs/>
      <w:spacing w:val="13"/>
      <w:sz w:val="24"/>
      <w:szCs w:val="24"/>
      <w:lang w:eastAsia="de-DE"/>
    </w:rPr>
  </w:style>
  <w:style w:type="character" w:styleId="Emphasis">
    <w:name w:val="Emphasis"/>
    <w:uiPriority w:val="20"/>
    <w:rPr>
      <w:b/>
      <w:bCs/>
      <w:i/>
      <w:iCs/>
      <w:spacing w:val="10"/>
      <w:bdr w:val="none" w:sz="0" w:space="0" w:color="auto"/>
      <w:shd w:val="clear" w:color="auto" w:fill="auto"/>
    </w:rPr>
  </w:style>
  <w:style w:type="paragraph" w:styleId="NoSpacing">
    <w:name w:val="No Spacing"/>
    <w:basedOn w:val="Normal"/>
    <w:uiPriority w:val="1"/>
    <w:pPr>
      <w:spacing w:after="0" w:line="240" w:lineRule="auto"/>
    </w:pPr>
    <w:rPr>
      <w:rFonts w:eastAsia="Times New Roman"/>
    </w:rPr>
  </w:style>
  <w:style w:type="paragraph" w:styleId="ListParagraph">
    <w:name w:val="List Paragraph"/>
    <w:basedOn w:val="Normal"/>
    <w:uiPriority w:val="34"/>
    <w:qFormat/>
    <w:pPr>
      <w:ind w:left="720"/>
      <w:contextualSpacing/>
    </w:pPr>
    <w:rPr>
      <w:rFonts w:eastAsia="Times New Roman"/>
    </w:rPr>
  </w:style>
  <w:style w:type="paragraph" w:styleId="Quote">
    <w:name w:val="Quote"/>
    <w:basedOn w:val="Normal"/>
    <w:next w:val="Normal"/>
    <w:link w:val="QuoteChar"/>
    <w:uiPriority w:val="29"/>
    <w:pPr>
      <w:spacing w:before="200" w:after="0"/>
      <w:ind w:left="360" w:right="360"/>
    </w:pPr>
    <w:rPr>
      <w:rFonts w:eastAsia="Times New Roman"/>
      <w:i/>
      <w:iCs/>
    </w:rPr>
  </w:style>
  <w:style w:type="character" w:customStyle="1" w:styleId="QuoteChar">
    <w:name w:val="Quote Char"/>
    <w:link w:val="Quote"/>
    <w:uiPriority w:val="29"/>
    <w:rPr>
      <w:rFonts w:ascii="Calibri" w:eastAsia="Times New Roman" w:hAnsi="Calibri" w:cs="Times New Roman"/>
      <w:i/>
      <w:iCs/>
      <w:lang w:eastAsia="de-DE"/>
    </w:rPr>
  </w:style>
  <w:style w:type="paragraph" w:styleId="IntenseQuote">
    <w:name w:val="Intense Quote"/>
    <w:basedOn w:val="Normal"/>
    <w:next w:val="Normal"/>
    <w:link w:val="IntenseQuoteChar"/>
    <w:uiPriority w:val="30"/>
    <w:pPr>
      <w:pBdr>
        <w:bottom w:val="single" w:sz="4" w:space="1" w:color="auto"/>
      </w:pBdr>
      <w:spacing w:before="200" w:after="280"/>
      <w:ind w:left="1008" w:right="1152"/>
      <w:jc w:val="both"/>
    </w:pPr>
    <w:rPr>
      <w:rFonts w:eastAsia="Times New Roman"/>
      <w:b/>
      <w:bCs/>
      <w:i/>
      <w:iCs/>
    </w:rPr>
  </w:style>
  <w:style w:type="character" w:customStyle="1" w:styleId="IntenseQuoteChar">
    <w:name w:val="Intense Quote Char"/>
    <w:link w:val="IntenseQuote"/>
    <w:uiPriority w:val="30"/>
    <w:rPr>
      <w:rFonts w:ascii="Calibri" w:eastAsia="Times New Roman" w:hAnsi="Calibri" w:cs="Times New Roman"/>
      <w:b/>
      <w:bCs/>
      <w:i/>
      <w:iCs/>
      <w:lang w:eastAsia="de-DE"/>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customStyle="1" w:styleId="ListBullet1">
    <w:name w:val="List Bullet 1"/>
    <w:basedOn w:val="Text1"/>
    <w:pPr>
      <w:numPr>
        <w:numId w:val="16"/>
      </w:numPr>
      <w:spacing w:before="0" w:after="240"/>
    </w:pPr>
    <w:rPr>
      <w:szCs w:val="20"/>
    </w:rPr>
  </w:style>
  <w:style w:type="paragraph" w:styleId="ListBullet2">
    <w:name w:val="List Bullet 2"/>
    <w:basedOn w:val="Text2"/>
    <w:pPr>
      <w:numPr>
        <w:numId w:val="17"/>
      </w:numPr>
      <w:spacing w:before="0" w:after="240"/>
    </w:pPr>
    <w:rPr>
      <w:szCs w:val="20"/>
    </w:rPr>
  </w:style>
  <w:style w:type="paragraph" w:styleId="ListBullet3">
    <w:name w:val="List Bullet 3"/>
    <w:basedOn w:val="Text3"/>
    <w:pPr>
      <w:numPr>
        <w:numId w:val="18"/>
      </w:numPr>
      <w:spacing w:before="0" w:after="240"/>
    </w:pPr>
    <w:rPr>
      <w:szCs w:val="20"/>
    </w:rPr>
  </w:style>
  <w:style w:type="paragraph" w:styleId="ListBullet4">
    <w:name w:val="List Bullet 4"/>
    <w:basedOn w:val="Text4"/>
    <w:pPr>
      <w:numPr>
        <w:numId w:val="19"/>
      </w:numPr>
      <w:spacing w:before="0" w:after="240"/>
    </w:pPr>
    <w:rPr>
      <w:szCs w:val="20"/>
    </w:rPr>
  </w:style>
  <w:style w:type="paragraph" w:customStyle="1" w:styleId="ListDash1">
    <w:name w:val="List Dash 1"/>
    <w:basedOn w:val="Text1"/>
    <w:pPr>
      <w:numPr>
        <w:numId w:val="21"/>
      </w:numPr>
      <w:spacing w:before="0" w:after="240"/>
    </w:pPr>
    <w:rPr>
      <w:szCs w:val="20"/>
    </w:rPr>
  </w:style>
  <w:style w:type="paragraph" w:customStyle="1" w:styleId="ListDash2">
    <w:name w:val="List Dash 2"/>
    <w:basedOn w:val="Text2"/>
    <w:pPr>
      <w:numPr>
        <w:numId w:val="22"/>
      </w:numPr>
      <w:spacing w:before="0" w:after="240"/>
    </w:pPr>
    <w:rPr>
      <w:szCs w:val="20"/>
    </w:rPr>
  </w:style>
  <w:style w:type="paragraph" w:customStyle="1" w:styleId="ListDash3">
    <w:name w:val="List Dash 3"/>
    <w:basedOn w:val="Text3"/>
    <w:pPr>
      <w:numPr>
        <w:numId w:val="23"/>
      </w:numPr>
      <w:spacing w:before="0" w:after="240"/>
    </w:pPr>
    <w:rPr>
      <w:szCs w:val="20"/>
    </w:rPr>
  </w:style>
  <w:style w:type="paragraph" w:customStyle="1" w:styleId="ListDash4">
    <w:name w:val="List Dash 4"/>
    <w:basedOn w:val="Text4"/>
    <w:pPr>
      <w:numPr>
        <w:numId w:val="24"/>
      </w:numPr>
      <w:spacing w:before="0" w:after="240"/>
    </w:pPr>
    <w:rPr>
      <w:szCs w:val="20"/>
    </w:rPr>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pPr>
      <w:numPr>
        <w:numId w:val="26"/>
      </w:numPr>
      <w:spacing w:before="0" w:after="240"/>
    </w:pPr>
    <w:rPr>
      <w:szCs w:val="20"/>
    </w:rPr>
  </w:style>
  <w:style w:type="paragraph" w:styleId="ListNumber2">
    <w:name w:val="List Number 2"/>
    <w:basedOn w:val="Text2"/>
    <w:pPr>
      <w:numPr>
        <w:numId w:val="27"/>
      </w:numPr>
      <w:spacing w:before="0" w:after="240"/>
    </w:pPr>
    <w:rPr>
      <w:szCs w:val="20"/>
    </w:rPr>
  </w:style>
  <w:style w:type="paragraph" w:styleId="ListNumber3">
    <w:name w:val="List Number 3"/>
    <w:basedOn w:val="Text3"/>
    <w:pPr>
      <w:numPr>
        <w:numId w:val="28"/>
      </w:numPr>
      <w:spacing w:before="0" w:after="240"/>
    </w:pPr>
    <w:rPr>
      <w:szCs w:val="20"/>
    </w:rPr>
  </w:style>
  <w:style w:type="paragraph" w:styleId="ListNumber4">
    <w:name w:val="List Number 4"/>
    <w:basedOn w:val="Text4"/>
    <w:pPr>
      <w:numPr>
        <w:numId w:val="29"/>
      </w:numPr>
      <w:spacing w:before="0" w:after="240"/>
    </w:pPr>
    <w:rPr>
      <w:szCs w:val="20"/>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Text1"/>
    <w:pPr>
      <w:numPr>
        <w:ilvl w:val="1"/>
        <w:numId w:val="26"/>
      </w:numPr>
      <w:spacing w:before="0" w:after="240"/>
    </w:pPr>
    <w:rPr>
      <w:szCs w:val="20"/>
    </w:rPr>
  </w:style>
  <w:style w:type="paragraph" w:customStyle="1" w:styleId="ListNumber2Level2">
    <w:name w:val="List Number 2 (Level 2)"/>
    <w:basedOn w:val="Text2"/>
    <w:pPr>
      <w:numPr>
        <w:ilvl w:val="1"/>
        <w:numId w:val="27"/>
      </w:numPr>
      <w:spacing w:before="0" w:after="240"/>
    </w:pPr>
    <w:rPr>
      <w:szCs w:val="20"/>
    </w:rPr>
  </w:style>
  <w:style w:type="paragraph" w:customStyle="1" w:styleId="ListNumber3Level2">
    <w:name w:val="List Number 3 (Level 2)"/>
    <w:basedOn w:val="Text3"/>
    <w:pPr>
      <w:numPr>
        <w:ilvl w:val="1"/>
        <w:numId w:val="28"/>
      </w:numPr>
      <w:spacing w:before="0" w:after="240"/>
    </w:pPr>
    <w:rPr>
      <w:szCs w:val="20"/>
    </w:rPr>
  </w:style>
  <w:style w:type="paragraph" w:customStyle="1" w:styleId="ListNumber4Level2">
    <w:name w:val="List Number 4 (Level 2)"/>
    <w:basedOn w:val="Text4"/>
    <w:pPr>
      <w:numPr>
        <w:ilvl w:val="1"/>
        <w:numId w:val="29"/>
      </w:numPr>
      <w:spacing w:before="0" w:after="240"/>
    </w:pPr>
    <w:rPr>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Text1"/>
    <w:pPr>
      <w:numPr>
        <w:ilvl w:val="2"/>
        <w:numId w:val="26"/>
      </w:numPr>
      <w:spacing w:before="0" w:after="240"/>
    </w:pPr>
    <w:rPr>
      <w:szCs w:val="20"/>
    </w:rPr>
  </w:style>
  <w:style w:type="paragraph" w:customStyle="1" w:styleId="ListNumber2Level3">
    <w:name w:val="List Number 2 (Level 3)"/>
    <w:basedOn w:val="Text2"/>
    <w:pPr>
      <w:numPr>
        <w:ilvl w:val="2"/>
        <w:numId w:val="27"/>
      </w:numPr>
      <w:spacing w:before="0" w:after="240"/>
    </w:pPr>
    <w:rPr>
      <w:szCs w:val="20"/>
    </w:rPr>
  </w:style>
  <w:style w:type="paragraph" w:customStyle="1" w:styleId="ListNumber3Level3">
    <w:name w:val="List Number 3 (Level 3)"/>
    <w:basedOn w:val="Text3"/>
    <w:pPr>
      <w:numPr>
        <w:ilvl w:val="2"/>
        <w:numId w:val="28"/>
      </w:numPr>
      <w:spacing w:before="0" w:after="240"/>
    </w:pPr>
    <w:rPr>
      <w:szCs w:val="20"/>
    </w:rPr>
  </w:style>
  <w:style w:type="paragraph" w:customStyle="1" w:styleId="ListNumber4Level3">
    <w:name w:val="List Number 4 (Level 3)"/>
    <w:basedOn w:val="Text4"/>
    <w:pPr>
      <w:numPr>
        <w:ilvl w:val="2"/>
        <w:numId w:val="29"/>
      </w:numPr>
      <w:spacing w:before="0" w:after="240"/>
    </w:pPr>
    <w:rPr>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Text1"/>
    <w:pPr>
      <w:numPr>
        <w:ilvl w:val="3"/>
        <w:numId w:val="26"/>
      </w:numPr>
      <w:spacing w:before="0" w:after="240"/>
    </w:pPr>
    <w:rPr>
      <w:szCs w:val="20"/>
    </w:rPr>
  </w:style>
  <w:style w:type="paragraph" w:customStyle="1" w:styleId="ListNumber2Level4">
    <w:name w:val="List Number 2 (Level 4)"/>
    <w:basedOn w:val="Text2"/>
    <w:pPr>
      <w:numPr>
        <w:ilvl w:val="3"/>
        <w:numId w:val="27"/>
      </w:numPr>
      <w:spacing w:before="0" w:after="240"/>
    </w:pPr>
    <w:rPr>
      <w:szCs w:val="20"/>
    </w:rPr>
  </w:style>
  <w:style w:type="paragraph" w:customStyle="1" w:styleId="ListNumber3Level4">
    <w:name w:val="List Number 3 (Level 4)"/>
    <w:basedOn w:val="Text3"/>
    <w:pPr>
      <w:numPr>
        <w:ilvl w:val="3"/>
        <w:numId w:val="28"/>
      </w:numPr>
      <w:spacing w:before="0" w:after="240"/>
    </w:pPr>
    <w:rPr>
      <w:szCs w:val="20"/>
    </w:rPr>
  </w:style>
  <w:style w:type="paragraph" w:customStyle="1" w:styleId="ListNumber4Level4">
    <w:name w:val="List Number 4 (Level 4)"/>
    <w:basedOn w:val="Text4"/>
    <w:pPr>
      <w:numPr>
        <w:ilvl w:val="3"/>
        <w:numId w:val="29"/>
      </w:numPr>
      <w:spacing w:before="0" w:after="240"/>
    </w:pPr>
    <w:rPr>
      <w:szCs w:val="20"/>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vertAlign w:val="superscript"/>
    </w:rPr>
  </w:style>
  <w:style w:type="paragraph" w:customStyle="1" w:styleId="AARHeading11">
    <w:name w:val="AAR Heading 1 (1.)"/>
    <w:basedOn w:val="Heading1"/>
    <w:next w:val="Normal"/>
    <w:pPr>
      <w:pageBreakBefore/>
      <w:widowControl w:val="0"/>
      <w:numPr>
        <w:numId w:val="31"/>
      </w:numPr>
      <w:autoSpaceDE w:val="0"/>
      <w:autoSpaceDN w:val="0"/>
      <w:adjustRightInd w:val="0"/>
      <w:spacing w:before="0" w:after="240"/>
    </w:pPr>
    <w:rPr>
      <w:rFonts w:ascii="Verdana" w:hAnsi="Verdana" w:cs="Times New Roman Bold"/>
      <w:caps/>
      <w:smallCaps w:val="0"/>
      <w:color w:val="004494"/>
      <w:sz w:val="32"/>
      <w:szCs w:val="44"/>
    </w:rPr>
  </w:style>
  <w:style w:type="paragraph" w:customStyle="1" w:styleId="AARHeading211">
    <w:name w:val="AAR Heading 2 (1.1)"/>
    <w:basedOn w:val="Heading2"/>
    <w:next w:val="Normal"/>
    <w:pPr>
      <w:widowControl w:val="0"/>
      <w:numPr>
        <w:numId w:val="31"/>
      </w:numPr>
      <w:autoSpaceDE w:val="0"/>
      <w:autoSpaceDN w:val="0"/>
      <w:adjustRightInd w:val="0"/>
      <w:spacing w:after="240"/>
    </w:pPr>
    <w:rPr>
      <w:rFonts w:ascii="Verdana" w:eastAsia="Calibri" w:hAnsi="Verdana"/>
      <w:color w:val="2681B4"/>
      <w:sz w:val="28"/>
    </w:rPr>
  </w:style>
  <w:style w:type="paragraph" w:customStyle="1" w:styleId="AARHeading3111">
    <w:name w:val="AAR Heading 3 (1.1.1)"/>
    <w:basedOn w:val="AARHeading211"/>
    <w:next w:val="Normal"/>
    <w:pPr>
      <w:numPr>
        <w:ilvl w:val="2"/>
      </w:numPr>
    </w:pPr>
  </w:style>
  <w:style w:type="paragraph" w:customStyle="1" w:styleId="Footerapproval">
    <w:name w:val="Footer approval"/>
    <w:basedOn w:val="Footer"/>
    <w:pPr>
      <w:tabs>
        <w:tab w:val="clear" w:pos="4535"/>
        <w:tab w:val="clear" w:pos="9071"/>
        <w:tab w:val="left" w:pos="6804"/>
      </w:tabs>
      <w:ind w:right="-567"/>
    </w:pPr>
    <w:rPr>
      <w:rFonts w:ascii="Verdana" w:eastAsia="Times New Roman" w:hAnsi="Verdana"/>
      <w:sz w:val="13"/>
      <w:szCs w:val="20"/>
    </w:rPr>
  </w:style>
  <w:style w:type="paragraph" w:customStyle="1" w:styleId="FooterDate">
    <w:name w:val="Footer Date"/>
    <w:basedOn w:val="Footer"/>
    <w:link w:val="FooterDateChar"/>
    <w:pPr>
      <w:tabs>
        <w:tab w:val="clear" w:pos="4535"/>
        <w:tab w:val="clear" w:pos="9071"/>
        <w:tab w:val="right" w:pos="9240"/>
      </w:tabs>
      <w:ind w:right="-567"/>
    </w:pPr>
    <w:rPr>
      <w:rFonts w:ascii="Verdana" w:eastAsia="Times New Roman" w:hAnsi="Verdana"/>
      <w:sz w:val="16"/>
      <w:szCs w:val="20"/>
    </w:rPr>
  </w:style>
  <w:style w:type="character" w:customStyle="1" w:styleId="FooterDateChar">
    <w:name w:val="Footer Date Char"/>
    <w:link w:val="FooterDate"/>
    <w:rPr>
      <w:rFonts w:ascii="Verdana" w:eastAsia="Times New Roman" w:hAnsi="Verdana" w:cs="Times New Roman"/>
      <w:sz w:val="16"/>
      <w:szCs w:val="20"/>
      <w:lang w:val="de-DE" w:eastAsia="de-DE"/>
    </w:rPr>
  </w:style>
  <w:style w:type="paragraph" w:customStyle="1" w:styleId="ECHOHeading1">
    <w:name w:val="ECHO Heading 1"/>
    <w:basedOn w:val="ManualHeading1"/>
    <w:link w:val="ECHOHeading1Char"/>
    <w:qFormat/>
    <w:pPr>
      <w:spacing w:after="360"/>
      <w:ind w:left="851" w:hanging="851"/>
      <w:jc w:val="left"/>
    </w:pPr>
    <w:rPr>
      <w:rFonts w:ascii="Verdana" w:hAnsi="Verdana"/>
      <w:color w:val="4F81BD"/>
      <w:sz w:val="32"/>
      <w:szCs w:val="28"/>
    </w:rPr>
  </w:style>
  <w:style w:type="paragraph" w:customStyle="1" w:styleId="ECHOContent">
    <w:name w:val="ECHO Content"/>
    <w:basedOn w:val="Normal"/>
    <w:link w:val="ECHOContentChar"/>
    <w:qFormat/>
    <w:pPr>
      <w:spacing w:after="240"/>
      <w:jc w:val="both"/>
    </w:pPr>
    <w:rPr>
      <w:rFonts w:ascii="Verdana" w:eastAsia="Times New Roman" w:hAnsi="Verdana"/>
      <w:sz w:val="20"/>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4"/>
    </w:rPr>
  </w:style>
  <w:style w:type="character" w:customStyle="1" w:styleId="ECHOHeading1Char">
    <w:name w:val="ECHO Heading 1 Char"/>
    <w:link w:val="ECHOHeading1"/>
    <w:rPr>
      <w:rFonts w:ascii="Verdana" w:eastAsia="Times New Roman" w:hAnsi="Verdana" w:cs="Times New Roman"/>
      <w:b/>
      <w:smallCaps/>
      <w:color w:val="4F81BD"/>
      <w:sz w:val="32"/>
      <w:szCs w:val="28"/>
    </w:rPr>
  </w:style>
  <w:style w:type="paragraph" w:customStyle="1" w:styleId="ECHOContentList">
    <w:name w:val="ECHO Content List"/>
    <w:basedOn w:val="Normal"/>
    <w:link w:val="ECHOContentListChar"/>
    <w:qFormat/>
    <w:pPr>
      <w:numPr>
        <w:numId w:val="30"/>
      </w:numPr>
      <w:spacing w:after="240"/>
      <w:jc w:val="both"/>
    </w:pPr>
    <w:rPr>
      <w:rFonts w:ascii="Verdana" w:eastAsia="Times New Roman" w:hAnsi="Verdana"/>
      <w:sz w:val="20"/>
      <w:szCs w:val="20"/>
    </w:rPr>
  </w:style>
  <w:style w:type="character" w:customStyle="1" w:styleId="ECHOContentChar">
    <w:name w:val="ECHO Content Char"/>
    <w:link w:val="ECHOContent"/>
    <w:rPr>
      <w:rFonts w:ascii="Verdana" w:eastAsia="Times New Roman" w:hAnsi="Verdana" w:cs="Times New Roman"/>
      <w:sz w:val="20"/>
      <w:szCs w:val="20"/>
    </w:rPr>
  </w:style>
  <w:style w:type="paragraph" w:customStyle="1" w:styleId="ECHOContentEmphasis">
    <w:name w:val="ECHO Content Emphasis"/>
    <w:basedOn w:val="ECHOContent"/>
    <w:link w:val="ECHOContentEmphasisChar"/>
    <w:qFormat/>
    <w:rPr>
      <w:b/>
      <w:color w:val="4F81BD"/>
    </w:rPr>
  </w:style>
  <w:style w:type="character" w:customStyle="1" w:styleId="ECHOContentListChar">
    <w:name w:val="ECHO Content List Char"/>
    <w:link w:val="ECHOContentList"/>
    <w:rPr>
      <w:rFonts w:ascii="Verdana" w:eastAsia="Times New Roman" w:hAnsi="Verdana"/>
      <w:lang w:eastAsia="de-DE"/>
    </w:rPr>
  </w:style>
  <w:style w:type="paragraph" w:customStyle="1" w:styleId="Footernotes">
    <w:name w:val="Footer notes"/>
    <w:basedOn w:val="FootnoteText"/>
    <w:link w:val="FooternotesChar"/>
    <w:qFormat/>
    <w:rPr>
      <w:rFonts w:ascii="Verdana" w:hAnsi="Verdana"/>
      <w:color w:val="595959"/>
      <w:sz w:val="16"/>
      <w:szCs w:val="16"/>
    </w:rPr>
  </w:style>
  <w:style w:type="character" w:customStyle="1" w:styleId="ECHOContentEmphasisChar">
    <w:name w:val="ECHO Content Emphasis Char"/>
    <w:link w:val="ECHOContentEmphasis"/>
    <w:rPr>
      <w:rFonts w:ascii="Verdana" w:eastAsia="Times New Roman" w:hAnsi="Verdana" w:cs="Times New Roman"/>
      <w:b/>
      <w:color w:val="4F81BD"/>
      <w:sz w:val="20"/>
      <w:szCs w:val="20"/>
    </w:rPr>
  </w:style>
  <w:style w:type="paragraph" w:customStyle="1" w:styleId="ECHOHeading2">
    <w:name w:val="ECHO Heading 2"/>
    <w:basedOn w:val="Normal"/>
    <w:link w:val="ECHOHeading2Char"/>
    <w:qFormat/>
    <w:pPr>
      <w:spacing w:before="120" w:after="240" w:line="240" w:lineRule="auto"/>
      <w:jc w:val="both"/>
    </w:pPr>
    <w:rPr>
      <w:rFonts w:ascii="Verdana" w:eastAsia="Times New Roman" w:hAnsi="Verdana"/>
      <w:b/>
      <w:color w:val="4F81BD"/>
      <w:sz w:val="28"/>
      <w:szCs w:val="24"/>
    </w:rPr>
  </w:style>
  <w:style w:type="character" w:customStyle="1" w:styleId="FootnoteTextChar2">
    <w:name w:val="Footnote Text Char2"/>
    <w:link w:val="FootnoteText"/>
    <w:rPr>
      <w:rFonts w:ascii="Times New Roman" w:eastAsia="Times New Roman" w:hAnsi="Times New Roman" w:cs="Times New Roman"/>
      <w:sz w:val="20"/>
      <w:szCs w:val="20"/>
    </w:rPr>
  </w:style>
  <w:style w:type="character" w:customStyle="1" w:styleId="FooternotesChar">
    <w:name w:val="Footer notes Char"/>
    <w:link w:val="Footernotes"/>
    <w:rPr>
      <w:rFonts w:ascii="Verdana" w:eastAsia="Times New Roman" w:hAnsi="Verdana" w:cs="Times New Roman"/>
      <w:color w:val="595959"/>
      <w:sz w:val="16"/>
      <w:szCs w:val="16"/>
    </w:rPr>
  </w:style>
  <w:style w:type="paragraph" w:customStyle="1" w:styleId="ECHOHeading3">
    <w:name w:val="ECHO Heading 3"/>
    <w:basedOn w:val="Normal"/>
    <w:link w:val="ECHOHeading3Char"/>
    <w:qFormat/>
    <w:pPr>
      <w:spacing w:before="120" w:after="240" w:line="240" w:lineRule="auto"/>
      <w:jc w:val="both"/>
    </w:pPr>
    <w:rPr>
      <w:rFonts w:ascii="Verdana" w:eastAsia="Times New Roman" w:hAnsi="Verdana"/>
      <w:b/>
      <w:color w:val="595959"/>
      <w:sz w:val="24"/>
      <w:szCs w:val="24"/>
    </w:rPr>
  </w:style>
  <w:style w:type="character" w:customStyle="1" w:styleId="ECHOHeading2Char">
    <w:name w:val="ECHO Heading 2 Char"/>
    <w:link w:val="ECHOHeading2"/>
    <w:rPr>
      <w:rFonts w:ascii="Verdana" w:eastAsia="Times New Roman" w:hAnsi="Verdana" w:cs="Times New Roman"/>
      <w:b/>
      <w:color w:val="4F81BD"/>
      <w:sz w:val="28"/>
      <w:szCs w:val="24"/>
    </w:rPr>
  </w:style>
  <w:style w:type="table" w:styleId="MediumShading1-Accent5">
    <w:name w:val="Medium Shading 1 Accent 5"/>
    <w:basedOn w:val="TableNormal"/>
    <w:uiPriority w:val="63"/>
    <w:rPr>
      <w:rFonts w:ascii="Times New Roman" w:eastAsia="Times New Roman" w:hAnsi="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ECHOHeading3Char">
    <w:name w:val="ECHO Heading 3 Char"/>
    <w:link w:val="ECHOHeading3"/>
    <w:rPr>
      <w:rFonts w:ascii="Verdana" w:eastAsia="Times New Roman" w:hAnsi="Verdana" w:cs="Times New Roman"/>
      <w:b/>
      <w:color w:val="595959"/>
      <w:sz w:val="24"/>
      <w:szCs w:val="24"/>
    </w:rPr>
  </w:style>
  <w:style w:type="table" w:styleId="MediumList1-Accent1">
    <w:name w:val="Medium List 1 Accent 1"/>
    <w:basedOn w:val="TableNormal"/>
    <w:uiPriority w:val="65"/>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ColorfulGrid-Accent1">
    <w:name w:val="Colorful Grid Accent 1"/>
    <w:basedOn w:val="TableNormal"/>
    <w:uiPriority w:val="73"/>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1-Accent1">
    <w:name w:val="Medium Shading 1 Accent 1"/>
    <w:basedOn w:val="TableNormal"/>
    <w:uiPriority w:val="63"/>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pPr>
      <w:keepNext/>
      <w:spacing w:before="360" w:after="120" w:line="240" w:lineRule="auto"/>
      <w:ind w:hanging="850"/>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pPr>
      <w:keepNext/>
      <w:numPr>
        <w:ilvl w:val="1"/>
        <w:numId w:val="7"/>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pPr>
      <w:keepNext/>
      <w:numPr>
        <w:ilvl w:val="2"/>
        <w:numId w:val="7"/>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pPr>
      <w:keepNext/>
      <w:numPr>
        <w:ilvl w:val="3"/>
        <w:numId w:val="7"/>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semiHidden/>
    <w:unhideWhenUsed/>
    <w:qFormat/>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Cs/>
      <w:sz w:val="24"/>
      <w:szCs w:val="28"/>
      <w:lang w:eastAsia="de-DE"/>
    </w:rPr>
  </w:style>
  <w:style w:type="character" w:customStyle="1" w:styleId="Heading3Char">
    <w:name w:val="Heading 3 Char"/>
    <w:link w:val="Heading3"/>
    <w:rPr>
      <w:rFonts w:ascii="Times New Roman" w:eastAsia="Times New Roman" w:hAnsi="Times New Roman"/>
      <w:bCs/>
      <w:i/>
      <w:sz w:val="24"/>
      <w:szCs w:val="26"/>
      <w:lang w:eastAsia="de-DE"/>
    </w:rPr>
  </w:style>
  <w:style w:type="character" w:customStyle="1" w:styleId="Heading4Char">
    <w:name w:val="Heading 4 Char"/>
    <w:link w:val="Heading4"/>
    <w:rPr>
      <w:rFonts w:ascii="Times New Roman" w:eastAsia="Times New Roman" w:hAnsi="Times New Roman"/>
      <w:bCs/>
      <w:sz w:val="24"/>
      <w:szCs w:val="28"/>
      <w:lang w:eastAsia="de-DE"/>
    </w:rPr>
  </w:style>
  <w:style w:type="character" w:customStyle="1" w:styleId="Heading5Char">
    <w:name w:val="Heading 5 Char"/>
    <w:link w:val="Heading5"/>
    <w:uiPriority w:val="9"/>
    <w:semiHidden/>
    <w:rPr>
      <w:rFonts w:ascii="Cambria" w:eastAsia="Times New Roman" w:hAnsi="Cambria" w:cs="Times New Roman"/>
      <w:b/>
      <w:bCs/>
      <w:color w:val="7F7F7F"/>
      <w:lang w:eastAsia="de-DE"/>
    </w:rPr>
  </w:style>
  <w:style w:type="character" w:customStyle="1" w:styleId="Heading6Char">
    <w:name w:val="Heading 6 Char"/>
    <w:link w:val="Heading6"/>
    <w:uiPriority w:val="9"/>
    <w:semiHidden/>
    <w:rPr>
      <w:rFonts w:ascii="Cambria" w:eastAsia="Times New Roman" w:hAnsi="Cambria" w:cs="Times New Roman"/>
      <w:b/>
      <w:bCs/>
      <w:i/>
      <w:iCs/>
      <w:color w:val="7F7F7F"/>
      <w:lang w:eastAsia="de-DE"/>
    </w:rPr>
  </w:style>
  <w:style w:type="character" w:customStyle="1" w:styleId="Heading7Char">
    <w:name w:val="Heading 7 Char"/>
    <w:link w:val="Heading7"/>
    <w:uiPriority w:val="9"/>
    <w:semiHidden/>
    <w:rPr>
      <w:rFonts w:ascii="Cambria" w:eastAsia="Times New Roman" w:hAnsi="Cambria" w:cs="Times New Roman"/>
      <w:i/>
      <w:iCs/>
      <w:lang w:eastAsia="de-DE"/>
    </w:rPr>
  </w:style>
  <w:style w:type="character" w:customStyle="1" w:styleId="Heading8Char">
    <w:name w:val="Heading 8 Char"/>
    <w:link w:val="Heading8"/>
    <w:uiPriority w:val="9"/>
    <w:semiHidden/>
    <w:rPr>
      <w:rFonts w:ascii="Cambria" w:eastAsia="Times New Roman" w:hAnsi="Cambria" w:cs="Times New Roman"/>
      <w:sz w:val="20"/>
      <w:szCs w:val="20"/>
      <w:lang w:eastAsia="de-DE"/>
    </w:rPr>
  </w:style>
  <w:style w:type="character" w:customStyle="1" w:styleId="Heading9Char">
    <w:name w:val="Heading 9 Char"/>
    <w:link w:val="Heading9"/>
    <w:uiPriority w:val="9"/>
    <w:semiHidden/>
    <w:rPr>
      <w:rFonts w:ascii="Cambria" w:eastAsia="Times New Roman" w:hAnsi="Cambria" w:cs="Times New Roman"/>
      <w:i/>
      <w:iCs/>
      <w:spacing w:val="5"/>
      <w:sz w:val="20"/>
      <w:szCs w:val="20"/>
      <w:lang w:eastAsia="de-DE"/>
    </w:rPr>
  </w:style>
  <w:style w:type="paragraph" w:customStyle="1" w:styleId="Accompagnant">
    <w:name w:val="Accompagnant"/>
    <w:basedOn w:val="Normal"/>
    <w:next w:val="Normal"/>
    <w:pPr>
      <w:spacing w:after="240" w:line="240" w:lineRule="auto"/>
      <w:jc w:val="center"/>
    </w:pPr>
    <w:rPr>
      <w:rFonts w:ascii="Times New Roman" w:eastAsia="Times New Roman" w:hAnsi="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 Exposant 3 Poi,Ref"/>
    <w:link w:val="Nota"/>
    <w:qFormat/>
    <w:rPr>
      <w:vertAlign w:val="superscript"/>
    </w:rPr>
  </w:style>
  <w:style w:type="paragraph" w:styleId="FootnoteText">
    <w:name w:val="footnote text"/>
    <w:basedOn w:val="Normal"/>
    <w:link w:val="FootnoteTextChar2"/>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Text Char1 Char Char Char Char Char Char"/>
    <w:rPr>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ManualHeading1">
    <w:name w:val="Manual Heading 1"/>
    <w:basedOn w:val="Normal"/>
    <w:next w:val="Normal"/>
    <w:link w:val="ManualHeading1Char"/>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lang w:val="de-DE" w:eastAsia="de-DE"/>
    </w:rPr>
  </w:style>
  <w:style w:type="paragraph" w:customStyle="1" w:styleId="References">
    <w:name w:val="References"/>
    <w:basedOn w:val="Normal"/>
    <w:next w:val="Normal"/>
    <w:pPr>
      <w:spacing w:after="240" w:line="240" w:lineRule="auto"/>
      <w:ind w:left="5103"/>
    </w:pPr>
    <w:rPr>
      <w:rFonts w:ascii="Times New Roman" w:eastAsia="Times New Roman" w:hAnsi="Times New Roman"/>
      <w:sz w:val="20"/>
      <w:szCs w:val="20"/>
    </w:rPr>
  </w:style>
  <w:style w:type="character" w:styleId="Hyperlink">
    <w:name w:val="Hyperlink"/>
    <w:uiPriority w:val="99"/>
    <w:rPr>
      <w:rFonts w:ascii="Verdana" w:hAnsi="Verdana"/>
      <w:color w:val="0000FF"/>
      <w:sz w:val="20"/>
      <w:u w:val="single"/>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ft Char"/>
    <w:rPr>
      <w:rFonts w:ascii="Verdana" w:eastAsia="Times New Roman" w:hAnsi="Verdana"/>
      <w:sz w:val="16"/>
    </w:rPr>
  </w:style>
  <w:style w:type="paragraph" w:customStyle="1" w:styleId="ListDash">
    <w:name w:val="List Dash"/>
    <w:basedOn w:val="Normal"/>
    <w:pPr>
      <w:numPr>
        <w:numId w:val="20"/>
      </w:numPr>
      <w:spacing w:after="240" w:line="240" w:lineRule="auto"/>
      <w:jc w:val="both"/>
    </w:pPr>
    <w:rPr>
      <w:rFonts w:ascii="Times New Roman" w:eastAsia="Times New Roman" w:hAnsi="Times New Roman"/>
      <w:sz w:val="24"/>
      <w:szCs w:val="20"/>
    </w:rPr>
  </w:style>
  <w:style w:type="paragraph" w:styleId="ListBullet">
    <w:name w:val="List Bullet"/>
    <w:basedOn w:val="Normal"/>
    <w:pPr>
      <w:numPr>
        <w:numId w:val="15"/>
      </w:numPr>
      <w:spacing w:after="240" w:line="240" w:lineRule="auto"/>
      <w:jc w:val="both"/>
    </w:pPr>
    <w:rPr>
      <w:rFonts w:ascii="Times New Roman" w:eastAsia="Times New Roman" w:hAnsi="Times New Roman"/>
      <w:sz w:val="24"/>
      <w:szCs w:val="20"/>
    </w:rPr>
  </w:style>
  <w:style w:type="character" w:styleId="Strong">
    <w:name w:val="Strong"/>
    <w:uiPriority w:val="22"/>
    <w:qFormat/>
    <w:rPr>
      <w:b/>
      <w:bCs/>
    </w:rPr>
  </w:style>
  <w:style w:type="paragraph" w:customStyle="1" w:styleId="Default">
    <w:name w:val="Default"/>
    <w:pPr>
      <w:autoSpaceDE w:val="0"/>
      <w:autoSpaceDN w:val="0"/>
      <w:adjustRightInd w:val="0"/>
      <w:spacing w:after="200" w:line="276" w:lineRule="auto"/>
    </w:pPr>
    <w:rPr>
      <w:rFonts w:ascii="Times New Roman" w:eastAsia="Times New Roman" w:hAnsi="Times New Roman"/>
      <w:color w:val="000000"/>
      <w:sz w:val="24"/>
      <w:szCs w:val="24"/>
    </w:rPr>
  </w:style>
  <w:style w:type="paragraph" w:styleId="BalloonText">
    <w:name w:val="Balloon Text"/>
    <w:basedOn w:val="Normal"/>
    <w:link w:val="BalloonTextChar"/>
    <w:uiPriority w:val="99"/>
    <w:unhideWhenUsed/>
    <w:pPr>
      <w:spacing w:after="0" w:line="240" w:lineRule="auto"/>
    </w:pPr>
    <w:rPr>
      <w:rFonts w:ascii="Tahoma" w:eastAsia="Times New Roman" w:hAnsi="Tahoma"/>
      <w:sz w:val="16"/>
      <w:szCs w:val="16"/>
    </w:rPr>
  </w:style>
  <w:style w:type="character" w:customStyle="1" w:styleId="BalloonTextChar">
    <w:name w:val="Balloon Text Char"/>
    <w:link w:val="BalloonText"/>
    <w:uiPriority w:val="99"/>
    <w:rPr>
      <w:rFonts w:ascii="Tahoma" w:eastAsia="Times New Roman" w:hAnsi="Tahoma" w:cs="Times New Roman"/>
      <w:sz w:val="16"/>
      <w:szCs w:val="16"/>
      <w:lang w:val="de-DE" w:eastAsia="de-DE"/>
    </w:r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rPr>
  </w:style>
  <w:style w:type="character" w:customStyle="1" w:styleId="bold-about1">
    <w:name w:val="bold-about1"/>
    <w:rPr>
      <w:b/>
      <w:bCs/>
      <w:color w:val="A1620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link w:val="CommentText"/>
    <w:uiPriority w:val="99"/>
    <w:rPr>
      <w:rFonts w:ascii="Calibri" w:eastAsia="Times New Roman" w:hAnsi="Calibri" w:cs="Times New Roman"/>
      <w:sz w:val="20"/>
      <w:szCs w:val="20"/>
      <w:lang w:val="de-DE" w:eastAsia="de-DE"/>
    </w:rPr>
  </w:style>
  <w:style w:type="character" w:customStyle="1" w:styleId="st1">
    <w:name w:val="st1"/>
  </w:style>
  <w:style w:type="paragraph" w:customStyle="1" w:styleId="BodyBulletpoints">
    <w:name w:val="Body Bullet points"/>
    <w:basedOn w:val="Normal"/>
    <w:link w:val="BodyBulletpointsChar"/>
    <w:autoRedefine/>
    <w:uiPriority w:val="99"/>
    <w:pPr>
      <w:autoSpaceDE w:val="0"/>
      <w:autoSpaceDN w:val="0"/>
      <w:adjustRightInd w:val="0"/>
      <w:spacing w:after="0" w:line="240" w:lineRule="auto"/>
      <w:ind w:left="1"/>
      <w:jc w:val="both"/>
    </w:pPr>
    <w:rPr>
      <w:rFonts w:ascii="Verdana" w:eastAsia="Times New Roman" w:hAnsi="Verdana"/>
      <w:color w:val="000000"/>
      <w:sz w:val="20"/>
      <w:szCs w:val="20"/>
    </w:rPr>
  </w:style>
  <w:style w:type="character" w:customStyle="1" w:styleId="BodyBulletpointsChar">
    <w:name w:val="Body Bullet points Char"/>
    <w:link w:val="BodyBulletpoints"/>
    <w:uiPriority w:val="99"/>
    <w:locked/>
    <w:rPr>
      <w:rFonts w:ascii="Verdana" w:eastAsia="Times New Roman" w:hAnsi="Verdana" w:cs="Times New Roman"/>
      <w:color w:val="000000"/>
      <w:sz w:val="20"/>
      <w:szCs w:val="20"/>
      <w:lang w:eastAsia="de-DE"/>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ascii="Calibri" w:eastAsia="Times New Roman" w:hAnsi="Calibri" w:cs="Times New Roman"/>
      <w:b/>
      <w:bCs/>
      <w:sz w:val="20"/>
      <w:szCs w:val="20"/>
      <w:lang w:val="de-DE" w:eastAsia="de-D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200" w:line="276" w:lineRule="auto"/>
    </w:pPr>
    <w:rPr>
      <w:rFonts w:eastAsia="Times New Roman"/>
      <w:sz w:val="22"/>
      <w:szCs w:val="22"/>
    </w:rPr>
  </w:style>
  <w:style w:type="character" w:customStyle="1" w:styleId="FootnoteTextChar1CharChar1">
    <w:name w:val="Footnote Text Char1 Char Char1"/>
    <w:aliases w:val="Footnote Text Char Char Char Char1,Footnote Text Char1 Char Char Char Char1,Footnote Text Char Char Char Char Char Char1,Footnote Text Char1 Char1 Char Char1,Footnote Text Char Char Char1 Char Char1"/>
    <w:uiPriority w:val="99"/>
    <w:locked/>
    <w:rPr>
      <w:lang w:eastAsia="de-DE"/>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Title">
    <w:name w:val="Title"/>
    <w:basedOn w:val="Normal"/>
    <w:next w:val="Normal"/>
    <w:link w:val="TitleChar"/>
    <w:uiPriority w:val="1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Pr>
      <w:rFonts w:ascii="Cambria" w:eastAsia="Times New Roman" w:hAnsi="Cambria" w:cs="Times New Roman"/>
      <w:spacing w:val="5"/>
      <w:sz w:val="52"/>
      <w:szCs w:val="52"/>
      <w:lang w:eastAsia="de-DE"/>
    </w:rPr>
  </w:style>
  <w:style w:type="paragraph" w:styleId="Subtitle">
    <w:name w:val="Subtitle"/>
    <w:basedOn w:val="Normal"/>
    <w:next w:val="Normal"/>
    <w:link w:val="SubtitleChar"/>
    <w:uiPriority w:val="11"/>
    <w:pPr>
      <w:spacing w:after="600"/>
    </w:pPr>
    <w:rPr>
      <w:rFonts w:ascii="Cambria" w:eastAsia="Times New Roman" w:hAnsi="Cambria"/>
      <w:i/>
      <w:iCs/>
      <w:spacing w:val="13"/>
      <w:sz w:val="24"/>
      <w:szCs w:val="24"/>
    </w:rPr>
  </w:style>
  <w:style w:type="character" w:customStyle="1" w:styleId="SubtitleChar">
    <w:name w:val="Subtitle Char"/>
    <w:link w:val="Subtitle"/>
    <w:uiPriority w:val="11"/>
    <w:rPr>
      <w:rFonts w:ascii="Cambria" w:eastAsia="Times New Roman" w:hAnsi="Cambria" w:cs="Times New Roman"/>
      <w:i/>
      <w:iCs/>
      <w:spacing w:val="13"/>
      <w:sz w:val="24"/>
      <w:szCs w:val="24"/>
      <w:lang w:eastAsia="de-DE"/>
    </w:rPr>
  </w:style>
  <w:style w:type="character" w:styleId="Emphasis">
    <w:name w:val="Emphasis"/>
    <w:uiPriority w:val="20"/>
    <w:rPr>
      <w:b/>
      <w:bCs/>
      <w:i/>
      <w:iCs/>
      <w:spacing w:val="10"/>
      <w:bdr w:val="none" w:sz="0" w:space="0" w:color="auto"/>
      <w:shd w:val="clear" w:color="auto" w:fill="auto"/>
    </w:rPr>
  </w:style>
  <w:style w:type="paragraph" w:styleId="NoSpacing">
    <w:name w:val="No Spacing"/>
    <w:basedOn w:val="Normal"/>
    <w:uiPriority w:val="1"/>
    <w:pPr>
      <w:spacing w:after="0" w:line="240" w:lineRule="auto"/>
    </w:pPr>
    <w:rPr>
      <w:rFonts w:eastAsia="Times New Roman"/>
    </w:rPr>
  </w:style>
  <w:style w:type="paragraph" w:styleId="ListParagraph">
    <w:name w:val="List Paragraph"/>
    <w:basedOn w:val="Normal"/>
    <w:uiPriority w:val="34"/>
    <w:qFormat/>
    <w:pPr>
      <w:ind w:left="720"/>
      <w:contextualSpacing/>
    </w:pPr>
    <w:rPr>
      <w:rFonts w:eastAsia="Times New Roman"/>
    </w:rPr>
  </w:style>
  <w:style w:type="paragraph" w:styleId="Quote">
    <w:name w:val="Quote"/>
    <w:basedOn w:val="Normal"/>
    <w:next w:val="Normal"/>
    <w:link w:val="QuoteChar"/>
    <w:uiPriority w:val="29"/>
    <w:pPr>
      <w:spacing w:before="200" w:after="0"/>
      <w:ind w:left="360" w:right="360"/>
    </w:pPr>
    <w:rPr>
      <w:rFonts w:eastAsia="Times New Roman"/>
      <w:i/>
      <w:iCs/>
    </w:rPr>
  </w:style>
  <w:style w:type="character" w:customStyle="1" w:styleId="QuoteChar">
    <w:name w:val="Quote Char"/>
    <w:link w:val="Quote"/>
    <w:uiPriority w:val="29"/>
    <w:rPr>
      <w:rFonts w:ascii="Calibri" w:eastAsia="Times New Roman" w:hAnsi="Calibri" w:cs="Times New Roman"/>
      <w:i/>
      <w:iCs/>
      <w:lang w:eastAsia="de-DE"/>
    </w:rPr>
  </w:style>
  <w:style w:type="paragraph" w:styleId="IntenseQuote">
    <w:name w:val="Intense Quote"/>
    <w:basedOn w:val="Normal"/>
    <w:next w:val="Normal"/>
    <w:link w:val="IntenseQuoteChar"/>
    <w:uiPriority w:val="30"/>
    <w:pPr>
      <w:pBdr>
        <w:bottom w:val="single" w:sz="4" w:space="1" w:color="auto"/>
      </w:pBdr>
      <w:spacing w:before="200" w:after="280"/>
      <w:ind w:left="1008" w:right="1152"/>
      <w:jc w:val="both"/>
    </w:pPr>
    <w:rPr>
      <w:rFonts w:eastAsia="Times New Roman"/>
      <w:b/>
      <w:bCs/>
      <w:i/>
      <w:iCs/>
    </w:rPr>
  </w:style>
  <w:style w:type="character" w:customStyle="1" w:styleId="IntenseQuoteChar">
    <w:name w:val="Intense Quote Char"/>
    <w:link w:val="IntenseQuote"/>
    <w:uiPriority w:val="30"/>
    <w:rPr>
      <w:rFonts w:ascii="Calibri" w:eastAsia="Times New Roman" w:hAnsi="Calibri" w:cs="Times New Roman"/>
      <w:b/>
      <w:bCs/>
      <w:i/>
      <w:iCs/>
      <w:lang w:eastAsia="de-DE"/>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customStyle="1" w:styleId="ListBullet1">
    <w:name w:val="List Bullet 1"/>
    <w:basedOn w:val="Text1"/>
    <w:pPr>
      <w:numPr>
        <w:numId w:val="16"/>
      </w:numPr>
      <w:spacing w:before="0" w:after="240"/>
    </w:pPr>
    <w:rPr>
      <w:szCs w:val="20"/>
    </w:rPr>
  </w:style>
  <w:style w:type="paragraph" w:styleId="ListBullet2">
    <w:name w:val="List Bullet 2"/>
    <w:basedOn w:val="Text2"/>
    <w:pPr>
      <w:numPr>
        <w:numId w:val="17"/>
      </w:numPr>
      <w:spacing w:before="0" w:after="240"/>
    </w:pPr>
    <w:rPr>
      <w:szCs w:val="20"/>
    </w:rPr>
  </w:style>
  <w:style w:type="paragraph" w:styleId="ListBullet3">
    <w:name w:val="List Bullet 3"/>
    <w:basedOn w:val="Text3"/>
    <w:pPr>
      <w:numPr>
        <w:numId w:val="18"/>
      </w:numPr>
      <w:spacing w:before="0" w:after="240"/>
    </w:pPr>
    <w:rPr>
      <w:szCs w:val="20"/>
    </w:rPr>
  </w:style>
  <w:style w:type="paragraph" w:styleId="ListBullet4">
    <w:name w:val="List Bullet 4"/>
    <w:basedOn w:val="Text4"/>
    <w:pPr>
      <w:numPr>
        <w:numId w:val="19"/>
      </w:numPr>
      <w:spacing w:before="0" w:after="240"/>
    </w:pPr>
    <w:rPr>
      <w:szCs w:val="20"/>
    </w:rPr>
  </w:style>
  <w:style w:type="paragraph" w:customStyle="1" w:styleId="ListDash1">
    <w:name w:val="List Dash 1"/>
    <w:basedOn w:val="Text1"/>
    <w:pPr>
      <w:numPr>
        <w:numId w:val="21"/>
      </w:numPr>
      <w:spacing w:before="0" w:after="240"/>
    </w:pPr>
    <w:rPr>
      <w:szCs w:val="20"/>
    </w:rPr>
  </w:style>
  <w:style w:type="paragraph" w:customStyle="1" w:styleId="ListDash2">
    <w:name w:val="List Dash 2"/>
    <w:basedOn w:val="Text2"/>
    <w:pPr>
      <w:numPr>
        <w:numId w:val="22"/>
      </w:numPr>
      <w:spacing w:before="0" w:after="240"/>
    </w:pPr>
    <w:rPr>
      <w:szCs w:val="20"/>
    </w:rPr>
  </w:style>
  <w:style w:type="paragraph" w:customStyle="1" w:styleId="ListDash3">
    <w:name w:val="List Dash 3"/>
    <w:basedOn w:val="Text3"/>
    <w:pPr>
      <w:numPr>
        <w:numId w:val="23"/>
      </w:numPr>
      <w:spacing w:before="0" w:after="240"/>
    </w:pPr>
    <w:rPr>
      <w:szCs w:val="20"/>
    </w:rPr>
  </w:style>
  <w:style w:type="paragraph" w:customStyle="1" w:styleId="ListDash4">
    <w:name w:val="List Dash 4"/>
    <w:basedOn w:val="Text4"/>
    <w:pPr>
      <w:numPr>
        <w:numId w:val="24"/>
      </w:numPr>
      <w:spacing w:before="0" w:after="240"/>
    </w:pPr>
    <w:rPr>
      <w:szCs w:val="20"/>
    </w:rPr>
  </w:style>
  <w:style w:type="paragraph" w:styleId="ListNumber">
    <w:name w:val="List Number"/>
    <w:basedOn w:val="Normal"/>
    <w:pPr>
      <w:numPr>
        <w:numId w:val="25"/>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pPr>
      <w:numPr>
        <w:numId w:val="26"/>
      </w:numPr>
      <w:spacing w:before="0" w:after="240"/>
    </w:pPr>
    <w:rPr>
      <w:szCs w:val="20"/>
    </w:rPr>
  </w:style>
  <w:style w:type="paragraph" w:styleId="ListNumber2">
    <w:name w:val="List Number 2"/>
    <w:basedOn w:val="Text2"/>
    <w:pPr>
      <w:numPr>
        <w:numId w:val="27"/>
      </w:numPr>
      <w:spacing w:before="0" w:after="240"/>
    </w:pPr>
    <w:rPr>
      <w:szCs w:val="20"/>
    </w:rPr>
  </w:style>
  <w:style w:type="paragraph" w:styleId="ListNumber3">
    <w:name w:val="List Number 3"/>
    <w:basedOn w:val="Text3"/>
    <w:pPr>
      <w:numPr>
        <w:numId w:val="28"/>
      </w:numPr>
      <w:spacing w:before="0" w:after="240"/>
    </w:pPr>
    <w:rPr>
      <w:szCs w:val="20"/>
    </w:rPr>
  </w:style>
  <w:style w:type="paragraph" w:styleId="ListNumber4">
    <w:name w:val="List Number 4"/>
    <w:basedOn w:val="Text4"/>
    <w:pPr>
      <w:numPr>
        <w:numId w:val="29"/>
      </w:numPr>
      <w:spacing w:before="0" w:after="240"/>
    </w:pPr>
    <w:rPr>
      <w:szCs w:val="20"/>
    </w:rPr>
  </w:style>
  <w:style w:type="paragraph" w:customStyle="1" w:styleId="ListNumberLevel2">
    <w:name w:val="List Number (Level 2)"/>
    <w:basedOn w:val="Normal"/>
    <w:pPr>
      <w:numPr>
        <w:ilvl w:val="1"/>
        <w:numId w:val="25"/>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Text1"/>
    <w:pPr>
      <w:numPr>
        <w:ilvl w:val="1"/>
        <w:numId w:val="26"/>
      </w:numPr>
      <w:spacing w:before="0" w:after="240"/>
    </w:pPr>
    <w:rPr>
      <w:szCs w:val="20"/>
    </w:rPr>
  </w:style>
  <w:style w:type="paragraph" w:customStyle="1" w:styleId="ListNumber2Level2">
    <w:name w:val="List Number 2 (Level 2)"/>
    <w:basedOn w:val="Text2"/>
    <w:pPr>
      <w:numPr>
        <w:ilvl w:val="1"/>
        <w:numId w:val="27"/>
      </w:numPr>
      <w:spacing w:before="0" w:after="240"/>
    </w:pPr>
    <w:rPr>
      <w:szCs w:val="20"/>
    </w:rPr>
  </w:style>
  <w:style w:type="paragraph" w:customStyle="1" w:styleId="ListNumber3Level2">
    <w:name w:val="List Number 3 (Level 2)"/>
    <w:basedOn w:val="Text3"/>
    <w:pPr>
      <w:numPr>
        <w:ilvl w:val="1"/>
        <w:numId w:val="28"/>
      </w:numPr>
      <w:spacing w:before="0" w:after="240"/>
    </w:pPr>
    <w:rPr>
      <w:szCs w:val="20"/>
    </w:rPr>
  </w:style>
  <w:style w:type="paragraph" w:customStyle="1" w:styleId="ListNumber4Level2">
    <w:name w:val="List Number 4 (Level 2)"/>
    <w:basedOn w:val="Text4"/>
    <w:pPr>
      <w:numPr>
        <w:ilvl w:val="1"/>
        <w:numId w:val="29"/>
      </w:numPr>
      <w:spacing w:before="0" w:after="240"/>
    </w:pPr>
    <w:rPr>
      <w:szCs w:val="20"/>
    </w:rPr>
  </w:style>
  <w:style w:type="paragraph" w:customStyle="1" w:styleId="ListNumberLevel3">
    <w:name w:val="List Number (Level 3)"/>
    <w:basedOn w:val="Normal"/>
    <w:pPr>
      <w:numPr>
        <w:ilvl w:val="2"/>
        <w:numId w:val="25"/>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Text1"/>
    <w:pPr>
      <w:numPr>
        <w:ilvl w:val="2"/>
        <w:numId w:val="26"/>
      </w:numPr>
      <w:spacing w:before="0" w:after="240"/>
    </w:pPr>
    <w:rPr>
      <w:szCs w:val="20"/>
    </w:rPr>
  </w:style>
  <w:style w:type="paragraph" w:customStyle="1" w:styleId="ListNumber2Level3">
    <w:name w:val="List Number 2 (Level 3)"/>
    <w:basedOn w:val="Text2"/>
    <w:pPr>
      <w:numPr>
        <w:ilvl w:val="2"/>
        <w:numId w:val="27"/>
      </w:numPr>
      <w:spacing w:before="0" w:after="240"/>
    </w:pPr>
    <w:rPr>
      <w:szCs w:val="20"/>
    </w:rPr>
  </w:style>
  <w:style w:type="paragraph" w:customStyle="1" w:styleId="ListNumber3Level3">
    <w:name w:val="List Number 3 (Level 3)"/>
    <w:basedOn w:val="Text3"/>
    <w:pPr>
      <w:numPr>
        <w:ilvl w:val="2"/>
        <w:numId w:val="28"/>
      </w:numPr>
      <w:spacing w:before="0" w:after="240"/>
    </w:pPr>
    <w:rPr>
      <w:szCs w:val="20"/>
    </w:rPr>
  </w:style>
  <w:style w:type="paragraph" w:customStyle="1" w:styleId="ListNumber4Level3">
    <w:name w:val="List Number 4 (Level 3)"/>
    <w:basedOn w:val="Text4"/>
    <w:pPr>
      <w:numPr>
        <w:ilvl w:val="2"/>
        <w:numId w:val="29"/>
      </w:numPr>
      <w:spacing w:before="0" w:after="240"/>
    </w:pPr>
    <w:rPr>
      <w:szCs w:val="20"/>
    </w:rPr>
  </w:style>
  <w:style w:type="paragraph" w:customStyle="1" w:styleId="ListNumberLevel4">
    <w:name w:val="List Number (Level 4)"/>
    <w:basedOn w:val="Normal"/>
    <w:pPr>
      <w:numPr>
        <w:ilvl w:val="3"/>
        <w:numId w:val="25"/>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Text1"/>
    <w:pPr>
      <w:numPr>
        <w:ilvl w:val="3"/>
        <w:numId w:val="26"/>
      </w:numPr>
      <w:spacing w:before="0" w:after="240"/>
    </w:pPr>
    <w:rPr>
      <w:szCs w:val="20"/>
    </w:rPr>
  </w:style>
  <w:style w:type="paragraph" w:customStyle="1" w:styleId="ListNumber2Level4">
    <w:name w:val="List Number 2 (Level 4)"/>
    <w:basedOn w:val="Text2"/>
    <w:pPr>
      <w:numPr>
        <w:ilvl w:val="3"/>
        <w:numId w:val="27"/>
      </w:numPr>
      <w:spacing w:before="0" w:after="240"/>
    </w:pPr>
    <w:rPr>
      <w:szCs w:val="20"/>
    </w:rPr>
  </w:style>
  <w:style w:type="paragraph" w:customStyle="1" w:styleId="ListNumber3Level4">
    <w:name w:val="List Number 3 (Level 4)"/>
    <w:basedOn w:val="Text3"/>
    <w:pPr>
      <w:numPr>
        <w:ilvl w:val="3"/>
        <w:numId w:val="28"/>
      </w:numPr>
      <w:spacing w:before="0" w:after="240"/>
    </w:pPr>
    <w:rPr>
      <w:szCs w:val="20"/>
    </w:rPr>
  </w:style>
  <w:style w:type="paragraph" w:customStyle="1" w:styleId="ListNumber4Level4">
    <w:name w:val="List Number 4 (Level 4)"/>
    <w:basedOn w:val="Text4"/>
    <w:pPr>
      <w:numPr>
        <w:ilvl w:val="3"/>
        <w:numId w:val="29"/>
      </w:numPr>
      <w:spacing w:before="0" w:after="240"/>
    </w:pPr>
    <w:rPr>
      <w:szCs w:val="20"/>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vertAlign w:val="superscript"/>
    </w:rPr>
  </w:style>
  <w:style w:type="paragraph" w:customStyle="1" w:styleId="AARHeading11">
    <w:name w:val="AAR Heading 1 (1.)"/>
    <w:basedOn w:val="Heading1"/>
    <w:next w:val="Normal"/>
    <w:pPr>
      <w:pageBreakBefore/>
      <w:widowControl w:val="0"/>
      <w:numPr>
        <w:numId w:val="31"/>
      </w:numPr>
      <w:autoSpaceDE w:val="0"/>
      <w:autoSpaceDN w:val="0"/>
      <w:adjustRightInd w:val="0"/>
      <w:spacing w:before="0" w:after="240"/>
    </w:pPr>
    <w:rPr>
      <w:rFonts w:ascii="Verdana" w:hAnsi="Verdana" w:cs="Times New Roman Bold"/>
      <w:caps/>
      <w:smallCaps w:val="0"/>
      <w:color w:val="004494"/>
      <w:sz w:val="32"/>
      <w:szCs w:val="44"/>
    </w:rPr>
  </w:style>
  <w:style w:type="paragraph" w:customStyle="1" w:styleId="AARHeading211">
    <w:name w:val="AAR Heading 2 (1.1)"/>
    <w:basedOn w:val="Heading2"/>
    <w:next w:val="Normal"/>
    <w:pPr>
      <w:widowControl w:val="0"/>
      <w:numPr>
        <w:numId w:val="31"/>
      </w:numPr>
      <w:autoSpaceDE w:val="0"/>
      <w:autoSpaceDN w:val="0"/>
      <w:adjustRightInd w:val="0"/>
      <w:spacing w:after="240"/>
    </w:pPr>
    <w:rPr>
      <w:rFonts w:ascii="Verdana" w:eastAsia="Calibri" w:hAnsi="Verdana"/>
      <w:color w:val="2681B4"/>
      <w:sz w:val="28"/>
    </w:rPr>
  </w:style>
  <w:style w:type="paragraph" w:customStyle="1" w:styleId="AARHeading3111">
    <w:name w:val="AAR Heading 3 (1.1.1)"/>
    <w:basedOn w:val="AARHeading211"/>
    <w:next w:val="Normal"/>
    <w:pPr>
      <w:numPr>
        <w:ilvl w:val="2"/>
      </w:numPr>
    </w:pPr>
  </w:style>
  <w:style w:type="paragraph" w:customStyle="1" w:styleId="Footerapproval">
    <w:name w:val="Footer approval"/>
    <w:basedOn w:val="Footer"/>
    <w:pPr>
      <w:tabs>
        <w:tab w:val="clear" w:pos="4535"/>
        <w:tab w:val="clear" w:pos="9071"/>
        <w:tab w:val="left" w:pos="6804"/>
      </w:tabs>
      <w:ind w:right="-567"/>
    </w:pPr>
    <w:rPr>
      <w:rFonts w:ascii="Verdana" w:eastAsia="Times New Roman" w:hAnsi="Verdana"/>
      <w:sz w:val="13"/>
      <w:szCs w:val="20"/>
    </w:rPr>
  </w:style>
  <w:style w:type="paragraph" w:customStyle="1" w:styleId="FooterDate">
    <w:name w:val="Footer Date"/>
    <w:basedOn w:val="Footer"/>
    <w:link w:val="FooterDateChar"/>
    <w:pPr>
      <w:tabs>
        <w:tab w:val="clear" w:pos="4535"/>
        <w:tab w:val="clear" w:pos="9071"/>
        <w:tab w:val="right" w:pos="9240"/>
      </w:tabs>
      <w:ind w:right="-567"/>
    </w:pPr>
    <w:rPr>
      <w:rFonts w:ascii="Verdana" w:eastAsia="Times New Roman" w:hAnsi="Verdana"/>
      <w:sz w:val="16"/>
      <w:szCs w:val="20"/>
    </w:rPr>
  </w:style>
  <w:style w:type="character" w:customStyle="1" w:styleId="FooterDateChar">
    <w:name w:val="Footer Date Char"/>
    <w:link w:val="FooterDate"/>
    <w:rPr>
      <w:rFonts w:ascii="Verdana" w:eastAsia="Times New Roman" w:hAnsi="Verdana" w:cs="Times New Roman"/>
      <w:sz w:val="16"/>
      <w:szCs w:val="20"/>
      <w:lang w:val="de-DE" w:eastAsia="de-DE"/>
    </w:rPr>
  </w:style>
  <w:style w:type="paragraph" w:customStyle="1" w:styleId="ECHOHeading1">
    <w:name w:val="ECHO Heading 1"/>
    <w:basedOn w:val="ManualHeading1"/>
    <w:link w:val="ECHOHeading1Char"/>
    <w:qFormat/>
    <w:pPr>
      <w:spacing w:after="360"/>
      <w:ind w:left="851" w:hanging="851"/>
      <w:jc w:val="left"/>
    </w:pPr>
    <w:rPr>
      <w:rFonts w:ascii="Verdana" w:hAnsi="Verdana"/>
      <w:color w:val="4F81BD"/>
      <w:sz w:val="32"/>
      <w:szCs w:val="28"/>
    </w:rPr>
  </w:style>
  <w:style w:type="paragraph" w:customStyle="1" w:styleId="ECHOContent">
    <w:name w:val="ECHO Content"/>
    <w:basedOn w:val="Normal"/>
    <w:link w:val="ECHOContentChar"/>
    <w:qFormat/>
    <w:pPr>
      <w:spacing w:after="240"/>
      <w:jc w:val="both"/>
    </w:pPr>
    <w:rPr>
      <w:rFonts w:ascii="Verdana" w:eastAsia="Times New Roman" w:hAnsi="Verdana"/>
      <w:sz w:val="20"/>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4"/>
    </w:rPr>
  </w:style>
  <w:style w:type="character" w:customStyle="1" w:styleId="ECHOHeading1Char">
    <w:name w:val="ECHO Heading 1 Char"/>
    <w:link w:val="ECHOHeading1"/>
    <w:rPr>
      <w:rFonts w:ascii="Verdana" w:eastAsia="Times New Roman" w:hAnsi="Verdana" w:cs="Times New Roman"/>
      <w:b/>
      <w:smallCaps/>
      <w:color w:val="4F81BD"/>
      <w:sz w:val="32"/>
      <w:szCs w:val="28"/>
    </w:rPr>
  </w:style>
  <w:style w:type="paragraph" w:customStyle="1" w:styleId="ECHOContentList">
    <w:name w:val="ECHO Content List"/>
    <w:basedOn w:val="Normal"/>
    <w:link w:val="ECHOContentListChar"/>
    <w:qFormat/>
    <w:pPr>
      <w:numPr>
        <w:numId w:val="30"/>
      </w:numPr>
      <w:spacing w:after="240"/>
      <w:jc w:val="both"/>
    </w:pPr>
    <w:rPr>
      <w:rFonts w:ascii="Verdana" w:eastAsia="Times New Roman" w:hAnsi="Verdana"/>
      <w:sz w:val="20"/>
      <w:szCs w:val="20"/>
    </w:rPr>
  </w:style>
  <w:style w:type="character" w:customStyle="1" w:styleId="ECHOContentChar">
    <w:name w:val="ECHO Content Char"/>
    <w:link w:val="ECHOContent"/>
    <w:rPr>
      <w:rFonts w:ascii="Verdana" w:eastAsia="Times New Roman" w:hAnsi="Verdana" w:cs="Times New Roman"/>
      <w:sz w:val="20"/>
      <w:szCs w:val="20"/>
    </w:rPr>
  </w:style>
  <w:style w:type="paragraph" w:customStyle="1" w:styleId="ECHOContentEmphasis">
    <w:name w:val="ECHO Content Emphasis"/>
    <w:basedOn w:val="ECHOContent"/>
    <w:link w:val="ECHOContentEmphasisChar"/>
    <w:qFormat/>
    <w:rPr>
      <w:b/>
      <w:color w:val="4F81BD"/>
    </w:rPr>
  </w:style>
  <w:style w:type="character" w:customStyle="1" w:styleId="ECHOContentListChar">
    <w:name w:val="ECHO Content List Char"/>
    <w:link w:val="ECHOContentList"/>
    <w:rPr>
      <w:rFonts w:ascii="Verdana" w:eastAsia="Times New Roman" w:hAnsi="Verdana"/>
      <w:lang w:eastAsia="de-DE"/>
    </w:rPr>
  </w:style>
  <w:style w:type="paragraph" w:customStyle="1" w:styleId="Footernotes">
    <w:name w:val="Footer notes"/>
    <w:basedOn w:val="FootnoteText"/>
    <w:link w:val="FooternotesChar"/>
    <w:qFormat/>
    <w:rPr>
      <w:rFonts w:ascii="Verdana" w:hAnsi="Verdana"/>
      <w:color w:val="595959"/>
      <w:sz w:val="16"/>
      <w:szCs w:val="16"/>
    </w:rPr>
  </w:style>
  <w:style w:type="character" w:customStyle="1" w:styleId="ECHOContentEmphasisChar">
    <w:name w:val="ECHO Content Emphasis Char"/>
    <w:link w:val="ECHOContentEmphasis"/>
    <w:rPr>
      <w:rFonts w:ascii="Verdana" w:eastAsia="Times New Roman" w:hAnsi="Verdana" w:cs="Times New Roman"/>
      <w:b/>
      <w:color w:val="4F81BD"/>
      <w:sz w:val="20"/>
      <w:szCs w:val="20"/>
    </w:rPr>
  </w:style>
  <w:style w:type="paragraph" w:customStyle="1" w:styleId="ECHOHeading2">
    <w:name w:val="ECHO Heading 2"/>
    <w:basedOn w:val="Normal"/>
    <w:link w:val="ECHOHeading2Char"/>
    <w:qFormat/>
    <w:pPr>
      <w:spacing w:before="120" w:after="240" w:line="240" w:lineRule="auto"/>
      <w:jc w:val="both"/>
    </w:pPr>
    <w:rPr>
      <w:rFonts w:ascii="Verdana" w:eastAsia="Times New Roman" w:hAnsi="Verdana"/>
      <w:b/>
      <w:color w:val="4F81BD"/>
      <w:sz w:val="28"/>
      <w:szCs w:val="24"/>
    </w:rPr>
  </w:style>
  <w:style w:type="character" w:customStyle="1" w:styleId="FootnoteTextChar2">
    <w:name w:val="Footnote Text Char2"/>
    <w:link w:val="FootnoteText"/>
    <w:rPr>
      <w:rFonts w:ascii="Times New Roman" w:eastAsia="Times New Roman" w:hAnsi="Times New Roman" w:cs="Times New Roman"/>
      <w:sz w:val="20"/>
      <w:szCs w:val="20"/>
    </w:rPr>
  </w:style>
  <w:style w:type="character" w:customStyle="1" w:styleId="FooternotesChar">
    <w:name w:val="Footer notes Char"/>
    <w:link w:val="Footernotes"/>
    <w:rPr>
      <w:rFonts w:ascii="Verdana" w:eastAsia="Times New Roman" w:hAnsi="Verdana" w:cs="Times New Roman"/>
      <w:color w:val="595959"/>
      <w:sz w:val="16"/>
      <w:szCs w:val="16"/>
    </w:rPr>
  </w:style>
  <w:style w:type="paragraph" w:customStyle="1" w:styleId="ECHOHeading3">
    <w:name w:val="ECHO Heading 3"/>
    <w:basedOn w:val="Normal"/>
    <w:link w:val="ECHOHeading3Char"/>
    <w:qFormat/>
    <w:pPr>
      <w:spacing w:before="120" w:after="240" w:line="240" w:lineRule="auto"/>
      <w:jc w:val="both"/>
    </w:pPr>
    <w:rPr>
      <w:rFonts w:ascii="Verdana" w:eastAsia="Times New Roman" w:hAnsi="Verdana"/>
      <w:b/>
      <w:color w:val="595959"/>
      <w:sz w:val="24"/>
      <w:szCs w:val="24"/>
    </w:rPr>
  </w:style>
  <w:style w:type="character" w:customStyle="1" w:styleId="ECHOHeading2Char">
    <w:name w:val="ECHO Heading 2 Char"/>
    <w:link w:val="ECHOHeading2"/>
    <w:rPr>
      <w:rFonts w:ascii="Verdana" w:eastAsia="Times New Roman" w:hAnsi="Verdana" w:cs="Times New Roman"/>
      <w:b/>
      <w:color w:val="4F81BD"/>
      <w:sz w:val="28"/>
      <w:szCs w:val="24"/>
    </w:rPr>
  </w:style>
  <w:style w:type="table" w:styleId="MediumShading1-Accent5">
    <w:name w:val="Medium Shading 1 Accent 5"/>
    <w:basedOn w:val="TableNormal"/>
    <w:uiPriority w:val="63"/>
    <w:rPr>
      <w:rFonts w:ascii="Times New Roman" w:eastAsia="Times New Roman" w:hAnsi="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ECHOHeading3Char">
    <w:name w:val="ECHO Heading 3 Char"/>
    <w:link w:val="ECHOHeading3"/>
    <w:rPr>
      <w:rFonts w:ascii="Verdana" w:eastAsia="Times New Roman" w:hAnsi="Verdana" w:cs="Times New Roman"/>
      <w:b/>
      <w:color w:val="595959"/>
      <w:sz w:val="24"/>
      <w:szCs w:val="24"/>
    </w:rPr>
  </w:style>
  <w:style w:type="table" w:styleId="MediumList1-Accent1">
    <w:name w:val="Medium List 1 Accent 1"/>
    <w:basedOn w:val="TableNormal"/>
    <w:uiPriority w:val="65"/>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ColorfulGrid-Accent1">
    <w:name w:val="Colorful Grid Accent 1"/>
    <w:basedOn w:val="TableNormal"/>
    <w:uiPriority w:val="73"/>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1-Accent1">
    <w:name w:val="Medium Shading 1 Accent 1"/>
    <w:basedOn w:val="TableNormal"/>
    <w:uiPriority w:val="63"/>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3876">
      <w:bodyDiv w:val="1"/>
      <w:marLeft w:val="0"/>
      <w:marRight w:val="0"/>
      <w:marTop w:val="0"/>
      <w:marBottom w:val="0"/>
      <w:divBdr>
        <w:top w:val="none" w:sz="0" w:space="0" w:color="auto"/>
        <w:left w:val="none" w:sz="0" w:space="0" w:color="auto"/>
        <w:bottom w:val="none" w:sz="0" w:space="0" w:color="auto"/>
        <w:right w:val="none" w:sz="0" w:space="0" w:color="auto"/>
      </w:divBdr>
      <w:divsChild>
        <w:div w:id="825707832">
          <w:marLeft w:val="0"/>
          <w:marRight w:val="0"/>
          <w:marTop w:val="0"/>
          <w:marBottom w:val="0"/>
          <w:divBdr>
            <w:top w:val="single" w:sz="2" w:space="0" w:color="CCCCCC"/>
            <w:left w:val="single" w:sz="6" w:space="0" w:color="CCCCCC"/>
            <w:bottom w:val="single" w:sz="6" w:space="0" w:color="CCCCCC"/>
            <w:right w:val="single" w:sz="6" w:space="0" w:color="CCCCCC"/>
          </w:divBdr>
          <w:divsChild>
            <w:div w:id="1290821520">
              <w:marLeft w:val="0"/>
              <w:marRight w:val="0"/>
              <w:marTop w:val="0"/>
              <w:marBottom w:val="0"/>
              <w:divBdr>
                <w:top w:val="none" w:sz="0" w:space="0" w:color="auto"/>
                <w:left w:val="none" w:sz="0" w:space="0" w:color="auto"/>
                <w:bottom w:val="none" w:sz="0" w:space="0" w:color="auto"/>
                <w:right w:val="none" w:sz="0" w:space="0" w:color="auto"/>
              </w:divBdr>
              <w:divsChild>
                <w:div w:id="965237995">
                  <w:marLeft w:val="-180"/>
                  <w:marRight w:val="-180"/>
                  <w:marTop w:val="0"/>
                  <w:marBottom w:val="0"/>
                  <w:divBdr>
                    <w:top w:val="none" w:sz="0" w:space="0" w:color="auto"/>
                    <w:left w:val="none" w:sz="0" w:space="0" w:color="auto"/>
                    <w:bottom w:val="none" w:sz="0" w:space="0" w:color="auto"/>
                    <w:right w:val="none" w:sz="0" w:space="0" w:color="auto"/>
                  </w:divBdr>
                  <w:divsChild>
                    <w:div w:id="360279102">
                      <w:marLeft w:val="0"/>
                      <w:marRight w:val="0"/>
                      <w:marTop w:val="0"/>
                      <w:marBottom w:val="0"/>
                      <w:divBdr>
                        <w:top w:val="none" w:sz="0" w:space="0" w:color="auto"/>
                        <w:left w:val="none" w:sz="0" w:space="0" w:color="auto"/>
                        <w:bottom w:val="none" w:sz="0" w:space="0" w:color="auto"/>
                        <w:right w:val="none" w:sz="0" w:space="0" w:color="auto"/>
                      </w:divBdr>
                      <w:divsChild>
                        <w:div w:id="1177425238">
                          <w:marLeft w:val="-180"/>
                          <w:marRight w:val="-180"/>
                          <w:marTop w:val="0"/>
                          <w:marBottom w:val="0"/>
                          <w:divBdr>
                            <w:top w:val="none" w:sz="0" w:space="0" w:color="auto"/>
                            <w:left w:val="none" w:sz="0" w:space="0" w:color="auto"/>
                            <w:bottom w:val="none" w:sz="0" w:space="0" w:color="auto"/>
                            <w:right w:val="none" w:sz="0" w:space="0" w:color="auto"/>
                          </w:divBdr>
                          <w:divsChild>
                            <w:div w:id="1648975453">
                              <w:marLeft w:val="0"/>
                              <w:marRight w:val="0"/>
                              <w:marTop w:val="0"/>
                              <w:marBottom w:val="0"/>
                              <w:divBdr>
                                <w:top w:val="none" w:sz="0" w:space="0" w:color="auto"/>
                                <w:left w:val="none" w:sz="0" w:space="0" w:color="auto"/>
                                <w:bottom w:val="none" w:sz="0" w:space="0" w:color="auto"/>
                                <w:right w:val="none" w:sz="0" w:space="0" w:color="auto"/>
                              </w:divBdr>
                              <w:divsChild>
                                <w:div w:id="1892227146">
                                  <w:marLeft w:val="0"/>
                                  <w:marRight w:val="0"/>
                                  <w:marTop w:val="0"/>
                                  <w:marBottom w:val="0"/>
                                  <w:divBdr>
                                    <w:top w:val="none" w:sz="0" w:space="0" w:color="auto"/>
                                    <w:left w:val="none" w:sz="0" w:space="0" w:color="auto"/>
                                    <w:bottom w:val="none" w:sz="0" w:space="0" w:color="auto"/>
                                    <w:right w:val="none" w:sz="0" w:space="0" w:color="auto"/>
                                  </w:divBdr>
                                  <w:divsChild>
                                    <w:div w:id="178200604">
                                      <w:marLeft w:val="0"/>
                                      <w:marRight w:val="0"/>
                                      <w:marTop w:val="0"/>
                                      <w:marBottom w:val="0"/>
                                      <w:divBdr>
                                        <w:top w:val="none" w:sz="0" w:space="0" w:color="auto"/>
                                        <w:left w:val="none" w:sz="0" w:space="0" w:color="auto"/>
                                        <w:bottom w:val="none" w:sz="0" w:space="0" w:color="auto"/>
                                        <w:right w:val="none" w:sz="0" w:space="0" w:color="auto"/>
                                      </w:divBdr>
                                      <w:divsChild>
                                        <w:div w:id="135033117">
                                          <w:marLeft w:val="0"/>
                                          <w:marRight w:val="0"/>
                                          <w:marTop w:val="0"/>
                                          <w:marBottom w:val="0"/>
                                          <w:divBdr>
                                            <w:top w:val="none" w:sz="0" w:space="0" w:color="auto"/>
                                            <w:left w:val="none" w:sz="0" w:space="0" w:color="auto"/>
                                            <w:bottom w:val="none" w:sz="0" w:space="0" w:color="auto"/>
                                            <w:right w:val="none" w:sz="0" w:space="0" w:color="auto"/>
                                          </w:divBdr>
                                          <w:divsChild>
                                            <w:div w:id="1015956605">
                                              <w:marLeft w:val="0"/>
                                              <w:marRight w:val="0"/>
                                              <w:marTop w:val="0"/>
                                              <w:marBottom w:val="0"/>
                                              <w:divBdr>
                                                <w:top w:val="none" w:sz="0" w:space="0" w:color="auto"/>
                                                <w:left w:val="none" w:sz="0" w:space="0" w:color="auto"/>
                                                <w:bottom w:val="none" w:sz="0" w:space="0" w:color="auto"/>
                                                <w:right w:val="none" w:sz="0" w:space="0" w:color="auto"/>
                                              </w:divBdr>
                                              <w:divsChild>
                                                <w:div w:id="1933195309">
                                                  <w:marLeft w:val="0"/>
                                                  <w:marRight w:val="0"/>
                                                  <w:marTop w:val="0"/>
                                                  <w:marBottom w:val="0"/>
                                                  <w:divBdr>
                                                    <w:top w:val="none" w:sz="0" w:space="0" w:color="auto"/>
                                                    <w:left w:val="none" w:sz="0" w:space="0" w:color="auto"/>
                                                    <w:bottom w:val="none" w:sz="0" w:space="0" w:color="auto"/>
                                                    <w:right w:val="none" w:sz="0" w:space="0" w:color="auto"/>
                                                  </w:divBdr>
                                                  <w:divsChild>
                                                    <w:div w:id="533269718">
                                                      <w:marLeft w:val="0"/>
                                                      <w:marRight w:val="0"/>
                                                      <w:marTop w:val="0"/>
                                                      <w:marBottom w:val="0"/>
                                                      <w:divBdr>
                                                        <w:top w:val="none" w:sz="0" w:space="0" w:color="auto"/>
                                                        <w:left w:val="none" w:sz="0" w:space="0" w:color="auto"/>
                                                        <w:bottom w:val="none" w:sz="0" w:space="0" w:color="auto"/>
                                                        <w:right w:val="none" w:sz="0" w:space="0" w:color="auto"/>
                                                      </w:divBdr>
                                                      <w:divsChild>
                                                        <w:div w:id="797845728">
                                                          <w:marLeft w:val="-180"/>
                                                          <w:marRight w:val="-180"/>
                                                          <w:marTop w:val="0"/>
                                                          <w:marBottom w:val="0"/>
                                                          <w:divBdr>
                                                            <w:top w:val="none" w:sz="0" w:space="0" w:color="auto"/>
                                                            <w:left w:val="none" w:sz="0" w:space="0" w:color="auto"/>
                                                            <w:bottom w:val="none" w:sz="0" w:space="0" w:color="auto"/>
                                                            <w:right w:val="none" w:sz="0" w:space="0" w:color="auto"/>
                                                          </w:divBdr>
                                                          <w:divsChild>
                                                            <w:div w:id="728462409">
                                                              <w:marLeft w:val="0"/>
                                                              <w:marRight w:val="0"/>
                                                              <w:marTop w:val="0"/>
                                                              <w:marBottom w:val="0"/>
                                                              <w:divBdr>
                                                                <w:top w:val="none" w:sz="0" w:space="0" w:color="auto"/>
                                                                <w:left w:val="none" w:sz="0" w:space="0" w:color="auto"/>
                                                                <w:bottom w:val="none" w:sz="0" w:space="0" w:color="auto"/>
                                                                <w:right w:val="none" w:sz="0" w:space="0" w:color="auto"/>
                                                              </w:divBdr>
                                                              <w:divsChild>
                                                                <w:div w:id="1532188335">
                                                                  <w:marLeft w:val="0"/>
                                                                  <w:marRight w:val="0"/>
                                                                  <w:marTop w:val="0"/>
                                                                  <w:marBottom w:val="0"/>
                                                                  <w:divBdr>
                                                                    <w:top w:val="none" w:sz="0" w:space="0" w:color="auto"/>
                                                                    <w:left w:val="none" w:sz="0" w:space="0" w:color="auto"/>
                                                                    <w:bottom w:val="none" w:sz="0" w:space="0" w:color="auto"/>
                                                                    <w:right w:val="none" w:sz="0" w:space="0" w:color="auto"/>
                                                                  </w:divBdr>
                                                                  <w:divsChild>
                                                                    <w:div w:id="1135760819">
                                                                      <w:marLeft w:val="0"/>
                                                                      <w:marRight w:val="0"/>
                                                                      <w:marTop w:val="0"/>
                                                                      <w:marBottom w:val="0"/>
                                                                      <w:divBdr>
                                                                        <w:top w:val="none" w:sz="0" w:space="0" w:color="auto"/>
                                                                        <w:left w:val="none" w:sz="0" w:space="0" w:color="auto"/>
                                                                        <w:bottom w:val="none" w:sz="0" w:space="0" w:color="auto"/>
                                                                        <w:right w:val="none" w:sz="0" w:space="0" w:color="auto"/>
                                                                      </w:divBdr>
                                                                      <w:divsChild>
                                                                        <w:div w:id="2014141842">
                                                                          <w:marLeft w:val="0"/>
                                                                          <w:marRight w:val="0"/>
                                                                          <w:marTop w:val="0"/>
                                                                          <w:marBottom w:val="0"/>
                                                                          <w:divBdr>
                                                                            <w:top w:val="none" w:sz="0" w:space="0" w:color="auto"/>
                                                                            <w:left w:val="none" w:sz="0" w:space="0" w:color="auto"/>
                                                                            <w:bottom w:val="none" w:sz="0" w:space="0" w:color="auto"/>
                                                                            <w:right w:val="none" w:sz="0" w:space="0" w:color="auto"/>
                                                                          </w:divBdr>
                                                                          <w:divsChild>
                                                                            <w:div w:id="1949894333">
                                                                              <w:marLeft w:val="0"/>
                                                                              <w:marRight w:val="0"/>
                                                                              <w:marTop w:val="0"/>
                                                                              <w:marBottom w:val="0"/>
                                                                              <w:divBdr>
                                                                                <w:top w:val="none" w:sz="0" w:space="0" w:color="auto"/>
                                                                                <w:left w:val="none" w:sz="0" w:space="0" w:color="auto"/>
                                                                                <w:bottom w:val="none" w:sz="0" w:space="0" w:color="auto"/>
                                                                                <w:right w:val="none" w:sz="0" w:space="0" w:color="auto"/>
                                                                              </w:divBdr>
                                                                              <w:divsChild>
                                                                                <w:div w:id="3366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947263">
      <w:bodyDiv w:val="1"/>
      <w:marLeft w:val="0"/>
      <w:marRight w:val="0"/>
      <w:marTop w:val="0"/>
      <w:marBottom w:val="0"/>
      <w:divBdr>
        <w:top w:val="none" w:sz="0" w:space="0" w:color="auto"/>
        <w:left w:val="none" w:sz="0" w:space="0" w:color="auto"/>
        <w:bottom w:val="none" w:sz="0" w:space="0" w:color="auto"/>
        <w:right w:val="none" w:sz="0" w:space="0" w:color="auto"/>
      </w:divBdr>
    </w:div>
    <w:div w:id="365370279">
      <w:bodyDiv w:val="1"/>
      <w:marLeft w:val="0"/>
      <w:marRight w:val="0"/>
      <w:marTop w:val="0"/>
      <w:marBottom w:val="0"/>
      <w:divBdr>
        <w:top w:val="none" w:sz="0" w:space="0" w:color="auto"/>
        <w:left w:val="none" w:sz="0" w:space="0" w:color="auto"/>
        <w:bottom w:val="none" w:sz="0" w:space="0" w:color="auto"/>
        <w:right w:val="none" w:sz="0" w:space="0" w:color="auto"/>
      </w:divBdr>
    </w:div>
    <w:div w:id="401028087">
      <w:bodyDiv w:val="1"/>
      <w:marLeft w:val="0"/>
      <w:marRight w:val="0"/>
      <w:marTop w:val="0"/>
      <w:marBottom w:val="0"/>
      <w:divBdr>
        <w:top w:val="none" w:sz="0" w:space="0" w:color="auto"/>
        <w:left w:val="none" w:sz="0" w:space="0" w:color="auto"/>
        <w:bottom w:val="none" w:sz="0" w:space="0" w:color="auto"/>
        <w:right w:val="none" w:sz="0" w:space="0" w:color="auto"/>
      </w:divBdr>
      <w:divsChild>
        <w:div w:id="823274853">
          <w:marLeft w:val="0"/>
          <w:marRight w:val="0"/>
          <w:marTop w:val="0"/>
          <w:marBottom w:val="0"/>
          <w:divBdr>
            <w:top w:val="single" w:sz="2" w:space="0" w:color="CCCCCC"/>
            <w:left w:val="single" w:sz="6" w:space="0" w:color="CCCCCC"/>
            <w:bottom w:val="single" w:sz="6" w:space="0" w:color="CCCCCC"/>
            <w:right w:val="single" w:sz="6" w:space="0" w:color="CCCCCC"/>
          </w:divBdr>
          <w:divsChild>
            <w:div w:id="313721661">
              <w:marLeft w:val="0"/>
              <w:marRight w:val="0"/>
              <w:marTop w:val="0"/>
              <w:marBottom w:val="0"/>
              <w:divBdr>
                <w:top w:val="none" w:sz="0" w:space="0" w:color="auto"/>
                <w:left w:val="none" w:sz="0" w:space="0" w:color="auto"/>
                <w:bottom w:val="none" w:sz="0" w:space="0" w:color="auto"/>
                <w:right w:val="none" w:sz="0" w:space="0" w:color="auto"/>
              </w:divBdr>
              <w:divsChild>
                <w:div w:id="1949242029">
                  <w:marLeft w:val="-180"/>
                  <w:marRight w:val="-180"/>
                  <w:marTop w:val="0"/>
                  <w:marBottom w:val="0"/>
                  <w:divBdr>
                    <w:top w:val="none" w:sz="0" w:space="0" w:color="auto"/>
                    <w:left w:val="none" w:sz="0" w:space="0" w:color="auto"/>
                    <w:bottom w:val="none" w:sz="0" w:space="0" w:color="auto"/>
                    <w:right w:val="none" w:sz="0" w:space="0" w:color="auto"/>
                  </w:divBdr>
                  <w:divsChild>
                    <w:div w:id="954404164">
                      <w:marLeft w:val="0"/>
                      <w:marRight w:val="0"/>
                      <w:marTop w:val="0"/>
                      <w:marBottom w:val="0"/>
                      <w:divBdr>
                        <w:top w:val="none" w:sz="0" w:space="0" w:color="auto"/>
                        <w:left w:val="none" w:sz="0" w:space="0" w:color="auto"/>
                        <w:bottom w:val="none" w:sz="0" w:space="0" w:color="auto"/>
                        <w:right w:val="none" w:sz="0" w:space="0" w:color="auto"/>
                      </w:divBdr>
                      <w:divsChild>
                        <w:div w:id="1003825797">
                          <w:marLeft w:val="-180"/>
                          <w:marRight w:val="-180"/>
                          <w:marTop w:val="0"/>
                          <w:marBottom w:val="0"/>
                          <w:divBdr>
                            <w:top w:val="none" w:sz="0" w:space="0" w:color="auto"/>
                            <w:left w:val="none" w:sz="0" w:space="0" w:color="auto"/>
                            <w:bottom w:val="none" w:sz="0" w:space="0" w:color="auto"/>
                            <w:right w:val="none" w:sz="0" w:space="0" w:color="auto"/>
                          </w:divBdr>
                          <w:divsChild>
                            <w:div w:id="381563565">
                              <w:marLeft w:val="0"/>
                              <w:marRight w:val="0"/>
                              <w:marTop w:val="0"/>
                              <w:marBottom w:val="0"/>
                              <w:divBdr>
                                <w:top w:val="none" w:sz="0" w:space="0" w:color="auto"/>
                                <w:left w:val="none" w:sz="0" w:space="0" w:color="auto"/>
                                <w:bottom w:val="none" w:sz="0" w:space="0" w:color="auto"/>
                                <w:right w:val="none" w:sz="0" w:space="0" w:color="auto"/>
                              </w:divBdr>
                              <w:divsChild>
                                <w:div w:id="2135899588">
                                  <w:marLeft w:val="0"/>
                                  <w:marRight w:val="0"/>
                                  <w:marTop w:val="0"/>
                                  <w:marBottom w:val="0"/>
                                  <w:divBdr>
                                    <w:top w:val="none" w:sz="0" w:space="0" w:color="auto"/>
                                    <w:left w:val="none" w:sz="0" w:space="0" w:color="auto"/>
                                    <w:bottom w:val="none" w:sz="0" w:space="0" w:color="auto"/>
                                    <w:right w:val="none" w:sz="0" w:space="0" w:color="auto"/>
                                  </w:divBdr>
                                  <w:divsChild>
                                    <w:div w:id="490948263">
                                      <w:marLeft w:val="0"/>
                                      <w:marRight w:val="0"/>
                                      <w:marTop w:val="0"/>
                                      <w:marBottom w:val="0"/>
                                      <w:divBdr>
                                        <w:top w:val="none" w:sz="0" w:space="0" w:color="auto"/>
                                        <w:left w:val="none" w:sz="0" w:space="0" w:color="auto"/>
                                        <w:bottom w:val="none" w:sz="0" w:space="0" w:color="auto"/>
                                        <w:right w:val="none" w:sz="0" w:space="0" w:color="auto"/>
                                      </w:divBdr>
                                      <w:divsChild>
                                        <w:div w:id="487478342">
                                          <w:marLeft w:val="0"/>
                                          <w:marRight w:val="0"/>
                                          <w:marTop w:val="0"/>
                                          <w:marBottom w:val="0"/>
                                          <w:divBdr>
                                            <w:top w:val="none" w:sz="0" w:space="0" w:color="auto"/>
                                            <w:left w:val="none" w:sz="0" w:space="0" w:color="auto"/>
                                            <w:bottom w:val="none" w:sz="0" w:space="0" w:color="auto"/>
                                            <w:right w:val="none" w:sz="0" w:space="0" w:color="auto"/>
                                          </w:divBdr>
                                          <w:divsChild>
                                            <w:div w:id="327372086">
                                              <w:marLeft w:val="0"/>
                                              <w:marRight w:val="0"/>
                                              <w:marTop w:val="0"/>
                                              <w:marBottom w:val="0"/>
                                              <w:divBdr>
                                                <w:top w:val="none" w:sz="0" w:space="0" w:color="auto"/>
                                                <w:left w:val="none" w:sz="0" w:space="0" w:color="auto"/>
                                                <w:bottom w:val="none" w:sz="0" w:space="0" w:color="auto"/>
                                                <w:right w:val="none" w:sz="0" w:space="0" w:color="auto"/>
                                              </w:divBdr>
                                              <w:divsChild>
                                                <w:div w:id="1000889424">
                                                  <w:marLeft w:val="0"/>
                                                  <w:marRight w:val="0"/>
                                                  <w:marTop w:val="0"/>
                                                  <w:marBottom w:val="0"/>
                                                  <w:divBdr>
                                                    <w:top w:val="none" w:sz="0" w:space="0" w:color="auto"/>
                                                    <w:left w:val="none" w:sz="0" w:space="0" w:color="auto"/>
                                                    <w:bottom w:val="none" w:sz="0" w:space="0" w:color="auto"/>
                                                    <w:right w:val="none" w:sz="0" w:space="0" w:color="auto"/>
                                                  </w:divBdr>
                                                  <w:divsChild>
                                                    <w:div w:id="2018655695">
                                                      <w:marLeft w:val="0"/>
                                                      <w:marRight w:val="0"/>
                                                      <w:marTop w:val="0"/>
                                                      <w:marBottom w:val="0"/>
                                                      <w:divBdr>
                                                        <w:top w:val="none" w:sz="0" w:space="0" w:color="auto"/>
                                                        <w:left w:val="none" w:sz="0" w:space="0" w:color="auto"/>
                                                        <w:bottom w:val="none" w:sz="0" w:space="0" w:color="auto"/>
                                                        <w:right w:val="none" w:sz="0" w:space="0" w:color="auto"/>
                                                      </w:divBdr>
                                                      <w:divsChild>
                                                        <w:div w:id="270280446">
                                                          <w:marLeft w:val="-180"/>
                                                          <w:marRight w:val="-180"/>
                                                          <w:marTop w:val="0"/>
                                                          <w:marBottom w:val="0"/>
                                                          <w:divBdr>
                                                            <w:top w:val="none" w:sz="0" w:space="0" w:color="auto"/>
                                                            <w:left w:val="none" w:sz="0" w:space="0" w:color="auto"/>
                                                            <w:bottom w:val="none" w:sz="0" w:space="0" w:color="auto"/>
                                                            <w:right w:val="none" w:sz="0" w:space="0" w:color="auto"/>
                                                          </w:divBdr>
                                                          <w:divsChild>
                                                            <w:div w:id="1209146447">
                                                              <w:marLeft w:val="0"/>
                                                              <w:marRight w:val="0"/>
                                                              <w:marTop w:val="0"/>
                                                              <w:marBottom w:val="0"/>
                                                              <w:divBdr>
                                                                <w:top w:val="none" w:sz="0" w:space="0" w:color="auto"/>
                                                                <w:left w:val="none" w:sz="0" w:space="0" w:color="auto"/>
                                                                <w:bottom w:val="none" w:sz="0" w:space="0" w:color="auto"/>
                                                                <w:right w:val="none" w:sz="0" w:space="0" w:color="auto"/>
                                                              </w:divBdr>
                                                              <w:divsChild>
                                                                <w:div w:id="1249433">
                                                                  <w:marLeft w:val="0"/>
                                                                  <w:marRight w:val="0"/>
                                                                  <w:marTop w:val="0"/>
                                                                  <w:marBottom w:val="0"/>
                                                                  <w:divBdr>
                                                                    <w:top w:val="none" w:sz="0" w:space="0" w:color="auto"/>
                                                                    <w:left w:val="none" w:sz="0" w:space="0" w:color="auto"/>
                                                                    <w:bottom w:val="none" w:sz="0" w:space="0" w:color="auto"/>
                                                                    <w:right w:val="none" w:sz="0" w:space="0" w:color="auto"/>
                                                                  </w:divBdr>
                                                                  <w:divsChild>
                                                                    <w:div w:id="406390581">
                                                                      <w:marLeft w:val="0"/>
                                                                      <w:marRight w:val="0"/>
                                                                      <w:marTop w:val="0"/>
                                                                      <w:marBottom w:val="0"/>
                                                                      <w:divBdr>
                                                                        <w:top w:val="none" w:sz="0" w:space="0" w:color="auto"/>
                                                                        <w:left w:val="none" w:sz="0" w:space="0" w:color="auto"/>
                                                                        <w:bottom w:val="none" w:sz="0" w:space="0" w:color="auto"/>
                                                                        <w:right w:val="none" w:sz="0" w:space="0" w:color="auto"/>
                                                                      </w:divBdr>
                                                                      <w:divsChild>
                                                                        <w:div w:id="1064913025">
                                                                          <w:marLeft w:val="0"/>
                                                                          <w:marRight w:val="0"/>
                                                                          <w:marTop w:val="0"/>
                                                                          <w:marBottom w:val="0"/>
                                                                          <w:divBdr>
                                                                            <w:top w:val="none" w:sz="0" w:space="0" w:color="auto"/>
                                                                            <w:left w:val="none" w:sz="0" w:space="0" w:color="auto"/>
                                                                            <w:bottom w:val="none" w:sz="0" w:space="0" w:color="auto"/>
                                                                            <w:right w:val="none" w:sz="0" w:space="0" w:color="auto"/>
                                                                          </w:divBdr>
                                                                          <w:divsChild>
                                                                            <w:div w:id="1883399961">
                                                                              <w:marLeft w:val="0"/>
                                                                              <w:marRight w:val="0"/>
                                                                              <w:marTop w:val="0"/>
                                                                              <w:marBottom w:val="0"/>
                                                                              <w:divBdr>
                                                                                <w:top w:val="none" w:sz="0" w:space="0" w:color="auto"/>
                                                                                <w:left w:val="none" w:sz="0" w:space="0" w:color="auto"/>
                                                                                <w:bottom w:val="none" w:sz="0" w:space="0" w:color="auto"/>
                                                                                <w:right w:val="none" w:sz="0" w:space="0" w:color="auto"/>
                                                                              </w:divBdr>
                                                                              <w:divsChild>
                                                                                <w:div w:id="1297489084">
                                                                                  <w:marLeft w:val="0"/>
                                                                                  <w:marRight w:val="0"/>
                                                                                  <w:marTop w:val="0"/>
                                                                                  <w:marBottom w:val="0"/>
                                                                                  <w:divBdr>
                                                                                    <w:top w:val="none" w:sz="0" w:space="0" w:color="auto"/>
                                                                                    <w:left w:val="none" w:sz="0" w:space="0" w:color="auto"/>
                                                                                    <w:bottom w:val="none" w:sz="0" w:space="0" w:color="auto"/>
                                                                                    <w:right w:val="none" w:sz="0" w:space="0" w:color="auto"/>
                                                                                  </w:divBdr>
                                                                                  <w:divsChild>
                                                                                    <w:div w:id="13579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978780">
      <w:bodyDiv w:val="1"/>
      <w:marLeft w:val="0"/>
      <w:marRight w:val="0"/>
      <w:marTop w:val="0"/>
      <w:marBottom w:val="0"/>
      <w:divBdr>
        <w:top w:val="none" w:sz="0" w:space="0" w:color="auto"/>
        <w:left w:val="none" w:sz="0" w:space="0" w:color="auto"/>
        <w:bottom w:val="none" w:sz="0" w:space="0" w:color="auto"/>
        <w:right w:val="none" w:sz="0" w:space="0" w:color="auto"/>
      </w:divBdr>
    </w:div>
    <w:div w:id="518130092">
      <w:bodyDiv w:val="1"/>
      <w:marLeft w:val="0"/>
      <w:marRight w:val="0"/>
      <w:marTop w:val="0"/>
      <w:marBottom w:val="0"/>
      <w:divBdr>
        <w:top w:val="none" w:sz="0" w:space="0" w:color="auto"/>
        <w:left w:val="none" w:sz="0" w:space="0" w:color="auto"/>
        <w:bottom w:val="none" w:sz="0" w:space="0" w:color="auto"/>
        <w:right w:val="none" w:sz="0" w:space="0" w:color="auto"/>
      </w:divBdr>
    </w:div>
    <w:div w:id="695737132">
      <w:bodyDiv w:val="1"/>
      <w:marLeft w:val="0"/>
      <w:marRight w:val="0"/>
      <w:marTop w:val="0"/>
      <w:marBottom w:val="0"/>
      <w:divBdr>
        <w:top w:val="none" w:sz="0" w:space="0" w:color="auto"/>
        <w:left w:val="none" w:sz="0" w:space="0" w:color="auto"/>
        <w:bottom w:val="none" w:sz="0" w:space="0" w:color="auto"/>
        <w:right w:val="none" w:sz="0" w:space="0" w:color="auto"/>
      </w:divBdr>
    </w:div>
    <w:div w:id="1067536734">
      <w:bodyDiv w:val="1"/>
      <w:marLeft w:val="0"/>
      <w:marRight w:val="0"/>
      <w:marTop w:val="0"/>
      <w:marBottom w:val="0"/>
      <w:divBdr>
        <w:top w:val="none" w:sz="0" w:space="0" w:color="auto"/>
        <w:left w:val="none" w:sz="0" w:space="0" w:color="auto"/>
        <w:bottom w:val="none" w:sz="0" w:space="0" w:color="auto"/>
        <w:right w:val="none" w:sz="0" w:space="0" w:color="auto"/>
      </w:divBdr>
    </w:div>
    <w:div w:id="1134179096">
      <w:bodyDiv w:val="1"/>
      <w:marLeft w:val="0"/>
      <w:marRight w:val="0"/>
      <w:marTop w:val="0"/>
      <w:marBottom w:val="0"/>
      <w:divBdr>
        <w:top w:val="none" w:sz="0" w:space="0" w:color="auto"/>
        <w:left w:val="none" w:sz="0" w:space="0" w:color="auto"/>
        <w:bottom w:val="none" w:sz="0" w:space="0" w:color="auto"/>
        <w:right w:val="none" w:sz="0" w:space="0" w:color="auto"/>
      </w:divBdr>
    </w:div>
    <w:div w:id="1156334509">
      <w:bodyDiv w:val="1"/>
      <w:marLeft w:val="0"/>
      <w:marRight w:val="0"/>
      <w:marTop w:val="0"/>
      <w:marBottom w:val="0"/>
      <w:divBdr>
        <w:top w:val="none" w:sz="0" w:space="0" w:color="auto"/>
        <w:left w:val="none" w:sz="0" w:space="0" w:color="auto"/>
        <w:bottom w:val="none" w:sz="0" w:space="0" w:color="auto"/>
        <w:right w:val="none" w:sz="0" w:space="0" w:color="auto"/>
      </w:divBdr>
    </w:div>
    <w:div w:id="1173911865">
      <w:bodyDiv w:val="1"/>
      <w:marLeft w:val="0"/>
      <w:marRight w:val="0"/>
      <w:marTop w:val="0"/>
      <w:marBottom w:val="0"/>
      <w:divBdr>
        <w:top w:val="none" w:sz="0" w:space="0" w:color="auto"/>
        <w:left w:val="none" w:sz="0" w:space="0" w:color="auto"/>
        <w:bottom w:val="none" w:sz="0" w:space="0" w:color="auto"/>
        <w:right w:val="none" w:sz="0" w:space="0" w:color="auto"/>
      </w:divBdr>
      <w:divsChild>
        <w:div w:id="797603593">
          <w:marLeft w:val="0"/>
          <w:marRight w:val="0"/>
          <w:marTop w:val="0"/>
          <w:marBottom w:val="0"/>
          <w:divBdr>
            <w:top w:val="single" w:sz="2" w:space="0" w:color="CCCCCC"/>
            <w:left w:val="single" w:sz="6" w:space="0" w:color="CCCCCC"/>
            <w:bottom w:val="single" w:sz="6" w:space="0" w:color="CCCCCC"/>
            <w:right w:val="single" w:sz="6" w:space="0" w:color="CCCCCC"/>
          </w:divBdr>
          <w:divsChild>
            <w:div w:id="13312400">
              <w:marLeft w:val="0"/>
              <w:marRight w:val="0"/>
              <w:marTop w:val="0"/>
              <w:marBottom w:val="0"/>
              <w:divBdr>
                <w:top w:val="none" w:sz="0" w:space="0" w:color="auto"/>
                <w:left w:val="none" w:sz="0" w:space="0" w:color="auto"/>
                <w:bottom w:val="none" w:sz="0" w:space="0" w:color="auto"/>
                <w:right w:val="none" w:sz="0" w:space="0" w:color="auto"/>
              </w:divBdr>
              <w:divsChild>
                <w:div w:id="1337804358">
                  <w:marLeft w:val="-180"/>
                  <w:marRight w:val="-180"/>
                  <w:marTop w:val="0"/>
                  <w:marBottom w:val="0"/>
                  <w:divBdr>
                    <w:top w:val="none" w:sz="0" w:space="0" w:color="auto"/>
                    <w:left w:val="none" w:sz="0" w:space="0" w:color="auto"/>
                    <w:bottom w:val="none" w:sz="0" w:space="0" w:color="auto"/>
                    <w:right w:val="none" w:sz="0" w:space="0" w:color="auto"/>
                  </w:divBdr>
                  <w:divsChild>
                    <w:div w:id="962075909">
                      <w:marLeft w:val="0"/>
                      <w:marRight w:val="0"/>
                      <w:marTop w:val="0"/>
                      <w:marBottom w:val="0"/>
                      <w:divBdr>
                        <w:top w:val="none" w:sz="0" w:space="0" w:color="auto"/>
                        <w:left w:val="none" w:sz="0" w:space="0" w:color="auto"/>
                        <w:bottom w:val="none" w:sz="0" w:space="0" w:color="auto"/>
                        <w:right w:val="none" w:sz="0" w:space="0" w:color="auto"/>
                      </w:divBdr>
                      <w:divsChild>
                        <w:div w:id="335768662">
                          <w:marLeft w:val="-180"/>
                          <w:marRight w:val="-180"/>
                          <w:marTop w:val="0"/>
                          <w:marBottom w:val="0"/>
                          <w:divBdr>
                            <w:top w:val="none" w:sz="0" w:space="0" w:color="auto"/>
                            <w:left w:val="none" w:sz="0" w:space="0" w:color="auto"/>
                            <w:bottom w:val="none" w:sz="0" w:space="0" w:color="auto"/>
                            <w:right w:val="none" w:sz="0" w:space="0" w:color="auto"/>
                          </w:divBdr>
                          <w:divsChild>
                            <w:div w:id="1845511707">
                              <w:marLeft w:val="0"/>
                              <w:marRight w:val="0"/>
                              <w:marTop w:val="0"/>
                              <w:marBottom w:val="0"/>
                              <w:divBdr>
                                <w:top w:val="none" w:sz="0" w:space="0" w:color="auto"/>
                                <w:left w:val="none" w:sz="0" w:space="0" w:color="auto"/>
                                <w:bottom w:val="none" w:sz="0" w:space="0" w:color="auto"/>
                                <w:right w:val="none" w:sz="0" w:space="0" w:color="auto"/>
                              </w:divBdr>
                              <w:divsChild>
                                <w:div w:id="369383259">
                                  <w:marLeft w:val="0"/>
                                  <w:marRight w:val="0"/>
                                  <w:marTop w:val="0"/>
                                  <w:marBottom w:val="0"/>
                                  <w:divBdr>
                                    <w:top w:val="none" w:sz="0" w:space="0" w:color="auto"/>
                                    <w:left w:val="none" w:sz="0" w:space="0" w:color="auto"/>
                                    <w:bottom w:val="none" w:sz="0" w:space="0" w:color="auto"/>
                                    <w:right w:val="none" w:sz="0" w:space="0" w:color="auto"/>
                                  </w:divBdr>
                                  <w:divsChild>
                                    <w:div w:id="424689972">
                                      <w:marLeft w:val="0"/>
                                      <w:marRight w:val="0"/>
                                      <w:marTop w:val="0"/>
                                      <w:marBottom w:val="0"/>
                                      <w:divBdr>
                                        <w:top w:val="none" w:sz="0" w:space="0" w:color="auto"/>
                                        <w:left w:val="none" w:sz="0" w:space="0" w:color="auto"/>
                                        <w:bottom w:val="none" w:sz="0" w:space="0" w:color="auto"/>
                                        <w:right w:val="none" w:sz="0" w:space="0" w:color="auto"/>
                                      </w:divBdr>
                                      <w:divsChild>
                                        <w:div w:id="1181817571">
                                          <w:marLeft w:val="0"/>
                                          <w:marRight w:val="0"/>
                                          <w:marTop w:val="0"/>
                                          <w:marBottom w:val="0"/>
                                          <w:divBdr>
                                            <w:top w:val="none" w:sz="0" w:space="0" w:color="auto"/>
                                            <w:left w:val="none" w:sz="0" w:space="0" w:color="auto"/>
                                            <w:bottom w:val="none" w:sz="0" w:space="0" w:color="auto"/>
                                            <w:right w:val="none" w:sz="0" w:space="0" w:color="auto"/>
                                          </w:divBdr>
                                          <w:divsChild>
                                            <w:div w:id="1368873829">
                                              <w:marLeft w:val="0"/>
                                              <w:marRight w:val="0"/>
                                              <w:marTop w:val="0"/>
                                              <w:marBottom w:val="0"/>
                                              <w:divBdr>
                                                <w:top w:val="none" w:sz="0" w:space="0" w:color="auto"/>
                                                <w:left w:val="none" w:sz="0" w:space="0" w:color="auto"/>
                                                <w:bottom w:val="none" w:sz="0" w:space="0" w:color="auto"/>
                                                <w:right w:val="none" w:sz="0" w:space="0" w:color="auto"/>
                                              </w:divBdr>
                                              <w:divsChild>
                                                <w:div w:id="204951096">
                                                  <w:marLeft w:val="0"/>
                                                  <w:marRight w:val="0"/>
                                                  <w:marTop w:val="0"/>
                                                  <w:marBottom w:val="0"/>
                                                  <w:divBdr>
                                                    <w:top w:val="none" w:sz="0" w:space="0" w:color="auto"/>
                                                    <w:left w:val="none" w:sz="0" w:space="0" w:color="auto"/>
                                                    <w:bottom w:val="none" w:sz="0" w:space="0" w:color="auto"/>
                                                    <w:right w:val="none" w:sz="0" w:space="0" w:color="auto"/>
                                                  </w:divBdr>
                                                  <w:divsChild>
                                                    <w:div w:id="306278298">
                                                      <w:marLeft w:val="0"/>
                                                      <w:marRight w:val="0"/>
                                                      <w:marTop w:val="0"/>
                                                      <w:marBottom w:val="0"/>
                                                      <w:divBdr>
                                                        <w:top w:val="none" w:sz="0" w:space="0" w:color="auto"/>
                                                        <w:left w:val="none" w:sz="0" w:space="0" w:color="auto"/>
                                                        <w:bottom w:val="none" w:sz="0" w:space="0" w:color="auto"/>
                                                        <w:right w:val="none" w:sz="0" w:space="0" w:color="auto"/>
                                                      </w:divBdr>
                                                      <w:divsChild>
                                                        <w:div w:id="1223755286">
                                                          <w:marLeft w:val="-180"/>
                                                          <w:marRight w:val="-180"/>
                                                          <w:marTop w:val="0"/>
                                                          <w:marBottom w:val="0"/>
                                                          <w:divBdr>
                                                            <w:top w:val="none" w:sz="0" w:space="0" w:color="auto"/>
                                                            <w:left w:val="none" w:sz="0" w:space="0" w:color="auto"/>
                                                            <w:bottom w:val="none" w:sz="0" w:space="0" w:color="auto"/>
                                                            <w:right w:val="none" w:sz="0" w:space="0" w:color="auto"/>
                                                          </w:divBdr>
                                                          <w:divsChild>
                                                            <w:div w:id="444428554">
                                                              <w:marLeft w:val="0"/>
                                                              <w:marRight w:val="0"/>
                                                              <w:marTop w:val="0"/>
                                                              <w:marBottom w:val="0"/>
                                                              <w:divBdr>
                                                                <w:top w:val="none" w:sz="0" w:space="0" w:color="auto"/>
                                                                <w:left w:val="none" w:sz="0" w:space="0" w:color="auto"/>
                                                                <w:bottom w:val="none" w:sz="0" w:space="0" w:color="auto"/>
                                                                <w:right w:val="none" w:sz="0" w:space="0" w:color="auto"/>
                                                              </w:divBdr>
                                                              <w:divsChild>
                                                                <w:div w:id="531386991">
                                                                  <w:marLeft w:val="0"/>
                                                                  <w:marRight w:val="0"/>
                                                                  <w:marTop w:val="0"/>
                                                                  <w:marBottom w:val="0"/>
                                                                  <w:divBdr>
                                                                    <w:top w:val="none" w:sz="0" w:space="0" w:color="auto"/>
                                                                    <w:left w:val="none" w:sz="0" w:space="0" w:color="auto"/>
                                                                    <w:bottom w:val="none" w:sz="0" w:space="0" w:color="auto"/>
                                                                    <w:right w:val="none" w:sz="0" w:space="0" w:color="auto"/>
                                                                  </w:divBdr>
                                                                  <w:divsChild>
                                                                    <w:div w:id="1381710659">
                                                                      <w:marLeft w:val="0"/>
                                                                      <w:marRight w:val="0"/>
                                                                      <w:marTop w:val="0"/>
                                                                      <w:marBottom w:val="0"/>
                                                                      <w:divBdr>
                                                                        <w:top w:val="none" w:sz="0" w:space="0" w:color="auto"/>
                                                                        <w:left w:val="none" w:sz="0" w:space="0" w:color="auto"/>
                                                                        <w:bottom w:val="none" w:sz="0" w:space="0" w:color="auto"/>
                                                                        <w:right w:val="none" w:sz="0" w:space="0" w:color="auto"/>
                                                                      </w:divBdr>
                                                                      <w:divsChild>
                                                                        <w:div w:id="642928624">
                                                                          <w:marLeft w:val="0"/>
                                                                          <w:marRight w:val="0"/>
                                                                          <w:marTop w:val="0"/>
                                                                          <w:marBottom w:val="0"/>
                                                                          <w:divBdr>
                                                                            <w:top w:val="none" w:sz="0" w:space="0" w:color="auto"/>
                                                                            <w:left w:val="none" w:sz="0" w:space="0" w:color="auto"/>
                                                                            <w:bottom w:val="none" w:sz="0" w:space="0" w:color="auto"/>
                                                                            <w:right w:val="none" w:sz="0" w:space="0" w:color="auto"/>
                                                                          </w:divBdr>
                                                                          <w:divsChild>
                                                                            <w:div w:id="637297568">
                                                                              <w:marLeft w:val="0"/>
                                                                              <w:marRight w:val="0"/>
                                                                              <w:marTop w:val="0"/>
                                                                              <w:marBottom w:val="0"/>
                                                                              <w:divBdr>
                                                                                <w:top w:val="none" w:sz="0" w:space="0" w:color="auto"/>
                                                                                <w:left w:val="none" w:sz="0" w:space="0" w:color="auto"/>
                                                                                <w:bottom w:val="none" w:sz="0" w:space="0" w:color="auto"/>
                                                                                <w:right w:val="none" w:sz="0" w:space="0" w:color="auto"/>
                                                                              </w:divBdr>
                                                                              <w:divsChild>
                                                                                <w:div w:id="1583179427">
                                                                                  <w:marLeft w:val="0"/>
                                                                                  <w:marRight w:val="0"/>
                                                                                  <w:marTop w:val="0"/>
                                                                                  <w:marBottom w:val="0"/>
                                                                                  <w:divBdr>
                                                                                    <w:top w:val="none" w:sz="0" w:space="0" w:color="auto"/>
                                                                                    <w:left w:val="none" w:sz="0" w:space="0" w:color="auto"/>
                                                                                    <w:bottom w:val="none" w:sz="0" w:space="0" w:color="auto"/>
                                                                                    <w:right w:val="none" w:sz="0" w:space="0" w:color="auto"/>
                                                                                  </w:divBdr>
                                                                                  <w:divsChild>
                                                                                    <w:div w:id="11677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685002">
      <w:bodyDiv w:val="1"/>
      <w:marLeft w:val="0"/>
      <w:marRight w:val="0"/>
      <w:marTop w:val="0"/>
      <w:marBottom w:val="0"/>
      <w:divBdr>
        <w:top w:val="none" w:sz="0" w:space="0" w:color="auto"/>
        <w:left w:val="none" w:sz="0" w:space="0" w:color="auto"/>
        <w:bottom w:val="none" w:sz="0" w:space="0" w:color="auto"/>
        <w:right w:val="none" w:sz="0" w:space="0" w:color="auto"/>
      </w:divBdr>
    </w:div>
    <w:div w:id="1326781159">
      <w:bodyDiv w:val="1"/>
      <w:marLeft w:val="0"/>
      <w:marRight w:val="0"/>
      <w:marTop w:val="0"/>
      <w:marBottom w:val="0"/>
      <w:divBdr>
        <w:top w:val="none" w:sz="0" w:space="0" w:color="auto"/>
        <w:left w:val="none" w:sz="0" w:space="0" w:color="auto"/>
        <w:bottom w:val="none" w:sz="0" w:space="0" w:color="auto"/>
        <w:right w:val="none" w:sz="0" w:space="0" w:color="auto"/>
      </w:divBdr>
    </w:div>
    <w:div w:id="1393695363">
      <w:bodyDiv w:val="1"/>
      <w:marLeft w:val="0"/>
      <w:marRight w:val="0"/>
      <w:marTop w:val="0"/>
      <w:marBottom w:val="0"/>
      <w:divBdr>
        <w:top w:val="none" w:sz="0" w:space="0" w:color="auto"/>
        <w:left w:val="none" w:sz="0" w:space="0" w:color="auto"/>
        <w:bottom w:val="none" w:sz="0" w:space="0" w:color="auto"/>
        <w:right w:val="none" w:sz="0" w:space="0" w:color="auto"/>
      </w:divBdr>
    </w:div>
    <w:div w:id="1567112028">
      <w:bodyDiv w:val="1"/>
      <w:marLeft w:val="0"/>
      <w:marRight w:val="0"/>
      <w:marTop w:val="0"/>
      <w:marBottom w:val="0"/>
      <w:divBdr>
        <w:top w:val="none" w:sz="0" w:space="0" w:color="auto"/>
        <w:left w:val="none" w:sz="0" w:space="0" w:color="auto"/>
        <w:bottom w:val="none" w:sz="0" w:space="0" w:color="auto"/>
        <w:right w:val="none" w:sz="0" w:space="0" w:color="auto"/>
      </w:divBdr>
    </w:div>
    <w:div w:id="1648045304">
      <w:bodyDiv w:val="1"/>
      <w:marLeft w:val="0"/>
      <w:marRight w:val="0"/>
      <w:marTop w:val="0"/>
      <w:marBottom w:val="0"/>
      <w:divBdr>
        <w:top w:val="none" w:sz="0" w:space="0" w:color="auto"/>
        <w:left w:val="none" w:sz="0" w:space="0" w:color="auto"/>
        <w:bottom w:val="none" w:sz="0" w:space="0" w:color="auto"/>
        <w:right w:val="none" w:sz="0" w:space="0" w:color="auto"/>
      </w:divBdr>
    </w:div>
    <w:div w:id="1902906196">
      <w:bodyDiv w:val="1"/>
      <w:marLeft w:val="0"/>
      <w:marRight w:val="0"/>
      <w:marTop w:val="0"/>
      <w:marBottom w:val="0"/>
      <w:divBdr>
        <w:top w:val="none" w:sz="0" w:space="0" w:color="auto"/>
        <w:left w:val="none" w:sz="0" w:space="0" w:color="auto"/>
        <w:bottom w:val="none" w:sz="0" w:space="0" w:color="auto"/>
        <w:right w:val="none" w:sz="0" w:space="0" w:color="auto"/>
      </w:divBdr>
      <w:divsChild>
        <w:div w:id="17245476">
          <w:marLeft w:val="0"/>
          <w:marRight w:val="0"/>
          <w:marTop w:val="0"/>
          <w:marBottom w:val="0"/>
          <w:divBdr>
            <w:top w:val="none" w:sz="0" w:space="0" w:color="auto"/>
            <w:left w:val="none" w:sz="0" w:space="0" w:color="auto"/>
            <w:bottom w:val="none" w:sz="0" w:space="0" w:color="auto"/>
            <w:right w:val="none" w:sz="0" w:space="0" w:color="auto"/>
          </w:divBdr>
          <w:divsChild>
            <w:div w:id="1224562804">
              <w:marLeft w:val="0"/>
              <w:marRight w:val="0"/>
              <w:marTop w:val="0"/>
              <w:marBottom w:val="0"/>
              <w:divBdr>
                <w:top w:val="none" w:sz="0" w:space="0" w:color="auto"/>
                <w:left w:val="none" w:sz="0" w:space="0" w:color="auto"/>
                <w:bottom w:val="none" w:sz="0" w:space="0" w:color="auto"/>
                <w:right w:val="none" w:sz="0" w:space="0" w:color="auto"/>
              </w:divBdr>
              <w:divsChild>
                <w:div w:id="275215427">
                  <w:marLeft w:val="0"/>
                  <w:marRight w:val="0"/>
                  <w:marTop w:val="0"/>
                  <w:marBottom w:val="0"/>
                  <w:divBdr>
                    <w:top w:val="none" w:sz="0" w:space="0" w:color="auto"/>
                    <w:left w:val="none" w:sz="0" w:space="0" w:color="auto"/>
                    <w:bottom w:val="none" w:sz="0" w:space="0" w:color="auto"/>
                    <w:right w:val="none" w:sz="0" w:space="0" w:color="auto"/>
                  </w:divBdr>
                  <w:divsChild>
                    <w:div w:id="363755649">
                      <w:marLeft w:val="0"/>
                      <w:marRight w:val="0"/>
                      <w:marTop w:val="0"/>
                      <w:marBottom w:val="0"/>
                      <w:divBdr>
                        <w:top w:val="none" w:sz="0" w:space="0" w:color="auto"/>
                        <w:left w:val="none" w:sz="0" w:space="0" w:color="auto"/>
                        <w:bottom w:val="none" w:sz="0" w:space="0" w:color="auto"/>
                        <w:right w:val="none" w:sz="0" w:space="0" w:color="auto"/>
                      </w:divBdr>
                      <w:divsChild>
                        <w:div w:id="947157374">
                          <w:marLeft w:val="0"/>
                          <w:marRight w:val="0"/>
                          <w:marTop w:val="0"/>
                          <w:marBottom w:val="0"/>
                          <w:divBdr>
                            <w:top w:val="none" w:sz="0" w:space="0" w:color="auto"/>
                            <w:left w:val="none" w:sz="0" w:space="0" w:color="auto"/>
                            <w:bottom w:val="none" w:sz="0" w:space="0" w:color="auto"/>
                            <w:right w:val="none" w:sz="0" w:space="0" w:color="auto"/>
                          </w:divBdr>
                          <w:divsChild>
                            <w:div w:id="477965286">
                              <w:marLeft w:val="0"/>
                              <w:marRight w:val="0"/>
                              <w:marTop w:val="0"/>
                              <w:marBottom w:val="0"/>
                              <w:divBdr>
                                <w:top w:val="none" w:sz="0" w:space="0" w:color="auto"/>
                                <w:left w:val="none" w:sz="0" w:space="0" w:color="auto"/>
                                <w:bottom w:val="none" w:sz="0" w:space="0" w:color="auto"/>
                                <w:right w:val="none" w:sz="0" w:space="0" w:color="auto"/>
                              </w:divBdr>
                              <w:divsChild>
                                <w:div w:id="728571957">
                                  <w:marLeft w:val="0"/>
                                  <w:marRight w:val="0"/>
                                  <w:marTop w:val="0"/>
                                  <w:marBottom w:val="0"/>
                                  <w:divBdr>
                                    <w:top w:val="none" w:sz="0" w:space="0" w:color="auto"/>
                                    <w:left w:val="none" w:sz="0" w:space="0" w:color="auto"/>
                                    <w:bottom w:val="none" w:sz="0" w:space="0" w:color="auto"/>
                                    <w:right w:val="none" w:sz="0" w:space="0" w:color="auto"/>
                                  </w:divBdr>
                                  <w:divsChild>
                                    <w:div w:id="1758205975">
                                      <w:marLeft w:val="0"/>
                                      <w:marRight w:val="0"/>
                                      <w:marTop w:val="0"/>
                                      <w:marBottom w:val="0"/>
                                      <w:divBdr>
                                        <w:top w:val="none" w:sz="0" w:space="0" w:color="auto"/>
                                        <w:left w:val="none" w:sz="0" w:space="0" w:color="auto"/>
                                        <w:bottom w:val="none" w:sz="0" w:space="0" w:color="auto"/>
                                        <w:right w:val="none" w:sz="0" w:space="0" w:color="auto"/>
                                      </w:divBdr>
                                      <w:divsChild>
                                        <w:div w:id="946155369">
                                          <w:marLeft w:val="0"/>
                                          <w:marRight w:val="0"/>
                                          <w:marTop w:val="0"/>
                                          <w:marBottom w:val="0"/>
                                          <w:divBdr>
                                            <w:top w:val="none" w:sz="0" w:space="0" w:color="auto"/>
                                            <w:left w:val="none" w:sz="0" w:space="0" w:color="auto"/>
                                            <w:bottom w:val="none" w:sz="0" w:space="0" w:color="auto"/>
                                            <w:right w:val="none" w:sz="0" w:space="0" w:color="auto"/>
                                          </w:divBdr>
                                          <w:divsChild>
                                            <w:div w:id="1304967687">
                                              <w:marLeft w:val="0"/>
                                              <w:marRight w:val="0"/>
                                              <w:marTop w:val="0"/>
                                              <w:marBottom w:val="0"/>
                                              <w:divBdr>
                                                <w:top w:val="none" w:sz="0" w:space="0" w:color="auto"/>
                                                <w:left w:val="none" w:sz="0" w:space="0" w:color="auto"/>
                                                <w:bottom w:val="none" w:sz="0" w:space="0" w:color="auto"/>
                                                <w:right w:val="none" w:sz="0" w:space="0" w:color="auto"/>
                                              </w:divBdr>
                                              <w:divsChild>
                                                <w:div w:id="529999510">
                                                  <w:marLeft w:val="0"/>
                                                  <w:marRight w:val="0"/>
                                                  <w:marTop w:val="0"/>
                                                  <w:marBottom w:val="0"/>
                                                  <w:divBdr>
                                                    <w:top w:val="none" w:sz="0" w:space="0" w:color="auto"/>
                                                    <w:left w:val="none" w:sz="0" w:space="0" w:color="auto"/>
                                                    <w:bottom w:val="none" w:sz="0" w:space="0" w:color="auto"/>
                                                    <w:right w:val="none" w:sz="0" w:space="0" w:color="auto"/>
                                                  </w:divBdr>
                                                  <w:divsChild>
                                                    <w:div w:id="212935406">
                                                      <w:marLeft w:val="0"/>
                                                      <w:marRight w:val="0"/>
                                                      <w:marTop w:val="0"/>
                                                      <w:marBottom w:val="0"/>
                                                      <w:divBdr>
                                                        <w:top w:val="none" w:sz="0" w:space="0" w:color="auto"/>
                                                        <w:left w:val="none" w:sz="0" w:space="0" w:color="auto"/>
                                                        <w:bottom w:val="none" w:sz="0" w:space="0" w:color="auto"/>
                                                        <w:right w:val="none" w:sz="0" w:space="0" w:color="auto"/>
                                                      </w:divBdr>
                                                      <w:divsChild>
                                                        <w:div w:id="16601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6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cho/funding-evaluations/funding-decisions-hips_e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ec.europa.eu/info/node/10237"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cho/en"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ec.europa.eu/echo/files/funding/agreements/agreements_2016.pdf" TargetMode="External"/><Relationship Id="rId20" Type="http://schemas.openxmlformats.org/officeDocument/2006/relationships/hyperlink" Target="https://ec.europa.eu/info/publications/annual-activity-reports-2016_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uaidexplorer.ec.europa.e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ec.europa.eu/echo/about/annual_reports_en.ht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echo/funding-evaluations/evaluations_en" TargetMode="Externa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habitat.org/wp-content/uploads/2016/05/Global-Alliance-for-Urban-Crises-Charter-for-WHS-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94C5-5A32-4655-918B-DA410BC8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3349</Words>
  <Characters>21806</Characters>
  <Application>Microsoft Office Word</Application>
  <DocSecurity>0</DocSecurity>
  <Lines>660</Lines>
  <Paragraphs>465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24690</CharactersWithSpaces>
  <SharedDoc>false</SharedDoc>
  <HLinks>
    <vt:vector size="72" baseType="variant">
      <vt:variant>
        <vt:i4>6488161</vt:i4>
      </vt:variant>
      <vt:variant>
        <vt:i4>42</vt:i4>
      </vt:variant>
      <vt:variant>
        <vt:i4>0</vt:i4>
      </vt:variant>
      <vt:variant>
        <vt:i4>5</vt:i4>
      </vt:variant>
      <vt:variant>
        <vt:lpwstr>https://euaidexplorer.ec.europa.eu/</vt:lpwstr>
      </vt:variant>
      <vt:variant>
        <vt:lpwstr/>
      </vt:variant>
      <vt:variant>
        <vt:i4>4063318</vt:i4>
      </vt:variant>
      <vt:variant>
        <vt:i4>39</vt:i4>
      </vt:variant>
      <vt:variant>
        <vt:i4>0</vt:i4>
      </vt:variant>
      <vt:variant>
        <vt:i4>5</vt:i4>
      </vt:variant>
      <vt:variant>
        <vt:lpwstr>http://ec.europa.eu/echo/funding-evaluations/evaluations_en</vt:lpwstr>
      </vt:variant>
      <vt:variant>
        <vt:lpwstr/>
      </vt:variant>
      <vt:variant>
        <vt:i4>5242909</vt:i4>
      </vt:variant>
      <vt:variant>
        <vt:i4>36</vt:i4>
      </vt:variant>
      <vt:variant>
        <vt:i4>0</vt:i4>
      </vt:variant>
      <vt:variant>
        <vt:i4>5</vt:i4>
      </vt:variant>
      <vt:variant>
        <vt:lpwstr>https://ec.europa.eu/info/node/10237</vt:lpwstr>
      </vt:variant>
      <vt:variant>
        <vt:lpwstr/>
      </vt:variant>
      <vt:variant>
        <vt:i4>1310836</vt:i4>
      </vt:variant>
      <vt:variant>
        <vt:i4>33</vt:i4>
      </vt:variant>
      <vt:variant>
        <vt:i4>0</vt:i4>
      </vt:variant>
      <vt:variant>
        <vt:i4>5</vt:i4>
      </vt:variant>
      <vt:variant>
        <vt:lpwstr>https://ec.europa.eu/info/publications/annual-activity-reports-2016_en</vt:lpwstr>
      </vt:variant>
      <vt:variant>
        <vt:lpwstr/>
      </vt:variant>
      <vt:variant>
        <vt:i4>6029319</vt:i4>
      </vt:variant>
      <vt:variant>
        <vt:i4>30</vt:i4>
      </vt:variant>
      <vt:variant>
        <vt:i4>0</vt:i4>
      </vt:variant>
      <vt:variant>
        <vt:i4>5</vt:i4>
      </vt:variant>
      <vt:variant>
        <vt:lpwstr>http://ec.europa.eu/echo/about/annual_reports_en.htm</vt:lpwstr>
      </vt:variant>
      <vt:variant>
        <vt:lpwstr/>
      </vt:variant>
      <vt:variant>
        <vt:i4>327806</vt:i4>
      </vt:variant>
      <vt:variant>
        <vt:i4>27</vt:i4>
      </vt:variant>
      <vt:variant>
        <vt:i4>0</vt:i4>
      </vt:variant>
      <vt:variant>
        <vt:i4>5</vt:i4>
      </vt:variant>
      <vt:variant>
        <vt:lpwstr>http://ec.europa.eu/echo/funding-evaluations/funding-decisions-hips_en</vt:lpwstr>
      </vt:variant>
      <vt:variant>
        <vt:lpwstr/>
      </vt:variant>
      <vt:variant>
        <vt:i4>3670132</vt:i4>
      </vt:variant>
      <vt:variant>
        <vt:i4>24</vt:i4>
      </vt:variant>
      <vt:variant>
        <vt:i4>0</vt:i4>
      </vt:variant>
      <vt:variant>
        <vt:i4>5</vt:i4>
      </vt:variant>
      <vt:variant>
        <vt:lpwstr>http://ec.europa.eu/echo/en</vt:lpwstr>
      </vt:variant>
      <vt:variant>
        <vt:lpwstr/>
      </vt:variant>
      <vt:variant>
        <vt:i4>5308475</vt:i4>
      </vt:variant>
      <vt:variant>
        <vt:i4>21</vt:i4>
      </vt:variant>
      <vt:variant>
        <vt:i4>0</vt:i4>
      </vt:variant>
      <vt:variant>
        <vt:i4>5</vt:i4>
      </vt:variant>
      <vt:variant>
        <vt:lpwstr>http://ec.europa.eu/echo/files/funding/agreements/agreements_2016.pdf</vt:lpwstr>
      </vt:variant>
      <vt:variant>
        <vt:lpwstr/>
      </vt:variant>
      <vt:variant>
        <vt:i4>1507386</vt:i4>
      </vt:variant>
      <vt:variant>
        <vt:i4>14</vt:i4>
      </vt:variant>
      <vt:variant>
        <vt:i4>0</vt:i4>
      </vt:variant>
      <vt:variant>
        <vt:i4>5</vt:i4>
      </vt:variant>
      <vt:variant>
        <vt:lpwstr/>
      </vt:variant>
      <vt:variant>
        <vt:lpwstr>_Toc484787286</vt:lpwstr>
      </vt:variant>
      <vt:variant>
        <vt:i4>1507386</vt:i4>
      </vt:variant>
      <vt:variant>
        <vt:i4>8</vt:i4>
      </vt:variant>
      <vt:variant>
        <vt:i4>0</vt:i4>
      </vt:variant>
      <vt:variant>
        <vt:i4>5</vt:i4>
      </vt:variant>
      <vt:variant>
        <vt:lpwstr/>
      </vt:variant>
      <vt:variant>
        <vt:lpwstr>_Toc484787285</vt:lpwstr>
      </vt:variant>
      <vt:variant>
        <vt:i4>1507386</vt:i4>
      </vt:variant>
      <vt:variant>
        <vt:i4>2</vt:i4>
      </vt:variant>
      <vt:variant>
        <vt:i4>0</vt:i4>
      </vt:variant>
      <vt:variant>
        <vt:i4>5</vt:i4>
      </vt:variant>
      <vt:variant>
        <vt:lpwstr/>
      </vt:variant>
      <vt:variant>
        <vt:lpwstr>_Toc484787284</vt:lpwstr>
      </vt:variant>
      <vt:variant>
        <vt:i4>6881332</vt:i4>
      </vt:variant>
      <vt:variant>
        <vt:i4>0</vt:i4>
      </vt:variant>
      <vt:variant>
        <vt:i4>0</vt:i4>
      </vt:variant>
      <vt:variant>
        <vt:i4>5</vt:i4>
      </vt:variant>
      <vt:variant>
        <vt:lpwstr>https://unhabitat.org/wp-content/uploads/2016/05/Global-Alliance-for-Urban-Crises-Charter-for-WHS-Final.pdf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2017-09-28T14:33:00Z</cp:lastPrinted>
  <dcterms:created xsi:type="dcterms:W3CDTF">2017-10-03T08:20:00Z</dcterms:created>
  <dcterms:modified xsi:type="dcterms:W3CDTF">2017-11-06T08:46:00Z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