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6D853725-1545-4093-B73C-8F61AAB46079" style="width:450.8pt;height:306.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0"/>
        <w:jc w:val="center"/>
        <w:rPr>
          <w:rFonts w:ascii="Verdana" w:hAnsi="Verdana"/>
          <w:b/>
          <w:noProof/>
          <w:sz w:val="28"/>
          <w:szCs w:val="28"/>
        </w:rPr>
      </w:pPr>
      <w:bookmarkStart w:id="1" w:name="_GoBack"/>
      <w:bookmarkEnd w:id="1"/>
    </w:p>
    <w:p>
      <w:pPr>
        <w:spacing w:after="0"/>
        <w:jc w:val="center"/>
        <w:rPr>
          <w:rFonts w:ascii="Verdana" w:hAnsi="Verdana"/>
          <w:b/>
          <w:noProof/>
          <w:sz w:val="28"/>
          <w:szCs w:val="28"/>
        </w:rPr>
      </w:pPr>
    </w:p>
    <w:p>
      <w:pPr>
        <w:spacing w:after="0"/>
        <w:jc w:val="center"/>
        <w:rPr>
          <w:rFonts w:ascii="Verdana" w:hAnsi="Verdana"/>
          <w:b/>
          <w:noProof/>
          <w:sz w:val="28"/>
          <w:szCs w:val="28"/>
        </w:rPr>
      </w:pPr>
      <w:r>
        <w:rPr>
          <w:rFonts w:ascii="Verdana" w:hAnsi="Verdana"/>
          <w:b/>
          <w:noProof/>
          <w:sz w:val="28"/>
        </w:rPr>
        <w:t>Indholdsfortegnelse</w:t>
      </w:r>
    </w:p>
    <w:p>
      <w:pPr>
        <w:spacing w:after="0"/>
        <w:jc w:val="center"/>
        <w:rPr>
          <w:rFonts w:ascii="Verdana" w:hAnsi="Verdana"/>
          <w:b/>
          <w:noProof/>
          <w:sz w:val="28"/>
          <w:szCs w:val="28"/>
        </w:rPr>
      </w:pPr>
    </w:p>
    <w:p>
      <w:pPr>
        <w:pStyle w:val="TOC1"/>
        <w:rPr>
          <w:rFonts w:asciiTheme="minorHAnsi" w:eastAsiaTheme="minorEastAsia" w:hAnsiTheme="minorHAnsi" w:cstheme="minorBidi"/>
          <w:noProof/>
          <w:sz w:val="22"/>
          <w:szCs w:val="22"/>
          <w:lang w:eastAsia="en-GB" w:bidi="ar-SA"/>
        </w:rPr>
      </w:pPr>
      <w:r>
        <w:rPr>
          <w:noProof/>
        </w:rPr>
        <w:fldChar w:fldCharType="begin"/>
      </w:r>
      <w:r>
        <w:rPr>
          <w:noProof/>
        </w:rPr>
        <w:instrText xml:space="preserve"> TOC \o "1-1" \h \z \u </w:instrText>
      </w:r>
      <w:r>
        <w:rPr>
          <w:noProof/>
        </w:rPr>
        <w:fldChar w:fldCharType="separate"/>
      </w:r>
      <w:hyperlink w:anchor="_Toc496018558" w:history="1">
        <w:r>
          <w:rPr>
            <w:rStyle w:val="Hyperlink"/>
            <w:noProof/>
          </w:rPr>
          <w:t>Indledning</w:t>
        </w:r>
        <w:r>
          <w:rPr>
            <w:noProof/>
            <w:webHidden/>
          </w:rPr>
          <w:tab/>
        </w:r>
        <w:r>
          <w:rPr>
            <w:noProof/>
            <w:webHidden/>
          </w:rPr>
          <w:fldChar w:fldCharType="begin"/>
        </w:r>
        <w:r>
          <w:rPr>
            <w:noProof/>
            <w:webHidden/>
          </w:rPr>
          <w:instrText xml:space="preserve"> PAGEREF _Toc496018558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eastAsia="en-GB" w:bidi="ar-SA"/>
        </w:rPr>
      </w:pPr>
      <w:hyperlink w:anchor="_Toc496018559" w:history="1">
        <w:r>
          <w:rPr>
            <w:rStyle w:val="Hyperlink"/>
            <w:noProof/>
          </w:rPr>
          <w:t>Oversigt over de vigtigste humanitære bistandsoperationer i 2016</w:t>
        </w:r>
        <w:r>
          <w:rPr>
            <w:noProof/>
            <w:webHidden/>
          </w:rPr>
          <w:tab/>
        </w:r>
        <w:r>
          <w:rPr>
            <w:noProof/>
            <w:webHidden/>
          </w:rPr>
          <w:fldChar w:fldCharType="begin"/>
        </w:r>
        <w:r>
          <w:rPr>
            <w:noProof/>
            <w:webHidden/>
          </w:rPr>
          <w:instrText xml:space="preserve"> PAGEREF _Toc496018559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szCs w:val="22"/>
          <w:lang w:eastAsia="en-GB" w:bidi="ar-SA"/>
        </w:rPr>
      </w:pPr>
      <w:hyperlink w:anchor="_Toc496018560" w:history="1">
        <w:r>
          <w:rPr>
            <w:rStyle w:val="Hyperlink"/>
            <w:noProof/>
          </w:rPr>
          <w:t>Yderligere oplysninger og kilder</w:t>
        </w:r>
        <w:r>
          <w:rPr>
            <w:noProof/>
            <w:webHidden/>
          </w:rPr>
          <w:tab/>
        </w:r>
        <w:r>
          <w:rPr>
            <w:noProof/>
            <w:webHidden/>
          </w:rPr>
          <w:fldChar w:fldCharType="begin"/>
        </w:r>
        <w:r>
          <w:rPr>
            <w:noProof/>
            <w:webHidden/>
          </w:rPr>
          <w:instrText xml:space="preserve"> PAGEREF _Toc496018560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Calibri" w:hAnsi="Calibri"/>
          <w:noProof/>
          <w:sz w:val="22"/>
          <w:szCs w:val="22"/>
        </w:rPr>
      </w:pPr>
      <w:r>
        <w:rPr>
          <w:rFonts w:ascii="Calibri" w:hAnsi="Calibri"/>
          <w:noProof/>
          <w:sz w:val="22"/>
          <w:szCs w:val="22"/>
        </w:rPr>
        <w:fldChar w:fldCharType="end"/>
      </w:r>
    </w:p>
    <w:p>
      <w:pPr>
        <w:pStyle w:val="ECHOHeading1"/>
        <w:spacing w:before="0"/>
        <w:ind w:left="0" w:firstLine="0"/>
        <w:jc w:val="center"/>
        <w:rPr>
          <w:noProof/>
          <w:u w:val="single"/>
        </w:rPr>
      </w:pPr>
      <w:r>
        <w:rPr>
          <w:noProof/>
        </w:rPr>
        <w:br w:type="page"/>
      </w:r>
      <w:bookmarkStart w:id="2" w:name="_Toc449608352"/>
      <w:bookmarkStart w:id="3" w:name="_Toc494787938"/>
      <w:bookmarkStart w:id="4" w:name="_Toc496018558"/>
      <w:r>
        <w:rPr>
          <w:noProof/>
          <w:u w:val="single"/>
        </w:rPr>
        <w:t>Indledning</w:t>
      </w:r>
      <w:bookmarkEnd w:id="2"/>
      <w:bookmarkEnd w:id="3"/>
      <w:bookmarkEnd w:id="4"/>
    </w:p>
    <w:p>
      <w:pPr>
        <w:pStyle w:val="ECHOContent"/>
        <w:rPr>
          <w:noProof/>
        </w:rPr>
      </w:pPr>
      <w:r>
        <w:rPr>
          <w:noProof/>
        </w:rPr>
        <w:t xml:space="preserve">I denne beretning præsenteres Kommissionens vigtigste aktiviteter og politiske resultater i 2016 på området humanitær bistand, som blev gennemført af Generaldirektoratet </w:t>
      </w:r>
      <w:r>
        <w:rPr>
          <w:noProof/>
          <w:color w:val="000000"/>
        </w:rPr>
        <w:t>for Humanitær Bistand og Civilbeskyttelse (GD ECHO)</w:t>
      </w:r>
      <w:r>
        <w:rPr>
          <w:noProof/>
        </w:rPr>
        <w:t>. Denne beretning er udarbejdet i henhold til artikel 19 i</w:t>
      </w:r>
      <w:r>
        <w:rPr>
          <w:noProof/>
          <w:color w:val="444444"/>
        </w:rPr>
        <w:t xml:space="preserve"> </w:t>
      </w:r>
      <w:r>
        <w:rPr>
          <w:noProof/>
        </w:rPr>
        <w:t>Rådets forordning (EF) nr. 1257/96 af 20. juni 1996 om humanitær bistand, i henhold til hvilken Kommissionen skal forelægge Europa-Parlamentet og Rådet en årsberetning, der indeholder et resumé af de foranstaltninger, som er finansieret i løbet af det foregående år.</w:t>
      </w:r>
    </w:p>
    <w:p>
      <w:pPr>
        <w:pStyle w:val="ECHOHeading1"/>
        <w:jc w:val="center"/>
        <w:rPr>
          <w:noProof/>
          <w:u w:val="single"/>
        </w:rPr>
      </w:pPr>
      <w:bookmarkStart w:id="5" w:name="_Toc449608354"/>
      <w:bookmarkStart w:id="6" w:name="_Toc494787939"/>
      <w:bookmarkStart w:id="7" w:name="_Toc496018559"/>
      <w:r>
        <w:rPr>
          <w:noProof/>
          <w:u w:val="single"/>
        </w:rPr>
        <w:t>Oversigt over de vigtigste humanitære</w:t>
      </w:r>
      <w:bookmarkStart w:id="8" w:name="_Toc418519948"/>
      <w:bookmarkStart w:id="9" w:name="_Toc290285584"/>
      <w:bookmarkStart w:id="10" w:name="_Toc311536310"/>
      <w:bookmarkStart w:id="11" w:name="_Toc311537615"/>
      <w:bookmarkStart w:id="12" w:name="_Toc316465398"/>
      <w:bookmarkEnd w:id="5"/>
      <w:r>
        <w:rPr>
          <w:noProof/>
          <w:u w:val="single"/>
        </w:rPr>
        <w:t xml:space="preserve"> bistandsoperationer i 2016</w:t>
      </w:r>
      <w:bookmarkEnd w:id="6"/>
      <w:bookmarkEnd w:id="7"/>
    </w:p>
    <w:p>
      <w:pPr>
        <w:jc w:val="both"/>
        <w:rPr>
          <w:rFonts w:ascii="Verdana" w:hAnsi="Verdana"/>
          <w:noProof/>
          <w:sz w:val="20"/>
          <w:szCs w:val="20"/>
        </w:rPr>
      </w:pPr>
      <w:r>
        <w:rPr>
          <w:rFonts w:ascii="Verdana" w:hAnsi="Verdana"/>
          <w:noProof/>
          <w:sz w:val="20"/>
        </w:rPr>
        <w:t>I 2016 voksede de humanitære kriser målt i antal, kompleksitet og alvor. Der var over 50 væbnede konflikter med kun lille eller slet ingen bedring i de mest alvorlige store kriser såsom dem i Syrien, Yemen, Sydsudan og regionen omkring Tchadsøen. Naturkatastrofer – der er knyttet til megatendenser såsom klimaforandringer, urbanisering og demografisk pres – har i de seneste år skabt humanitære behov for ca. 26 mio. mennesker hvert år. Alt i alt havde mere end 95 mio. mennesker i 40 lande behov for humanitær bistand i 2016, og næsten 65 mio. mennesker (heraf halvdelen børn) blev fordrevet, hvilket er flere end nogensinde før.</w:t>
      </w:r>
    </w:p>
    <w:p>
      <w:pPr>
        <w:jc w:val="both"/>
        <w:rPr>
          <w:rFonts w:ascii="Verdana" w:hAnsi="Verdana"/>
          <w:noProof/>
          <w:sz w:val="20"/>
          <w:szCs w:val="20"/>
        </w:rPr>
      </w:pPr>
      <w:r>
        <w:rPr>
          <w:rFonts w:ascii="Verdana" w:hAnsi="Verdana"/>
          <w:noProof/>
          <w:sz w:val="20"/>
        </w:rPr>
        <w:t>På denne dramatiske baggrund var EU's budget for humanitær bistand i 2016 det højeste nogensinde, nemlig på 1,8 mia. EUR</w:t>
      </w:r>
      <w:r>
        <w:rPr>
          <w:rStyle w:val="FootnoteReference"/>
          <w:rFonts w:ascii="Verdana" w:hAnsi="Verdana"/>
          <w:noProof/>
          <w:sz w:val="20"/>
        </w:rPr>
        <w:footnoteReference w:id="1"/>
      </w:r>
      <w:r>
        <w:rPr>
          <w:rFonts w:ascii="Verdana" w:hAnsi="Verdana"/>
          <w:noProof/>
          <w:sz w:val="20"/>
        </w:rPr>
        <w:t xml:space="preserve">. </w:t>
      </w:r>
    </w:p>
    <w:p>
      <w:pPr>
        <w:jc w:val="both"/>
        <w:rPr>
          <w:rFonts w:ascii="Verdana" w:hAnsi="Verdana"/>
          <w:b/>
          <w:noProof/>
          <w:sz w:val="20"/>
          <w:szCs w:val="20"/>
        </w:rPr>
      </w:pPr>
      <w:r>
        <w:rPr>
          <w:rFonts w:ascii="Verdana" w:hAnsi="Verdana"/>
          <w:b/>
          <w:noProof/>
          <w:sz w:val="20"/>
        </w:rPr>
        <w:t>Reaktionen på krisen i Syrien</w:t>
      </w:r>
    </w:p>
    <w:p>
      <w:pPr>
        <w:jc w:val="both"/>
        <w:rPr>
          <w:rFonts w:ascii="Verdana" w:hAnsi="Verdana"/>
          <w:noProof/>
          <w:sz w:val="20"/>
          <w:szCs w:val="20"/>
        </w:rPr>
      </w:pPr>
      <w:r>
        <w:rPr>
          <w:rFonts w:ascii="Verdana" w:hAnsi="Verdana"/>
          <w:noProof/>
          <w:sz w:val="20"/>
        </w:rPr>
        <w:t xml:space="preserve">En betydelig del af EU's budget for humanitær bistand i 2016 gik til støtte til flygtninge i de lande, der er mest direkte berørt af krisen i Syrien, samt til mennesker i Syrien med behov for humanitær bistand. </w:t>
      </w:r>
    </w:p>
    <w:p>
      <w:pPr>
        <w:jc w:val="both"/>
        <w:rPr>
          <w:rFonts w:ascii="Verdana" w:hAnsi="Verdana"/>
          <w:noProof/>
          <w:sz w:val="20"/>
          <w:szCs w:val="20"/>
        </w:rPr>
      </w:pPr>
      <w:r>
        <w:rPr>
          <w:rFonts w:ascii="Verdana" w:hAnsi="Verdana"/>
          <w:noProof/>
          <w:sz w:val="20"/>
        </w:rPr>
        <w:t xml:space="preserve">Kommissionen har således afsat 454 mio. EUR til humanitære operationer i Syrien og nabolandene i overensstemmelse med de tilsagn, der blev givet på Londonkonferencen i februar 2016. </w:t>
      </w:r>
    </w:p>
    <w:p>
      <w:pPr>
        <w:jc w:val="both"/>
        <w:rPr>
          <w:rFonts w:ascii="Verdana" w:hAnsi="Verdana"/>
          <w:noProof/>
          <w:sz w:val="20"/>
          <w:szCs w:val="20"/>
        </w:rPr>
      </w:pPr>
      <w:r>
        <w:rPr>
          <w:rFonts w:ascii="Verdana" w:hAnsi="Verdana"/>
          <w:noProof/>
          <w:sz w:val="20"/>
        </w:rPr>
        <w:t>I Syrien gik næsten halvdelen af Kommissionens humanitære bistand til øjeblikkelige livreddende operationer og humanitære nødhjælpsoperationer. Derudover omfattede støtten tilvejebringelse af sikkert drikkevand, sanitet og hygiejne, fødevarer, beskyttelse af børn og nødforsyninger. I Jordan og Libanon er en del af EU's humanitære bistand blevet ydet som kontant bistand til de mest sårbare flygtninge, livreddende sekundær sundhedspleje, ikkeformel uddannelse, indkvartering samt vand, hygiejne og sanitet. Indsatsen fokuserede også på stærk opbakning på internationalt plan til uhindret humanitær adgang, beskyttelse af flygtninge og overholdelse af den humanitære folkeret.</w:t>
      </w:r>
    </w:p>
    <w:p>
      <w:pPr>
        <w:jc w:val="both"/>
        <w:rPr>
          <w:rFonts w:ascii="Verdana" w:hAnsi="Verdana"/>
          <w:noProof/>
          <w:sz w:val="20"/>
          <w:szCs w:val="20"/>
        </w:rPr>
      </w:pPr>
      <w:r>
        <w:rPr>
          <w:rFonts w:ascii="Verdana" w:hAnsi="Verdana"/>
          <w:noProof/>
          <w:sz w:val="20"/>
        </w:rPr>
        <w:t>I 2016 indførte EU også flygtningefaciliteten for Tyrkiet</w:t>
      </w:r>
      <w:r>
        <w:rPr>
          <w:rStyle w:val="FootnoteReference"/>
          <w:rFonts w:ascii="Verdana" w:hAnsi="Verdana"/>
          <w:noProof/>
          <w:sz w:val="20"/>
        </w:rPr>
        <w:footnoteReference w:id="2"/>
      </w:r>
      <w:r>
        <w:rPr>
          <w:rFonts w:ascii="Verdana" w:hAnsi="Verdana"/>
          <w:noProof/>
          <w:sz w:val="20"/>
        </w:rPr>
        <w:t xml:space="preserve"> for at bidrage til at dække behovene hos de 3 mio. flygtninge, der opholder sig i Tyrkiet. Den humanitære del af faciliteten for 2016 og 2017 på 1,4 mia. EUR fokuserer primært på at støtte flygtninge uden for lejrene (der udgør langt størstedelen af flygtningene i Tyrkiet, og som også er de mest sårbare). Med henblik herpå iværksatte Kommissionen – gennem Verdensfødevareprogrammet og Tyrkisk Røde Halvmåne – EU's hidtil største humanitære projekt, nemlig det sociale krisesikkerhedsnet (ESSN), der sigter mod at tilvejebringe månedlige kontantoverførsler til én million af de mest sårbare flygtninge ved hjælp af debetkort.</w:t>
      </w:r>
    </w:p>
    <w:p>
      <w:pPr>
        <w:jc w:val="both"/>
        <w:rPr>
          <w:rFonts w:ascii="Verdana" w:hAnsi="Verdana"/>
          <w:b/>
          <w:noProof/>
          <w:sz w:val="20"/>
          <w:szCs w:val="20"/>
        </w:rPr>
      </w:pPr>
      <w:r>
        <w:rPr>
          <w:rFonts w:ascii="Verdana" w:hAnsi="Verdana"/>
          <w:b/>
          <w:noProof/>
          <w:sz w:val="20"/>
        </w:rPr>
        <w:t>Reaktionen på de humanitære behov i Afrika</w:t>
      </w:r>
    </w:p>
    <w:p>
      <w:pPr>
        <w:jc w:val="both"/>
        <w:rPr>
          <w:rFonts w:ascii="Verdana" w:hAnsi="Verdana"/>
          <w:noProof/>
          <w:sz w:val="20"/>
          <w:szCs w:val="20"/>
        </w:rPr>
      </w:pPr>
      <w:r>
        <w:rPr>
          <w:rFonts w:ascii="Verdana" w:hAnsi="Verdana"/>
          <w:noProof/>
          <w:sz w:val="20"/>
        </w:rPr>
        <w:t>Ligesom i de foregående år var reaktionen på de humanitære kriser i Afrika en anden væsentlig del af EU's humanitære bistand med særligt fokus på de komplekse nødsituationer i hele Sahel-området og på Afrikas Horn og regionen omkring Tchadsøen, hvor fødevaresikkerhedskriser var tynget af en række langvarige konflikter. Kommissionen har alt i alt bevilget 747 mio. EUR til bekæmpelse af kriser i Afrika syd for Sahara. Heraf gik de største tildelinger til Sudan og Sydsudan (192 mio. EUR) og Afrikas Horn (203 mio. EUR) samt Vestafrika (140 mio. EUR). Både på Afrikas Horn og i Sahel var et centralt element i Kommissionens strategi at sikre tætte forbindelser med EU's udviklingsbistand med henblik på at støtte de berørte samfunds modstandsdygtighed. I Den Centralafrikanske Republik (CAR) var EU fortsat en meget aktiv humanitær donor i overensstemmelse med EU's vedvarende højprofilerede engagement i CAR, hvor det ydede kort- og langsigtet bistand og støtte til opbygning af modstandsdygtighed for ofrene for konflikten i selve landet samt til flygtninge i nabolandene.</w:t>
      </w:r>
    </w:p>
    <w:p>
      <w:pPr>
        <w:jc w:val="both"/>
        <w:rPr>
          <w:rFonts w:ascii="Verdana" w:hAnsi="Verdana"/>
          <w:b/>
          <w:noProof/>
          <w:sz w:val="20"/>
          <w:szCs w:val="20"/>
        </w:rPr>
      </w:pPr>
      <w:r>
        <w:rPr>
          <w:rFonts w:ascii="Verdana" w:hAnsi="Verdana"/>
          <w:b/>
          <w:noProof/>
          <w:sz w:val="20"/>
        </w:rPr>
        <w:t>Irak, det bredere Mellemøsten og Nordafrika</w:t>
      </w:r>
    </w:p>
    <w:p>
      <w:pPr>
        <w:jc w:val="both"/>
        <w:rPr>
          <w:rFonts w:ascii="Verdana" w:hAnsi="Verdana"/>
          <w:noProof/>
          <w:sz w:val="20"/>
          <w:szCs w:val="20"/>
        </w:rPr>
      </w:pPr>
      <w:r>
        <w:rPr>
          <w:rFonts w:ascii="Verdana" w:hAnsi="Verdana"/>
          <w:noProof/>
          <w:sz w:val="20"/>
        </w:rPr>
        <w:t>EU spillede en central rolle med hensyn til at yde bistand til ofrene for konflikten i Irak (159 mio. EUR) og førte an i de internationale bestræbelser (bl.a. på et møde på højt plan i FN's Generalforsamling, som blev ledet af kommissær Stylianides). EU har også bidraget med at levere og koordinere bistand i form af naturalier fra medlemsstaterne gennem EU's civilbeskyttelsesordning</w:t>
      </w:r>
      <w:r>
        <w:rPr>
          <w:rStyle w:val="FootnoteReference"/>
          <w:rFonts w:ascii="Verdana" w:hAnsi="Verdana"/>
          <w:noProof/>
          <w:sz w:val="20"/>
        </w:rPr>
        <w:footnoteReference w:id="3"/>
      </w:r>
      <w:r>
        <w:rPr>
          <w:rFonts w:ascii="Verdana" w:hAnsi="Verdana"/>
          <w:noProof/>
          <w:sz w:val="20"/>
        </w:rPr>
        <w:t xml:space="preserve"> i forbindelse med konflikten omkring Mosul. </w:t>
      </w:r>
    </w:p>
    <w:p>
      <w:pPr>
        <w:jc w:val="both"/>
        <w:rPr>
          <w:rFonts w:ascii="Verdana" w:hAnsi="Verdana"/>
          <w:noProof/>
          <w:sz w:val="20"/>
          <w:szCs w:val="20"/>
        </w:rPr>
      </w:pPr>
      <w:r>
        <w:rPr>
          <w:rFonts w:ascii="Verdana" w:hAnsi="Verdana"/>
          <w:noProof/>
          <w:sz w:val="20"/>
        </w:rPr>
        <w:t>Endvidere fortsatte EU med at yde betydelig støtte til humanitære operationer i Yemen (70 mio. EUR), hvor situationen fortsat forværredes, både hvad angår basale humanitære behov og overholdelse af den humanitære folkeret, samt i Palæstina (25 mio. EUR). I Nordafrika blev der ydet fortsat støtte for at bidrage til at opfylde de humanitære behov hos Sahrawi-flygtningene samt den konfliktramte befolkning i Libyen.</w:t>
      </w:r>
    </w:p>
    <w:p>
      <w:pPr>
        <w:jc w:val="both"/>
        <w:rPr>
          <w:rFonts w:ascii="Verdana" w:hAnsi="Verdana"/>
          <w:b/>
          <w:noProof/>
          <w:sz w:val="20"/>
          <w:szCs w:val="20"/>
        </w:rPr>
      </w:pPr>
      <w:r>
        <w:rPr>
          <w:rFonts w:ascii="Verdana" w:hAnsi="Verdana"/>
          <w:b/>
          <w:noProof/>
          <w:sz w:val="20"/>
        </w:rPr>
        <w:t>Ukraine</w:t>
      </w:r>
    </w:p>
    <w:p>
      <w:pPr>
        <w:jc w:val="both"/>
        <w:rPr>
          <w:rFonts w:ascii="Verdana" w:hAnsi="Verdana"/>
          <w:noProof/>
          <w:sz w:val="20"/>
          <w:szCs w:val="20"/>
        </w:rPr>
      </w:pPr>
      <w:r>
        <w:rPr>
          <w:rFonts w:ascii="Verdana" w:hAnsi="Verdana"/>
          <w:noProof/>
          <w:sz w:val="20"/>
        </w:rPr>
        <w:t>EU var fortsat en af de største donorer af humanitær bistand i forbindelse med krisen i Ukraine og stillede fødevarer, husly, sundhedsydelser og psykologisk bistand til rådighed for de mest sårbare mennesker, der lider under konflikten i det østlige Ukraine. I alt blev der tilvejebragt 28,4 mio. EUR til EU's humanitære indsats i forbindelse med krisen.</w:t>
      </w:r>
    </w:p>
    <w:p>
      <w:pPr>
        <w:jc w:val="both"/>
        <w:rPr>
          <w:rFonts w:ascii="Verdana" w:hAnsi="Verdana"/>
          <w:b/>
          <w:noProof/>
          <w:sz w:val="20"/>
          <w:szCs w:val="20"/>
        </w:rPr>
      </w:pPr>
    </w:p>
    <w:p>
      <w:pPr>
        <w:jc w:val="both"/>
        <w:rPr>
          <w:rFonts w:ascii="Verdana" w:hAnsi="Verdana"/>
          <w:b/>
          <w:noProof/>
          <w:sz w:val="20"/>
          <w:szCs w:val="20"/>
        </w:rPr>
      </w:pPr>
      <w:r>
        <w:rPr>
          <w:rFonts w:ascii="Verdana" w:hAnsi="Verdana"/>
          <w:b/>
          <w:noProof/>
          <w:sz w:val="20"/>
        </w:rPr>
        <w:t>Imødegåelse af naturkatastrofer</w:t>
      </w:r>
    </w:p>
    <w:p>
      <w:pPr>
        <w:jc w:val="both"/>
        <w:rPr>
          <w:rFonts w:ascii="Verdana" w:hAnsi="Verdana"/>
          <w:noProof/>
          <w:sz w:val="20"/>
          <w:szCs w:val="20"/>
        </w:rPr>
      </w:pPr>
      <w:r>
        <w:rPr>
          <w:rFonts w:ascii="Verdana" w:hAnsi="Verdana"/>
          <w:noProof/>
          <w:sz w:val="20"/>
        </w:rPr>
        <w:t>Det var også en vigtig prioritet for Kommissionen i 2016 at reagere hurtigt og effektivt på naturkatastrofer. Dette sker både ved at trække på humanitær bistand gennem partnerorganisationer og på EU's civilbeskyttelsesordning, der fremmer og koordinerer medlemsstaternes bistand i form af naturalier gennem Det Europæiske Beredskabskoordineringscenter (ERCC).</w:t>
      </w:r>
    </w:p>
    <w:p>
      <w:pPr>
        <w:jc w:val="both"/>
        <w:rPr>
          <w:rFonts w:ascii="Verdana" w:hAnsi="Verdana"/>
          <w:noProof/>
          <w:sz w:val="20"/>
          <w:szCs w:val="20"/>
        </w:rPr>
      </w:pPr>
      <w:r>
        <w:rPr>
          <w:rFonts w:ascii="Verdana" w:hAnsi="Verdana"/>
          <w:noProof/>
          <w:sz w:val="20"/>
        </w:rPr>
        <w:t>I 2016 var reaktionen på fænomenet El Niño 2016 – et af de værste, der er registreret – en vigtig prioritet. Kommissionen bevilgede 298 mio. EUR i humanitær nødhjælp til de mennesker, der var berørt af El Niño.</w:t>
      </w:r>
    </w:p>
    <w:p>
      <w:pPr>
        <w:jc w:val="both"/>
        <w:rPr>
          <w:rFonts w:ascii="Verdana" w:hAnsi="Verdana"/>
          <w:noProof/>
          <w:sz w:val="20"/>
          <w:szCs w:val="20"/>
        </w:rPr>
      </w:pPr>
      <w:r>
        <w:rPr>
          <w:rFonts w:ascii="Verdana" w:hAnsi="Verdana"/>
          <w:noProof/>
          <w:sz w:val="20"/>
        </w:rPr>
        <w:t>Kommissionen var også rede til at yde støtte i tilfælde af pludseligt indtrufne katastrofer. EU ydede navnlig støtte til ofrene for den tropiske orkan Winston i Fiji og tørken i Papua Ny Guinea og hjalp de mennesker, der var berørt af jordskælvet i Ecuador i 2016, med både humanitær bistand og mobilisering af europæisk civilbeskyttelsesbistand.</w:t>
      </w:r>
    </w:p>
    <w:p>
      <w:pPr>
        <w:jc w:val="both"/>
        <w:rPr>
          <w:rFonts w:ascii="Verdana" w:hAnsi="Verdana"/>
          <w:b/>
          <w:noProof/>
          <w:sz w:val="20"/>
          <w:szCs w:val="20"/>
        </w:rPr>
      </w:pPr>
      <w:r>
        <w:rPr>
          <w:rFonts w:ascii="Verdana" w:hAnsi="Verdana"/>
          <w:b/>
          <w:noProof/>
          <w:sz w:val="20"/>
        </w:rPr>
        <w:t>Tværgående spørgsmål</w:t>
      </w:r>
    </w:p>
    <w:p>
      <w:pPr>
        <w:jc w:val="both"/>
        <w:rPr>
          <w:rFonts w:ascii="Verdana" w:hAnsi="Verdana"/>
          <w:noProof/>
          <w:sz w:val="20"/>
          <w:szCs w:val="20"/>
          <w:u w:val="single"/>
        </w:rPr>
      </w:pPr>
      <w:r>
        <w:rPr>
          <w:rFonts w:ascii="Verdana" w:hAnsi="Verdana"/>
          <w:noProof/>
          <w:sz w:val="20"/>
          <w:u w:val="single"/>
        </w:rPr>
        <w:t>Undervisning under kriser</w:t>
      </w:r>
    </w:p>
    <w:p>
      <w:pPr>
        <w:jc w:val="both"/>
        <w:rPr>
          <w:rFonts w:ascii="Verdana" w:hAnsi="Verdana"/>
          <w:noProof/>
          <w:sz w:val="20"/>
          <w:szCs w:val="20"/>
        </w:rPr>
      </w:pPr>
      <w:r>
        <w:rPr>
          <w:rFonts w:ascii="Verdana" w:hAnsi="Verdana"/>
          <w:noProof/>
          <w:sz w:val="20"/>
        </w:rPr>
        <w:t>Fremme af undervisning under kriser har været en vigtig prioritet for Kommissionen i de senere år. I 2016 afsatte Kommissionen mere end 4 % af sit oprindelige budget for humanitær bistand til uddannelsesprogrammer i forbindelse med humanitære kriser i overensstemmelse med de tilsagn, som kommissær Stylianides gav i begyndelsen af sin embedsperiode.</w:t>
      </w:r>
    </w:p>
    <w:p>
      <w:pPr>
        <w:jc w:val="both"/>
        <w:rPr>
          <w:rFonts w:ascii="Verdana" w:hAnsi="Verdana"/>
          <w:noProof/>
          <w:sz w:val="20"/>
          <w:szCs w:val="20"/>
          <w:u w:val="single"/>
        </w:rPr>
      </w:pPr>
      <w:r>
        <w:rPr>
          <w:rFonts w:ascii="Verdana" w:hAnsi="Verdana"/>
          <w:noProof/>
          <w:sz w:val="20"/>
          <w:u w:val="single"/>
        </w:rPr>
        <w:t>Det humanitære verdenstopmøde</w:t>
      </w:r>
    </w:p>
    <w:p>
      <w:pPr>
        <w:jc w:val="both"/>
        <w:rPr>
          <w:rFonts w:ascii="Verdana" w:hAnsi="Verdana"/>
          <w:noProof/>
          <w:sz w:val="20"/>
          <w:szCs w:val="20"/>
        </w:rPr>
      </w:pPr>
      <w:r>
        <w:rPr>
          <w:rFonts w:ascii="Verdana" w:hAnsi="Verdana"/>
          <w:noProof/>
          <w:sz w:val="20"/>
        </w:rPr>
        <w:t>Kommissionen deltog aktivt i det humanitære verdenstopmøde (WHS) den 23.-24. maj 2016 i Istanbul. EU gav ca. 100 tilsagn. Disse omfattede en ny, udviklingsorienteret politik vedrørende tvangsfordrivelse</w:t>
      </w:r>
      <w:r>
        <w:rPr>
          <w:rStyle w:val="FootnoteReference"/>
          <w:rFonts w:ascii="Verdana" w:hAnsi="Verdana"/>
          <w:noProof/>
          <w:sz w:val="20"/>
        </w:rPr>
        <w:footnoteReference w:id="4"/>
      </w:r>
      <w:r>
        <w:rPr>
          <w:rFonts w:ascii="Verdana" w:hAnsi="Verdana"/>
          <w:noProof/>
          <w:sz w:val="20"/>
        </w:rPr>
        <w:t>, nye retningslinjer for humanitær beskyttelse, aktivt engagement og tiltrædelse af "Grand Bargain"-aftalen med henblik på at forbedre støttens effektivitet, fortsat støtte til undervisning under kriser via budgettet for humanitær bistand samt tiltrædelse af chartret om integration af personer med handicap i den humanitære indsats</w:t>
      </w:r>
      <w:r>
        <w:rPr>
          <w:rFonts w:ascii="Verdana" w:hAnsi="Verdana"/>
          <w:noProof/>
          <w:sz w:val="20"/>
          <w:vertAlign w:val="superscript"/>
        </w:rPr>
        <w:footnoteReference w:id="5"/>
      </w:r>
      <w:r>
        <w:rPr>
          <w:rFonts w:ascii="Verdana" w:hAnsi="Verdana"/>
          <w:noProof/>
          <w:sz w:val="20"/>
        </w:rPr>
        <w:t xml:space="preserve"> og chartret om kriser i byområder</w:t>
      </w:r>
      <w:r>
        <w:rPr>
          <w:rFonts w:ascii="Verdana" w:hAnsi="Verdana"/>
          <w:noProof/>
          <w:sz w:val="20"/>
          <w:vertAlign w:val="superscript"/>
        </w:rPr>
        <w:footnoteReference w:id="6"/>
      </w:r>
      <w:r>
        <w:rPr>
          <w:rFonts w:ascii="Verdana" w:hAnsi="Verdana"/>
          <w:noProof/>
          <w:sz w:val="20"/>
        </w:rPr>
        <w:t>.</w:t>
      </w:r>
    </w:p>
    <w:p>
      <w:pPr>
        <w:jc w:val="both"/>
        <w:rPr>
          <w:rFonts w:ascii="Verdana" w:hAnsi="Verdana"/>
          <w:noProof/>
          <w:sz w:val="20"/>
          <w:szCs w:val="20"/>
          <w:u w:val="single"/>
        </w:rPr>
      </w:pPr>
      <w:r>
        <w:rPr>
          <w:rFonts w:ascii="Verdana" w:hAnsi="Verdana"/>
          <w:noProof/>
          <w:sz w:val="20"/>
          <w:u w:val="single"/>
        </w:rPr>
        <w:t>Grand Bargain-aftalen</w:t>
      </w:r>
    </w:p>
    <w:p>
      <w:pPr>
        <w:jc w:val="both"/>
        <w:rPr>
          <w:rFonts w:ascii="Verdana" w:hAnsi="Verdana"/>
          <w:noProof/>
          <w:sz w:val="20"/>
          <w:szCs w:val="20"/>
        </w:rPr>
      </w:pPr>
      <w:r>
        <w:rPr>
          <w:rFonts w:ascii="Verdana" w:hAnsi="Verdana"/>
          <w:noProof/>
          <w:sz w:val="20"/>
        </w:rPr>
        <w:t>Kommissionen spillede en ledende rolle i forhandlingen af Grand Bargain-aftalen frem til det humanitære verdenstopmøde samt i det første år af gennemførelsen af sine tilsagn. Med Grand Bargain-aftalen har donorer og gennemførelsesorganer forpligtet sig til en pakke af foranstaltninger med henblik på at øge effektiviteten af den humanitære indsats i en ånd af samarbejde og gensidig forpligtelse. Ud over sin rolle som formidler af Grand Bargain-aftalen som helhed indkalder Kommissionen sammen med andre partnere til møder om arbejdet med upartiske og omfattende vurderinger af de humanitære behov. Dette arbejde anses for at være af afgørende betydning, da det danner grundlag for strategisk planlægning og finansiering samt for en målrettet og effektiv humanitær indsats.</w:t>
      </w:r>
    </w:p>
    <w:p>
      <w:pPr>
        <w:jc w:val="both"/>
        <w:rPr>
          <w:rFonts w:ascii="Verdana" w:hAnsi="Verdana"/>
          <w:noProof/>
          <w:sz w:val="20"/>
          <w:szCs w:val="20"/>
          <w:u w:val="single"/>
        </w:rPr>
      </w:pPr>
      <w:r>
        <w:rPr>
          <w:rFonts w:ascii="Verdana" w:hAnsi="Verdana"/>
          <w:noProof/>
          <w:sz w:val="20"/>
          <w:u w:val="single"/>
        </w:rPr>
        <w:t>Sammenhængen mellem humanitær bistand og udvikling</w:t>
      </w:r>
    </w:p>
    <w:p>
      <w:pPr>
        <w:jc w:val="both"/>
        <w:rPr>
          <w:rFonts w:ascii="Verdana" w:hAnsi="Verdana"/>
          <w:noProof/>
          <w:sz w:val="20"/>
          <w:szCs w:val="20"/>
        </w:rPr>
      </w:pPr>
      <w:r>
        <w:rPr>
          <w:rFonts w:ascii="Verdana" w:hAnsi="Verdana"/>
          <w:noProof/>
          <w:sz w:val="20"/>
        </w:rPr>
        <w:t>Betydningen af sammenhængen mellem humanitær bistand og udvikling indtog en meget central plads i drøftelserne både ved en række centrale multilaterale arrangementer og på europæisk plan. I 2016 skete der fremskridt i denne henseende både på politisk plan (såsom den fornyede europæiske udviklingskonsensus</w:t>
      </w:r>
      <w:r>
        <w:rPr>
          <w:rStyle w:val="FootnoteReference"/>
          <w:rFonts w:ascii="Verdana" w:hAnsi="Verdana"/>
          <w:noProof/>
          <w:sz w:val="20"/>
        </w:rPr>
        <w:footnoteReference w:id="7"/>
      </w:r>
      <w:r>
        <w:rPr>
          <w:rFonts w:ascii="Verdana" w:hAnsi="Verdana"/>
          <w:noProof/>
          <w:sz w:val="20"/>
        </w:rPr>
        <w:t xml:space="preserve">, det humanitære verdenstopmøde og Grand Bargain-aftalen) og på operationelt plan.  </w:t>
      </w:r>
    </w:p>
    <w:p>
      <w:pPr>
        <w:jc w:val="both"/>
        <w:rPr>
          <w:rFonts w:ascii="Verdana" w:hAnsi="Verdana"/>
          <w:noProof/>
          <w:sz w:val="20"/>
          <w:szCs w:val="20"/>
        </w:rPr>
      </w:pPr>
      <w:r>
        <w:rPr>
          <w:rFonts w:ascii="Verdana" w:hAnsi="Verdana"/>
          <w:noProof/>
          <w:sz w:val="20"/>
        </w:rPr>
        <w:t xml:space="preserve">Kommissionens tjenestegrene arbejdede tæt sammen i Haiti om reaktionen på orkanen Matthew, navnlig med henblik på at styrke fødevaresikkerheden og landdistrikternes modstandsdygtighed og forbedre byernes modstandsdygtighed. I Nigeria blev der udarbejdet en fælles strategi for modstandsdygtighed for at tackle den komplekse krise i den nordøstlige del af landet. Kommissionens tjenestegrene tog foreløbige skridt til i fællesskab at identificere pilotlande med henblik på yderligere at styrke det humanitære udviklingssamarbejde og fremvise det som et mønstereksempel. </w:t>
      </w:r>
    </w:p>
    <w:p>
      <w:pPr>
        <w:jc w:val="both"/>
        <w:rPr>
          <w:rFonts w:ascii="Verdana" w:hAnsi="Verdana"/>
          <w:noProof/>
          <w:sz w:val="20"/>
          <w:szCs w:val="20"/>
        </w:rPr>
      </w:pPr>
      <w:r>
        <w:rPr>
          <w:rFonts w:ascii="Verdana" w:hAnsi="Verdana"/>
          <w:noProof/>
          <w:sz w:val="20"/>
        </w:rPr>
        <w:t>I forbindelse med tvangsfordrivelse arbejder Kommissionens tjenestegrene og Tjenesten for EU's Optræden Udadtil (EU-Udenrigstjenesten) tæt sammen om at støtte operationer på området med henblik på at implementere den samlede, udviklingsorienterede tilgang til tvangsfordrivelse. Dette er også en opfølgning af New York-erklæringen om flygtninge og migranter, der blev vedtaget af FN's Generalforsamling den 19. september 2016. Det bidrager endvidere til at fremme gennemførelsen af Den Europæiske Unions globale strategi, der blev offentliggjort i 2016.</w:t>
      </w:r>
    </w:p>
    <w:p>
      <w:pPr>
        <w:jc w:val="both"/>
        <w:rPr>
          <w:rFonts w:ascii="Verdana" w:hAnsi="Verdana"/>
          <w:noProof/>
          <w:sz w:val="20"/>
          <w:szCs w:val="20"/>
        </w:rPr>
      </w:pPr>
      <w:r>
        <w:rPr>
          <w:rFonts w:ascii="Verdana" w:hAnsi="Verdana"/>
          <w:noProof/>
          <w:sz w:val="20"/>
        </w:rPr>
        <w:t>Det humanitære samarbejde og udviklingssamarbejdet er blevet styrket som reaktion på de uddannelsesmæssige behov hos børn, der er berørt af kriser og konflikter, og for at opbygge mere holdbare uddannelsessystemer i skrøbelige situationer og krisesituationer med fonden "Education cannot wait" (uddannelse kan ikke vente), der blev lanceret på det humanitære verdenstopmøde.</w:t>
      </w:r>
    </w:p>
    <w:p>
      <w:pPr>
        <w:jc w:val="both"/>
        <w:rPr>
          <w:rFonts w:ascii="Verdana" w:hAnsi="Verdana"/>
          <w:noProof/>
          <w:sz w:val="20"/>
          <w:szCs w:val="20"/>
        </w:rPr>
      </w:pPr>
      <w:r>
        <w:rPr>
          <w:rFonts w:ascii="Verdana" w:hAnsi="Verdana"/>
          <w:noProof/>
          <w:sz w:val="20"/>
        </w:rPr>
        <w:t>Kommissionen fortsatte også med at anvende "sammenhængstilgangen" for at forbedre fødevare- og ernæringssikkerheden i Sahel gennem AGIR-initiativet "Global Alliance for Resilience" (Global alliance for modstandsdygtighed). I den forbindelse gav EU tilsagn om 1,5 mia. EUR i udviklingsbistand til støtte for aktiviteter vedrørende opbygning af modstandsdygtighed i Vestafrika for perioden 2014-2020.</w:t>
      </w:r>
    </w:p>
    <w:p>
      <w:pPr>
        <w:jc w:val="both"/>
        <w:rPr>
          <w:rFonts w:ascii="Verdana" w:hAnsi="Verdana"/>
          <w:noProof/>
          <w:sz w:val="20"/>
          <w:szCs w:val="20"/>
        </w:rPr>
      </w:pPr>
      <w:r>
        <w:rPr>
          <w:rFonts w:ascii="Verdana" w:hAnsi="Verdana"/>
          <w:noProof/>
          <w:sz w:val="20"/>
        </w:rPr>
        <w:t>El Niño-krisen i 2015-2016 var et andet godt eksempel på den fælles indsats mellem humanitære aktører og udviklingsaktører samt mellem det internationale samfund og nationale og lokale myndigheder. Den samlede EU-støtte beløb sig til 539 mio. EUR.</w:t>
      </w:r>
    </w:p>
    <w:p>
      <w:pPr>
        <w:jc w:val="both"/>
        <w:rPr>
          <w:rFonts w:ascii="Verdana" w:hAnsi="Verdana"/>
          <w:noProof/>
          <w:sz w:val="20"/>
          <w:szCs w:val="20"/>
        </w:rPr>
      </w:pPr>
      <w:r>
        <w:rPr>
          <w:rFonts w:ascii="Verdana" w:hAnsi="Verdana"/>
          <w:noProof/>
          <w:sz w:val="20"/>
        </w:rPr>
        <w:t xml:space="preserve">Gennem sit arbejde i kriseramte lande har EU fortsat anvendt princippet om "ikke at gøre skade" og har bestræbt sig på at sikre en konfliktfølsom tilgang i de foranstaltninger, som det støtter. </w:t>
      </w:r>
    </w:p>
    <w:p>
      <w:pPr>
        <w:jc w:val="both"/>
        <w:rPr>
          <w:rFonts w:ascii="Verdana" w:hAnsi="Verdana"/>
          <w:noProof/>
          <w:sz w:val="20"/>
          <w:szCs w:val="20"/>
          <w:u w:val="single"/>
        </w:rPr>
      </w:pPr>
      <w:r>
        <w:rPr>
          <w:rFonts w:ascii="Verdana" w:hAnsi="Verdana"/>
          <w:noProof/>
          <w:sz w:val="20"/>
          <w:u w:val="single"/>
        </w:rPr>
        <w:t>Kontanter som bistandsform</w:t>
      </w:r>
    </w:p>
    <w:p>
      <w:pPr>
        <w:jc w:val="both"/>
        <w:rPr>
          <w:noProof/>
        </w:rPr>
      </w:pPr>
      <w:r>
        <w:rPr>
          <w:rFonts w:ascii="Verdana" w:hAnsi="Verdana"/>
          <w:noProof/>
          <w:sz w:val="20"/>
        </w:rPr>
        <w:t>Kommissionen har i overensstemmelse med sine forpligtelser i henhold til "Grand Bargain"-aftalen videreudviklet brugen af kontantbaseret bistand, når det var relevant. Kontanter som bistandsform er i stigende grad blevet anvendt i form af ubegrænsede overførsler til mange formål, som sikrer målbefolkningen værdighed, valgmuligheder og fleksibilitet. Andre fordele ved at anvende kontanter som bistandsform er større effektivitet, mere værdi for pengene og i sidste ende større effektivitet for donorerne og skatteyderne, idet mere bistand når ud til de mest sårbare befolkningsgrupper. Når det er muligt og hensigtsmæssigt, blev der også gjort forsøg på at skabe overensstemmelse med lokale og nationale mekanismer såsom sociale beskyttelsesordninger.</w:t>
      </w:r>
    </w:p>
    <w:p>
      <w:pPr>
        <w:jc w:val="both"/>
        <w:rPr>
          <w:rFonts w:ascii="Verdana" w:hAnsi="Verdana"/>
          <w:noProof/>
          <w:sz w:val="20"/>
          <w:szCs w:val="20"/>
          <w:u w:val="single"/>
        </w:rPr>
      </w:pPr>
      <w:r>
        <w:rPr>
          <w:rFonts w:ascii="Verdana" w:hAnsi="Verdana"/>
          <w:noProof/>
          <w:sz w:val="20"/>
          <w:u w:val="single"/>
        </w:rPr>
        <w:t>Tvangsfordrivelse</w:t>
      </w:r>
    </w:p>
    <w:p>
      <w:pPr>
        <w:jc w:val="both"/>
        <w:rPr>
          <w:noProof/>
          <w:sz w:val="20"/>
          <w:szCs w:val="20"/>
        </w:rPr>
      </w:pPr>
      <w:r>
        <w:rPr>
          <w:rFonts w:ascii="Verdana" w:hAnsi="Verdana"/>
          <w:noProof/>
          <w:sz w:val="20"/>
        </w:rPr>
        <w:t>I betragtning af den voldsomme vækst i antallet af personer, der er blevet fordrevet på grund af konflikter rundt om i verden, og den foruroligende tendens til stadig mere langvarige fordrivelsessituationer vedtog Kommissionen formelt en ny udviklingsorienteret tilgang til tvangsfordrivelse. Politikken sigter mod at forhindre, at tvangsfordrivelse trækker i langdrag, og mod gradvist at bringe afhængigheden af humanitær bistand i eksisterende fordrivelsessituationer til ophør. Den nye tilgang fokuserer på at fremme selvhjulpenhed og sætte de fordrevne i stand til at leve i værdighed og bidrage til deres værtssamfund, indtil frivillig tilbagevenden eller genbosættelse er mulig. For at øge videnbasen om situationer med langvarige fordrivelsessituationer og de underliggende faktorer blev Kommissionens videnscenter om migration og demografi (KCMD) lanceret i juni 2016.</w:t>
      </w:r>
    </w:p>
    <w:p>
      <w:pPr>
        <w:jc w:val="both"/>
        <w:rPr>
          <w:rFonts w:ascii="Verdana" w:hAnsi="Verdana"/>
          <w:noProof/>
          <w:sz w:val="20"/>
          <w:szCs w:val="20"/>
          <w:u w:val="single"/>
        </w:rPr>
      </w:pPr>
      <w:r>
        <w:rPr>
          <w:rFonts w:ascii="Verdana" w:hAnsi="Verdana"/>
          <w:noProof/>
          <w:sz w:val="20"/>
          <w:u w:val="single"/>
        </w:rPr>
        <w:t>Glemte kriser</w:t>
      </w:r>
    </w:p>
    <w:p>
      <w:pPr>
        <w:jc w:val="both"/>
        <w:rPr>
          <w:rFonts w:ascii="Verdana" w:hAnsi="Verdana"/>
          <w:noProof/>
          <w:sz w:val="20"/>
          <w:szCs w:val="20"/>
        </w:rPr>
      </w:pPr>
      <w:r>
        <w:rPr>
          <w:rFonts w:ascii="Verdana" w:hAnsi="Verdana"/>
          <w:noProof/>
          <w:sz w:val="20"/>
        </w:rPr>
        <w:t>EU lagde fortsat særlig vægt på at støtte ofrene for "glemte kriser", som mindst 15 % af det oprindelige budget for humanitær bistand generelt er afsat til. EU fortsatte navnlig sin humanitære bistand til Sahrawi-flygtningene i Algeriet, de internt fordrevne i Myanmar og Sudan, de konfliktramte befolkninger i Pakistan og Darfur-flygtningene i Tchad.</w:t>
      </w:r>
    </w:p>
    <w:p>
      <w:pPr>
        <w:jc w:val="both"/>
        <w:rPr>
          <w:rFonts w:ascii="Verdana" w:hAnsi="Verdana"/>
          <w:noProof/>
          <w:sz w:val="20"/>
          <w:szCs w:val="20"/>
        </w:rPr>
      </w:pPr>
      <w:r>
        <w:rPr>
          <w:rFonts w:ascii="Verdana" w:hAnsi="Verdana"/>
          <w:noProof/>
          <w:sz w:val="20"/>
          <w:u w:val="single"/>
        </w:rPr>
        <w:t>Nødværktøjskasse</w:t>
      </w:r>
    </w:p>
    <w:p>
      <w:pPr>
        <w:jc w:val="both"/>
        <w:rPr>
          <w:rFonts w:ascii="Verdana" w:eastAsia="Times New Roman" w:hAnsi="Verdana"/>
          <w:noProof/>
          <w:sz w:val="20"/>
          <w:szCs w:val="20"/>
        </w:rPr>
      </w:pPr>
      <w:r>
        <w:rPr>
          <w:rFonts w:ascii="Verdana" w:hAnsi="Verdana"/>
          <w:noProof/>
          <w:sz w:val="20"/>
        </w:rPr>
        <w:t xml:space="preserve">EU's nødværktøjskasse for humanitær bistand har til formål at reagere hurtigt på pludseligt opståede krisesituationer. Den består af tre finansieringsmekanismer: én for epidemier, en for lokale foranstaltninger og én for støtte til katastrofefonden (DREF) under Det Internationale Forbund af Røde Kors- og Røde Halvmåne-selskaber. Den finansielle tildeling beløb sig til i alt 11,5 mio. EUR, heraf 3,5 mio. EUR til epidemier, 5 mio. EUR til lokale foranstaltninger og 3 mio. EUR til DREF </w:t>
      </w:r>
    </w:p>
    <w:p>
      <w:pPr>
        <w:jc w:val="both"/>
        <w:rPr>
          <w:rFonts w:ascii="Verdana" w:eastAsia="Times New Roman" w:hAnsi="Verdana"/>
          <w:noProof/>
          <w:sz w:val="20"/>
          <w:szCs w:val="20"/>
          <w:u w:val="single"/>
        </w:rPr>
      </w:pPr>
      <w:r>
        <w:rPr>
          <w:rFonts w:ascii="Verdana" w:hAnsi="Verdana"/>
          <w:noProof/>
          <w:sz w:val="20"/>
          <w:u w:val="single"/>
        </w:rPr>
        <w:t>ECHO Flight og andre humanitære transport- og logistikaktiviteter</w:t>
      </w:r>
    </w:p>
    <w:p>
      <w:pPr>
        <w:jc w:val="both"/>
        <w:rPr>
          <w:rFonts w:ascii="Verdana" w:eastAsia="Times New Roman" w:hAnsi="Verdana"/>
          <w:noProof/>
          <w:sz w:val="20"/>
          <w:szCs w:val="20"/>
        </w:rPr>
      </w:pPr>
      <w:r>
        <w:rPr>
          <w:rFonts w:ascii="Verdana" w:hAnsi="Verdana"/>
          <w:noProof/>
          <w:sz w:val="20"/>
        </w:rPr>
        <w:t xml:space="preserve">I visse krisesituationer er humanitære flyvninger den eneste måde, hvorpå man kan få adgang til fjerntliggende områder og nå ud til mennesker i nød på grund af sikkerhedsmæssige begrænsninger eller mangel på tilstrækkelig infrastruktur. Humanitære flyvninger anvendes også til evakueringer af medicinske og sikkerhedsmæssige grunde. For at dække disse behov for adgang i usikre eller andre vanskelige situationer finansierer Kommissionen specifikke transport- og logistikprogrammer, navnlig gennem FN's humanitære luftfartstjeneste (UNHAS) og gennem logistikklyngen (til et samlet beløb af 20,97 mio. EUR). Kommissionen har også sin egen ECHO-luftfartstjeneste til gavn for humanitære hjælpearbejdere i kriseramte områder i Afrika syd for Sahara (med et budget på lidt under 14 mio. EUR). </w:t>
      </w:r>
    </w:p>
    <w:p>
      <w:pPr>
        <w:jc w:val="both"/>
        <w:rPr>
          <w:rFonts w:ascii="Verdana" w:eastAsia="Times New Roman" w:hAnsi="Verdana"/>
          <w:noProof/>
          <w:sz w:val="20"/>
          <w:szCs w:val="20"/>
          <w:u w:val="single"/>
        </w:rPr>
      </w:pPr>
      <w:r>
        <w:rPr>
          <w:noProof/>
        </w:rPr>
        <w:br w:type="page"/>
      </w:r>
      <w:r>
        <w:rPr>
          <w:rFonts w:ascii="Verdana" w:hAnsi="Verdana"/>
          <w:noProof/>
          <w:sz w:val="20"/>
          <w:u w:val="single"/>
        </w:rPr>
        <w:t>Evaluering af humanitære bistandsoperationer</w:t>
      </w:r>
    </w:p>
    <w:p>
      <w:pPr>
        <w:jc w:val="both"/>
        <w:rPr>
          <w:rFonts w:ascii="Verdana" w:hAnsi="Verdana"/>
          <w:noProof/>
          <w:sz w:val="20"/>
          <w:szCs w:val="20"/>
        </w:rPr>
      </w:pPr>
      <w:r>
        <w:rPr>
          <w:rFonts w:ascii="Verdana" w:hAnsi="Verdana"/>
          <w:noProof/>
          <w:sz w:val="20"/>
        </w:rPr>
        <w:t>GD ECHO's evalueringsprogram løber over fem år og har til formål at sikre fuldstændig dækning af GD ECHO's aktiviteter i denne periode. Med hensyn til humanitær bistand sikres dette ved at gennemføre en række geografiske og tematiske evalueringer, som dækker alle vigtige aspekter af GD ECHO's humanitære interventioner. Dertil kommer, at der i hver femårsperiode udføres én omfattende evaluering, der bygger på 30 eksisterende evalueringer og yderligere forskning, hvis det er relevant. En omfattende undersøgelse af denne art gennemføres i 2017 og dækker perioden 2012-2016. I forbindelse med denne evaluering gennemgås den overordnede gennemførelse af EU's humanitære bistandspolitik.</w:t>
      </w:r>
    </w:p>
    <w:p>
      <w:pPr>
        <w:pStyle w:val="ECHOContentList"/>
        <w:numPr>
          <w:ilvl w:val="0"/>
          <w:numId w:val="0"/>
        </w:numPr>
        <w:rPr>
          <w:b/>
          <w:noProof/>
        </w:rPr>
      </w:pPr>
      <w:r>
        <w:rPr>
          <w:noProof/>
        </w:rPr>
        <w:br w:type="page"/>
      </w:r>
      <w:r>
        <w:rPr>
          <w:b/>
          <w:noProof/>
        </w:rPr>
        <w:t>Budgettet for 2016</w:t>
      </w:r>
    </w:p>
    <w:tbl>
      <w:tblPr>
        <w:tblW w:w="0" w:type="auto"/>
        <w:tblBorders>
          <w:top w:val="nil"/>
          <w:left w:val="nil"/>
          <w:bottom w:val="nil"/>
          <w:right w:val="nil"/>
        </w:tblBorders>
        <w:tblLayout w:type="fixed"/>
        <w:tblLook w:val="0000" w:firstRow="0" w:lastRow="0" w:firstColumn="0" w:lastColumn="0" w:noHBand="0" w:noVBand="0"/>
      </w:tblPr>
      <w:tblGrid>
        <w:gridCol w:w="8865"/>
      </w:tblGrid>
      <w:tr>
        <w:trPr>
          <w:trHeight w:val="118"/>
        </w:trPr>
        <w:tc>
          <w:tcPr>
            <w:tcW w:w="8865" w:type="dxa"/>
          </w:tcPr>
          <w:p>
            <w:pPr>
              <w:autoSpaceDE w:val="0"/>
              <w:autoSpaceDN w:val="0"/>
              <w:adjustRightInd w:val="0"/>
              <w:spacing w:after="0" w:line="240" w:lineRule="auto"/>
              <w:rPr>
                <w:rFonts w:ascii="Verdana" w:hAnsi="Verdana" w:cs="Arial"/>
                <w:noProof/>
                <w:color w:val="000000"/>
                <w:sz w:val="20"/>
                <w:szCs w:val="20"/>
              </w:rPr>
            </w:pPr>
            <w:r>
              <w:rPr>
                <w:rFonts w:ascii="Arial" w:hAnsi="Arial"/>
                <w:noProof/>
                <w:color w:val="000000"/>
                <w:sz w:val="24"/>
              </w:rPr>
              <w:t xml:space="preserve">1. </w:t>
            </w:r>
            <w:r>
              <w:rPr>
                <w:rFonts w:ascii="Verdana" w:hAnsi="Verdana"/>
                <w:noProof/>
                <w:color w:val="000000"/>
                <w:sz w:val="20"/>
              </w:rPr>
              <w:t>Liste over finansieringsaftaler indgået af GD ECHO</w:t>
            </w:r>
            <w:r>
              <w:rPr>
                <w:rStyle w:val="FootnoteReference"/>
                <w:rFonts w:ascii="Verdana" w:hAnsi="Verdana"/>
                <w:noProof/>
                <w:color w:val="000000"/>
                <w:sz w:val="20"/>
              </w:rPr>
              <w:footnoteReference w:id="8"/>
            </w:r>
            <w:r>
              <w:rPr>
                <w:rFonts w:ascii="Verdana" w:hAnsi="Verdana"/>
                <w:noProof/>
                <w:color w:val="000000"/>
                <w:sz w:val="20"/>
              </w:rPr>
              <w:t>:</w:t>
            </w:r>
            <w:r>
              <w:rPr>
                <w:rFonts w:ascii="Verdana" w:hAnsi="Verdana"/>
                <w:b/>
                <w:noProof/>
                <w:color w:val="000000"/>
                <w:sz w:val="20"/>
              </w:rPr>
              <w:t xml:space="preserve"> </w:t>
            </w:r>
          </w:p>
        </w:tc>
      </w:tr>
    </w:tbl>
    <w:p>
      <w:pPr>
        <w:pStyle w:val="ECHOContentList"/>
        <w:numPr>
          <w:ilvl w:val="0"/>
          <w:numId w:val="0"/>
        </w:numPr>
        <w:rPr>
          <w:noProof/>
        </w:rPr>
      </w:pPr>
      <w:hyperlink r:id="rId16">
        <w:r>
          <w:rPr>
            <w:rStyle w:val="Hyperlink"/>
            <w:noProof/>
          </w:rPr>
          <w:t>http://ec.europa.eu/echo/files/funding/agreements/agreements_2016.pdf</w:t>
        </w:r>
      </w:hyperlink>
    </w:p>
    <w:bookmarkEnd w:id="8"/>
    <w:bookmarkEnd w:id="9"/>
    <w:bookmarkEnd w:id="10"/>
    <w:bookmarkEnd w:id="11"/>
    <w:bookmarkEnd w:id="12"/>
    <w:p>
      <w:pPr>
        <w:pStyle w:val="ECHOContentList"/>
        <w:numPr>
          <w:ilvl w:val="0"/>
          <w:numId w:val="0"/>
        </w:numPr>
        <w:tabs>
          <w:tab w:val="left" w:pos="1195"/>
        </w:tabs>
        <w:jc w:val="left"/>
        <w:rPr>
          <w:noProof/>
        </w:rPr>
      </w:pPr>
      <w:r>
        <w:rPr>
          <w:noProof/>
        </w:rPr>
        <w:t xml:space="preserve">2. Gennemførelse af GD ECHO's budget for 2016 </w:t>
      </w:r>
    </w:p>
    <w:tbl>
      <w:tblPr>
        <w:tblW w:w="7528" w:type="dxa"/>
        <w:tblInd w:w="93" w:type="dxa"/>
        <w:tblLook w:val="04A0" w:firstRow="1" w:lastRow="0" w:firstColumn="1" w:lastColumn="0" w:noHBand="0" w:noVBand="1"/>
      </w:tblPr>
      <w:tblGrid>
        <w:gridCol w:w="5423"/>
        <w:gridCol w:w="2105"/>
      </w:tblGrid>
      <w:tr>
        <w:trPr>
          <w:trHeight w:val="405"/>
        </w:trPr>
        <w:tc>
          <w:tcPr>
            <w:tcW w:w="7528" w:type="dxa"/>
            <w:gridSpan w:val="2"/>
            <w:tcBorders>
              <w:top w:val="single" w:sz="4" w:space="0" w:color="auto"/>
              <w:left w:val="single" w:sz="4" w:space="0" w:color="auto"/>
              <w:bottom w:val="single" w:sz="4" w:space="0" w:color="auto"/>
              <w:right w:val="nil"/>
            </w:tcBorders>
            <w:shd w:val="clear" w:color="000000" w:fill="FF6600"/>
            <w:noWrap/>
            <w:vAlign w:val="center"/>
            <w:hideMark/>
          </w:tcPr>
          <w:p>
            <w:pPr>
              <w:spacing w:after="0" w:line="240" w:lineRule="auto"/>
              <w:jc w:val="center"/>
              <w:rPr>
                <w:rFonts w:ascii="Arial Narrow" w:eastAsia="Times New Roman" w:hAnsi="Arial Narrow"/>
                <w:b/>
                <w:bCs/>
                <w:noProof/>
                <w:color w:val="000000"/>
                <w:sz w:val="32"/>
                <w:szCs w:val="32"/>
              </w:rPr>
            </w:pPr>
            <w:r>
              <w:rPr>
                <w:rFonts w:ascii="Arial Narrow" w:hAnsi="Arial Narrow"/>
                <w:b/>
                <w:noProof/>
                <w:color w:val="000000"/>
                <w:sz w:val="32"/>
              </w:rPr>
              <w:t>GENNEMFØRELSE AF ECHO'S BUDGET FOR 2016</w:t>
            </w:r>
          </w:p>
        </w:tc>
      </w:tr>
      <w:tr>
        <w:trPr>
          <w:trHeight w:val="330"/>
        </w:trPr>
        <w:tc>
          <w:tcPr>
            <w:tcW w:w="5423" w:type="dxa"/>
            <w:tcBorders>
              <w:top w:val="nil"/>
              <w:left w:val="nil"/>
              <w:bottom w:val="nil"/>
              <w:right w:val="nil"/>
            </w:tcBorders>
            <w:shd w:val="clear" w:color="auto" w:fill="auto"/>
            <w:noWrap/>
            <w:vAlign w:val="center"/>
            <w:hideMark/>
          </w:tcPr>
          <w:p>
            <w:pPr>
              <w:spacing w:after="0" w:line="240" w:lineRule="auto"/>
              <w:rPr>
                <w:rFonts w:ascii="Arial Narrow" w:eastAsia="Times New Roman" w:hAnsi="Arial Narrow"/>
                <w:noProof/>
                <w:color w:val="000000"/>
              </w:rPr>
            </w:pPr>
          </w:p>
        </w:tc>
        <w:tc>
          <w:tcPr>
            <w:tcW w:w="2105" w:type="dxa"/>
            <w:tcBorders>
              <w:top w:val="nil"/>
              <w:left w:val="nil"/>
              <w:bottom w:val="nil"/>
              <w:right w:val="nil"/>
            </w:tcBorders>
            <w:shd w:val="clear" w:color="auto" w:fill="auto"/>
            <w:noWrap/>
            <w:vAlign w:val="center"/>
            <w:hideMark/>
          </w:tcPr>
          <w:p>
            <w:pPr>
              <w:spacing w:after="0" w:line="240" w:lineRule="auto"/>
              <w:rPr>
                <w:rFonts w:ascii="Arial Narrow" w:eastAsia="Times New Roman" w:hAnsi="Arial Narrow"/>
                <w:noProof/>
                <w:color w:val="000000"/>
              </w:rPr>
            </w:pPr>
          </w:p>
        </w:tc>
      </w:tr>
      <w:tr>
        <w:trPr>
          <w:trHeight w:val="330"/>
        </w:trPr>
        <w:tc>
          <w:tcPr>
            <w:tcW w:w="5423" w:type="dxa"/>
            <w:tcBorders>
              <w:top w:val="single" w:sz="4" w:space="0" w:color="auto"/>
              <w:left w:val="single" w:sz="4" w:space="0" w:color="auto"/>
              <w:bottom w:val="single" w:sz="4" w:space="0" w:color="auto"/>
              <w:right w:val="nil"/>
            </w:tcBorders>
            <w:shd w:val="clear" w:color="000000" w:fill="FF6600"/>
            <w:noWrap/>
            <w:vAlign w:val="center"/>
            <w:hideMark/>
          </w:tcPr>
          <w:p>
            <w:pPr>
              <w:spacing w:after="0" w:line="240" w:lineRule="auto"/>
              <w:jc w:val="center"/>
              <w:rPr>
                <w:rFonts w:ascii="Arial Narrow" w:eastAsia="Times New Roman" w:hAnsi="Arial Narrow"/>
                <w:b/>
                <w:bCs/>
                <w:noProof/>
                <w:color w:val="000000"/>
              </w:rPr>
            </w:pPr>
            <w:r>
              <w:rPr>
                <w:rFonts w:ascii="Arial Narrow" w:hAnsi="Arial Narrow"/>
                <w:b/>
                <w:noProof/>
                <w:color w:val="000000"/>
              </w:rPr>
              <w:t>Område/land</w:t>
            </w:r>
          </w:p>
        </w:tc>
        <w:tc>
          <w:tcPr>
            <w:tcW w:w="2105" w:type="dxa"/>
            <w:tcBorders>
              <w:top w:val="single" w:sz="4" w:space="0" w:color="auto"/>
              <w:left w:val="nil"/>
              <w:bottom w:val="single" w:sz="4" w:space="0" w:color="auto"/>
              <w:right w:val="single" w:sz="4" w:space="0" w:color="auto"/>
            </w:tcBorders>
            <w:shd w:val="clear" w:color="000000" w:fill="FF6600"/>
            <w:noWrap/>
            <w:vAlign w:val="center"/>
            <w:hideMark/>
          </w:tcPr>
          <w:p>
            <w:pPr>
              <w:spacing w:after="0" w:line="240" w:lineRule="auto"/>
              <w:jc w:val="center"/>
              <w:rPr>
                <w:rFonts w:ascii="Arial Narrow" w:eastAsia="Times New Roman" w:hAnsi="Arial Narrow"/>
                <w:b/>
                <w:bCs/>
                <w:noProof/>
                <w:color w:val="000000"/>
              </w:rPr>
            </w:pPr>
            <w:r>
              <w:rPr>
                <w:rFonts w:ascii="Arial Narrow" w:hAnsi="Arial Narrow"/>
                <w:b/>
                <w:noProof/>
                <w:color w:val="000000"/>
              </w:rPr>
              <w:t>Beløb</w:t>
            </w:r>
          </w:p>
        </w:tc>
      </w:tr>
      <w:tr>
        <w:trPr>
          <w:trHeight w:val="330"/>
        </w:trPr>
        <w:tc>
          <w:tcPr>
            <w:tcW w:w="5423" w:type="dxa"/>
            <w:tcBorders>
              <w:top w:val="single" w:sz="4" w:space="0" w:color="auto"/>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Afrika</w:t>
            </w:r>
          </w:p>
        </w:tc>
        <w:tc>
          <w:tcPr>
            <w:tcW w:w="2105" w:type="dxa"/>
            <w:tcBorders>
              <w:top w:val="single" w:sz="4" w:space="0" w:color="auto"/>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767</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Sudan og Sydsudan</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192</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Centralafrika</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94</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De Store Søer</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63</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Afrikas Horn</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203</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Det sydlige Afrika og Det Indiske Ocean</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47</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Vestafrika</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140</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Nordafrika</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20</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Afrika</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10</w:t>
            </w:r>
          </w:p>
        </w:tc>
      </w:tr>
      <w:tr>
        <w:trPr>
          <w:trHeight w:val="330"/>
        </w:trPr>
        <w:tc>
          <w:tcPr>
            <w:tcW w:w="5423" w:type="dxa"/>
            <w:tcBorders>
              <w:top w:val="nil"/>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Mellemøsten og europæiske nabolande</w:t>
            </w:r>
          </w:p>
        </w:tc>
        <w:tc>
          <w:tcPr>
            <w:tcW w:w="2105" w:type="dxa"/>
            <w:tcBorders>
              <w:top w:val="nil"/>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747</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Mellemøsten</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634</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 xml:space="preserve">Europæiske nabolande </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114</w:t>
            </w:r>
          </w:p>
        </w:tc>
      </w:tr>
      <w:tr>
        <w:trPr>
          <w:trHeight w:val="330"/>
        </w:trPr>
        <w:tc>
          <w:tcPr>
            <w:tcW w:w="5423" w:type="dxa"/>
            <w:tcBorders>
              <w:top w:val="nil"/>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Asien og Stillehavsgruppen</w:t>
            </w:r>
          </w:p>
        </w:tc>
        <w:tc>
          <w:tcPr>
            <w:tcW w:w="2105" w:type="dxa"/>
            <w:tcBorders>
              <w:top w:val="nil"/>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119</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Sydvest- og Centralasien</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73</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Sydøstasien og Stillehavsgruppen</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47</w:t>
            </w:r>
          </w:p>
        </w:tc>
      </w:tr>
      <w:tr>
        <w:trPr>
          <w:trHeight w:val="330"/>
        </w:trPr>
        <w:tc>
          <w:tcPr>
            <w:tcW w:w="5423" w:type="dxa"/>
            <w:tcBorders>
              <w:top w:val="nil"/>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Mellem- og Sydamerika, Vestindien</w:t>
            </w:r>
          </w:p>
        </w:tc>
        <w:tc>
          <w:tcPr>
            <w:tcW w:w="2105" w:type="dxa"/>
            <w:tcBorders>
              <w:top w:val="nil"/>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46</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Mellem- og Sydamerika</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28</w:t>
            </w:r>
          </w:p>
        </w:tc>
      </w:tr>
      <w:tr>
        <w:trPr>
          <w:trHeight w:val="330"/>
        </w:trPr>
        <w:tc>
          <w:tcPr>
            <w:tcW w:w="5423" w:type="dxa"/>
            <w:tcBorders>
              <w:top w:val="nil"/>
              <w:left w:val="single" w:sz="4" w:space="0" w:color="auto"/>
              <w:bottom w:val="nil"/>
              <w:right w:val="nil"/>
            </w:tcBorders>
            <w:shd w:val="clear" w:color="000000" w:fill="FFFF99"/>
            <w:noWrap/>
            <w:vAlign w:val="center"/>
            <w:hideMark/>
          </w:tcPr>
          <w:p>
            <w:pPr>
              <w:spacing w:after="0" w:line="240" w:lineRule="auto"/>
              <w:rPr>
                <w:rFonts w:ascii="Arial Narrow" w:eastAsia="Times New Roman" w:hAnsi="Arial Narrow"/>
                <w:noProof/>
                <w:color w:val="000000"/>
              </w:rPr>
            </w:pPr>
            <w:r>
              <w:rPr>
                <w:rFonts w:ascii="Arial Narrow" w:hAnsi="Arial Narrow"/>
                <w:noProof/>
                <w:color w:val="000000"/>
              </w:rPr>
              <w:t>Vestindien</w:t>
            </w:r>
          </w:p>
        </w:tc>
        <w:tc>
          <w:tcPr>
            <w:tcW w:w="2105" w:type="dxa"/>
            <w:tcBorders>
              <w:top w:val="nil"/>
              <w:left w:val="nil"/>
              <w:bottom w:val="nil"/>
              <w:right w:val="single" w:sz="4" w:space="0" w:color="auto"/>
            </w:tcBorders>
            <w:shd w:val="clear" w:color="000000" w:fill="FFFF99"/>
            <w:noWrap/>
            <w:vAlign w:val="center"/>
            <w:hideMark/>
          </w:tcPr>
          <w:p>
            <w:pPr>
              <w:spacing w:after="0" w:line="240" w:lineRule="auto"/>
              <w:jc w:val="right"/>
              <w:rPr>
                <w:rFonts w:ascii="Arial Narrow" w:eastAsia="Times New Roman" w:hAnsi="Arial Narrow"/>
                <w:noProof/>
                <w:color w:val="000000"/>
              </w:rPr>
            </w:pPr>
            <w:r>
              <w:rPr>
                <w:rFonts w:ascii="Arial Narrow" w:hAnsi="Arial Narrow"/>
                <w:noProof/>
                <w:color w:val="000000"/>
              </w:rPr>
              <w:t>18</w:t>
            </w:r>
          </w:p>
        </w:tc>
      </w:tr>
      <w:tr>
        <w:trPr>
          <w:trHeight w:val="330"/>
        </w:trPr>
        <w:tc>
          <w:tcPr>
            <w:tcW w:w="5423" w:type="dxa"/>
            <w:tcBorders>
              <w:top w:val="nil"/>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Verdensomspændende katastrofer</w:t>
            </w:r>
          </w:p>
        </w:tc>
        <w:tc>
          <w:tcPr>
            <w:tcW w:w="2105" w:type="dxa"/>
            <w:tcBorders>
              <w:top w:val="nil"/>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41</w:t>
            </w:r>
          </w:p>
        </w:tc>
      </w:tr>
      <w:tr>
        <w:trPr>
          <w:trHeight w:val="330"/>
        </w:trPr>
        <w:tc>
          <w:tcPr>
            <w:tcW w:w="5423" w:type="dxa"/>
            <w:tcBorders>
              <w:top w:val="nil"/>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Civilbeskyttelse</w:t>
            </w:r>
          </w:p>
        </w:tc>
        <w:tc>
          <w:tcPr>
            <w:tcW w:w="2105" w:type="dxa"/>
            <w:tcBorders>
              <w:top w:val="nil"/>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42</w:t>
            </w:r>
          </w:p>
        </w:tc>
      </w:tr>
      <w:tr>
        <w:trPr>
          <w:trHeight w:val="330"/>
        </w:trPr>
        <w:tc>
          <w:tcPr>
            <w:tcW w:w="5423" w:type="dxa"/>
            <w:tcBorders>
              <w:top w:val="nil"/>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EU-bistandsfrivillige</w:t>
            </w:r>
          </w:p>
        </w:tc>
        <w:tc>
          <w:tcPr>
            <w:tcW w:w="2105" w:type="dxa"/>
            <w:tcBorders>
              <w:top w:val="nil"/>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8</w:t>
            </w:r>
          </w:p>
        </w:tc>
      </w:tr>
      <w:tr>
        <w:trPr>
          <w:trHeight w:val="330"/>
        </w:trPr>
        <w:tc>
          <w:tcPr>
            <w:tcW w:w="5423" w:type="dxa"/>
            <w:tcBorders>
              <w:top w:val="nil"/>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Uddeling af mejeriprodukter</w:t>
            </w:r>
          </w:p>
        </w:tc>
        <w:tc>
          <w:tcPr>
            <w:tcW w:w="2105" w:type="dxa"/>
            <w:tcBorders>
              <w:top w:val="nil"/>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30</w:t>
            </w:r>
          </w:p>
        </w:tc>
      </w:tr>
      <w:tr>
        <w:trPr>
          <w:trHeight w:val="330"/>
        </w:trPr>
        <w:tc>
          <w:tcPr>
            <w:tcW w:w="5423" w:type="dxa"/>
            <w:tcBorders>
              <w:top w:val="nil"/>
              <w:left w:val="single" w:sz="4" w:space="0" w:color="auto"/>
              <w:bottom w:val="nil"/>
              <w:right w:val="nil"/>
            </w:tcBorders>
            <w:shd w:val="clear" w:color="000000" w:fill="FFCC99"/>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Supplerende operationer og støtte</w:t>
            </w:r>
          </w:p>
        </w:tc>
        <w:tc>
          <w:tcPr>
            <w:tcW w:w="2105" w:type="dxa"/>
            <w:tcBorders>
              <w:top w:val="nil"/>
              <w:left w:val="nil"/>
              <w:bottom w:val="nil"/>
              <w:right w:val="single" w:sz="4" w:space="0" w:color="auto"/>
            </w:tcBorders>
            <w:shd w:val="clear" w:color="000000" w:fill="FFCC99"/>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89</w:t>
            </w:r>
          </w:p>
        </w:tc>
      </w:tr>
      <w:tr>
        <w:trPr>
          <w:trHeight w:val="330"/>
        </w:trPr>
        <w:tc>
          <w:tcPr>
            <w:tcW w:w="5423" w:type="dxa"/>
            <w:tcBorders>
              <w:top w:val="nil"/>
              <w:left w:val="single" w:sz="4" w:space="0" w:color="auto"/>
              <w:bottom w:val="single" w:sz="4" w:space="0" w:color="auto"/>
              <w:right w:val="nil"/>
            </w:tcBorders>
            <w:shd w:val="clear" w:color="000000" w:fill="FF6600"/>
            <w:noWrap/>
            <w:vAlign w:val="center"/>
            <w:hideMark/>
          </w:tcPr>
          <w:p>
            <w:pPr>
              <w:spacing w:after="0" w:line="240" w:lineRule="auto"/>
              <w:rPr>
                <w:rFonts w:ascii="Arial Narrow" w:eastAsia="Times New Roman" w:hAnsi="Arial Narrow"/>
                <w:b/>
                <w:bCs/>
                <w:noProof/>
                <w:color w:val="000000"/>
              </w:rPr>
            </w:pPr>
            <w:r>
              <w:rPr>
                <w:rFonts w:ascii="Arial Narrow" w:hAnsi="Arial Narrow"/>
                <w:b/>
                <w:noProof/>
                <w:color w:val="000000"/>
              </w:rPr>
              <w:t>I ALT</w:t>
            </w:r>
          </w:p>
        </w:tc>
        <w:tc>
          <w:tcPr>
            <w:tcW w:w="2105" w:type="dxa"/>
            <w:tcBorders>
              <w:top w:val="nil"/>
              <w:left w:val="nil"/>
              <w:bottom w:val="single" w:sz="4" w:space="0" w:color="auto"/>
              <w:right w:val="single" w:sz="4" w:space="0" w:color="auto"/>
            </w:tcBorders>
            <w:shd w:val="clear" w:color="000000" w:fill="FF6600"/>
            <w:noWrap/>
            <w:vAlign w:val="center"/>
            <w:hideMark/>
          </w:tcPr>
          <w:p>
            <w:pPr>
              <w:spacing w:after="0" w:line="240" w:lineRule="auto"/>
              <w:jc w:val="right"/>
              <w:rPr>
                <w:rFonts w:ascii="Arial Narrow" w:eastAsia="Times New Roman" w:hAnsi="Arial Narrow"/>
                <w:b/>
                <w:bCs/>
                <w:noProof/>
                <w:color w:val="000000"/>
              </w:rPr>
            </w:pPr>
            <w:r>
              <w:rPr>
                <w:rFonts w:ascii="Arial Narrow" w:hAnsi="Arial Narrow"/>
                <w:b/>
                <w:noProof/>
                <w:color w:val="000000"/>
              </w:rPr>
              <w:t>1 889</w:t>
            </w:r>
          </w:p>
        </w:tc>
      </w:tr>
      <w:tr>
        <w:trPr>
          <w:trHeight w:val="330"/>
        </w:trPr>
        <w:tc>
          <w:tcPr>
            <w:tcW w:w="5423" w:type="dxa"/>
            <w:tcBorders>
              <w:top w:val="single" w:sz="4" w:space="0" w:color="auto"/>
              <w:left w:val="nil"/>
              <w:bottom w:val="nil"/>
              <w:right w:val="nil"/>
            </w:tcBorders>
            <w:shd w:val="clear" w:color="auto" w:fill="auto"/>
            <w:noWrap/>
            <w:vAlign w:val="center"/>
            <w:hideMark/>
          </w:tcPr>
          <w:p>
            <w:pPr>
              <w:spacing w:after="0" w:line="240" w:lineRule="auto"/>
              <w:rPr>
                <w:rFonts w:ascii="Arial Narrow" w:eastAsia="Times New Roman" w:hAnsi="Arial Narrow"/>
                <w:noProof/>
                <w:color w:val="000000"/>
              </w:rPr>
            </w:pPr>
          </w:p>
        </w:tc>
        <w:tc>
          <w:tcPr>
            <w:tcW w:w="2105" w:type="dxa"/>
            <w:tcBorders>
              <w:top w:val="single" w:sz="4" w:space="0" w:color="auto"/>
              <w:left w:val="nil"/>
              <w:bottom w:val="nil"/>
              <w:right w:val="nil"/>
            </w:tcBorders>
            <w:shd w:val="clear" w:color="auto" w:fill="auto"/>
            <w:noWrap/>
            <w:vAlign w:val="center"/>
            <w:hideMark/>
          </w:tcPr>
          <w:p>
            <w:pPr>
              <w:spacing w:after="0" w:line="240" w:lineRule="auto"/>
              <w:rPr>
                <w:rFonts w:ascii="Arial Narrow" w:eastAsia="Times New Roman" w:hAnsi="Arial Narrow"/>
                <w:noProof/>
                <w:color w:val="000000"/>
              </w:rPr>
            </w:pPr>
          </w:p>
        </w:tc>
      </w:tr>
      <w:tr>
        <w:trPr>
          <w:trHeight w:val="330"/>
        </w:trPr>
        <w:tc>
          <w:tcPr>
            <w:tcW w:w="5423" w:type="dxa"/>
            <w:tcBorders>
              <w:top w:val="nil"/>
              <w:left w:val="nil"/>
              <w:bottom w:val="nil"/>
              <w:right w:val="nil"/>
            </w:tcBorders>
            <w:shd w:val="clear" w:color="auto" w:fill="auto"/>
            <w:noWrap/>
            <w:vAlign w:val="center"/>
            <w:hideMark/>
          </w:tcPr>
          <w:p>
            <w:pPr>
              <w:spacing w:after="0" w:line="240" w:lineRule="auto"/>
              <w:rPr>
                <w:rFonts w:ascii="Arial Narrow" w:eastAsia="Times New Roman" w:hAnsi="Arial Narrow"/>
                <w:noProof/>
                <w:color w:val="000000"/>
              </w:rPr>
            </w:pPr>
          </w:p>
        </w:tc>
        <w:tc>
          <w:tcPr>
            <w:tcW w:w="2105" w:type="dxa"/>
            <w:tcBorders>
              <w:top w:val="nil"/>
              <w:left w:val="nil"/>
              <w:bottom w:val="nil"/>
              <w:right w:val="nil"/>
            </w:tcBorders>
            <w:shd w:val="clear" w:color="auto" w:fill="auto"/>
            <w:noWrap/>
            <w:vAlign w:val="center"/>
            <w:hideMark/>
          </w:tcPr>
          <w:p>
            <w:pPr>
              <w:spacing w:after="0" w:line="240" w:lineRule="auto"/>
              <w:jc w:val="center"/>
              <w:rPr>
                <w:rFonts w:ascii="Arial Narrow" w:eastAsia="Times New Roman" w:hAnsi="Arial Narrow"/>
                <w:i/>
                <w:iCs/>
                <w:noProof/>
                <w:color w:val="000000"/>
                <w:sz w:val="20"/>
                <w:szCs w:val="20"/>
              </w:rPr>
            </w:pPr>
            <w:r>
              <w:rPr>
                <w:rFonts w:ascii="Arial Narrow" w:hAnsi="Arial Narrow"/>
                <w:i/>
                <w:noProof/>
                <w:color w:val="000000"/>
                <w:sz w:val="20"/>
              </w:rPr>
              <w:t>(i mio. EUR)</w:t>
            </w:r>
          </w:p>
        </w:tc>
      </w:tr>
    </w:tbl>
    <w:p>
      <w:pPr>
        <w:pStyle w:val="ECHOContentList"/>
        <w:numPr>
          <w:ilvl w:val="0"/>
          <w:numId w:val="0"/>
        </w:numPr>
        <w:tabs>
          <w:tab w:val="left" w:pos="1195"/>
        </w:tabs>
        <w:jc w:val="left"/>
        <w:rPr>
          <w:noProof/>
        </w:rPr>
      </w:pPr>
    </w:p>
    <w:p>
      <w:pPr>
        <w:pStyle w:val="ECHOContentList"/>
        <w:numPr>
          <w:ilvl w:val="0"/>
          <w:numId w:val="0"/>
        </w:numPr>
        <w:tabs>
          <w:tab w:val="left" w:pos="1195"/>
        </w:tabs>
        <w:jc w:val="left"/>
        <w:rPr>
          <w:b/>
          <w:noProof/>
        </w:rPr>
      </w:pPr>
      <w:r>
        <w:rPr>
          <w:noProof/>
        </w:rPr>
        <w:br w:type="page"/>
      </w:r>
    </w:p>
    <w:p>
      <w:pPr>
        <w:pStyle w:val="ECHOHeading1"/>
        <w:jc w:val="center"/>
        <w:rPr>
          <w:noProof/>
          <w:u w:val="single"/>
        </w:rPr>
      </w:pPr>
      <w:bookmarkStart w:id="13" w:name="_Toc449608363"/>
      <w:bookmarkStart w:id="14" w:name="_Toc494787940"/>
      <w:bookmarkStart w:id="15" w:name="_Toc496018560"/>
      <w:r>
        <w:rPr>
          <w:noProof/>
          <w:u w:val="single"/>
        </w:rPr>
        <w:t>Yderligere oplysninger og kilder</w:t>
      </w:r>
      <w:bookmarkEnd w:id="13"/>
      <w:bookmarkEnd w:id="14"/>
      <w:bookmarkEnd w:id="15"/>
    </w:p>
    <w:p>
      <w:pPr>
        <w:pStyle w:val="ECHOContentList"/>
        <w:numPr>
          <w:ilvl w:val="0"/>
          <w:numId w:val="33"/>
        </w:numPr>
        <w:spacing w:after="0" w:line="240" w:lineRule="auto"/>
        <w:ind w:left="709" w:hanging="283"/>
        <w:jc w:val="left"/>
        <w:rPr>
          <w:noProof/>
        </w:rPr>
      </w:pPr>
      <w:r>
        <w:rPr>
          <w:noProof/>
        </w:rPr>
        <w:t>Generelle oplysninger om GD ECHO:</w:t>
      </w:r>
    </w:p>
    <w:p>
      <w:pPr>
        <w:pStyle w:val="ECHOContentList"/>
        <w:numPr>
          <w:ilvl w:val="0"/>
          <w:numId w:val="0"/>
        </w:numPr>
        <w:ind w:left="1080" w:hanging="371"/>
        <w:jc w:val="left"/>
        <w:rPr>
          <w:rStyle w:val="ECHOContentEmphasisChar"/>
          <w:b w:val="0"/>
          <w:noProof/>
          <w:color w:val="auto"/>
          <w:u w:val="single"/>
        </w:rPr>
      </w:pPr>
      <w:hyperlink r:id="rId17">
        <w:r>
          <w:rPr>
            <w:rStyle w:val="ECHOContentEmphasisChar"/>
            <w:b w:val="0"/>
            <w:noProof/>
            <w:color w:val="auto"/>
            <w:u w:val="single"/>
          </w:rPr>
          <w:t>http://ec.europa.eu/echo/en</w:t>
        </w:r>
      </w:hyperlink>
    </w:p>
    <w:p>
      <w:pPr>
        <w:pStyle w:val="ECHOContentList"/>
        <w:rPr>
          <w:rStyle w:val="ECHOContentEmphasisChar"/>
          <w:b w:val="0"/>
          <w:noProof/>
          <w:color w:val="auto"/>
        </w:rPr>
      </w:pPr>
      <w:r>
        <w:rPr>
          <w:noProof/>
        </w:rPr>
        <w:t>Finansielle oplysninger om Europa-Kommissionens humanitære bistandsaktiviteter i 2016:</w:t>
      </w:r>
      <w:r>
        <w:rPr>
          <w:noProof/>
        </w:rPr>
        <w:tab/>
      </w:r>
      <w:r>
        <w:rPr>
          <w:noProof/>
        </w:rPr>
        <w:br/>
      </w:r>
      <w:hyperlink r:id="rId18">
        <w:r>
          <w:rPr>
            <w:rStyle w:val="Hyperlink"/>
            <w:noProof/>
            <w:color w:val="auto"/>
          </w:rPr>
          <w:t>http://ec.europa.eu/echo/funding-evaluations/funding-decisions-hips_en</w:t>
        </w:r>
      </w:hyperlink>
    </w:p>
    <w:p>
      <w:pPr>
        <w:pStyle w:val="ECHOContentList"/>
        <w:jc w:val="left"/>
        <w:rPr>
          <w:rStyle w:val="ECHOContentEmphasisChar"/>
          <w:b w:val="0"/>
          <w:noProof/>
          <w:color w:val="auto"/>
        </w:rPr>
      </w:pPr>
      <w:r>
        <w:rPr>
          <w:noProof/>
        </w:rPr>
        <w:t>Operationelle oplysninger fra tidligere år:</w:t>
      </w:r>
      <w:r>
        <w:rPr>
          <w:noProof/>
        </w:rPr>
        <w:tab/>
        <w:t xml:space="preserve"> </w:t>
      </w:r>
      <w:hyperlink r:id="rId19">
        <w:r>
          <w:rPr>
            <w:rStyle w:val="ECHOContentEmphasisChar"/>
            <w:b w:val="0"/>
            <w:noProof/>
            <w:color w:val="auto"/>
            <w:u w:val="single"/>
          </w:rPr>
          <w:t>http://ec.europa.eu/echo/about/annual_reports_en.htm</w:t>
        </w:r>
      </w:hyperlink>
    </w:p>
    <w:p>
      <w:pPr>
        <w:pStyle w:val="ECHOContentList"/>
        <w:jc w:val="left"/>
        <w:rPr>
          <w:rStyle w:val="ECHOContentEmphasisChar"/>
          <w:b w:val="0"/>
          <w:noProof/>
          <w:color w:val="auto"/>
        </w:rPr>
      </w:pPr>
      <w:r>
        <w:rPr>
          <w:noProof/>
        </w:rPr>
        <w:t xml:space="preserve">GD ECHO's årlige aktivitetsrapport for 2016: </w:t>
      </w:r>
      <w:hyperlink r:id="rId20">
        <w:r>
          <w:rPr>
            <w:rStyle w:val="Hyperlink"/>
            <w:noProof/>
            <w:color w:val="000000"/>
          </w:rPr>
          <w:t>https://ec.europa.eu/info/publications/annual-activity-reports-2016_en</w:t>
        </w:r>
      </w:hyperlink>
    </w:p>
    <w:p>
      <w:pPr>
        <w:pStyle w:val="ECHOContentList"/>
        <w:jc w:val="left"/>
        <w:rPr>
          <w:rStyle w:val="ECHOContentEmphasisChar"/>
          <w:b w:val="0"/>
          <w:noProof/>
          <w:color w:val="auto"/>
        </w:rPr>
      </w:pPr>
      <w:r>
        <w:rPr>
          <w:noProof/>
        </w:rPr>
        <w:t>Den årlige forvaltnings- og effektivitetsrapport for 2016</w:t>
      </w:r>
      <w:r>
        <w:rPr>
          <w:rStyle w:val="ECHOContentEmphasisChar"/>
          <w:b w:val="0"/>
          <w:noProof/>
          <w:color w:val="auto"/>
        </w:rPr>
        <w:t>:</w:t>
      </w:r>
      <w:r>
        <w:rPr>
          <w:rStyle w:val="ECHOContentEmphasisChar"/>
          <w:b w:val="0"/>
          <w:noProof/>
          <w:color w:val="auto"/>
        </w:rPr>
        <w:br/>
      </w:r>
      <w:hyperlink r:id="rId21">
        <w:r>
          <w:rPr>
            <w:rStyle w:val="Hyperlink"/>
            <w:noProof/>
            <w:color w:val="000000"/>
          </w:rPr>
          <w:t>https://ec.europa.eu/info/node/10237</w:t>
        </w:r>
      </w:hyperlink>
    </w:p>
    <w:p>
      <w:pPr>
        <w:pStyle w:val="ECHOContentList"/>
        <w:jc w:val="left"/>
        <w:rPr>
          <w:rStyle w:val="Hyperlink"/>
          <w:noProof/>
          <w:color w:val="auto"/>
          <w:u w:val="none"/>
        </w:rPr>
      </w:pPr>
      <w:r>
        <w:rPr>
          <w:noProof/>
        </w:rPr>
        <w:t>GD ECHO's evalueringsrapporter:</w:t>
      </w:r>
      <w:r>
        <w:rPr>
          <w:noProof/>
        </w:rPr>
        <w:br/>
      </w:r>
      <w:hyperlink r:id="rId22">
        <w:r>
          <w:rPr>
            <w:rStyle w:val="Hyperlink"/>
            <w:noProof/>
            <w:color w:val="auto"/>
          </w:rPr>
          <w:t>http://ec.europa.eu/echo/funding-evaluations/evaluations_en</w:t>
        </w:r>
      </w:hyperlink>
    </w:p>
    <w:p>
      <w:pPr>
        <w:pStyle w:val="ECHOContentList"/>
        <w:jc w:val="left"/>
        <w:rPr>
          <w:rStyle w:val="Hyperlink"/>
          <w:noProof/>
          <w:color w:val="auto"/>
          <w:u w:val="none"/>
        </w:rPr>
      </w:pPr>
      <w:r>
        <w:rPr>
          <w:rStyle w:val="Hyperlink"/>
          <w:noProof/>
          <w:color w:val="auto"/>
          <w:u w:val="none"/>
        </w:rPr>
        <w:t xml:space="preserve">Europa-Kommissionen og medlemsstaternes data vedrørende finansiering af humanitær bistand: </w:t>
      </w:r>
      <w:hyperlink r:id="rId23">
        <w:r>
          <w:rPr>
            <w:rStyle w:val="Hyperlink"/>
            <w:noProof/>
            <w:color w:val="auto"/>
          </w:rPr>
          <w:t>https://euaidexplorer.ec.europa.eu</w:t>
        </w:r>
      </w:hyperlink>
    </w:p>
    <w:p>
      <w:pPr>
        <w:pStyle w:val="ECHOContentList"/>
        <w:jc w:val="left"/>
        <w:rPr>
          <w:rStyle w:val="Hyperlink"/>
          <w:noProof/>
          <w:color w:val="auto"/>
          <w:u w:val="none"/>
        </w:rPr>
      </w:pPr>
      <w:r>
        <w:rPr>
          <w:rStyle w:val="Hyperlink"/>
          <w:noProof/>
          <w:color w:val="auto"/>
          <w:u w:val="none"/>
        </w:rPr>
        <w:t>Liste over partnere, der modtog støtte i 2016:</w:t>
      </w:r>
    </w:p>
    <w:tbl>
      <w:tblPr>
        <w:tblW w:w="8095" w:type="dxa"/>
        <w:tblInd w:w="93" w:type="dxa"/>
        <w:tblLook w:val="04A0" w:firstRow="1" w:lastRow="0" w:firstColumn="1" w:lastColumn="0" w:noHBand="0" w:noVBand="1"/>
      </w:tblPr>
      <w:tblGrid>
        <w:gridCol w:w="4551"/>
        <w:gridCol w:w="3544"/>
      </w:tblGrid>
      <w:tr>
        <w:trPr>
          <w:trHeight w:val="705"/>
        </w:trPr>
        <w:tc>
          <w:tcPr>
            <w:tcW w:w="8095" w:type="dxa"/>
            <w:gridSpan w:val="2"/>
            <w:tcBorders>
              <w:top w:val="single" w:sz="4" w:space="0" w:color="auto"/>
              <w:left w:val="single" w:sz="4" w:space="0" w:color="auto"/>
              <w:bottom w:val="single" w:sz="4" w:space="0" w:color="auto"/>
              <w:right w:val="single" w:sz="4" w:space="0" w:color="000000"/>
            </w:tcBorders>
            <w:shd w:val="clear" w:color="000000" w:fill="FFFF99"/>
            <w:vAlign w:val="center"/>
            <w:hideMark/>
          </w:tcPr>
          <w:p>
            <w:pPr>
              <w:pStyle w:val="ECHOContentList"/>
              <w:numPr>
                <w:ilvl w:val="0"/>
                <w:numId w:val="0"/>
              </w:numPr>
              <w:ind w:left="360"/>
              <w:jc w:val="center"/>
              <w:rPr>
                <w:noProof/>
              </w:rPr>
            </w:pPr>
            <w:r>
              <w:rPr>
                <w:noProof/>
              </w:rPr>
              <w:t>PARTNERE I 2016 — HUMANITÆRE BISTANDSOPERATIONER</w:t>
            </w:r>
          </w:p>
        </w:tc>
      </w:tr>
      <w:tr>
        <w:trPr>
          <w:trHeight w:val="300"/>
        </w:trPr>
        <w:tc>
          <w:tcPr>
            <w:tcW w:w="4551" w:type="dxa"/>
            <w:tcBorders>
              <w:top w:val="nil"/>
              <w:left w:val="nil"/>
              <w:bottom w:val="nil"/>
              <w:right w:val="nil"/>
            </w:tcBorders>
            <w:shd w:val="clear" w:color="FFFFFF" w:fill="auto"/>
            <w:vAlign w:val="center"/>
            <w:hideMark/>
          </w:tcPr>
          <w:p>
            <w:pPr>
              <w:spacing w:after="0" w:line="240" w:lineRule="auto"/>
              <w:rPr>
                <w:rFonts w:ascii="Arial" w:eastAsia="Times New Roman" w:hAnsi="Arial" w:cs="Arial"/>
                <w:noProof/>
                <w:color w:val="000000"/>
                <w:sz w:val="12"/>
                <w:szCs w:val="12"/>
              </w:rPr>
            </w:pPr>
          </w:p>
        </w:tc>
        <w:tc>
          <w:tcPr>
            <w:tcW w:w="3544" w:type="dxa"/>
            <w:tcBorders>
              <w:top w:val="nil"/>
              <w:left w:val="nil"/>
              <w:bottom w:val="nil"/>
              <w:right w:val="nil"/>
            </w:tcBorders>
            <w:shd w:val="clear" w:color="FFFFFF" w:fill="auto"/>
            <w:vAlign w:val="center"/>
            <w:hideMark/>
          </w:tcPr>
          <w:p>
            <w:pPr>
              <w:spacing w:after="0" w:line="240" w:lineRule="auto"/>
              <w:rPr>
                <w:rFonts w:ascii="Arial" w:eastAsia="Times New Roman" w:hAnsi="Arial" w:cs="Arial"/>
                <w:noProof/>
                <w:color w:val="000000"/>
                <w:sz w:val="12"/>
                <w:szCs w:val="12"/>
              </w:rPr>
            </w:pPr>
          </w:p>
        </w:tc>
      </w:tr>
      <w:tr>
        <w:trPr>
          <w:trHeight w:val="1005"/>
        </w:trPr>
        <w:tc>
          <w:tcPr>
            <w:tcW w:w="4551" w:type="dxa"/>
            <w:tcBorders>
              <w:top w:val="single" w:sz="4" w:space="0" w:color="000000"/>
              <w:left w:val="single" w:sz="4" w:space="0" w:color="000000"/>
              <w:bottom w:val="single" w:sz="4" w:space="0" w:color="000000"/>
              <w:right w:val="nil"/>
            </w:tcBorders>
            <w:shd w:val="clear" w:color="FFFFFF" w:fill="808080"/>
            <w:vAlign w:val="center"/>
            <w:hideMark/>
          </w:tcPr>
          <w:p>
            <w:pPr>
              <w:spacing w:after="0" w:line="240" w:lineRule="auto"/>
              <w:rPr>
                <w:rFonts w:ascii="Arial" w:eastAsia="Times New Roman" w:hAnsi="Arial" w:cs="Arial"/>
                <w:b/>
                <w:bCs/>
                <w:noProof/>
                <w:color w:val="FFFFFF"/>
                <w:sz w:val="20"/>
                <w:szCs w:val="20"/>
              </w:rPr>
            </w:pPr>
            <w:r>
              <w:rPr>
                <w:rFonts w:ascii="Arial" w:hAnsi="Arial"/>
                <w:b/>
                <w:noProof/>
                <w:color w:val="FFFFFF"/>
                <w:sz w:val="20"/>
              </w:rPr>
              <w:t>Partnerens navn</w:t>
            </w:r>
          </w:p>
        </w:tc>
        <w:tc>
          <w:tcPr>
            <w:tcW w:w="3544" w:type="dxa"/>
            <w:tcBorders>
              <w:top w:val="single" w:sz="4" w:space="0" w:color="auto"/>
              <w:left w:val="single" w:sz="4" w:space="0" w:color="auto"/>
              <w:bottom w:val="single" w:sz="4" w:space="0" w:color="000000"/>
              <w:right w:val="single" w:sz="4" w:space="0" w:color="auto"/>
            </w:tcBorders>
            <w:shd w:val="clear" w:color="FFFFFF" w:fill="808080"/>
            <w:vAlign w:val="center"/>
            <w:hideMark/>
          </w:tcPr>
          <w:p>
            <w:pPr>
              <w:spacing w:after="0" w:line="240" w:lineRule="auto"/>
              <w:rPr>
                <w:rFonts w:ascii="Arial" w:eastAsia="Times New Roman" w:hAnsi="Arial" w:cs="Arial"/>
                <w:b/>
                <w:bCs/>
                <w:noProof/>
                <w:color w:val="FFFFFF"/>
                <w:sz w:val="20"/>
                <w:szCs w:val="20"/>
              </w:rPr>
            </w:pPr>
            <w:r>
              <w:rPr>
                <w:rFonts w:ascii="Arial" w:hAnsi="Arial"/>
                <w:b/>
                <w:noProof/>
                <w:color w:val="FFFFFF"/>
                <w:sz w:val="20"/>
              </w:rPr>
              <w:t>Partnerens nationalitet</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ACCIÓN CONTRA EL HAMBRE – ES</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ACTED – FR</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ACTION AGAINST HUNGER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ACTION CONTRE LA FAIM – FR</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ACTIONAID – UK</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ADRA DANMARK – DK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DANMARK</w:t>
            </w:r>
          </w:p>
        </w:tc>
      </w:tr>
      <w:tr>
        <w:trPr>
          <w:trHeight w:val="570"/>
        </w:trPr>
        <w:tc>
          <w:tcPr>
            <w:tcW w:w="4551" w:type="dxa"/>
            <w:tcBorders>
              <w:top w:val="nil"/>
              <w:left w:val="single" w:sz="4" w:space="0" w:color="000000"/>
              <w:bottom w:val="single" w:sz="4" w:space="0" w:color="auto"/>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ADRA DEUTSCHLAND E.V. – DE</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AGA KHAN FOUNDATION – UK</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AGENCY FOR CO-OPERATION AND RESEARCH IN DEVELOPMENT – UK</w:t>
            </w:r>
          </w:p>
        </w:tc>
        <w:tc>
          <w:tcPr>
            <w:tcW w:w="3544" w:type="dxa"/>
            <w:tcBorders>
              <w:top w:val="single" w:sz="4" w:space="0" w:color="auto"/>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AGRONOMES ET VETERINAIRES SANS FRONTIERES – FR</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pPr>
              <w:spacing w:after="0" w:line="240" w:lineRule="auto"/>
              <w:rPr>
                <w:rFonts w:ascii="Verdana" w:eastAsia="Times New Roman" w:hAnsi="Verdana" w:cs="Arial"/>
                <w:noProof/>
                <w:vanish/>
                <w:sz w:val="18"/>
                <w:szCs w:val="18"/>
              </w:rPr>
            </w:pPr>
            <w:r>
              <w:rPr>
                <w:rFonts w:ascii="Verdana" w:hAnsi="Verdana"/>
                <w:noProof/>
                <w:color w:val="000000"/>
                <w:sz w:val="18"/>
              </w:rPr>
              <w:t xml:space="preserve">ALLIANCE POUR L'ACTION MEDICALE INTERNATIONALE – FR </w:t>
            </w:r>
          </w:p>
        </w:tc>
        <w:tc>
          <w:tcPr>
            <w:tcW w:w="3544" w:type="dxa"/>
            <w:tcBorders>
              <w:top w:val="single" w:sz="4" w:space="0" w:color="auto"/>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ÄŒLOVEK V TÃSNI, O.P.S. CZ</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DEN TJEKKISKE REPUBLIK</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ARBEITER-SAMARITER-BUND DEUTSCHLAND E.V. – DE</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ARTSEN ZONDER GRENZEN – NL</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NEDERLANDENE</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ASSOCIAZIONE INTERNAZIONALE VOLONTARI LAICI– SERVIZIO DI PACE – IT</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CARE – AT</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ØSTRIG</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CARE – DE</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CARE – FR</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CARE – NL</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NEDERLANDENE</w:t>
            </w:r>
          </w:p>
        </w:tc>
      </w:tr>
      <w:tr>
        <w:trPr>
          <w:trHeight w:val="570"/>
        </w:trPr>
        <w:tc>
          <w:tcPr>
            <w:tcW w:w="4551" w:type="dxa"/>
            <w:tcBorders>
              <w:top w:val="nil"/>
              <w:left w:val="single" w:sz="4" w:space="0" w:color="000000"/>
              <w:bottom w:val="single" w:sz="4" w:space="0" w:color="auto"/>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CARE – UK</w:t>
            </w:r>
          </w:p>
        </w:tc>
        <w:tc>
          <w:tcPr>
            <w:tcW w:w="3544" w:type="dxa"/>
            <w:tcBorders>
              <w:top w:val="nil"/>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CARITAS – AT</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ØSTRIG</w:t>
            </w:r>
          </w:p>
        </w:tc>
      </w:tr>
      <w:tr>
        <w:trPr>
          <w:trHeight w:val="570"/>
        </w:trPr>
        <w:tc>
          <w:tcPr>
            <w:tcW w:w="4551" w:type="dxa"/>
            <w:tcBorders>
              <w:top w:val="single" w:sz="4" w:space="0" w:color="auto"/>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CARITAS – CH</w:t>
            </w:r>
          </w:p>
        </w:tc>
        <w:tc>
          <w:tcPr>
            <w:tcW w:w="3544" w:type="dxa"/>
            <w:tcBorders>
              <w:top w:val="single" w:sz="4" w:space="0" w:color="auto"/>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SCHWEIZ</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CARITAS – DE</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CARITAS – FR</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CARITAS – LU</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LUXEMBOURG</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CATHOLIC AGENCY FOR OVERSEAS DEVELOPMENT – UK</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CESVI FONDAZIONE ONLUS – IT</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CHRISTIAN AID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COMITATO INTERNAZIONALE PER LO SVILUPPO DEI POPOLI – IT</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CONCERN WORLDWIDE – IE</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IRLAND</w:t>
            </w:r>
          </w:p>
        </w:tc>
      </w:tr>
      <w:tr>
        <w:trPr>
          <w:trHeight w:val="570"/>
        </w:trPr>
        <w:tc>
          <w:tcPr>
            <w:tcW w:w="4551" w:type="dxa"/>
            <w:tcBorders>
              <w:top w:val="nil"/>
              <w:left w:val="single" w:sz="4" w:space="0" w:color="000000"/>
              <w:bottom w:val="single" w:sz="4" w:space="0" w:color="auto"/>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COOPERAZIONE INTERNAZIONALE – IT</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DANISH COMMITTEE FOR AID TO AFGHAN REFUGEES – DK</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DANMARK</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DANSK FLYGTNINGEHJÆLP – DK</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DANMARK</w:t>
            </w:r>
          </w:p>
        </w:tc>
      </w:tr>
      <w:tr>
        <w:trPr>
          <w:trHeight w:val="570"/>
        </w:trPr>
        <w:tc>
          <w:tcPr>
            <w:tcW w:w="4551" w:type="dxa"/>
            <w:tcBorders>
              <w:top w:val="single" w:sz="4" w:space="0" w:color="auto"/>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DEUTSCHE WELTHUNGERHILFE E.V. – DE</w:t>
            </w:r>
          </w:p>
        </w:tc>
        <w:tc>
          <w:tcPr>
            <w:tcW w:w="3544" w:type="dxa"/>
            <w:tcBorders>
              <w:top w:val="single" w:sz="4" w:space="0" w:color="auto"/>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EVANGELISCHES WERK FÜR DIAKONIE UND ENTWICKLUNG E.V. – DE</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FAO</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FEDERACION DE ASOCIACIONES MEDICUS MUNDI ESPAÑA – ES</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FEDERATION HANDICAP INTERNATIONAL – FR</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FOLKEKIRKENS NØDHJÆLP – DK</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DANMARK</w:t>
            </w:r>
          </w:p>
        </w:tc>
      </w:tr>
      <w:tr>
        <w:trPr>
          <w:trHeight w:val="570"/>
        </w:trPr>
        <w:tc>
          <w:tcPr>
            <w:tcW w:w="4551" w:type="dxa"/>
            <w:tcBorders>
              <w:top w:val="nil"/>
              <w:left w:val="single" w:sz="4" w:space="0" w:color="000000"/>
              <w:bottom w:val="single" w:sz="4" w:space="0" w:color="auto"/>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FONDAZIONE TERRE DES HOMMES ITALIA ONLUS – IT</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single" w:sz="4" w:space="0" w:color="auto"/>
              <w:left w:val="single" w:sz="4" w:space="0" w:color="auto"/>
              <w:bottom w:val="single" w:sz="4" w:space="0" w:color="auto"/>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FUNDACION ALIANZA POR LOS DERECHOS, LA IGUALD Y LA SOLIDARIDAD INTERNACIONAL – ES</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FUNDACION OXFAM INTERMON – ES</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nil"/>
              <w:left w:val="single" w:sz="4" w:space="0" w:color="000000"/>
              <w:bottom w:val="single" w:sz="4" w:space="0" w:color="auto"/>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FUNDACIÓN PLAN INTERNATIONAL ESPAÑA – ES</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FUNDACIÓN SAVE THE CHILDREN – ES</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GOAL – IE</w:t>
            </w:r>
          </w:p>
        </w:tc>
        <w:tc>
          <w:tcPr>
            <w:tcW w:w="3544" w:type="dxa"/>
            <w:tcBorders>
              <w:top w:val="single" w:sz="4" w:space="0" w:color="auto"/>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IRLAND</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GRUPPO DI VOLONTARIATO CIVILE – IT</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HELP – HILFE ZUR SELBSTHILFE E.V. – DE</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HELPAGE INTERNATIONAL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ICRC</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IFRC</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MEDICAL CORPS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NGO SAFETY ORGANISATION – UK</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RESCUE COMMITTE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INTERSOS – IT</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nil"/>
              <w:left w:val="single" w:sz="4" w:space="0" w:color="000000"/>
              <w:bottom w:val="single" w:sz="4" w:space="0" w:color="auto"/>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IOM</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ISLAMIC RELIEF WORLDWIDE – UK</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JOHANNITER-UNFALL-HILFE E.V. – DE</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pPr>
              <w:spacing w:after="0" w:line="240" w:lineRule="auto"/>
              <w:rPr>
                <w:rFonts w:ascii="Verdana" w:eastAsia="Times New Roman" w:hAnsi="Verdana" w:cs="Arial"/>
                <w:noProof/>
                <w:vanish/>
                <w:sz w:val="18"/>
                <w:szCs w:val="18"/>
              </w:rPr>
            </w:pPr>
            <w:r>
              <w:rPr>
                <w:rFonts w:ascii="Verdana" w:hAnsi="Verdana"/>
                <w:noProof/>
                <w:color w:val="000000"/>
                <w:sz w:val="18"/>
              </w:rPr>
              <w:t xml:space="preserve">KIRKENS NØDHJELP – NO </w:t>
            </w:r>
          </w:p>
        </w:tc>
        <w:tc>
          <w:tcPr>
            <w:tcW w:w="3544" w:type="dxa"/>
            <w:tcBorders>
              <w:top w:val="single" w:sz="4" w:space="0" w:color="auto"/>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NORGE</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KIRKON ULKOMAANAPU SR. – FI</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FINLAND</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LA CHAINE DE L'ESPOIR – FR</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 xml:space="preserve">LUTHERAN WORLD FEDERATION – CH </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SCHWEIZ</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MALTESER HILFSDIENST E.V. – DE</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MEDECINS DU MONDE – BE</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BELGIEN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MEDAIR – CH</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SCHWEIZ</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MEDECINS DU MONDE – FR</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MEDECINS SANS FRONTIERES – BE</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BELGIEN</w:t>
            </w:r>
          </w:p>
        </w:tc>
      </w:tr>
      <w:tr>
        <w:trPr>
          <w:trHeight w:val="570"/>
        </w:trPr>
        <w:tc>
          <w:tcPr>
            <w:tcW w:w="4551" w:type="dxa"/>
            <w:tcBorders>
              <w:top w:val="nil"/>
              <w:left w:val="single" w:sz="4" w:space="0" w:color="000000"/>
              <w:bottom w:val="single" w:sz="4" w:space="0" w:color="auto"/>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MEDECINS SANS FRONTIERES – CH</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SCHWEIZ</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MEDICO INTERNATIONAL E.V – DE</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MEDICOS DEL MUNDO ESPAÑA – ES</w:t>
            </w:r>
          </w:p>
        </w:tc>
        <w:tc>
          <w:tcPr>
            <w:tcW w:w="3544" w:type="dxa"/>
            <w:tcBorders>
              <w:top w:val="single" w:sz="4" w:space="0" w:color="auto"/>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MERCY CORPS EUROPE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MISSION AVIATION FELLOWSHIP INTERNATIONAL – UK</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FORENINGEN MISSION ØST – DK</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DANMARK</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MOVIMIENTO POR LA PAZ, EL DESARME Y LA LIBERTAD – ES</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MUSLIM AID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NORWEGIAN REFUGEE COUNCIL – NO</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NORGE</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OXFAM – UK</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OXFAM ITALIA ONLUS ASSOCIAZIONE – IT</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nil"/>
              <w:left w:val="single" w:sz="4" w:space="0" w:color="000000"/>
              <w:bottom w:val="single" w:sz="4" w:space="0" w:color="auto"/>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OXFAM-SOLIDARITE(IT) – BE</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BELGIEN</w:t>
            </w:r>
          </w:p>
        </w:tc>
      </w:tr>
      <w:tr>
        <w:trPr>
          <w:trHeight w:val="570"/>
        </w:trPr>
        <w:tc>
          <w:tcPr>
            <w:tcW w:w="4551" w:type="dxa"/>
            <w:tcBorders>
              <w:top w:val="single" w:sz="4" w:space="0" w:color="auto"/>
              <w:left w:val="single" w:sz="4" w:space="0" w:color="auto"/>
              <w:bottom w:val="single" w:sz="4" w:space="0" w:color="auto"/>
              <w:right w:val="nil"/>
            </w:tcBorders>
            <w:shd w:val="clear" w:color="000000" w:fill="FFFFFF"/>
            <w:noWrap/>
            <w:vAlign w:val="center"/>
            <w:hideMark/>
          </w:tcPr>
          <w:p>
            <w:pPr>
              <w:spacing w:after="0" w:line="240" w:lineRule="auto"/>
              <w:rPr>
                <w:rFonts w:ascii="Verdana" w:eastAsia="Times New Roman" w:hAnsi="Verdana" w:cs="Arial"/>
                <w:noProof/>
                <w:vanish/>
                <w:sz w:val="18"/>
                <w:szCs w:val="18"/>
              </w:rPr>
            </w:pPr>
            <w:r>
              <w:rPr>
                <w:rFonts w:ascii="Verdana" w:hAnsi="Verdana"/>
                <w:noProof/>
                <w:color w:val="000000"/>
                <w:sz w:val="18"/>
              </w:rPr>
              <w:t xml:space="preserve">PELASTAKAA LAPSET – RÄDDA BARNEN – FI </w:t>
            </w:r>
          </w:p>
        </w:tc>
        <w:tc>
          <w:tcPr>
            <w:tcW w:w="3544" w:type="dxa"/>
            <w:tcBorders>
              <w:top w:val="nil"/>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FINLAND</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PLAN INTERNATIONAL – UK</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PLAN INTERNATIONAL SVERIGE INSAMLINGSSTIFTELSE – SE</w:t>
            </w:r>
          </w:p>
        </w:tc>
        <w:tc>
          <w:tcPr>
            <w:tcW w:w="3544" w:type="dxa"/>
            <w:tcBorders>
              <w:top w:val="single" w:sz="4" w:space="0" w:color="auto"/>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SVERIGE</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PLAN IRELAND CHARITABLE ASSISTANCE – IE</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IRLAND</w:t>
            </w:r>
          </w:p>
        </w:tc>
      </w:tr>
      <w:tr>
        <w:trPr>
          <w:trHeight w:val="570"/>
        </w:trPr>
        <w:tc>
          <w:tcPr>
            <w:tcW w:w="4551" w:type="dxa"/>
            <w:tcBorders>
              <w:top w:val="single" w:sz="4" w:space="0" w:color="auto"/>
              <w:left w:val="single" w:sz="4" w:space="0" w:color="000000"/>
              <w:bottom w:val="single" w:sz="4" w:space="0" w:color="000000"/>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POLSKA AKCJA HUMANITARNA – PL</w:t>
            </w:r>
          </w:p>
        </w:tc>
        <w:tc>
          <w:tcPr>
            <w:tcW w:w="3544" w:type="dxa"/>
            <w:tcBorders>
              <w:top w:val="single" w:sz="4" w:space="0" w:color="auto"/>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POLEN</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PRACTICAL ACTION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PREMIERE URGENCE INTERNATIONALE – FR</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RADDA BARNENS RIKSFORBUND – SE</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SVERIGE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BARNET – DK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DANMARK</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BE</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BELGIEN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DE</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auto"/>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RØDE KORS – DK</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DANMARK</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ES</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SPANIEN</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FI</w:t>
            </w:r>
          </w:p>
        </w:tc>
        <w:tc>
          <w:tcPr>
            <w:tcW w:w="3544" w:type="dxa"/>
            <w:tcBorders>
              <w:top w:val="single" w:sz="4" w:space="0" w:color="auto"/>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FINLAND</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FR</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LU</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LUXEMBURG</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NL</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NEDERLANDENE</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NO</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NORGE</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 CROSS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REDD BARNA – NO</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NORGE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REDR – ENGINEERS FOR DISASTER RELIEF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RELIEF INTERNATIONAL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SAVE THE CHILDREN – NL</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NEDERLANDENE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SAVE THE CHILDREN ITALIA ONLUS – IT</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ITALIEN</w:t>
            </w:r>
          </w:p>
        </w:tc>
      </w:tr>
      <w:tr>
        <w:trPr>
          <w:trHeight w:val="570"/>
        </w:trPr>
        <w:tc>
          <w:tcPr>
            <w:tcW w:w="4551" w:type="dxa"/>
            <w:tcBorders>
              <w:top w:val="nil"/>
              <w:left w:val="single" w:sz="4" w:space="0" w:color="000000"/>
              <w:bottom w:val="single" w:sz="4" w:space="0" w:color="auto"/>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SOLIDAR SUISSE – CH</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SCHWEIZ</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SOLIDARITES INTERNATIONAL – FR</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SOS SAHEL INTERNATIONAL FRANCE – FR</w:t>
            </w:r>
          </w:p>
        </w:tc>
        <w:tc>
          <w:tcPr>
            <w:tcW w:w="3544" w:type="dxa"/>
            <w:tcBorders>
              <w:top w:val="single" w:sz="4" w:space="0" w:color="auto"/>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SOS-KINDERDORF INTERNATIONAL – AT</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ØSTRIG</w:t>
            </w:r>
          </w:p>
        </w:tc>
      </w:tr>
      <w:tr>
        <w:trPr>
          <w:trHeight w:val="570"/>
        </w:trPr>
        <w:tc>
          <w:tcPr>
            <w:tcW w:w="4551" w:type="dxa"/>
            <w:tcBorders>
              <w:top w:val="single" w:sz="4" w:space="0" w:color="auto"/>
              <w:left w:val="single" w:sz="4" w:space="0" w:color="auto"/>
              <w:bottom w:val="single" w:sz="4" w:space="0" w:color="auto"/>
              <w:right w:val="nil"/>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STICHTING OXFAM NOVIB – NL</w:t>
            </w:r>
          </w:p>
        </w:tc>
        <w:tc>
          <w:tcPr>
            <w:tcW w:w="3544" w:type="dxa"/>
            <w:tcBorders>
              <w:top w:val="single" w:sz="4" w:space="0" w:color="auto"/>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NEDERLANDENE</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STICHTING WAR CHILD – NL</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NEDERLANDENE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STICHTING WORLD VISION NEDERLAND – NL</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NEDERLANDENE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SVENSKA KYRKAN – SE</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SVERIGE</w:t>
            </w:r>
          </w:p>
        </w:tc>
      </w:tr>
      <w:tr>
        <w:trPr>
          <w:trHeight w:val="570"/>
        </w:trPr>
        <w:tc>
          <w:tcPr>
            <w:tcW w:w="4551" w:type="dxa"/>
            <w:tcBorders>
              <w:top w:val="nil"/>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TEARFUND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TERRE DES HOMMES – CH</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SCHWEIZ</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THE INTERNATIONAL CATHOLIC MIGRATION COMMISSION – CH</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SCHWEIZ</w:t>
            </w:r>
          </w:p>
        </w:tc>
      </w:tr>
      <w:tr>
        <w:trPr>
          <w:trHeight w:val="570"/>
        </w:trPr>
        <w:tc>
          <w:tcPr>
            <w:tcW w:w="4551" w:type="dxa"/>
            <w:tcBorders>
              <w:top w:val="nil"/>
              <w:left w:val="single" w:sz="4" w:space="0" w:color="000000"/>
              <w:bottom w:val="single" w:sz="4" w:space="0" w:color="auto"/>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THE SAVE THE CHILDREN FUND – UK</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TIERÄRZTE OHNE GRENZEN E.V. – DE</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TRIANGLE GENERATION HUMANITAIRE – FR</w:t>
            </w:r>
          </w:p>
        </w:tc>
        <w:tc>
          <w:tcPr>
            <w:tcW w:w="3544" w:type="dxa"/>
            <w:tcBorders>
              <w:top w:val="single" w:sz="4" w:space="0" w:color="auto"/>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FRANKRIG</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TROCAIRE – IE</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IRLAND</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 – OCHA</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 – OHCHR</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 – PAHO</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UNDP</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UNESCO</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UNFPA</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UNHCR</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UNICEF</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UNISDR</w:t>
            </w:r>
          </w:p>
        </w:tc>
        <w:tc>
          <w:tcPr>
            <w:tcW w:w="3544" w:type="dxa"/>
            <w:tcBorders>
              <w:top w:val="nil"/>
              <w:left w:val="single" w:sz="4" w:space="0" w:color="auto"/>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auto"/>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UNOPS</w:t>
            </w:r>
          </w:p>
        </w:tc>
        <w:tc>
          <w:tcPr>
            <w:tcW w:w="3544" w:type="dxa"/>
            <w:tcBorders>
              <w:top w:val="nil"/>
              <w:left w:val="nil"/>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UNRWA</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single" w:sz="4" w:space="0" w:color="auto"/>
              <w:left w:val="single" w:sz="4" w:space="0" w:color="000000"/>
              <w:bottom w:val="single" w:sz="4" w:space="0" w:color="auto"/>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UNWOMEN</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WFP</w:t>
            </w:r>
          </w:p>
        </w:tc>
        <w:tc>
          <w:tcPr>
            <w:tcW w:w="3544" w:type="dxa"/>
            <w:tcBorders>
              <w:top w:val="single" w:sz="4" w:space="0" w:color="auto"/>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WHO</w:t>
            </w:r>
          </w:p>
        </w:tc>
        <w:tc>
          <w:tcPr>
            <w:tcW w:w="3544" w:type="dxa"/>
            <w:tcBorders>
              <w:top w:val="single" w:sz="4" w:space="0" w:color="auto"/>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INTERNATIONAL ORGANISATION</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WORLD VISION – DE</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TYSKLAND</w:t>
            </w:r>
          </w:p>
        </w:tc>
      </w:tr>
      <w:tr>
        <w:trPr>
          <w:trHeight w:val="570"/>
        </w:trPr>
        <w:tc>
          <w:tcPr>
            <w:tcW w:w="4551" w:type="dxa"/>
            <w:tcBorders>
              <w:top w:val="nil"/>
              <w:left w:val="single" w:sz="4" w:space="0" w:color="000000"/>
              <w:bottom w:val="single" w:sz="4" w:space="0" w:color="000000"/>
              <w:right w:val="single" w:sz="4" w:space="0" w:color="000000"/>
            </w:tcBorders>
            <w:shd w:val="clear" w:color="000000"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WORLD VISION – UK</w:t>
            </w:r>
          </w:p>
        </w:tc>
        <w:tc>
          <w:tcPr>
            <w:tcW w:w="3544" w:type="dxa"/>
            <w:tcBorders>
              <w:top w:val="nil"/>
              <w:left w:val="nil"/>
              <w:bottom w:val="single" w:sz="4" w:space="0" w:color="000000"/>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DET FORENEDE KONGERIGE</w:t>
            </w:r>
          </w:p>
        </w:tc>
      </w:tr>
      <w:tr>
        <w:trPr>
          <w:trHeight w:val="570"/>
        </w:trPr>
        <w:tc>
          <w:tcPr>
            <w:tcW w:w="4551" w:type="dxa"/>
            <w:tcBorders>
              <w:top w:val="nil"/>
              <w:left w:val="single" w:sz="4" w:space="0" w:color="000000"/>
              <w:bottom w:val="single" w:sz="4" w:space="0" w:color="000000"/>
              <w:right w:val="nil"/>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ZOA – NL</w:t>
            </w:r>
          </w:p>
        </w:tc>
        <w:tc>
          <w:tcPr>
            <w:tcW w:w="3544" w:type="dxa"/>
            <w:tcBorders>
              <w:top w:val="nil"/>
              <w:left w:val="single" w:sz="4" w:space="0" w:color="auto"/>
              <w:bottom w:val="single" w:sz="4" w:space="0" w:color="auto"/>
              <w:right w:val="single" w:sz="4" w:space="0" w:color="auto"/>
            </w:tcBorders>
            <w:shd w:val="clear" w:color="FFFFFF" w:fill="FFFFFF"/>
            <w:vAlign w:val="center"/>
            <w:hideMark/>
          </w:tcPr>
          <w:p>
            <w:pPr>
              <w:spacing w:after="0" w:line="240" w:lineRule="auto"/>
              <w:rPr>
                <w:rFonts w:ascii="Verdana" w:eastAsia="Times New Roman" w:hAnsi="Verdana"/>
                <w:noProof/>
                <w:color w:val="000000"/>
                <w:sz w:val="18"/>
                <w:szCs w:val="18"/>
              </w:rPr>
            </w:pPr>
            <w:r>
              <w:rPr>
                <w:rFonts w:ascii="Verdana" w:hAnsi="Verdana"/>
                <w:noProof/>
                <w:color w:val="000000"/>
                <w:sz w:val="18"/>
              </w:rPr>
              <w:t>NEDERLANDENE</w:t>
            </w:r>
          </w:p>
        </w:tc>
      </w:tr>
    </w:tbl>
    <w:p>
      <w:pPr>
        <w:rPr>
          <w:noProof/>
        </w:rPr>
      </w:pPr>
    </w:p>
    <w:p>
      <w:pPr>
        <w:pStyle w:val="ECHOContentList"/>
        <w:numPr>
          <w:ilvl w:val="0"/>
          <w:numId w:val="0"/>
        </w:numPr>
        <w:ind w:left="720"/>
        <w:jc w:val="left"/>
        <w:rPr>
          <w:rStyle w:val="Hyperlink"/>
          <w:noProof/>
          <w:color w:val="auto"/>
          <w:u w:val="none"/>
        </w:rPr>
      </w:pPr>
    </w:p>
    <w:sectPr>
      <w:headerReference w:type="even" r:id="rId24"/>
      <w:headerReference w:type="default" r:id="rId25"/>
      <w:footerReference w:type="even" r:id="rId26"/>
      <w:footerReference w:type="default" r:id="rId27"/>
      <w:headerReference w:type="first" r:id="rId28"/>
      <w:footerReference w:type="first" r:id="rId29"/>
      <w:pgSz w:w="11906" w:h="16838"/>
      <w:pgMar w:top="1021" w:right="1418" w:bottom="1440" w:left="179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fldChar w:fldCharType="begin"/>
    </w:r>
    <w:r>
      <w:instrText xml:space="preserve"> PAGE   \* MERGEFORMAT </w:instrText>
    </w:r>
    <w:r>
      <w:fldChar w:fldCharType="separate"/>
    </w:r>
    <w:r>
      <w:rPr>
        <w:noProof/>
      </w:rPr>
      <w:t>2</w:t>
    </w:r>
    <w:r>
      <w:rPr>
        <w:noProof/>
      </w:rPr>
      <w:fldChar w:fldCharType="end"/>
    </w:r>
  </w:p>
  <w:p>
    <w:pPr>
      <w:pStyle w:val="FooterDat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535"/>
        <w:tab w:val="clear" w:pos="9071"/>
        <w:tab w:val="left" w:pos="5355"/>
      </w:tabs>
    </w:pPr>
    <w:r>
      <w:t>6</w:t>
    </w:r>
    <w:r>
      <w:tab/>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tab/>
      </w:r>
      <w:r>
        <w:rPr>
          <w:sz w:val="16"/>
        </w:rPr>
        <w:t>Finansieringen fra Den Europæiske Udviklingsfond på 173 mio. EUR er medregnet i dette beløb.</w:t>
      </w:r>
    </w:p>
  </w:footnote>
  <w:footnote w:id="2">
    <w:p>
      <w:pPr>
        <w:pStyle w:val="FootnoteText"/>
        <w:jc w:val="left"/>
        <w:rPr>
          <w:sz w:val="16"/>
          <w:szCs w:val="16"/>
        </w:rPr>
      </w:pPr>
      <w:r>
        <w:rPr>
          <w:rStyle w:val="FootnoteReference"/>
        </w:rPr>
        <w:footnoteRef/>
      </w:r>
      <w:r>
        <w:t xml:space="preserve"> </w:t>
      </w:r>
      <w:r>
        <w:tab/>
      </w:r>
      <w:r>
        <w:rPr>
          <w:sz w:val="16"/>
        </w:rPr>
        <w:t>Kommissionens afgørelse C(2015) 9500 af 24. november 2015 om koordinering af Unionens og medlemsstaternes tiltag gennem en koordinationsmekanisme – flygtningefaciliteten for Tyrkiet (EUT C 407 af 8.12.2015, s. 8), senest ændret ved Kommissionens afgørelse af 18. april 2017 om faciliteten for flygtninge i Tyrkiet og om ændring af Kommissionens afgørelse C(2015) 9500 af 24. november 2015.</w:t>
      </w:r>
    </w:p>
  </w:footnote>
  <w:footnote w:id="3">
    <w:p>
      <w:pPr>
        <w:pStyle w:val="FootnoteText"/>
        <w:rPr>
          <w:sz w:val="16"/>
          <w:szCs w:val="16"/>
        </w:rPr>
      </w:pPr>
      <w:r>
        <w:rPr>
          <w:rStyle w:val="FootnoteReference"/>
          <w:sz w:val="16"/>
        </w:rPr>
        <w:footnoteRef/>
      </w:r>
      <w:r>
        <w:rPr>
          <w:sz w:val="16"/>
        </w:rPr>
        <w:t xml:space="preserve"> </w:t>
      </w:r>
      <w:r>
        <w:tab/>
      </w:r>
      <w:r>
        <w:rPr>
          <w:sz w:val="16"/>
        </w:rPr>
        <w:t>http://ec.europa.eu/echo/what/civil-protection/mechanism_en</w:t>
      </w:r>
    </w:p>
  </w:footnote>
  <w:footnote w:id="4">
    <w:p>
      <w:pPr>
        <w:pStyle w:val="FootnoteText"/>
        <w:rPr>
          <w:sz w:val="16"/>
          <w:szCs w:val="16"/>
        </w:rPr>
      </w:pPr>
      <w:r>
        <w:rPr>
          <w:rStyle w:val="FootnoteReference"/>
        </w:rPr>
        <w:footnoteRef/>
      </w:r>
      <w:r>
        <w:t xml:space="preserve"> </w:t>
      </w:r>
      <w:r>
        <w:tab/>
      </w:r>
      <w:r>
        <w:rPr>
          <w:sz w:val="16"/>
        </w:rPr>
        <w:t>Meddelelse fra Kommissionen "Et værdigt liv: fra afhængighed af bistand til selvhjulpenhed – Tvangsfordrivelse og udvikling", COM(2016) 234 final.</w:t>
      </w:r>
    </w:p>
  </w:footnote>
  <w:footnote w:id="5">
    <w:p>
      <w:pPr>
        <w:pStyle w:val="FootnoteText"/>
        <w:rPr>
          <w:sz w:val="16"/>
          <w:szCs w:val="16"/>
        </w:rPr>
      </w:pPr>
      <w:r>
        <w:rPr>
          <w:rStyle w:val="FootnoteReference"/>
          <w:sz w:val="16"/>
        </w:rPr>
        <w:footnoteRef/>
      </w:r>
      <w:r>
        <w:rPr>
          <w:sz w:val="16"/>
        </w:rPr>
        <w:t xml:space="preserve"> </w:t>
      </w:r>
      <w:r>
        <w:tab/>
      </w:r>
      <w:r>
        <w:rPr>
          <w:sz w:val="16"/>
          <w:u w:val="single"/>
        </w:rPr>
        <w:t>http://humanitariandisabilitycharter.org/</w:t>
      </w:r>
    </w:p>
  </w:footnote>
  <w:footnote w:id="6">
    <w:p>
      <w:pPr>
        <w:pStyle w:val="FootnoteText"/>
        <w:rPr>
          <w:sz w:val="16"/>
          <w:szCs w:val="16"/>
        </w:rPr>
      </w:pPr>
      <w:r>
        <w:rPr>
          <w:rStyle w:val="FootnoteReference"/>
          <w:sz w:val="16"/>
        </w:rPr>
        <w:footnoteRef/>
      </w:r>
      <w:r>
        <w:rPr>
          <w:sz w:val="16"/>
        </w:rPr>
        <w:t xml:space="preserve"> </w:t>
      </w:r>
      <w:r>
        <w:tab/>
      </w:r>
      <w:hyperlink r:id="rId1">
        <w:r>
          <w:rPr>
            <w:rStyle w:val="Hyperlink"/>
            <w:rFonts w:ascii="Times New Roman" w:hAnsi="Times New Roman"/>
            <w:color w:val="auto"/>
            <w:sz w:val="16"/>
          </w:rPr>
          <w:t>https://unhabitat.org/wp-content/uploads/2016/05/Global-Alliance-for-Urban-Crises-Charter-for-WHS-Final.pdf</w:t>
        </w:r>
      </w:hyperlink>
    </w:p>
  </w:footnote>
  <w:footnote w:id="7">
    <w:p>
      <w:pPr>
        <w:pStyle w:val="FootnoteText"/>
        <w:jc w:val="left"/>
        <w:rPr>
          <w:sz w:val="16"/>
          <w:szCs w:val="16"/>
        </w:rPr>
      </w:pPr>
      <w:r>
        <w:rPr>
          <w:rStyle w:val="FootnoteReference"/>
        </w:rPr>
        <w:footnoteRef/>
      </w:r>
      <w:r>
        <w:t xml:space="preserve"> </w:t>
      </w:r>
      <w:r>
        <w:tab/>
      </w:r>
      <w:r>
        <w:rPr>
          <w:sz w:val="16"/>
        </w:rPr>
        <w:t>https://ec.europa.eu/europeaid/policies/european-development-policy/european-consensus-development_en</w:t>
      </w:r>
    </w:p>
  </w:footnote>
  <w:footnote w:id="8">
    <w:p>
      <w:pPr>
        <w:pStyle w:val="FootnoteText"/>
        <w:rPr>
          <w:sz w:val="16"/>
          <w:szCs w:val="16"/>
        </w:rPr>
      </w:pPr>
      <w:r>
        <w:rPr>
          <w:rStyle w:val="FootnoteReference"/>
        </w:rPr>
        <w:footnoteRef/>
      </w:r>
      <w:r>
        <w:tab/>
      </w:r>
      <w:r>
        <w:rPr>
          <w:sz w:val="16"/>
        </w:rPr>
        <w:t>Herunder navnene på berørte partnerorganisationer.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360" w:lineRule="auto"/>
      <w:ind w:left="-1134"/>
      <w:rPr>
        <w:rFonts w:ascii="Verdana" w:hAnsi="Verdana"/>
        <w:sz w:val="14"/>
        <w:szCs w:val="14"/>
      </w:rPr>
    </w:pPr>
    <w:r>
      <w:rPr>
        <w:rFonts w:ascii="Verdana" w:hAnsi="Verdana"/>
        <w:b/>
        <w:sz w:val="14"/>
        <w:szCs w:val="14"/>
      </w:rPr>
      <w:br/>
    </w:r>
    <w:r>
      <w:rPr>
        <w:rFonts w:ascii="Verdana" w:hAnsi="Verdana"/>
        <w:sz w:val="14"/>
      </w:rPr>
      <w:t>Årsberetning om gennemførelsen af Den Europæiske Unions politikker for humanitær bistand i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
    <w:nsid w:val="273B2CC1"/>
    <w:multiLevelType w:val="multilevel"/>
    <w:tmpl w:val="E1005B62"/>
    <w:lvl w:ilvl="0">
      <w:start w:val="1"/>
      <w:numFmt w:val="decimal"/>
      <w:pStyle w:val="AARHeading11"/>
      <w:lvlText w:val="%1."/>
      <w:lvlJc w:val="left"/>
      <w:pPr>
        <w:ind w:left="1004" w:hanging="720"/>
      </w:pPr>
      <w:rPr>
        <w:rFonts w:hint="default"/>
      </w:rPr>
    </w:lvl>
    <w:lvl w:ilvl="1">
      <w:start w:val="1"/>
      <w:numFmt w:val="decimal"/>
      <w:pStyle w:val="AARHeading211"/>
      <w:isLgl/>
      <w:lvlText w:val="%1.%2"/>
      <w:lvlJc w:val="left"/>
      <w:pPr>
        <w:ind w:left="720" w:hanging="720"/>
      </w:pPr>
      <w:rPr>
        <w:rFonts w:hint="default"/>
      </w:rPr>
    </w:lvl>
    <w:lvl w:ilvl="2">
      <w:start w:val="1"/>
      <w:numFmt w:val="decimal"/>
      <w:pStyle w:val="AARHeading3111"/>
      <w:isLgl/>
      <w:lvlText w:val="%1.%2.%3"/>
      <w:lvlJc w:val="left"/>
      <w:pPr>
        <w:ind w:left="2084" w:hanging="1080"/>
      </w:pPr>
      <w:rPr>
        <w:rFonts w:hint="default"/>
      </w:rPr>
    </w:lvl>
    <w:lvl w:ilvl="3">
      <w:start w:val="1"/>
      <w:numFmt w:val="decimal"/>
      <w:isLgl/>
      <w:lvlText w:val="%1.%2.%3.%4"/>
      <w:lvlJc w:val="left"/>
      <w:pPr>
        <w:ind w:left="3164" w:hanging="1800"/>
      </w:pPr>
      <w:rPr>
        <w:rFonts w:hint="default"/>
      </w:rPr>
    </w:lvl>
    <w:lvl w:ilvl="4">
      <w:start w:val="1"/>
      <w:numFmt w:val="decimal"/>
      <w:isLgl/>
      <w:lvlText w:val="%1.%2.%3.%4.%5"/>
      <w:lvlJc w:val="left"/>
      <w:pPr>
        <w:ind w:left="3884" w:hanging="2160"/>
      </w:pPr>
      <w:rPr>
        <w:rFonts w:hint="default"/>
      </w:rPr>
    </w:lvl>
    <w:lvl w:ilvl="5">
      <w:start w:val="1"/>
      <w:numFmt w:val="decimal"/>
      <w:isLgl/>
      <w:lvlText w:val="%1.%2.%3.%4.%5.%6"/>
      <w:lvlJc w:val="left"/>
      <w:pPr>
        <w:ind w:left="4604" w:hanging="2520"/>
      </w:pPr>
      <w:rPr>
        <w:rFonts w:hint="default"/>
      </w:rPr>
    </w:lvl>
    <w:lvl w:ilvl="6">
      <w:start w:val="1"/>
      <w:numFmt w:val="decimal"/>
      <w:isLgl/>
      <w:lvlText w:val="%1.%2.%3.%4.%5.%6.%7"/>
      <w:lvlJc w:val="left"/>
      <w:pPr>
        <w:ind w:left="5324" w:hanging="2880"/>
      </w:pPr>
      <w:rPr>
        <w:rFonts w:hint="default"/>
      </w:rPr>
    </w:lvl>
    <w:lvl w:ilvl="7">
      <w:start w:val="1"/>
      <w:numFmt w:val="decimal"/>
      <w:isLgl/>
      <w:lvlText w:val="%1.%2.%3.%4.%5.%6.%7.%8"/>
      <w:lvlJc w:val="left"/>
      <w:pPr>
        <w:ind w:left="6044" w:hanging="3240"/>
      </w:pPr>
      <w:rPr>
        <w:rFonts w:hint="default"/>
      </w:rPr>
    </w:lvl>
    <w:lvl w:ilvl="8">
      <w:start w:val="1"/>
      <w:numFmt w:val="decimal"/>
      <w:isLgl/>
      <w:lvlText w:val="%1.%2.%3.%4.%5.%6.%7.%8.%9"/>
      <w:lvlJc w:val="left"/>
      <w:pPr>
        <w:ind w:left="6764" w:hanging="3600"/>
      </w:pPr>
      <w:rPr>
        <w:rFonts w:hint="default"/>
      </w:rPr>
    </w:lvl>
  </w:abstractNum>
  <w:abstractNum w:abstractNumId="5">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2DFA0061"/>
    <w:multiLevelType w:val="hybridMultilevel"/>
    <w:tmpl w:val="80443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49B4E93"/>
    <w:multiLevelType w:val="hybridMultilevel"/>
    <w:tmpl w:val="45B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2">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1">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492207"/>
    <w:multiLevelType w:val="hybridMultilevel"/>
    <w:tmpl w:val="40C07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5C26F71"/>
    <w:multiLevelType w:val="multilevel"/>
    <w:tmpl w:val="E01E7708"/>
    <w:lvl w:ilvl="0">
      <w:start w:val="1"/>
      <w:numFmt w:val="decimal"/>
      <w:lvlRestart w:val="0"/>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6C53C36"/>
    <w:multiLevelType w:val="hybridMultilevel"/>
    <w:tmpl w:val="08BC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4">
    <w:nsid w:val="7D76722E"/>
    <w:multiLevelType w:val="hybridMultilevel"/>
    <w:tmpl w:val="EECA57C4"/>
    <w:lvl w:ilvl="0" w:tplc="E81E72EE">
      <w:start w:val="1"/>
      <w:numFmt w:val="bullet"/>
      <w:pStyle w:val="ECHOContentLis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2"/>
  </w:num>
  <w:num w:numId="4">
    <w:abstractNumId w:val="21"/>
  </w:num>
  <w:num w:numId="5">
    <w:abstractNumId w:val="16"/>
  </w:num>
  <w:num w:numId="6">
    <w:abstractNumId w:val="28"/>
  </w:num>
  <w:num w:numId="7">
    <w:abstractNumId w:val="31"/>
  </w:num>
  <w:num w:numId="8">
    <w:abstractNumId w:val="30"/>
  </w:num>
  <w:num w:numId="9">
    <w:abstractNumId w:val="33"/>
  </w:num>
  <w:num w:numId="10">
    <w:abstractNumId w:val="11"/>
  </w:num>
  <w:num w:numId="11">
    <w:abstractNumId w:val="9"/>
  </w:num>
  <w:num w:numId="12">
    <w:abstractNumId w:val="23"/>
  </w:num>
  <w:num w:numId="13">
    <w:abstractNumId w:val="12"/>
  </w:num>
  <w:num w:numId="14">
    <w:abstractNumId w:val="20"/>
  </w:num>
  <w:num w:numId="15">
    <w:abstractNumId w:val="19"/>
    <w:lvlOverride w:ilvl="0">
      <w:startOverride w:val="1"/>
    </w:lvlOverride>
  </w:num>
  <w:num w:numId="16">
    <w:abstractNumId w:val="10"/>
  </w:num>
  <w:num w:numId="17">
    <w:abstractNumId w:val="6"/>
  </w:num>
  <w:num w:numId="18">
    <w:abstractNumId w:val="2"/>
  </w:num>
  <w:num w:numId="19">
    <w:abstractNumId w:val="1"/>
  </w:num>
  <w:num w:numId="20">
    <w:abstractNumId w:val="24"/>
  </w:num>
  <w:num w:numId="21">
    <w:abstractNumId w:val="27"/>
  </w:num>
  <w:num w:numId="22">
    <w:abstractNumId w:val="25"/>
  </w:num>
  <w:num w:numId="23">
    <w:abstractNumId w:val="29"/>
  </w:num>
  <w:num w:numId="24">
    <w:abstractNumId w:val="3"/>
  </w:num>
  <w:num w:numId="25">
    <w:abstractNumId w:val="13"/>
  </w:num>
  <w:num w:numId="26">
    <w:abstractNumId w:val="15"/>
  </w:num>
  <w:num w:numId="27">
    <w:abstractNumId w:val="14"/>
  </w:num>
  <w:num w:numId="28">
    <w:abstractNumId w:val="0"/>
  </w:num>
  <w:num w:numId="29">
    <w:abstractNumId w:val="17"/>
  </w:num>
  <w:num w:numId="30">
    <w:abstractNumId w:val="34"/>
  </w:num>
  <w:num w:numId="31">
    <w:abstractNumId w:val="4"/>
  </w:num>
  <w:num w:numId="32">
    <w:abstractNumId w:val="8"/>
  </w:num>
  <w:num w:numId="33">
    <w:abstractNumId w:val="26"/>
  </w:num>
  <w:num w:numId="34">
    <w:abstractNumId w:val="7"/>
  </w:num>
  <w:num w:numId="35">
    <w:abstractNumId w:val="32"/>
  </w:num>
  <w:num w:numId="36">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6D853725-1545-4093-B73C-8F61AAB46079"/>
    <w:docVar w:name="LW_COVERPAGE_TYPE" w:val="1"/>
    <w:docVar w:name="LW_CROSSREFERENCE" w:val="&lt;UNUSED&gt;"/>
    <w:docVar w:name="LW_DATE.ADOPT.CP_ISODATE" w:val="&lt;EMPTY&gt;"/>
    <w:docVar w:name="LW_DocType" w:val="NORMAL"/>
    <w:docVar w:name="LW_EMISSION" w:val="13.11.2017"/>
    <w:docVar w:name="LW_EMISSION_ISODATE" w:val="2017-11-13"/>
    <w:docVar w:name="LW_EMISSION_LOCATION" w:val="BRX"/>
    <w:docVar w:name="LW_EMISSION_PREFIX" w:val="Bruxelles, den "/>
    <w:docVar w:name="LW_EMISSION_SUFFIX" w:val=" "/>
    <w:docVar w:name="LW_ID_DOCTYPE_NONLW" w:val="CP-006"/>
    <w:docVar w:name="LW_INTERETEEE.CP" w:val="&lt;UNUSED&gt;"/>
    <w:docVar w:name="LW_LANGUE" w:val="DA"/>
    <w:docVar w:name="LW_LANGUESFAISANTFOI.CP" w:val="&lt;UNUSED&gt;"/>
    <w:docVar w:name="LW_LEVEL_OF_SENSITIVITY" w:val="Standard treatment"/>
    <w:docVar w:name="LW_NOM.INST" w:val="EUROPA-KOMMISSIONE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6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Årsberetning om gennemførelsen af Den Europæiske Unions politikker for humanitær bistand i 2016"/>
    <w:docVar w:name="LW_TYPE.DOC.CP" w:val="RAPPORT FRA KOMMISSIONEN TIL EUROPA-PARLAMENTET OG RÅDE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pPr>
      <w:keepNext/>
      <w:spacing w:before="360" w:after="120" w:line="240" w:lineRule="auto"/>
      <w:ind w:hanging="850"/>
      <w:jc w:val="both"/>
      <w:outlineLvl w:val="0"/>
    </w:pPr>
    <w:rPr>
      <w:rFonts w:ascii="Times New Roman" w:eastAsia="Times New Roman" w:hAnsi="Times New Roman"/>
      <w:b/>
      <w:bCs/>
      <w:smallCaps/>
      <w:sz w:val="24"/>
      <w:szCs w:val="32"/>
    </w:rPr>
  </w:style>
  <w:style w:type="paragraph" w:styleId="Heading2">
    <w:name w:val="heading 2"/>
    <w:basedOn w:val="Normal"/>
    <w:next w:val="Normal"/>
    <w:link w:val="Heading2Char"/>
    <w:pPr>
      <w:keepNext/>
      <w:numPr>
        <w:ilvl w:val="1"/>
        <w:numId w:val="7"/>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Normal"/>
    <w:link w:val="Heading3Char"/>
    <w:pPr>
      <w:keepNext/>
      <w:numPr>
        <w:ilvl w:val="2"/>
        <w:numId w:val="7"/>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Normal"/>
    <w:link w:val="Heading4Char"/>
    <w:pPr>
      <w:keepNext/>
      <w:numPr>
        <w:ilvl w:val="3"/>
        <w:numId w:val="7"/>
      </w:numPr>
      <w:spacing w:before="120" w:after="120" w:line="240" w:lineRule="auto"/>
      <w:jc w:val="both"/>
      <w:outlineLvl w:val="3"/>
    </w:pPr>
    <w:rPr>
      <w:rFonts w:ascii="Times New Roman" w:eastAsia="Times New Roman" w:hAnsi="Times New Roman"/>
      <w:bCs/>
      <w:sz w:val="24"/>
      <w:szCs w:val="28"/>
    </w:rPr>
  </w:style>
  <w:style w:type="paragraph" w:styleId="Heading5">
    <w:name w:val="heading 5"/>
    <w:basedOn w:val="Normal"/>
    <w:next w:val="Normal"/>
    <w:link w:val="Heading5Char"/>
    <w:uiPriority w:val="9"/>
    <w:semiHidden/>
    <w:unhideWhenUsed/>
    <w:qFormat/>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lang w:eastAsia="en-US" w:bidi="ar-SA"/>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rPr>
      <w:rFonts w:ascii="Times New Roman" w:eastAsia="Times New Roman" w:hAnsi="Times New Roman" w:cs="Times New Roman"/>
      <w:b/>
      <w:bCs/>
      <w:smallCaps/>
      <w:sz w:val="24"/>
      <w:szCs w:val="32"/>
    </w:rPr>
  </w:style>
  <w:style w:type="character" w:customStyle="1" w:styleId="Heading2Char">
    <w:name w:val="Heading 2 Char"/>
    <w:link w:val="Heading2"/>
    <w:rPr>
      <w:rFonts w:ascii="Times New Roman" w:eastAsia="Times New Roman" w:hAnsi="Times New Roman"/>
      <w:b/>
      <w:bCs/>
      <w:iCs/>
      <w:sz w:val="24"/>
      <w:szCs w:val="28"/>
      <w:lang w:eastAsia="da-DK"/>
    </w:rPr>
  </w:style>
  <w:style w:type="character" w:customStyle="1" w:styleId="Heading3Char">
    <w:name w:val="Heading 3 Char"/>
    <w:link w:val="Heading3"/>
    <w:rPr>
      <w:rFonts w:ascii="Times New Roman" w:eastAsia="Times New Roman" w:hAnsi="Times New Roman"/>
      <w:bCs/>
      <w:i/>
      <w:sz w:val="24"/>
      <w:szCs w:val="26"/>
      <w:lang w:eastAsia="da-DK"/>
    </w:rPr>
  </w:style>
  <w:style w:type="character" w:customStyle="1" w:styleId="Heading4Char">
    <w:name w:val="Heading 4 Char"/>
    <w:link w:val="Heading4"/>
    <w:rPr>
      <w:rFonts w:ascii="Times New Roman" w:eastAsia="Times New Roman" w:hAnsi="Times New Roman"/>
      <w:bCs/>
      <w:sz w:val="24"/>
      <w:szCs w:val="28"/>
      <w:lang w:eastAsia="da-DK"/>
    </w:rPr>
  </w:style>
  <w:style w:type="character" w:customStyle="1" w:styleId="Heading5Char">
    <w:name w:val="Heading 5 Char"/>
    <w:link w:val="Heading5"/>
    <w:uiPriority w:val="9"/>
    <w:semiHidden/>
    <w:rPr>
      <w:rFonts w:ascii="Cambria" w:eastAsia="Times New Roman" w:hAnsi="Cambria" w:cs="Times New Roman"/>
      <w:b/>
      <w:bCs/>
      <w:color w:val="7F7F7F"/>
      <w:lang w:eastAsia="da-DK"/>
    </w:rPr>
  </w:style>
  <w:style w:type="character" w:customStyle="1" w:styleId="Heading6Char">
    <w:name w:val="Heading 6 Char"/>
    <w:link w:val="Heading6"/>
    <w:uiPriority w:val="9"/>
    <w:semiHidden/>
    <w:rPr>
      <w:rFonts w:ascii="Cambria" w:eastAsia="Times New Roman" w:hAnsi="Cambria" w:cs="Times New Roman"/>
      <w:b/>
      <w:bCs/>
      <w:i/>
      <w:iCs/>
      <w:color w:val="7F7F7F"/>
      <w:lang w:eastAsia="da-DK"/>
    </w:rPr>
  </w:style>
  <w:style w:type="character" w:customStyle="1" w:styleId="Heading7Char">
    <w:name w:val="Heading 7 Char"/>
    <w:link w:val="Heading7"/>
    <w:uiPriority w:val="9"/>
    <w:semiHidden/>
    <w:rPr>
      <w:rFonts w:ascii="Cambria" w:eastAsia="Times New Roman" w:hAnsi="Cambria" w:cs="Times New Roman"/>
      <w:i/>
      <w:iCs/>
      <w:lang w:eastAsia="da-DK"/>
    </w:rPr>
  </w:style>
  <w:style w:type="character" w:customStyle="1" w:styleId="Heading8Char">
    <w:name w:val="Heading 8 Char"/>
    <w:link w:val="Heading8"/>
    <w:uiPriority w:val="9"/>
    <w:semiHidden/>
    <w:rPr>
      <w:rFonts w:ascii="Cambria" w:eastAsia="Times New Roman" w:hAnsi="Cambria" w:cs="Times New Roman"/>
      <w:sz w:val="20"/>
      <w:szCs w:val="20"/>
      <w:lang w:eastAsia="da-DK"/>
    </w:rPr>
  </w:style>
  <w:style w:type="character" w:customStyle="1" w:styleId="Heading9Char">
    <w:name w:val="Heading 9 Char"/>
    <w:link w:val="Heading9"/>
    <w:uiPriority w:val="9"/>
    <w:semiHidden/>
    <w:rPr>
      <w:rFonts w:ascii="Cambria" w:eastAsia="Times New Roman" w:hAnsi="Cambria" w:cs="Times New Roman"/>
      <w:i/>
      <w:iCs/>
      <w:spacing w:val="5"/>
      <w:sz w:val="20"/>
      <w:szCs w:val="20"/>
      <w:lang w:eastAsia="da-DK"/>
    </w:rPr>
  </w:style>
  <w:style w:type="paragraph" w:customStyle="1" w:styleId="Accompagnant">
    <w:name w:val="Accompagnant"/>
    <w:basedOn w:val="Normal"/>
    <w:next w:val="Normal"/>
    <w:pPr>
      <w:spacing w:after="240" w:line="240" w:lineRule="auto"/>
      <w:jc w:val="center"/>
    </w:pPr>
    <w:rPr>
      <w:rFonts w:ascii="Times New Roman" w:eastAsia="Times New Roman" w:hAnsi="Times New Roman"/>
      <w:b/>
      <w:i/>
      <w:sz w:val="24"/>
      <w:szCs w:val="24"/>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Normal"/>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2"/>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3"/>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4"/>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5"/>
      </w:numPr>
      <w:spacing w:before="120" w:after="120" w:line="240" w:lineRule="auto"/>
      <w:jc w:val="both"/>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Normal"/>
    <w:pPr>
      <w:spacing w:before="240" w:after="240" w:line="240" w:lineRule="auto"/>
      <w:ind w:left="5103"/>
      <w:jc w:val="both"/>
    </w:pPr>
    <w:rPr>
      <w:rFonts w:ascii="Times New Roman" w:eastAsia="Times New Roman" w:hAnsi="Times New Roman"/>
      <w:sz w:val="24"/>
      <w:szCs w:val="24"/>
      <w:u w:val="single"/>
    </w:rPr>
  </w:style>
  <w:style w:type="paragraph" w:customStyle="1" w:styleId="Considrant">
    <w:name w:val="Considérant"/>
    <w:basedOn w:val="Normal"/>
    <w:pPr>
      <w:numPr>
        <w:numId w:val="6"/>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Normal"/>
    <w:pPr>
      <w:spacing w:before="360" w:after="0" w:line="240" w:lineRule="auto"/>
      <w:jc w:val="center"/>
    </w:pPr>
    <w:rPr>
      <w:rFonts w:ascii="Times New Roman" w:eastAsia="Times New Roman" w:hAnsi="Times New Roman"/>
      <w:b/>
      <w:sz w:val="24"/>
      <w:szCs w:val="24"/>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Normal"/>
    <w:pPr>
      <w:keepNext/>
      <w:spacing w:before="120" w:after="0" w:line="240" w:lineRule="auto"/>
      <w:jc w:val="both"/>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lang w:eastAsia="en-US" w:bidi="ar-SA"/>
    </w:r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 Exposant 3 Poi,Ref"/>
    <w:link w:val="Nota"/>
    <w:qFormat/>
    <w:rPr>
      <w:vertAlign w:val="superscript"/>
    </w:rPr>
  </w:style>
  <w:style w:type="paragraph" w:styleId="FootnoteText">
    <w:name w:val="footnote text"/>
    <w:basedOn w:val="Normal"/>
    <w:link w:val="FootnoteTextChar2"/>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aliases w:val="Footnote Text Char1 Char Char Char Char Char Char"/>
    <w:rPr>
      <w:sz w:val="20"/>
      <w:szCs w:val="20"/>
    </w:rPr>
  </w:style>
  <w:style w:type="paragraph" w:customStyle="1" w:styleId="Formuledadoption">
    <w:name w:val="Formule d'adoption"/>
    <w:basedOn w:val="Normal"/>
    <w:next w:val="Normal"/>
    <w:pPr>
      <w:keepNext/>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lang w:eastAsia="en-US" w:bidi="ar-SA"/>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Normal"/>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ManualHeading1">
    <w:name w:val="Manual Heading 1"/>
    <w:basedOn w:val="Normal"/>
    <w:next w:val="Normal"/>
    <w:link w:val="ManualHeading1Char"/>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Normal"/>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Normal"/>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ManualNumPar1">
    <w:name w:val="Manual NumPar 1"/>
    <w:basedOn w:val="Normal"/>
    <w:next w:val="Normal"/>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Normal"/>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Normal"/>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Normal"/>
    <w:pPr>
      <w:spacing w:before="120" w:after="120" w:line="240" w:lineRule="auto"/>
      <w:ind w:left="850" w:hanging="850"/>
      <w:jc w:val="both"/>
    </w:pPr>
    <w:rPr>
      <w:rFonts w:ascii="Times New Roman" w:eastAsia="Times New Roman" w:hAnsi="Times New Roman"/>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NumPar1">
    <w:name w:val="NumPar 1"/>
    <w:basedOn w:val="Normal"/>
    <w:next w:val="Normal"/>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Normal"/>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Normal"/>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Normal"/>
    <w:pPr>
      <w:numPr>
        <w:ilvl w:val="3"/>
        <w:numId w:val="8"/>
      </w:numPr>
      <w:spacing w:before="120" w:after="120" w:line="240" w:lineRule="auto"/>
      <w:jc w:val="both"/>
    </w:pPr>
    <w:rPr>
      <w:rFonts w:ascii="Times New Roman" w:eastAsia="Times New Roman" w:hAnsi="Times New Roman"/>
      <w:sz w:val="24"/>
      <w:szCs w:val="24"/>
    </w:rPr>
  </w:style>
  <w:style w:type="paragraph" w:customStyle="1" w:styleId="Objetacteprincipal">
    <w:name w:val="Objet acte principal"/>
    <w:basedOn w:val="Normal"/>
    <w:next w:val="Normal"/>
    <w:pPr>
      <w:spacing w:after="360" w:line="240" w:lineRule="auto"/>
      <w:jc w:val="center"/>
    </w:pPr>
    <w:rPr>
      <w:rFonts w:ascii="Times New Roman" w:eastAsia="Times New Roman" w:hAnsi="Times New Roman"/>
      <w:b/>
      <w:sz w:val="24"/>
      <w:szCs w:val="24"/>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0letter">
    <w:name w:val="Point 0 (letter)"/>
    <w:basedOn w:val="Normal"/>
    <w:pPr>
      <w:numPr>
        <w:ilvl w:val="1"/>
        <w:numId w:val="9"/>
      </w:numPr>
      <w:spacing w:before="120" w:after="120" w:line="240" w:lineRule="auto"/>
      <w:jc w:val="both"/>
    </w:pPr>
    <w:rPr>
      <w:rFonts w:ascii="Times New Roman" w:eastAsia="Times New Roman" w:hAnsi="Times New Roman"/>
      <w:sz w:val="24"/>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1letter">
    <w:name w:val="Point 1 (letter)"/>
    <w:basedOn w:val="Normal"/>
    <w:pPr>
      <w:numPr>
        <w:ilvl w:val="3"/>
        <w:numId w:val="9"/>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9"/>
      </w:numPr>
      <w:spacing w:before="120" w:after="120" w:line="240" w:lineRule="auto"/>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9"/>
      </w:numPr>
      <w:spacing w:before="120" w:after="120" w:line="240" w:lineRule="auto"/>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sz w:val="24"/>
      <w:szCs w:val="24"/>
    </w:r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Normal"/>
    <w:pPr>
      <w:spacing w:after="0" w:line="240" w:lineRule="auto"/>
      <w:ind w:left="5103"/>
    </w:pPr>
    <w:rPr>
      <w:rFonts w:ascii="Times New Roman" w:eastAsia="Times New Roman" w:hAnsi="Times New Roman"/>
      <w:sz w:val="24"/>
      <w:szCs w:val="24"/>
    </w:r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line="240" w:lineRule="auto"/>
      <w:jc w:val="center"/>
    </w:pPr>
    <w:rPr>
      <w:rFonts w:ascii="Times New Roman" w:eastAsia="Times New Roman" w:hAnsi="Times New Roman"/>
      <w:sz w:val="24"/>
      <w:szCs w:val="24"/>
    </w:r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sz w:val="24"/>
      <w:szCs w:val="24"/>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b/>
      <w:sz w:val="28"/>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ZCom">
    <w:name w:val="Z_Com"/>
    <w:basedOn w:val="Normal"/>
    <w:next w:val="ZDGName"/>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ZDGName">
    <w:name w:val="Z_DGName"/>
    <w:basedOn w:val="Normal"/>
    <w:pPr>
      <w:widowControl w:val="0"/>
      <w:autoSpaceDE w:val="0"/>
      <w:autoSpaceDN w:val="0"/>
      <w:spacing w:after="0" w:line="240" w:lineRule="auto"/>
      <w:ind w:right="85"/>
    </w:pPr>
    <w:rPr>
      <w:rFonts w:ascii="Arial" w:eastAsia="Times New Roman" w:hAnsi="Arial" w:cs="Arial"/>
      <w:sz w:val="16"/>
      <w:szCs w:val="16"/>
    </w:rPr>
  </w:style>
  <w:style w:type="paragraph" w:styleId="Date">
    <w:name w:val="Date"/>
    <w:basedOn w:val="Normal"/>
    <w:next w:val="References"/>
    <w:link w:val="DateChar"/>
    <w:pPr>
      <w:spacing w:after="0" w:line="240" w:lineRule="auto"/>
      <w:ind w:left="5103" w:right="-567"/>
    </w:pPr>
    <w:rPr>
      <w:rFonts w:ascii="Times New Roman" w:eastAsia="Times New Roman" w:hAnsi="Times New Roman"/>
      <w:sz w:val="24"/>
      <w:szCs w:val="20"/>
    </w:rPr>
  </w:style>
  <w:style w:type="character" w:customStyle="1" w:styleId="DateChar">
    <w:name w:val="Date Char"/>
    <w:link w:val="Date"/>
    <w:rPr>
      <w:rFonts w:ascii="Times New Roman" w:eastAsia="Times New Roman" w:hAnsi="Times New Roman" w:cs="Times New Roman"/>
      <w:sz w:val="24"/>
      <w:szCs w:val="20"/>
      <w:lang w:val="da-DK" w:eastAsia="da-DK"/>
    </w:rPr>
  </w:style>
  <w:style w:type="paragraph" w:customStyle="1" w:styleId="References">
    <w:name w:val="References"/>
    <w:basedOn w:val="Normal"/>
    <w:next w:val="Normal"/>
    <w:pPr>
      <w:spacing w:after="240" w:line="240" w:lineRule="auto"/>
      <w:ind w:left="5103"/>
    </w:pPr>
    <w:rPr>
      <w:rFonts w:ascii="Times New Roman" w:eastAsia="Times New Roman" w:hAnsi="Times New Roman"/>
      <w:sz w:val="20"/>
      <w:szCs w:val="20"/>
    </w:rPr>
  </w:style>
  <w:style w:type="character" w:styleId="Hyperlink">
    <w:name w:val="Hyperlink"/>
    <w:uiPriority w:val="99"/>
    <w:rPr>
      <w:rFonts w:ascii="Verdana" w:hAnsi="Verdana"/>
      <w:color w:val="0000FF"/>
      <w:sz w:val="20"/>
      <w:u w:val="single"/>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1 Char Char,Footnote Text Char Char Char1 Char Char,ft Char"/>
    <w:rPr>
      <w:rFonts w:ascii="Verdana" w:eastAsia="Times New Roman" w:hAnsi="Verdana"/>
      <w:sz w:val="16"/>
    </w:rPr>
  </w:style>
  <w:style w:type="paragraph" w:customStyle="1" w:styleId="ListDash">
    <w:name w:val="List Dash"/>
    <w:basedOn w:val="Normal"/>
    <w:pPr>
      <w:numPr>
        <w:numId w:val="20"/>
      </w:numPr>
      <w:spacing w:after="240" w:line="240" w:lineRule="auto"/>
      <w:jc w:val="both"/>
    </w:pPr>
    <w:rPr>
      <w:rFonts w:ascii="Times New Roman" w:eastAsia="Times New Roman" w:hAnsi="Times New Roman"/>
      <w:sz w:val="24"/>
      <w:szCs w:val="20"/>
    </w:rPr>
  </w:style>
  <w:style w:type="paragraph" w:styleId="ListBullet">
    <w:name w:val="List Bullet"/>
    <w:basedOn w:val="Normal"/>
    <w:pPr>
      <w:numPr>
        <w:numId w:val="15"/>
      </w:numPr>
      <w:spacing w:after="240" w:line="240" w:lineRule="auto"/>
      <w:jc w:val="both"/>
    </w:pPr>
    <w:rPr>
      <w:rFonts w:ascii="Times New Roman" w:eastAsia="Times New Roman" w:hAnsi="Times New Roman"/>
      <w:sz w:val="24"/>
      <w:szCs w:val="20"/>
    </w:rPr>
  </w:style>
  <w:style w:type="character" w:styleId="Strong">
    <w:name w:val="Strong"/>
    <w:uiPriority w:val="22"/>
    <w:qFormat/>
    <w:rPr>
      <w:b/>
      <w:bCs/>
    </w:rPr>
  </w:style>
  <w:style w:type="paragraph" w:customStyle="1" w:styleId="Default">
    <w:name w:val="Default"/>
    <w:pPr>
      <w:autoSpaceDE w:val="0"/>
      <w:autoSpaceDN w:val="0"/>
      <w:adjustRightInd w:val="0"/>
      <w:spacing w:after="200" w:line="276" w:lineRule="auto"/>
    </w:pPr>
    <w:rPr>
      <w:rFonts w:ascii="Times New Roman" w:eastAsia="Times New Roman" w:hAnsi="Times New Roman"/>
      <w:color w:val="000000"/>
      <w:sz w:val="24"/>
      <w:szCs w:val="24"/>
    </w:rPr>
  </w:style>
  <w:style w:type="paragraph" w:styleId="BalloonText">
    <w:name w:val="Balloon Text"/>
    <w:basedOn w:val="Normal"/>
    <w:link w:val="BalloonTextChar"/>
    <w:uiPriority w:val="99"/>
    <w:unhideWhenUsed/>
    <w:pPr>
      <w:spacing w:after="0" w:line="240" w:lineRule="auto"/>
    </w:pPr>
    <w:rPr>
      <w:rFonts w:ascii="Tahoma" w:eastAsia="Times New Roman" w:hAnsi="Tahoma"/>
      <w:sz w:val="16"/>
      <w:szCs w:val="16"/>
    </w:rPr>
  </w:style>
  <w:style w:type="character" w:customStyle="1" w:styleId="BalloonTextChar">
    <w:name w:val="Balloon Text Char"/>
    <w:link w:val="BalloonText"/>
    <w:uiPriority w:val="99"/>
    <w:rPr>
      <w:rFonts w:ascii="Tahoma" w:eastAsia="Times New Roman" w:hAnsi="Tahoma" w:cs="Times New Roman"/>
      <w:sz w:val="16"/>
      <w:szCs w:val="16"/>
      <w:lang w:val="da-DK" w:eastAsia="da-DK"/>
    </w:rPr>
  </w:style>
  <w:style w:type="paragraph" w:styleId="NormalWeb">
    <w:name w:val="Normal (Web)"/>
    <w:basedOn w:val="Normal"/>
    <w:uiPriority w:val="99"/>
    <w:unhideWhenUsed/>
    <w:pPr>
      <w:spacing w:before="60" w:after="180" w:line="240" w:lineRule="auto"/>
      <w:ind w:right="90"/>
    </w:pPr>
    <w:rPr>
      <w:rFonts w:ascii="Times New Roman" w:eastAsia="Times New Roman" w:hAnsi="Times New Roman"/>
      <w:sz w:val="24"/>
      <w:szCs w:val="24"/>
    </w:rPr>
  </w:style>
  <w:style w:type="character" w:customStyle="1" w:styleId="bold-about1">
    <w:name w:val="bold-about1"/>
    <w:rPr>
      <w:b/>
      <w:bCs/>
      <w:color w:val="A16200"/>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link w:val="CommentText"/>
    <w:uiPriority w:val="99"/>
    <w:rPr>
      <w:rFonts w:ascii="Calibri" w:eastAsia="Times New Roman" w:hAnsi="Calibri" w:cs="Times New Roman"/>
      <w:sz w:val="20"/>
      <w:szCs w:val="20"/>
      <w:lang w:val="da-DK" w:eastAsia="da-DK"/>
    </w:rPr>
  </w:style>
  <w:style w:type="character" w:customStyle="1" w:styleId="st1">
    <w:name w:val="st1"/>
  </w:style>
  <w:style w:type="paragraph" w:customStyle="1" w:styleId="BodyBulletpoints">
    <w:name w:val="Body Bullet points"/>
    <w:basedOn w:val="Normal"/>
    <w:link w:val="BodyBulletpointsChar"/>
    <w:autoRedefine/>
    <w:uiPriority w:val="99"/>
    <w:pPr>
      <w:autoSpaceDE w:val="0"/>
      <w:autoSpaceDN w:val="0"/>
      <w:adjustRightInd w:val="0"/>
      <w:spacing w:after="0" w:line="240" w:lineRule="auto"/>
      <w:ind w:left="1"/>
      <w:jc w:val="both"/>
    </w:pPr>
    <w:rPr>
      <w:rFonts w:ascii="Verdana" w:eastAsia="Times New Roman" w:hAnsi="Verdana"/>
      <w:color w:val="000000"/>
      <w:sz w:val="20"/>
      <w:szCs w:val="20"/>
    </w:rPr>
  </w:style>
  <w:style w:type="character" w:customStyle="1" w:styleId="BodyBulletpointsChar">
    <w:name w:val="Body Bullet points Char"/>
    <w:link w:val="BodyBulletpoints"/>
    <w:uiPriority w:val="99"/>
    <w:locked/>
    <w:rPr>
      <w:rFonts w:ascii="Verdana" w:eastAsia="Times New Roman" w:hAnsi="Verdana" w:cs="Times New Roman"/>
      <w:color w:val="000000"/>
      <w:sz w:val="20"/>
      <w:szCs w:val="20"/>
      <w:lang w:eastAsia="da-DK"/>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ascii="Calibri" w:eastAsia="Times New Roman" w:hAnsi="Calibri" w:cs="Times New Roman"/>
      <w:b/>
      <w:bCs/>
      <w:sz w:val="20"/>
      <w:szCs w:val="20"/>
      <w:lang w:val="da-DK" w:eastAsia="da-DK"/>
    </w:rPr>
  </w:style>
  <w:style w:type="character" w:styleId="FollowedHyperlink">
    <w:name w:val="FollowedHyperlink"/>
    <w:uiPriority w:val="99"/>
    <w:unhideWhenUsed/>
    <w:rPr>
      <w:color w:val="800080"/>
      <w:u w:val="single"/>
    </w:rPr>
  </w:style>
  <w:style w:type="paragraph" w:styleId="Revision">
    <w:name w:val="Revision"/>
    <w:hidden/>
    <w:uiPriority w:val="99"/>
    <w:semiHidden/>
    <w:pPr>
      <w:spacing w:after="200" w:line="276" w:lineRule="auto"/>
    </w:pPr>
    <w:rPr>
      <w:rFonts w:eastAsia="Times New Roman"/>
      <w:sz w:val="22"/>
      <w:szCs w:val="22"/>
    </w:rPr>
  </w:style>
  <w:style w:type="character" w:customStyle="1" w:styleId="FootnoteTextChar1CharChar1">
    <w:name w:val="Footnote Text Char1 Char Char1"/>
    <w:aliases w:val="Footnote Text Char Char Char Char1,Footnote Text Char1 Char Char Char Char1,Footnote Text Char Char Char Char Char Char1,Footnote Text Char1 Char1 Char Char1,Footnote Text Char Char Char1 Char Char1"/>
    <w:uiPriority w:val="99"/>
    <w:locked/>
    <w:rPr>
      <w:lang w:eastAsia="da-DK"/>
    </w:rPr>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sz w:val="24"/>
      <w:szCs w:val="20"/>
    </w:rPr>
  </w:style>
  <w:style w:type="paragraph" w:styleId="Title">
    <w:name w:val="Title"/>
    <w:basedOn w:val="Normal"/>
    <w:next w:val="Normal"/>
    <w:link w:val="TitleChar"/>
    <w:uiPriority w:val="10"/>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Pr>
      <w:rFonts w:ascii="Cambria" w:eastAsia="Times New Roman" w:hAnsi="Cambria" w:cs="Times New Roman"/>
      <w:spacing w:val="5"/>
      <w:sz w:val="52"/>
      <w:szCs w:val="52"/>
      <w:lang w:eastAsia="da-DK"/>
    </w:rPr>
  </w:style>
  <w:style w:type="paragraph" w:styleId="Subtitle">
    <w:name w:val="Subtitle"/>
    <w:basedOn w:val="Normal"/>
    <w:next w:val="Normal"/>
    <w:link w:val="SubtitleChar"/>
    <w:uiPriority w:val="11"/>
    <w:pPr>
      <w:spacing w:after="600"/>
    </w:pPr>
    <w:rPr>
      <w:rFonts w:ascii="Cambria" w:eastAsia="Times New Roman" w:hAnsi="Cambria"/>
      <w:i/>
      <w:iCs/>
      <w:spacing w:val="13"/>
      <w:sz w:val="24"/>
      <w:szCs w:val="24"/>
    </w:rPr>
  </w:style>
  <w:style w:type="character" w:customStyle="1" w:styleId="SubtitleChar">
    <w:name w:val="Subtitle Char"/>
    <w:link w:val="Subtitle"/>
    <w:uiPriority w:val="11"/>
    <w:rPr>
      <w:rFonts w:ascii="Cambria" w:eastAsia="Times New Roman" w:hAnsi="Cambria" w:cs="Times New Roman"/>
      <w:i/>
      <w:iCs/>
      <w:spacing w:val="13"/>
      <w:sz w:val="24"/>
      <w:szCs w:val="24"/>
      <w:lang w:eastAsia="da-DK"/>
    </w:rPr>
  </w:style>
  <w:style w:type="character" w:styleId="Emphasis">
    <w:name w:val="Emphasis"/>
    <w:uiPriority w:val="20"/>
    <w:rPr>
      <w:b/>
      <w:bCs/>
      <w:i/>
      <w:iCs/>
      <w:spacing w:val="10"/>
      <w:bdr w:val="none" w:sz="0" w:space="0" w:color="auto"/>
      <w:shd w:val="clear" w:color="auto" w:fill="auto"/>
    </w:rPr>
  </w:style>
  <w:style w:type="paragraph" w:styleId="NoSpacing">
    <w:name w:val="No Spacing"/>
    <w:basedOn w:val="Normal"/>
    <w:uiPriority w:val="1"/>
    <w:pPr>
      <w:spacing w:after="0" w:line="240" w:lineRule="auto"/>
    </w:pPr>
    <w:rPr>
      <w:rFonts w:eastAsia="Times New Roman"/>
    </w:rPr>
  </w:style>
  <w:style w:type="paragraph" w:styleId="ListParagraph">
    <w:name w:val="List Paragraph"/>
    <w:basedOn w:val="Normal"/>
    <w:uiPriority w:val="34"/>
    <w:qFormat/>
    <w:pPr>
      <w:ind w:left="720"/>
      <w:contextualSpacing/>
    </w:pPr>
    <w:rPr>
      <w:rFonts w:eastAsia="Times New Roman"/>
    </w:rPr>
  </w:style>
  <w:style w:type="paragraph" w:styleId="Quote">
    <w:name w:val="Quote"/>
    <w:basedOn w:val="Normal"/>
    <w:next w:val="Normal"/>
    <w:link w:val="QuoteChar"/>
    <w:uiPriority w:val="29"/>
    <w:pPr>
      <w:spacing w:before="200" w:after="0"/>
      <w:ind w:left="360" w:right="360"/>
    </w:pPr>
    <w:rPr>
      <w:rFonts w:eastAsia="Times New Roman"/>
      <w:i/>
      <w:iCs/>
    </w:rPr>
  </w:style>
  <w:style w:type="character" w:customStyle="1" w:styleId="QuoteChar">
    <w:name w:val="Quote Char"/>
    <w:link w:val="Quote"/>
    <w:uiPriority w:val="29"/>
    <w:rPr>
      <w:rFonts w:ascii="Calibri" w:eastAsia="Times New Roman" w:hAnsi="Calibri" w:cs="Times New Roman"/>
      <w:i/>
      <w:iCs/>
      <w:lang w:eastAsia="da-DK"/>
    </w:rPr>
  </w:style>
  <w:style w:type="paragraph" w:styleId="IntenseQuote">
    <w:name w:val="Intense Quote"/>
    <w:basedOn w:val="Normal"/>
    <w:next w:val="Normal"/>
    <w:link w:val="IntenseQuoteChar"/>
    <w:uiPriority w:val="30"/>
    <w:pPr>
      <w:pBdr>
        <w:bottom w:val="single" w:sz="4" w:space="1" w:color="auto"/>
      </w:pBdr>
      <w:spacing w:before="200" w:after="280"/>
      <w:ind w:left="1008" w:right="1152"/>
      <w:jc w:val="both"/>
    </w:pPr>
    <w:rPr>
      <w:rFonts w:eastAsia="Times New Roman"/>
      <w:b/>
      <w:bCs/>
      <w:i/>
      <w:iCs/>
    </w:rPr>
  </w:style>
  <w:style w:type="character" w:customStyle="1" w:styleId="IntenseQuoteChar">
    <w:name w:val="Intense Quote Char"/>
    <w:link w:val="IntenseQuote"/>
    <w:uiPriority w:val="30"/>
    <w:rPr>
      <w:rFonts w:ascii="Calibri" w:eastAsia="Times New Roman" w:hAnsi="Calibri" w:cs="Times New Roman"/>
      <w:b/>
      <w:bCs/>
      <w:i/>
      <w:iCs/>
      <w:lang w:eastAsia="da-DK"/>
    </w:rPr>
  </w:style>
  <w:style w:type="character" w:styleId="SubtleEmphasis">
    <w:name w:val="Subtle Emphasis"/>
    <w:uiPriority w:val="19"/>
    <w:rPr>
      <w:i/>
      <w:iCs/>
    </w:rPr>
  </w:style>
  <w:style w:type="character" w:styleId="IntenseEmphasis">
    <w:name w:val="Intense Emphasis"/>
    <w:uiPriority w:val="21"/>
    <w:rPr>
      <w:b/>
      <w:bCs/>
    </w:rPr>
  </w:style>
  <w:style w:type="character" w:styleId="SubtleReference">
    <w:name w:val="Subtle Reference"/>
    <w:uiPriority w:val="31"/>
    <w:rPr>
      <w:smallCaps/>
    </w:rPr>
  </w:style>
  <w:style w:type="character" w:styleId="IntenseReference">
    <w:name w:val="Intense Reference"/>
    <w:uiPriority w:val="32"/>
    <w:rPr>
      <w:smallCaps/>
      <w:spacing w:val="5"/>
      <w:u w:val="single"/>
    </w:rPr>
  </w:style>
  <w:style w:type="character" w:styleId="BookTitle">
    <w:name w:val="Book Title"/>
    <w:uiPriority w:val="33"/>
    <w:rPr>
      <w:i/>
      <w:iCs/>
      <w:smallCaps/>
      <w:spacing w:val="5"/>
    </w:rPr>
  </w:style>
  <w:style w:type="paragraph" w:customStyle="1" w:styleId="ListBullet1">
    <w:name w:val="List Bullet 1"/>
    <w:basedOn w:val="Text1"/>
    <w:pPr>
      <w:numPr>
        <w:numId w:val="16"/>
      </w:numPr>
      <w:spacing w:before="0" w:after="240"/>
    </w:pPr>
    <w:rPr>
      <w:szCs w:val="20"/>
    </w:rPr>
  </w:style>
  <w:style w:type="paragraph" w:styleId="ListBullet2">
    <w:name w:val="List Bullet 2"/>
    <w:basedOn w:val="Text2"/>
    <w:pPr>
      <w:numPr>
        <w:numId w:val="17"/>
      </w:numPr>
      <w:spacing w:before="0" w:after="240"/>
    </w:pPr>
    <w:rPr>
      <w:szCs w:val="20"/>
    </w:rPr>
  </w:style>
  <w:style w:type="paragraph" w:styleId="ListBullet3">
    <w:name w:val="List Bullet 3"/>
    <w:basedOn w:val="Text3"/>
    <w:pPr>
      <w:numPr>
        <w:numId w:val="18"/>
      </w:numPr>
      <w:spacing w:before="0" w:after="240"/>
    </w:pPr>
    <w:rPr>
      <w:szCs w:val="20"/>
    </w:rPr>
  </w:style>
  <w:style w:type="paragraph" w:styleId="ListBullet4">
    <w:name w:val="List Bullet 4"/>
    <w:basedOn w:val="Text4"/>
    <w:pPr>
      <w:numPr>
        <w:numId w:val="19"/>
      </w:numPr>
      <w:spacing w:before="0" w:after="240"/>
    </w:pPr>
    <w:rPr>
      <w:szCs w:val="20"/>
    </w:rPr>
  </w:style>
  <w:style w:type="paragraph" w:customStyle="1" w:styleId="ListDash1">
    <w:name w:val="List Dash 1"/>
    <w:basedOn w:val="Text1"/>
    <w:pPr>
      <w:numPr>
        <w:numId w:val="21"/>
      </w:numPr>
      <w:spacing w:before="0" w:after="240"/>
    </w:pPr>
    <w:rPr>
      <w:szCs w:val="20"/>
    </w:rPr>
  </w:style>
  <w:style w:type="paragraph" w:customStyle="1" w:styleId="ListDash2">
    <w:name w:val="List Dash 2"/>
    <w:basedOn w:val="Text2"/>
    <w:pPr>
      <w:numPr>
        <w:numId w:val="22"/>
      </w:numPr>
      <w:spacing w:before="0" w:after="240"/>
    </w:pPr>
    <w:rPr>
      <w:szCs w:val="20"/>
    </w:rPr>
  </w:style>
  <w:style w:type="paragraph" w:customStyle="1" w:styleId="ListDash3">
    <w:name w:val="List Dash 3"/>
    <w:basedOn w:val="Text3"/>
    <w:pPr>
      <w:numPr>
        <w:numId w:val="23"/>
      </w:numPr>
      <w:spacing w:before="0" w:after="240"/>
    </w:pPr>
    <w:rPr>
      <w:szCs w:val="20"/>
    </w:rPr>
  </w:style>
  <w:style w:type="paragraph" w:customStyle="1" w:styleId="ListDash4">
    <w:name w:val="List Dash 4"/>
    <w:basedOn w:val="Text4"/>
    <w:pPr>
      <w:numPr>
        <w:numId w:val="24"/>
      </w:numPr>
      <w:spacing w:before="0" w:after="240"/>
    </w:pPr>
    <w:rPr>
      <w:szCs w:val="20"/>
    </w:rPr>
  </w:style>
  <w:style w:type="paragraph" w:styleId="ListNumber">
    <w:name w:val="List Number"/>
    <w:basedOn w:val="Normal"/>
    <w:pPr>
      <w:numPr>
        <w:numId w:val="25"/>
      </w:numPr>
      <w:spacing w:after="240" w:line="240" w:lineRule="auto"/>
      <w:jc w:val="both"/>
    </w:pPr>
    <w:rPr>
      <w:rFonts w:ascii="Times New Roman" w:eastAsia="Times New Roman" w:hAnsi="Times New Roman"/>
      <w:sz w:val="24"/>
      <w:szCs w:val="20"/>
    </w:rPr>
  </w:style>
  <w:style w:type="paragraph" w:customStyle="1" w:styleId="ListNumber1">
    <w:name w:val="List Number 1"/>
    <w:basedOn w:val="Text1"/>
    <w:pPr>
      <w:numPr>
        <w:numId w:val="26"/>
      </w:numPr>
      <w:spacing w:before="0" w:after="240"/>
    </w:pPr>
    <w:rPr>
      <w:szCs w:val="20"/>
    </w:rPr>
  </w:style>
  <w:style w:type="paragraph" w:styleId="ListNumber2">
    <w:name w:val="List Number 2"/>
    <w:basedOn w:val="Text2"/>
    <w:pPr>
      <w:numPr>
        <w:numId w:val="27"/>
      </w:numPr>
      <w:spacing w:before="0" w:after="240"/>
    </w:pPr>
    <w:rPr>
      <w:szCs w:val="20"/>
    </w:rPr>
  </w:style>
  <w:style w:type="paragraph" w:styleId="ListNumber3">
    <w:name w:val="List Number 3"/>
    <w:basedOn w:val="Text3"/>
    <w:pPr>
      <w:numPr>
        <w:numId w:val="28"/>
      </w:numPr>
      <w:spacing w:before="0" w:after="240"/>
    </w:pPr>
    <w:rPr>
      <w:szCs w:val="20"/>
    </w:rPr>
  </w:style>
  <w:style w:type="paragraph" w:styleId="ListNumber4">
    <w:name w:val="List Number 4"/>
    <w:basedOn w:val="Text4"/>
    <w:pPr>
      <w:numPr>
        <w:numId w:val="29"/>
      </w:numPr>
      <w:spacing w:before="0" w:after="240"/>
    </w:pPr>
    <w:rPr>
      <w:szCs w:val="20"/>
    </w:rPr>
  </w:style>
  <w:style w:type="paragraph" w:customStyle="1" w:styleId="ListNumberLevel2">
    <w:name w:val="List Number (Level 2)"/>
    <w:basedOn w:val="Normal"/>
    <w:pPr>
      <w:numPr>
        <w:ilvl w:val="1"/>
        <w:numId w:val="25"/>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Text1"/>
    <w:pPr>
      <w:numPr>
        <w:ilvl w:val="1"/>
        <w:numId w:val="26"/>
      </w:numPr>
      <w:spacing w:before="0" w:after="240"/>
    </w:pPr>
    <w:rPr>
      <w:szCs w:val="20"/>
    </w:rPr>
  </w:style>
  <w:style w:type="paragraph" w:customStyle="1" w:styleId="ListNumber2Level2">
    <w:name w:val="List Number 2 (Level 2)"/>
    <w:basedOn w:val="Text2"/>
    <w:pPr>
      <w:numPr>
        <w:ilvl w:val="1"/>
        <w:numId w:val="27"/>
      </w:numPr>
      <w:spacing w:before="0" w:after="240"/>
    </w:pPr>
    <w:rPr>
      <w:szCs w:val="20"/>
    </w:rPr>
  </w:style>
  <w:style w:type="paragraph" w:customStyle="1" w:styleId="ListNumber3Level2">
    <w:name w:val="List Number 3 (Level 2)"/>
    <w:basedOn w:val="Text3"/>
    <w:pPr>
      <w:numPr>
        <w:ilvl w:val="1"/>
        <w:numId w:val="28"/>
      </w:numPr>
      <w:spacing w:before="0" w:after="240"/>
    </w:pPr>
    <w:rPr>
      <w:szCs w:val="20"/>
    </w:rPr>
  </w:style>
  <w:style w:type="paragraph" w:customStyle="1" w:styleId="ListNumber4Level2">
    <w:name w:val="List Number 4 (Level 2)"/>
    <w:basedOn w:val="Text4"/>
    <w:pPr>
      <w:numPr>
        <w:ilvl w:val="1"/>
        <w:numId w:val="29"/>
      </w:numPr>
      <w:spacing w:before="0" w:after="240"/>
    </w:pPr>
    <w:rPr>
      <w:szCs w:val="20"/>
    </w:rPr>
  </w:style>
  <w:style w:type="paragraph" w:customStyle="1" w:styleId="ListNumberLevel3">
    <w:name w:val="List Number (Level 3)"/>
    <w:basedOn w:val="Normal"/>
    <w:pPr>
      <w:numPr>
        <w:ilvl w:val="2"/>
        <w:numId w:val="25"/>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Text1"/>
    <w:pPr>
      <w:numPr>
        <w:ilvl w:val="2"/>
        <w:numId w:val="26"/>
      </w:numPr>
      <w:spacing w:before="0" w:after="240"/>
    </w:pPr>
    <w:rPr>
      <w:szCs w:val="20"/>
    </w:rPr>
  </w:style>
  <w:style w:type="paragraph" w:customStyle="1" w:styleId="ListNumber2Level3">
    <w:name w:val="List Number 2 (Level 3)"/>
    <w:basedOn w:val="Text2"/>
    <w:pPr>
      <w:numPr>
        <w:ilvl w:val="2"/>
        <w:numId w:val="27"/>
      </w:numPr>
      <w:spacing w:before="0" w:after="240"/>
    </w:pPr>
    <w:rPr>
      <w:szCs w:val="20"/>
    </w:rPr>
  </w:style>
  <w:style w:type="paragraph" w:customStyle="1" w:styleId="ListNumber3Level3">
    <w:name w:val="List Number 3 (Level 3)"/>
    <w:basedOn w:val="Text3"/>
    <w:pPr>
      <w:numPr>
        <w:ilvl w:val="2"/>
        <w:numId w:val="28"/>
      </w:numPr>
      <w:spacing w:before="0" w:after="240"/>
    </w:pPr>
    <w:rPr>
      <w:szCs w:val="20"/>
    </w:rPr>
  </w:style>
  <w:style w:type="paragraph" w:customStyle="1" w:styleId="ListNumber4Level3">
    <w:name w:val="List Number 4 (Level 3)"/>
    <w:basedOn w:val="Text4"/>
    <w:pPr>
      <w:numPr>
        <w:ilvl w:val="2"/>
        <w:numId w:val="29"/>
      </w:numPr>
      <w:spacing w:before="0" w:after="240"/>
    </w:pPr>
    <w:rPr>
      <w:szCs w:val="20"/>
    </w:rPr>
  </w:style>
  <w:style w:type="paragraph" w:customStyle="1" w:styleId="ListNumberLevel4">
    <w:name w:val="List Number (Level 4)"/>
    <w:basedOn w:val="Normal"/>
    <w:pPr>
      <w:numPr>
        <w:ilvl w:val="3"/>
        <w:numId w:val="25"/>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Text1"/>
    <w:pPr>
      <w:numPr>
        <w:ilvl w:val="3"/>
        <w:numId w:val="26"/>
      </w:numPr>
      <w:spacing w:before="0" w:after="240"/>
    </w:pPr>
    <w:rPr>
      <w:szCs w:val="20"/>
    </w:rPr>
  </w:style>
  <w:style w:type="paragraph" w:customStyle="1" w:styleId="ListNumber2Level4">
    <w:name w:val="List Number 2 (Level 4)"/>
    <w:basedOn w:val="Text2"/>
    <w:pPr>
      <w:numPr>
        <w:ilvl w:val="3"/>
        <w:numId w:val="27"/>
      </w:numPr>
      <w:spacing w:before="0" w:after="240"/>
    </w:pPr>
    <w:rPr>
      <w:szCs w:val="20"/>
    </w:rPr>
  </w:style>
  <w:style w:type="paragraph" w:customStyle="1" w:styleId="ListNumber3Level4">
    <w:name w:val="List Number 3 (Level 4)"/>
    <w:basedOn w:val="Text3"/>
    <w:pPr>
      <w:numPr>
        <w:ilvl w:val="3"/>
        <w:numId w:val="28"/>
      </w:numPr>
      <w:spacing w:before="0" w:after="240"/>
    </w:pPr>
    <w:rPr>
      <w:szCs w:val="20"/>
    </w:rPr>
  </w:style>
  <w:style w:type="paragraph" w:customStyle="1" w:styleId="ListNumber4Level4">
    <w:name w:val="List Number 4 (Level 4)"/>
    <w:basedOn w:val="Text4"/>
    <w:pPr>
      <w:numPr>
        <w:ilvl w:val="3"/>
        <w:numId w:val="29"/>
      </w:numPr>
      <w:spacing w:before="0" w:after="240"/>
    </w:pPr>
    <w:rPr>
      <w:szCs w:val="20"/>
    </w:rPr>
  </w:style>
  <w:style w:type="paragraph" w:customStyle="1" w:styleId="Nota">
    <w:name w:val="Nota"/>
    <w:aliases w:val=" Char1,Char1,(NECG) Footnote Reference,fr,Appel note de bas de p,o,Style 6,Signature Ch"/>
    <w:basedOn w:val="Normal"/>
    <w:link w:val="FootnoteReference"/>
    <w:uiPriority w:val="99"/>
    <w:pPr>
      <w:spacing w:after="160" w:line="240" w:lineRule="exact"/>
    </w:pPr>
    <w:rPr>
      <w:vertAlign w:val="superscript"/>
    </w:rPr>
  </w:style>
  <w:style w:type="paragraph" w:customStyle="1" w:styleId="AARHeading11">
    <w:name w:val="AAR Heading 1 (1.)"/>
    <w:basedOn w:val="Heading1"/>
    <w:next w:val="Normal"/>
    <w:pPr>
      <w:pageBreakBefore/>
      <w:widowControl w:val="0"/>
      <w:numPr>
        <w:numId w:val="31"/>
      </w:numPr>
      <w:autoSpaceDE w:val="0"/>
      <w:autoSpaceDN w:val="0"/>
      <w:adjustRightInd w:val="0"/>
      <w:spacing w:before="0" w:after="240"/>
    </w:pPr>
    <w:rPr>
      <w:rFonts w:ascii="Verdana" w:hAnsi="Verdana" w:cs="Times New Roman Bold"/>
      <w:caps/>
      <w:smallCaps w:val="0"/>
      <w:color w:val="004494"/>
      <w:sz w:val="32"/>
      <w:szCs w:val="44"/>
    </w:rPr>
  </w:style>
  <w:style w:type="paragraph" w:customStyle="1" w:styleId="AARHeading211">
    <w:name w:val="AAR Heading 2 (1.1)"/>
    <w:basedOn w:val="Heading2"/>
    <w:next w:val="Normal"/>
    <w:pPr>
      <w:widowControl w:val="0"/>
      <w:numPr>
        <w:numId w:val="31"/>
      </w:numPr>
      <w:autoSpaceDE w:val="0"/>
      <w:autoSpaceDN w:val="0"/>
      <w:adjustRightInd w:val="0"/>
      <w:spacing w:after="240"/>
    </w:pPr>
    <w:rPr>
      <w:rFonts w:ascii="Verdana" w:eastAsia="Calibri" w:hAnsi="Verdana"/>
      <w:color w:val="2681B4"/>
      <w:sz w:val="28"/>
    </w:rPr>
  </w:style>
  <w:style w:type="paragraph" w:customStyle="1" w:styleId="AARHeading3111">
    <w:name w:val="AAR Heading 3 (1.1.1)"/>
    <w:basedOn w:val="AARHeading211"/>
    <w:next w:val="Normal"/>
    <w:pPr>
      <w:numPr>
        <w:ilvl w:val="2"/>
      </w:numPr>
    </w:pPr>
  </w:style>
  <w:style w:type="paragraph" w:customStyle="1" w:styleId="Footerapproval">
    <w:name w:val="Footer approval"/>
    <w:basedOn w:val="Footer"/>
    <w:pPr>
      <w:tabs>
        <w:tab w:val="clear" w:pos="4535"/>
        <w:tab w:val="clear" w:pos="9071"/>
        <w:tab w:val="left" w:pos="6804"/>
      </w:tabs>
      <w:ind w:right="-567"/>
    </w:pPr>
    <w:rPr>
      <w:rFonts w:ascii="Verdana" w:eastAsia="Times New Roman" w:hAnsi="Verdana"/>
      <w:sz w:val="13"/>
      <w:szCs w:val="20"/>
    </w:rPr>
  </w:style>
  <w:style w:type="paragraph" w:customStyle="1" w:styleId="FooterDate">
    <w:name w:val="Footer Date"/>
    <w:basedOn w:val="Footer"/>
    <w:link w:val="FooterDateChar"/>
    <w:pPr>
      <w:tabs>
        <w:tab w:val="clear" w:pos="4535"/>
        <w:tab w:val="clear" w:pos="9071"/>
        <w:tab w:val="right" w:pos="9240"/>
      </w:tabs>
      <w:ind w:right="-567"/>
    </w:pPr>
    <w:rPr>
      <w:rFonts w:ascii="Verdana" w:eastAsia="Times New Roman" w:hAnsi="Verdana"/>
      <w:sz w:val="16"/>
      <w:szCs w:val="20"/>
    </w:rPr>
  </w:style>
  <w:style w:type="character" w:customStyle="1" w:styleId="FooterDateChar">
    <w:name w:val="Footer Date Char"/>
    <w:link w:val="FooterDate"/>
    <w:rPr>
      <w:rFonts w:ascii="Verdana" w:eastAsia="Times New Roman" w:hAnsi="Verdana" w:cs="Times New Roman"/>
      <w:sz w:val="16"/>
      <w:szCs w:val="20"/>
      <w:lang w:val="da-DK" w:eastAsia="da-DK"/>
    </w:rPr>
  </w:style>
  <w:style w:type="paragraph" w:customStyle="1" w:styleId="ECHOHeading1">
    <w:name w:val="ECHO Heading 1"/>
    <w:basedOn w:val="ManualHeading1"/>
    <w:link w:val="ECHOHeading1Char"/>
    <w:qFormat/>
    <w:pPr>
      <w:spacing w:after="360"/>
      <w:ind w:left="851" w:hanging="851"/>
      <w:jc w:val="left"/>
    </w:pPr>
    <w:rPr>
      <w:rFonts w:ascii="Verdana" w:hAnsi="Verdana"/>
      <w:color w:val="4F81BD"/>
      <w:sz w:val="32"/>
      <w:szCs w:val="28"/>
    </w:rPr>
  </w:style>
  <w:style w:type="paragraph" w:customStyle="1" w:styleId="ECHOContent">
    <w:name w:val="ECHO Content"/>
    <w:basedOn w:val="Normal"/>
    <w:link w:val="ECHOContentChar"/>
    <w:qFormat/>
    <w:pPr>
      <w:spacing w:after="240"/>
      <w:jc w:val="both"/>
    </w:pPr>
    <w:rPr>
      <w:rFonts w:ascii="Verdana" w:eastAsia="Times New Roman" w:hAnsi="Verdana"/>
      <w:sz w:val="20"/>
      <w:szCs w:val="20"/>
    </w:rPr>
  </w:style>
  <w:style w:type="character" w:customStyle="1" w:styleId="ManualHeading1Char">
    <w:name w:val="Manual Heading 1 Char"/>
    <w:link w:val="ManualHeading1"/>
    <w:rPr>
      <w:rFonts w:ascii="Times New Roman" w:eastAsia="Times New Roman" w:hAnsi="Times New Roman" w:cs="Times New Roman"/>
      <w:b/>
      <w:smallCaps/>
      <w:sz w:val="24"/>
      <w:szCs w:val="24"/>
    </w:rPr>
  </w:style>
  <w:style w:type="character" w:customStyle="1" w:styleId="ECHOHeading1Char">
    <w:name w:val="ECHO Heading 1 Char"/>
    <w:link w:val="ECHOHeading1"/>
    <w:rPr>
      <w:rFonts w:ascii="Verdana" w:eastAsia="Times New Roman" w:hAnsi="Verdana" w:cs="Times New Roman"/>
      <w:b/>
      <w:smallCaps/>
      <w:color w:val="4F81BD"/>
      <w:sz w:val="32"/>
      <w:szCs w:val="28"/>
    </w:rPr>
  </w:style>
  <w:style w:type="paragraph" w:customStyle="1" w:styleId="ECHOContentList">
    <w:name w:val="ECHO Content List"/>
    <w:basedOn w:val="Normal"/>
    <w:link w:val="ECHOContentListChar"/>
    <w:qFormat/>
    <w:pPr>
      <w:numPr>
        <w:numId w:val="30"/>
      </w:numPr>
      <w:spacing w:after="240"/>
      <w:jc w:val="both"/>
    </w:pPr>
    <w:rPr>
      <w:rFonts w:ascii="Verdana" w:eastAsia="Times New Roman" w:hAnsi="Verdana"/>
      <w:sz w:val="20"/>
      <w:szCs w:val="20"/>
    </w:rPr>
  </w:style>
  <w:style w:type="character" w:customStyle="1" w:styleId="ECHOContentChar">
    <w:name w:val="ECHO Content Char"/>
    <w:link w:val="ECHOContent"/>
    <w:rPr>
      <w:rFonts w:ascii="Verdana" w:eastAsia="Times New Roman" w:hAnsi="Verdana" w:cs="Times New Roman"/>
      <w:sz w:val="20"/>
      <w:szCs w:val="20"/>
    </w:rPr>
  </w:style>
  <w:style w:type="paragraph" w:customStyle="1" w:styleId="ECHOContentEmphasis">
    <w:name w:val="ECHO Content Emphasis"/>
    <w:basedOn w:val="ECHOContent"/>
    <w:link w:val="ECHOContentEmphasisChar"/>
    <w:qFormat/>
    <w:rPr>
      <w:b/>
      <w:color w:val="4F81BD"/>
    </w:rPr>
  </w:style>
  <w:style w:type="character" w:customStyle="1" w:styleId="ECHOContentListChar">
    <w:name w:val="ECHO Content List Char"/>
    <w:link w:val="ECHOContentList"/>
    <w:rPr>
      <w:rFonts w:ascii="Verdana" w:eastAsia="Times New Roman" w:hAnsi="Verdana"/>
      <w:lang w:eastAsia="da-DK"/>
    </w:rPr>
  </w:style>
  <w:style w:type="paragraph" w:customStyle="1" w:styleId="Footernotes">
    <w:name w:val="Footer notes"/>
    <w:basedOn w:val="FootnoteText"/>
    <w:link w:val="FooternotesChar"/>
    <w:qFormat/>
    <w:rPr>
      <w:rFonts w:ascii="Verdana" w:hAnsi="Verdana"/>
      <w:color w:val="595959"/>
      <w:sz w:val="16"/>
      <w:szCs w:val="16"/>
    </w:rPr>
  </w:style>
  <w:style w:type="character" w:customStyle="1" w:styleId="ECHOContentEmphasisChar">
    <w:name w:val="ECHO Content Emphasis Char"/>
    <w:link w:val="ECHOContentEmphasis"/>
    <w:rPr>
      <w:rFonts w:ascii="Verdana" w:eastAsia="Times New Roman" w:hAnsi="Verdana" w:cs="Times New Roman"/>
      <w:b/>
      <w:color w:val="4F81BD"/>
      <w:sz w:val="20"/>
      <w:szCs w:val="20"/>
    </w:rPr>
  </w:style>
  <w:style w:type="paragraph" w:customStyle="1" w:styleId="ECHOHeading2">
    <w:name w:val="ECHO Heading 2"/>
    <w:basedOn w:val="Normal"/>
    <w:link w:val="ECHOHeading2Char"/>
    <w:qFormat/>
    <w:pPr>
      <w:spacing w:before="120" w:after="240" w:line="240" w:lineRule="auto"/>
      <w:jc w:val="both"/>
    </w:pPr>
    <w:rPr>
      <w:rFonts w:ascii="Verdana" w:eastAsia="Times New Roman" w:hAnsi="Verdana"/>
      <w:b/>
      <w:color w:val="4F81BD"/>
      <w:sz w:val="28"/>
      <w:szCs w:val="24"/>
    </w:rPr>
  </w:style>
  <w:style w:type="character" w:customStyle="1" w:styleId="FootnoteTextChar2">
    <w:name w:val="Footnote Text Char2"/>
    <w:link w:val="FootnoteText"/>
    <w:rPr>
      <w:rFonts w:ascii="Times New Roman" w:eastAsia="Times New Roman" w:hAnsi="Times New Roman" w:cs="Times New Roman"/>
      <w:sz w:val="20"/>
      <w:szCs w:val="20"/>
    </w:rPr>
  </w:style>
  <w:style w:type="character" w:customStyle="1" w:styleId="FooternotesChar">
    <w:name w:val="Footer notes Char"/>
    <w:link w:val="Footernotes"/>
    <w:rPr>
      <w:rFonts w:ascii="Verdana" w:eastAsia="Times New Roman" w:hAnsi="Verdana" w:cs="Times New Roman"/>
      <w:color w:val="595959"/>
      <w:sz w:val="16"/>
      <w:szCs w:val="16"/>
    </w:rPr>
  </w:style>
  <w:style w:type="paragraph" w:customStyle="1" w:styleId="ECHOHeading3">
    <w:name w:val="ECHO Heading 3"/>
    <w:basedOn w:val="Normal"/>
    <w:link w:val="ECHOHeading3Char"/>
    <w:qFormat/>
    <w:pPr>
      <w:spacing w:before="120" w:after="240" w:line="240" w:lineRule="auto"/>
      <w:jc w:val="both"/>
    </w:pPr>
    <w:rPr>
      <w:rFonts w:ascii="Verdana" w:eastAsia="Times New Roman" w:hAnsi="Verdana"/>
      <w:b/>
      <w:color w:val="595959"/>
      <w:sz w:val="24"/>
      <w:szCs w:val="24"/>
    </w:rPr>
  </w:style>
  <w:style w:type="character" w:customStyle="1" w:styleId="ECHOHeading2Char">
    <w:name w:val="ECHO Heading 2 Char"/>
    <w:link w:val="ECHOHeading2"/>
    <w:rPr>
      <w:rFonts w:ascii="Verdana" w:eastAsia="Times New Roman" w:hAnsi="Verdana" w:cs="Times New Roman"/>
      <w:b/>
      <w:color w:val="4F81BD"/>
      <w:sz w:val="28"/>
      <w:szCs w:val="24"/>
    </w:rPr>
  </w:style>
  <w:style w:type="table" w:styleId="MediumShading1-Accent5">
    <w:name w:val="Medium Shading 1 Accent 5"/>
    <w:basedOn w:val="TableNormal"/>
    <w:uiPriority w:val="63"/>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ECHOHeading3Char">
    <w:name w:val="ECHO Heading 3 Char"/>
    <w:link w:val="ECHOHeading3"/>
    <w:rPr>
      <w:rFonts w:ascii="Verdana" w:eastAsia="Times New Roman" w:hAnsi="Verdana" w:cs="Times New Roman"/>
      <w:b/>
      <w:color w:val="595959"/>
      <w:sz w:val="24"/>
      <w:szCs w:val="24"/>
    </w:rPr>
  </w:style>
  <w:style w:type="table" w:styleId="MediumList1-Accent1">
    <w:name w:val="Medium List 1 Accent 1"/>
    <w:basedOn w:val="TableNormal"/>
    <w:uiPriority w:val="65"/>
    <w:rPr>
      <w:rFonts w:ascii="Times New Roman" w:eastAsia="Times New Roman" w:hAnsi="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ColorfulGrid-Accent1">
    <w:name w:val="Colorful Grid Accent 1"/>
    <w:basedOn w:val="TableNormal"/>
    <w:uiPriority w:val="73"/>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1-Accent1">
    <w:name w:val="Medium Shading 1 Accent 1"/>
    <w:basedOn w:val="TableNormal"/>
    <w:uiPriority w:val="63"/>
    <w:rPr>
      <w:rFonts w:ascii="Times New Roman" w:eastAsia="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pPr>
      <w:keepNext/>
      <w:spacing w:before="360" w:after="120" w:line="240" w:lineRule="auto"/>
      <w:ind w:hanging="850"/>
      <w:jc w:val="both"/>
      <w:outlineLvl w:val="0"/>
    </w:pPr>
    <w:rPr>
      <w:rFonts w:ascii="Times New Roman" w:eastAsia="Times New Roman" w:hAnsi="Times New Roman"/>
      <w:b/>
      <w:bCs/>
      <w:smallCaps/>
      <w:sz w:val="24"/>
      <w:szCs w:val="32"/>
    </w:rPr>
  </w:style>
  <w:style w:type="paragraph" w:styleId="Heading2">
    <w:name w:val="heading 2"/>
    <w:basedOn w:val="Normal"/>
    <w:next w:val="Normal"/>
    <w:link w:val="Heading2Char"/>
    <w:pPr>
      <w:keepNext/>
      <w:numPr>
        <w:ilvl w:val="1"/>
        <w:numId w:val="7"/>
      </w:numPr>
      <w:spacing w:before="120" w:after="120" w:line="240" w:lineRule="auto"/>
      <w:jc w:val="both"/>
      <w:outlineLvl w:val="1"/>
    </w:pPr>
    <w:rPr>
      <w:rFonts w:ascii="Times New Roman" w:eastAsia="Times New Roman" w:hAnsi="Times New Roman"/>
      <w:b/>
      <w:bCs/>
      <w:iCs/>
      <w:sz w:val="24"/>
      <w:szCs w:val="28"/>
    </w:rPr>
  </w:style>
  <w:style w:type="paragraph" w:styleId="Heading3">
    <w:name w:val="heading 3"/>
    <w:basedOn w:val="Normal"/>
    <w:next w:val="Normal"/>
    <w:link w:val="Heading3Char"/>
    <w:pPr>
      <w:keepNext/>
      <w:numPr>
        <w:ilvl w:val="2"/>
        <w:numId w:val="7"/>
      </w:numPr>
      <w:spacing w:before="120" w:after="120" w:line="240" w:lineRule="auto"/>
      <w:jc w:val="both"/>
      <w:outlineLvl w:val="2"/>
    </w:pPr>
    <w:rPr>
      <w:rFonts w:ascii="Times New Roman" w:eastAsia="Times New Roman" w:hAnsi="Times New Roman"/>
      <w:bCs/>
      <w:i/>
      <w:sz w:val="24"/>
      <w:szCs w:val="26"/>
    </w:rPr>
  </w:style>
  <w:style w:type="paragraph" w:styleId="Heading4">
    <w:name w:val="heading 4"/>
    <w:basedOn w:val="Normal"/>
    <w:next w:val="Normal"/>
    <w:link w:val="Heading4Char"/>
    <w:pPr>
      <w:keepNext/>
      <w:numPr>
        <w:ilvl w:val="3"/>
        <w:numId w:val="7"/>
      </w:numPr>
      <w:spacing w:before="120" w:after="120" w:line="240" w:lineRule="auto"/>
      <w:jc w:val="both"/>
      <w:outlineLvl w:val="3"/>
    </w:pPr>
    <w:rPr>
      <w:rFonts w:ascii="Times New Roman" w:eastAsia="Times New Roman" w:hAnsi="Times New Roman"/>
      <w:bCs/>
      <w:sz w:val="24"/>
      <w:szCs w:val="28"/>
    </w:rPr>
  </w:style>
  <w:style w:type="paragraph" w:styleId="Heading5">
    <w:name w:val="heading 5"/>
    <w:basedOn w:val="Normal"/>
    <w:next w:val="Normal"/>
    <w:link w:val="Heading5Char"/>
    <w:uiPriority w:val="9"/>
    <w:semiHidden/>
    <w:unhideWhenUsed/>
    <w:qFormat/>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lang w:eastAsia="en-US" w:bidi="ar-SA"/>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rPr>
      <w:rFonts w:ascii="Times New Roman" w:eastAsia="Times New Roman" w:hAnsi="Times New Roman" w:cs="Times New Roman"/>
      <w:b/>
      <w:bCs/>
      <w:smallCaps/>
      <w:sz w:val="24"/>
      <w:szCs w:val="32"/>
    </w:rPr>
  </w:style>
  <w:style w:type="character" w:customStyle="1" w:styleId="Heading2Char">
    <w:name w:val="Heading 2 Char"/>
    <w:link w:val="Heading2"/>
    <w:rPr>
      <w:rFonts w:ascii="Times New Roman" w:eastAsia="Times New Roman" w:hAnsi="Times New Roman"/>
      <w:b/>
      <w:bCs/>
      <w:iCs/>
      <w:sz w:val="24"/>
      <w:szCs w:val="28"/>
      <w:lang w:eastAsia="da-DK"/>
    </w:rPr>
  </w:style>
  <w:style w:type="character" w:customStyle="1" w:styleId="Heading3Char">
    <w:name w:val="Heading 3 Char"/>
    <w:link w:val="Heading3"/>
    <w:rPr>
      <w:rFonts w:ascii="Times New Roman" w:eastAsia="Times New Roman" w:hAnsi="Times New Roman"/>
      <w:bCs/>
      <w:i/>
      <w:sz w:val="24"/>
      <w:szCs w:val="26"/>
      <w:lang w:eastAsia="da-DK"/>
    </w:rPr>
  </w:style>
  <w:style w:type="character" w:customStyle="1" w:styleId="Heading4Char">
    <w:name w:val="Heading 4 Char"/>
    <w:link w:val="Heading4"/>
    <w:rPr>
      <w:rFonts w:ascii="Times New Roman" w:eastAsia="Times New Roman" w:hAnsi="Times New Roman"/>
      <w:bCs/>
      <w:sz w:val="24"/>
      <w:szCs w:val="28"/>
      <w:lang w:eastAsia="da-DK"/>
    </w:rPr>
  </w:style>
  <w:style w:type="character" w:customStyle="1" w:styleId="Heading5Char">
    <w:name w:val="Heading 5 Char"/>
    <w:link w:val="Heading5"/>
    <w:uiPriority w:val="9"/>
    <w:semiHidden/>
    <w:rPr>
      <w:rFonts w:ascii="Cambria" w:eastAsia="Times New Roman" w:hAnsi="Cambria" w:cs="Times New Roman"/>
      <w:b/>
      <w:bCs/>
      <w:color w:val="7F7F7F"/>
      <w:lang w:eastAsia="da-DK"/>
    </w:rPr>
  </w:style>
  <w:style w:type="character" w:customStyle="1" w:styleId="Heading6Char">
    <w:name w:val="Heading 6 Char"/>
    <w:link w:val="Heading6"/>
    <w:uiPriority w:val="9"/>
    <w:semiHidden/>
    <w:rPr>
      <w:rFonts w:ascii="Cambria" w:eastAsia="Times New Roman" w:hAnsi="Cambria" w:cs="Times New Roman"/>
      <w:b/>
      <w:bCs/>
      <w:i/>
      <w:iCs/>
      <w:color w:val="7F7F7F"/>
      <w:lang w:eastAsia="da-DK"/>
    </w:rPr>
  </w:style>
  <w:style w:type="character" w:customStyle="1" w:styleId="Heading7Char">
    <w:name w:val="Heading 7 Char"/>
    <w:link w:val="Heading7"/>
    <w:uiPriority w:val="9"/>
    <w:semiHidden/>
    <w:rPr>
      <w:rFonts w:ascii="Cambria" w:eastAsia="Times New Roman" w:hAnsi="Cambria" w:cs="Times New Roman"/>
      <w:i/>
      <w:iCs/>
      <w:lang w:eastAsia="da-DK"/>
    </w:rPr>
  </w:style>
  <w:style w:type="character" w:customStyle="1" w:styleId="Heading8Char">
    <w:name w:val="Heading 8 Char"/>
    <w:link w:val="Heading8"/>
    <w:uiPriority w:val="9"/>
    <w:semiHidden/>
    <w:rPr>
      <w:rFonts w:ascii="Cambria" w:eastAsia="Times New Roman" w:hAnsi="Cambria" w:cs="Times New Roman"/>
      <w:sz w:val="20"/>
      <w:szCs w:val="20"/>
      <w:lang w:eastAsia="da-DK"/>
    </w:rPr>
  </w:style>
  <w:style w:type="character" w:customStyle="1" w:styleId="Heading9Char">
    <w:name w:val="Heading 9 Char"/>
    <w:link w:val="Heading9"/>
    <w:uiPriority w:val="9"/>
    <w:semiHidden/>
    <w:rPr>
      <w:rFonts w:ascii="Cambria" w:eastAsia="Times New Roman" w:hAnsi="Cambria" w:cs="Times New Roman"/>
      <w:i/>
      <w:iCs/>
      <w:spacing w:val="5"/>
      <w:sz w:val="20"/>
      <w:szCs w:val="20"/>
      <w:lang w:eastAsia="da-DK"/>
    </w:rPr>
  </w:style>
  <w:style w:type="paragraph" w:customStyle="1" w:styleId="Accompagnant">
    <w:name w:val="Accompagnant"/>
    <w:basedOn w:val="Normal"/>
    <w:next w:val="Normal"/>
    <w:pPr>
      <w:spacing w:after="240" w:line="240" w:lineRule="auto"/>
      <w:jc w:val="center"/>
    </w:pPr>
    <w:rPr>
      <w:rFonts w:ascii="Times New Roman" w:eastAsia="Times New Roman" w:hAnsi="Times New Roman"/>
      <w:b/>
      <w:i/>
      <w:sz w:val="24"/>
      <w:szCs w:val="24"/>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Applicationdirecte">
    <w:name w:val="Application directe"/>
    <w:basedOn w:val="Normal"/>
    <w:next w:val="Normal"/>
    <w:pPr>
      <w:spacing w:before="480" w:after="120" w:line="240" w:lineRule="auto"/>
      <w:jc w:val="both"/>
    </w:pPr>
    <w:rPr>
      <w:rFonts w:ascii="Times New Roman" w:eastAsia="Times New Roman" w:hAnsi="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sz w:val="24"/>
      <w:szCs w:val="24"/>
    </w:rPr>
  </w:style>
  <w:style w:type="paragraph" w:customStyle="1" w:styleId="Bullet1">
    <w:name w:val="Bullet 1"/>
    <w:basedOn w:val="Normal"/>
    <w:pPr>
      <w:numPr>
        <w:numId w:val="2"/>
      </w:numPr>
      <w:spacing w:before="120" w:after="120" w:line="240" w:lineRule="auto"/>
      <w:jc w:val="both"/>
    </w:pPr>
    <w:rPr>
      <w:rFonts w:ascii="Times New Roman" w:eastAsia="Times New Roman" w:hAnsi="Times New Roman"/>
      <w:sz w:val="24"/>
      <w:szCs w:val="24"/>
    </w:rPr>
  </w:style>
  <w:style w:type="paragraph" w:customStyle="1" w:styleId="Bullet2">
    <w:name w:val="Bullet 2"/>
    <w:basedOn w:val="Normal"/>
    <w:pPr>
      <w:numPr>
        <w:numId w:val="3"/>
      </w:numPr>
      <w:spacing w:before="120" w:after="120" w:line="240" w:lineRule="auto"/>
      <w:jc w:val="both"/>
    </w:pPr>
    <w:rPr>
      <w:rFonts w:ascii="Times New Roman" w:eastAsia="Times New Roman" w:hAnsi="Times New Roman"/>
      <w:sz w:val="24"/>
      <w:szCs w:val="24"/>
    </w:rPr>
  </w:style>
  <w:style w:type="paragraph" w:customStyle="1" w:styleId="Bullet3">
    <w:name w:val="Bullet 3"/>
    <w:basedOn w:val="Normal"/>
    <w:pPr>
      <w:numPr>
        <w:numId w:val="4"/>
      </w:numPr>
      <w:spacing w:before="120" w:after="120" w:line="240" w:lineRule="auto"/>
      <w:jc w:val="both"/>
    </w:pPr>
    <w:rPr>
      <w:rFonts w:ascii="Times New Roman" w:eastAsia="Times New Roman" w:hAnsi="Times New Roman"/>
      <w:sz w:val="24"/>
      <w:szCs w:val="24"/>
    </w:rPr>
  </w:style>
  <w:style w:type="paragraph" w:customStyle="1" w:styleId="Bullet4">
    <w:name w:val="Bullet 4"/>
    <w:basedOn w:val="Normal"/>
    <w:pPr>
      <w:numPr>
        <w:numId w:val="5"/>
      </w:numPr>
      <w:spacing w:before="120" w:after="120" w:line="240" w:lineRule="auto"/>
      <w:jc w:val="both"/>
    </w:pPr>
    <w:rPr>
      <w:rFonts w:ascii="Times New Roman" w:eastAsia="Times New Roman" w:hAnsi="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rPr>
  </w:style>
  <w:style w:type="paragraph" w:customStyle="1" w:styleId="Confidentialit">
    <w:name w:val="Confidentialité"/>
    <w:basedOn w:val="Normal"/>
    <w:next w:val="Normal"/>
    <w:pPr>
      <w:spacing w:before="240" w:after="240" w:line="240" w:lineRule="auto"/>
      <w:ind w:left="5103"/>
      <w:jc w:val="both"/>
    </w:pPr>
    <w:rPr>
      <w:rFonts w:ascii="Times New Roman" w:eastAsia="Times New Roman" w:hAnsi="Times New Roman"/>
      <w:sz w:val="24"/>
      <w:szCs w:val="24"/>
      <w:u w:val="single"/>
    </w:rPr>
  </w:style>
  <w:style w:type="paragraph" w:customStyle="1" w:styleId="Considrant">
    <w:name w:val="Considérant"/>
    <w:basedOn w:val="Normal"/>
    <w:pPr>
      <w:numPr>
        <w:numId w:val="6"/>
      </w:numPr>
      <w:spacing w:before="120" w:after="120" w:line="240" w:lineRule="auto"/>
      <w:jc w:val="both"/>
    </w:pPr>
    <w:rPr>
      <w:rFonts w:ascii="Times New Roman" w:eastAsia="Times New Roman" w:hAnsi="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rPr>
  </w:style>
  <w:style w:type="paragraph" w:customStyle="1" w:styleId="Datedadoption">
    <w:name w:val="Date d'adoption"/>
    <w:basedOn w:val="Normal"/>
    <w:next w:val="Normal"/>
    <w:pPr>
      <w:spacing w:before="360" w:after="0" w:line="240" w:lineRule="auto"/>
      <w:jc w:val="center"/>
    </w:pPr>
    <w:rPr>
      <w:rFonts w:ascii="Times New Roman" w:eastAsia="Times New Roman" w:hAnsi="Times New Roman"/>
      <w:b/>
      <w:sz w:val="24"/>
      <w:szCs w:val="24"/>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after="0" w:line="240" w:lineRule="auto"/>
      <w:ind w:left="5103"/>
    </w:pPr>
    <w:rPr>
      <w:rFonts w:ascii="Times New Roman" w:eastAsia="Times New Roman" w:hAnsi="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ait">
    <w:name w:val="Fait à"/>
    <w:basedOn w:val="Normal"/>
    <w:next w:val="Normal"/>
    <w:pPr>
      <w:keepNext/>
      <w:spacing w:before="120" w:after="0" w:line="240" w:lineRule="auto"/>
      <w:jc w:val="both"/>
    </w:pPr>
    <w:rPr>
      <w:rFonts w:ascii="Times New Roman" w:eastAsia="Times New Roman" w:hAnsi="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b/>
      <w:sz w:val="24"/>
      <w:szCs w:val="24"/>
      <w:u w:val="single"/>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lang w:eastAsia="en-US" w:bidi="ar-SA"/>
    </w:r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 Exposant 3 Poi,Ref"/>
    <w:link w:val="Nota"/>
    <w:qFormat/>
    <w:rPr>
      <w:vertAlign w:val="superscript"/>
    </w:rPr>
  </w:style>
  <w:style w:type="paragraph" w:styleId="FootnoteText">
    <w:name w:val="footnote text"/>
    <w:basedOn w:val="Normal"/>
    <w:link w:val="FootnoteTextChar2"/>
    <w:pPr>
      <w:spacing w:after="0" w:line="240" w:lineRule="auto"/>
      <w:ind w:left="720" w:hanging="720"/>
      <w:jc w:val="both"/>
    </w:pPr>
    <w:rPr>
      <w:rFonts w:ascii="Times New Roman" w:eastAsia="Times New Roman" w:hAnsi="Times New Roman"/>
      <w:sz w:val="20"/>
      <w:szCs w:val="20"/>
    </w:rPr>
  </w:style>
  <w:style w:type="character" w:customStyle="1" w:styleId="FootnoteTextChar">
    <w:name w:val="Footnote Text Char"/>
    <w:aliases w:val="Footnote Text Char1 Char Char Char Char Char Char"/>
    <w:rPr>
      <w:sz w:val="20"/>
      <w:szCs w:val="20"/>
    </w:rPr>
  </w:style>
  <w:style w:type="paragraph" w:customStyle="1" w:styleId="Formuledadoption">
    <w:name w:val="Formule d'adoption"/>
    <w:basedOn w:val="Normal"/>
    <w:next w:val="Normal"/>
    <w:pPr>
      <w:keepNext/>
      <w:spacing w:before="120" w:after="120" w:line="240" w:lineRule="auto"/>
      <w:jc w:val="both"/>
    </w:pPr>
    <w:rPr>
      <w:rFonts w:ascii="Times New Roman" w:eastAsia="Times New Roman" w:hAnsi="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lang w:eastAsia="en-US" w:bidi="ar-SA"/>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rPr>
  </w:style>
  <w:style w:type="paragraph" w:customStyle="1" w:styleId="Institutionquisigne">
    <w:name w:val="Institution qui signe"/>
    <w:basedOn w:val="Normal"/>
    <w:next w:val="Normal"/>
    <w:pPr>
      <w:keepNext/>
      <w:tabs>
        <w:tab w:val="left" w:pos="4252"/>
      </w:tabs>
      <w:spacing w:before="720" w:after="0" w:line="240" w:lineRule="auto"/>
      <w:jc w:val="both"/>
    </w:pPr>
    <w:rPr>
      <w:rFonts w:ascii="Times New Roman" w:eastAsia="Times New Roman" w:hAnsi="Times New Roman"/>
      <w:i/>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sz w:val="24"/>
      <w:szCs w:val="24"/>
    </w:r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after="600" w:line="240" w:lineRule="auto"/>
      <w:jc w:val="center"/>
    </w:pPr>
    <w:rPr>
      <w:rFonts w:ascii="Times New Roman" w:eastAsia="Times New Roman" w:hAnsi="Times New Roman"/>
      <w:b/>
      <w:caps/>
      <w:sz w:val="24"/>
      <w:szCs w:val="24"/>
    </w:rPr>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rPr>
  </w:style>
  <w:style w:type="paragraph" w:customStyle="1" w:styleId="ManualHeading1">
    <w:name w:val="Manual Heading 1"/>
    <w:basedOn w:val="Normal"/>
    <w:next w:val="Normal"/>
    <w:link w:val="ManualHeading1Char"/>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customStyle="1" w:styleId="ManualHeading3">
    <w:name w:val="Manual Heading 3"/>
    <w:basedOn w:val="Normal"/>
    <w:next w:val="Normal"/>
    <w:pPr>
      <w:keepNext/>
      <w:tabs>
        <w:tab w:val="left" w:pos="850"/>
      </w:tabs>
      <w:spacing w:before="120" w:after="120" w:line="240" w:lineRule="auto"/>
      <w:ind w:left="850" w:hanging="850"/>
      <w:jc w:val="both"/>
      <w:outlineLvl w:val="2"/>
    </w:pPr>
    <w:rPr>
      <w:rFonts w:ascii="Times New Roman" w:eastAsia="Times New Roman" w:hAnsi="Times New Roman"/>
      <w:i/>
      <w:sz w:val="24"/>
      <w:szCs w:val="24"/>
    </w:rPr>
  </w:style>
  <w:style w:type="paragraph" w:customStyle="1" w:styleId="ManualHeading4">
    <w:name w:val="Manual Heading 4"/>
    <w:basedOn w:val="Normal"/>
    <w:next w:val="Normal"/>
    <w:pPr>
      <w:keepNext/>
      <w:tabs>
        <w:tab w:val="left" w:pos="850"/>
      </w:tabs>
      <w:spacing w:before="120" w:after="120" w:line="240" w:lineRule="auto"/>
      <w:ind w:left="850" w:hanging="850"/>
      <w:jc w:val="both"/>
      <w:outlineLvl w:val="3"/>
    </w:pPr>
    <w:rPr>
      <w:rFonts w:ascii="Times New Roman" w:eastAsia="Times New Roman" w:hAnsi="Times New Roman"/>
      <w:sz w:val="24"/>
      <w:szCs w:val="24"/>
    </w:rPr>
  </w:style>
  <w:style w:type="paragraph" w:customStyle="1" w:styleId="ManualNumPar1">
    <w:name w:val="Manual NumPar 1"/>
    <w:basedOn w:val="Normal"/>
    <w:next w:val="Normal"/>
    <w:pPr>
      <w:spacing w:before="120" w:after="120" w:line="240" w:lineRule="auto"/>
      <w:ind w:left="850" w:hanging="850"/>
      <w:jc w:val="both"/>
    </w:pPr>
    <w:rPr>
      <w:rFonts w:ascii="Times New Roman" w:eastAsia="Times New Roman" w:hAnsi="Times New Roman"/>
      <w:sz w:val="24"/>
      <w:szCs w:val="24"/>
    </w:rPr>
  </w:style>
  <w:style w:type="paragraph" w:customStyle="1" w:styleId="ManualNumPar2">
    <w:name w:val="Manual NumPar 2"/>
    <w:basedOn w:val="Normal"/>
    <w:next w:val="Normal"/>
    <w:pPr>
      <w:spacing w:before="120" w:after="120" w:line="240" w:lineRule="auto"/>
      <w:ind w:left="850" w:hanging="850"/>
      <w:jc w:val="both"/>
    </w:pPr>
    <w:rPr>
      <w:rFonts w:ascii="Times New Roman" w:eastAsia="Times New Roman" w:hAnsi="Times New Roman"/>
      <w:sz w:val="24"/>
      <w:szCs w:val="24"/>
    </w:rPr>
  </w:style>
  <w:style w:type="paragraph" w:customStyle="1" w:styleId="ManualNumPar3">
    <w:name w:val="Manual NumPar 3"/>
    <w:basedOn w:val="Normal"/>
    <w:next w:val="Normal"/>
    <w:pPr>
      <w:spacing w:before="120" w:after="120" w:line="240" w:lineRule="auto"/>
      <w:ind w:left="850" w:hanging="850"/>
      <w:jc w:val="both"/>
    </w:pPr>
    <w:rPr>
      <w:rFonts w:ascii="Times New Roman" w:eastAsia="Times New Roman" w:hAnsi="Times New Roman"/>
      <w:sz w:val="24"/>
      <w:szCs w:val="24"/>
    </w:rPr>
  </w:style>
  <w:style w:type="paragraph" w:customStyle="1" w:styleId="ManualNumPar4">
    <w:name w:val="Manual NumPar 4"/>
    <w:basedOn w:val="Normal"/>
    <w:next w:val="Normal"/>
    <w:pPr>
      <w:spacing w:before="120" w:after="120" w:line="240" w:lineRule="auto"/>
      <w:ind w:left="850" w:hanging="850"/>
      <w:jc w:val="both"/>
    </w:pPr>
    <w:rPr>
      <w:rFonts w:ascii="Times New Roman" w:eastAsia="Times New Roman" w:hAnsi="Times New Roman"/>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rPr>
  </w:style>
  <w:style w:type="paragraph" w:customStyle="1" w:styleId="NumPar1">
    <w:name w:val="NumPar 1"/>
    <w:basedOn w:val="Normal"/>
    <w:next w:val="Normal"/>
    <w:pPr>
      <w:numPr>
        <w:numId w:val="8"/>
      </w:numPr>
      <w:spacing w:before="120" w:after="120" w:line="240" w:lineRule="auto"/>
      <w:jc w:val="both"/>
    </w:pPr>
    <w:rPr>
      <w:rFonts w:ascii="Times New Roman" w:eastAsia="Times New Roman" w:hAnsi="Times New Roman"/>
      <w:sz w:val="24"/>
      <w:szCs w:val="24"/>
    </w:rPr>
  </w:style>
  <w:style w:type="paragraph" w:customStyle="1" w:styleId="NumPar2">
    <w:name w:val="NumPar 2"/>
    <w:basedOn w:val="Normal"/>
    <w:next w:val="Normal"/>
    <w:pPr>
      <w:numPr>
        <w:ilvl w:val="1"/>
        <w:numId w:val="8"/>
      </w:numPr>
      <w:spacing w:before="120" w:after="120" w:line="240" w:lineRule="auto"/>
      <w:jc w:val="both"/>
    </w:pPr>
    <w:rPr>
      <w:rFonts w:ascii="Times New Roman" w:eastAsia="Times New Roman" w:hAnsi="Times New Roman"/>
      <w:sz w:val="24"/>
      <w:szCs w:val="24"/>
    </w:rPr>
  </w:style>
  <w:style w:type="paragraph" w:customStyle="1" w:styleId="NumPar3">
    <w:name w:val="NumPar 3"/>
    <w:basedOn w:val="Normal"/>
    <w:next w:val="Normal"/>
    <w:pPr>
      <w:numPr>
        <w:ilvl w:val="2"/>
        <w:numId w:val="8"/>
      </w:numPr>
      <w:spacing w:before="120" w:after="120" w:line="240" w:lineRule="auto"/>
      <w:jc w:val="both"/>
    </w:pPr>
    <w:rPr>
      <w:rFonts w:ascii="Times New Roman" w:eastAsia="Times New Roman" w:hAnsi="Times New Roman"/>
      <w:sz w:val="24"/>
      <w:szCs w:val="24"/>
    </w:rPr>
  </w:style>
  <w:style w:type="paragraph" w:customStyle="1" w:styleId="NumPar4">
    <w:name w:val="NumPar 4"/>
    <w:basedOn w:val="Normal"/>
    <w:next w:val="Normal"/>
    <w:pPr>
      <w:numPr>
        <w:ilvl w:val="3"/>
        <w:numId w:val="8"/>
      </w:numPr>
      <w:spacing w:before="120" w:after="120" w:line="240" w:lineRule="auto"/>
      <w:jc w:val="both"/>
    </w:pPr>
    <w:rPr>
      <w:rFonts w:ascii="Times New Roman" w:eastAsia="Times New Roman" w:hAnsi="Times New Roman"/>
      <w:sz w:val="24"/>
      <w:szCs w:val="24"/>
    </w:rPr>
  </w:style>
  <w:style w:type="paragraph" w:customStyle="1" w:styleId="Objetacteprincipal">
    <w:name w:val="Objet acte principal"/>
    <w:basedOn w:val="Normal"/>
    <w:next w:val="Normal"/>
    <w:pPr>
      <w:spacing w:after="360" w:line="240" w:lineRule="auto"/>
      <w:jc w:val="center"/>
    </w:pPr>
    <w:rPr>
      <w:rFonts w:ascii="Times New Roman" w:eastAsia="Times New Roman" w:hAnsi="Times New Roman"/>
      <w:b/>
      <w:sz w:val="24"/>
      <w:szCs w:val="24"/>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rPr>
  </w:style>
  <w:style w:type="paragraph" w:customStyle="1" w:styleId="Point0letter">
    <w:name w:val="Point 0 (letter)"/>
    <w:basedOn w:val="Normal"/>
    <w:pPr>
      <w:numPr>
        <w:ilvl w:val="1"/>
        <w:numId w:val="9"/>
      </w:numPr>
      <w:spacing w:before="120" w:after="120" w:line="240" w:lineRule="auto"/>
      <w:jc w:val="both"/>
    </w:pPr>
    <w:rPr>
      <w:rFonts w:ascii="Times New Roman" w:eastAsia="Times New Roman" w:hAnsi="Times New Roman"/>
      <w:sz w:val="24"/>
      <w:szCs w:val="24"/>
    </w:rPr>
  </w:style>
  <w:style w:type="paragraph" w:customStyle="1" w:styleId="Point0number">
    <w:name w:val="Point 0 (number)"/>
    <w:basedOn w:val="Normal"/>
    <w:pPr>
      <w:numPr>
        <w:numId w:val="9"/>
      </w:numPr>
      <w:spacing w:before="120" w:after="120" w:line="240" w:lineRule="auto"/>
      <w:jc w:val="both"/>
    </w:pPr>
    <w:rPr>
      <w:rFonts w:ascii="Times New Roman" w:eastAsia="Times New Roman" w:hAnsi="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Point1letter">
    <w:name w:val="Point 1 (letter)"/>
    <w:basedOn w:val="Normal"/>
    <w:pPr>
      <w:numPr>
        <w:ilvl w:val="3"/>
        <w:numId w:val="9"/>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ormal"/>
    <w:pPr>
      <w:numPr>
        <w:ilvl w:val="2"/>
        <w:numId w:val="9"/>
      </w:numPr>
      <w:spacing w:before="120" w:after="120" w:line="240" w:lineRule="auto"/>
      <w:jc w:val="both"/>
    </w:pPr>
    <w:rPr>
      <w:rFonts w:ascii="Times New Roman" w:eastAsia="Times New Roman" w:hAnsi="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rPr>
  </w:style>
  <w:style w:type="paragraph" w:customStyle="1" w:styleId="Point2letter">
    <w:name w:val="Point 2 (letter)"/>
    <w:basedOn w:val="Normal"/>
    <w:pPr>
      <w:numPr>
        <w:ilvl w:val="5"/>
        <w:numId w:val="9"/>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ormal"/>
    <w:pPr>
      <w:numPr>
        <w:ilvl w:val="4"/>
        <w:numId w:val="9"/>
      </w:numPr>
      <w:spacing w:before="120" w:after="120" w:line="240" w:lineRule="auto"/>
      <w:jc w:val="both"/>
    </w:pPr>
    <w:rPr>
      <w:rFonts w:ascii="Times New Roman" w:eastAsia="Times New Roman" w:hAnsi="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rPr>
  </w:style>
  <w:style w:type="paragraph" w:customStyle="1" w:styleId="Point3letter">
    <w:name w:val="Point 3 (letter)"/>
    <w:basedOn w:val="Normal"/>
    <w:pPr>
      <w:numPr>
        <w:ilvl w:val="7"/>
        <w:numId w:val="9"/>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ormal"/>
    <w:pPr>
      <w:numPr>
        <w:ilvl w:val="6"/>
        <w:numId w:val="9"/>
      </w:numPr>
      <w:spacing w:before="120" w:after="120" w:line="240" w:lineRule="auto"/>
      <w:jc w:val="both"/>
    </w:pPr>
    <w:rPr>
      <w:rFonts w:ascii="Times New Roman" w:eastAsia="Times New Roman" w:hAnsi="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rPr>
  </w:style>
  <w:style w:type="paragraph" w:customStyle="1" w:styleId="Point4letter">
    <w:name w:val="Point 4 (letter)"/>
    <w:basedOn w:val="Normal"/>
    <w:pPr>
      <w:numPr>
        <w:ilvl w:val="8"/>
        <w:numId w:val="9"/>
      </w:numPr>
      <w:spacing w:before="120" w:after="120" w:line="240" w:lineRule="auto"/>
      <w:jc w:val="both"/>
    </w:pPr>
    <w:rPr>
      <w:rFonts w:ascii="Times New Roman" w:eastAsia="Times New Roman" w:hAnsi="Times New Roman"/>
      <w:sz w:val="24"/>
      <w:szCs w:val="24"/>
    </w:r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sz w:val="24"/>
      <w:szCs w:val="24"/>
    </w:rPr>
  </w:style>
  <w:style w:type="paragraph" w:customStyle="1" w:styleId="Rfrenceinterinstitutionnelle">
    <w:name w:val="Référence interinstitutionnelle"/>
    <w:basedOn w:val="Normal"/>
    <w:next w:val="Normal"/>
    <w:pPr>
      <w:spacing w:after="0" w:line="240" w:lineRule="auto"/>
      <w:ind w:left="5103"/>
    </w:pPr>
    <w:rPr>
      <w:rFonts w:ascii="Times New Roman" w:eastAsia="Times New Roman" w:hAnsi="Times New Roman"/>
      <w:sz w:val="24"/>
      <w:szCs w:val="24"/>
    </w:r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sz w:val="24"/>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line="240" w:lineRule="auto"/>
      <w:jc w:val="center"/>
    </w:pPr>
    <w:rPr>
      <w:rFonts w:ascii="Times New Roman" w:eastAsia="Times New Roman" w:hAnsi="Times New Roman"/>
      <w:sz w:val="24"/>
      <w:szCs w:val="24"/>
    </w:r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after="600" w:line="240" w:lineRule="auto"/>
      <w:jc w:val="center"/>
    </w:pPr>
    <w:rPr>
      <w:rFonts w:ascii="Times New Roman" w:eastAsia="Times New Roman" w:hAnsi="Times New Roman"/>
      <w:b/>
      <w:sz w:val="24"/>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sz w:val="24"/>
      <w:szCs w:val="24"/>
    </w:r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3">
    <w:name w:val="toc 3"/>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sz w:val="24"/>
      <w:szCs w:val="24"/>
    </w:rPr>
  </w:style>
  <w:style w:type="paragraph" w:styleId="TOC5">
    <w:name w:val="toc 5"/>
    <w:basedOn w:val="Normal"/>
    <w:next w:val="Normal"/>
    <w:semiHidden/>
    <w:pPr>
      <w:tabs>
        <w:tab w:val="right" w:leader="dot" w:pos="9071"/>
      </w:tabs>
      <w:spacing w:before="300" w:after="120" w:line="240" w:lineRule="auto"/>
    </w:pPr>
    <w:rPr>
      <w:rFonts w:ascii="Times New Roman" w:eastAsia="Times New Roman" w:hAnsi="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sz w:val="24"/>
      <w:szCs w:val="24"/>
    </w:rPr>
  </w:style>
  <w:style w:type="paragraph" w:styleId="TOC9">
    <w:name w:val="toc 9"/>
    <w:basedOn w:val="Normal"/>
    <w:next w:val="Normal"/>
    <w:semiHidden/>
    <w:pPr>
      <w:tabs>
        <w:tab w:val="right" w:leader="dot" w:pos="9071"/>
      </w:tabs>
      <w:spacing w:before="120" w:after="120" w:line="240" w:lineRule="auto"/>
      <w:jc w:val="both"/>
    </w:pPr>
    <w:rPr>
      <w:rFonts w:ascii="Times New Roman" w:eastAsia="Times New Roman" w:hAnsi="Times New Roman"/>
      <w:sz w:val="24"/>
      <w:szCs w:val="24"/>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b/>
      <w:sz w:val="28"/>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b/>
      <w:sz w:val="24"/>
      <w:szCs w:val="24"/>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b/>
      <w:sz w:val="24"/>
      <w:szCs w:val="24"/>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sz w:val="24"/>
      <w:szCs w:val="24"/>
    </w:rPr>
  </w:style>
  <w:style w:type="paragraph" w:customStyle="1" w:styleId="ZCom">
    <w:name w:val="Z_Com"/>
    <w:basedOn w:val="Normal"/>
    <w:next w:val="ZDGName"/>
    <w:pPr>
      <w:widowControl w:val="0"/>
      <w:autoSpaceDE w:val="0"/>
      <w:autoSpaceDN w:val="0"/>
      <w:spacing w:after="0" w:line="240" w:lineRule="auto"/>
      <w:ind w:right="85"/>
      <w:jc w:val="both"/>
    </w:pPr>
    <w:rPr>
      <w:rFonts w:ascii="Arial" w:eastAsia="Times New Roman" w:hAnsi="Arial" w:cs="Arial"/>
      <w:sz w:val="24"/>
      <w:szCs w:val="24"/>
    </w:rPr>
  </w:style>
  <w:style w:type="paragraph" w:customStyle="1" w:styleId="ZDGName">
    <w:name w:val="Z_DGName"/>
    <w:basedOn w:val="Normal"/>
    <w:pPr>
      <w:widowControl w:val="0"/>
      <w:autoSpaceDE w:val="0"/>
      <w:autoSpaceDN w:val="0"/>
      <w:spacing w:after="0" w:line="240" w:lineRule="auto"/>
      <w:ind w:right="85"/>
    </w:pPr>
    <w:rPr>
      <w:rFonts w:ascii="Arial" w:eastAsia="Times New Roman" w:hAnsi="Arial" w:cs="Arial"/>
      <w:sz w:val="16"/>
      <w:szCs w:val="16"/>
    </w:rPr>
  </w:style>
  <w:style w:type="paragraph" w:styleId="Date">
    <w:name w:val="Date"/>
    <w:basedOn w:val="Normal"/>
    <w:next w:val="References"/>
    <w:link w:val="DateChar"/>
    <w:pPr>
      <w:spacing w:after="0" w:line="240" w:lineRule="auto"/>
      <w:ind w:left="5103" w:right="-567"/>
    </w:pPr>
    <w:rPr>
      <w:rFonts w:ascii="Times New Roman" w:eastAsia="Times New Roman" w:hAnsi="Times New Roman"/>
      <w:sz w:val="24"/>
      <w:szCs w:val="20"/>
    </w:rPr>
  </w:style>
  <w:style w:type="character" w:customStyle="1" w:styleId="DateChar">
    <w:name w:val="Date Char"/>
    <w:link w:val="Date"/>
    <w:rPr>
      <w:rFonts w:ascii="Times New Roman" w:eastAsia="Times New Roman" w:hAnsi="Times New Roman" w:cs="Times New Roman"/>
      <w:sz w:val="24"/>
      <w:szCs w:val="20"/>
      <w:lang w:val="da-DK" w:eastAsia="da-DK"/>
    </w:rPr>
  </w:style>
  <w:style w:type="paragraph" w:customStyle="1" w:styleId="References">
    <w:name w:val="References"/>
    <w:basedOn w:val="Normal"/>
    <w:next w:val="Normal"/>
    <w:pPr>
      <w:spacing w:after="240" w:line="240" w:lineRule="auto"/>
      <w:ind w:left="5103"/>
    </w:pPr>
    <w:rPr>
      <w:rFonts w:ascii="Times New Roman" w:eastAsia="Times New Roman" w:hAnsi="Times New Roman"/>
      <w:sz w:val="20"/>
      <w:szCs w:val="20"/>
    </w:rPr>
  </w:style>
  <w:style w:type="character" w:styleId="Hyperlink">
    <w:name w:val="Hyperlink"/>
    <w:uiPriority w:val="99"/>
    <w:rPr>
      <w:rFonts w:ascii="Verdana" w:hAnsi="Verdana"/>
      <w:color w:val="0000FF"/>
      <w:sz w:val="20"/>
      <w:u w:val="single"/>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1 Char Char,Footnote Text Char Char Char1 Char Char,ft Char"/>
    <w:rPr>
      <w:rFonts w:ascii="Verdana" w:eastAsia="Times New Roman" w:hAnsi="Verdana"/>
      <w:sz w:val="16"/>
    </w:rPr>
  </w:style>
  <w:style w:type="paragraph" w:customStyle="1" w:styleId="ListDash">
    <w:name w:val="List Dash"/>
    <w:basedOn w:val="Normal"/>
    <w:pPr>
      <w:numPr>
        <w:numId w:val="20"/>
      </w:numPr>
      <w:spacing w:after="240" w:line="240" w:lineRule="auto"/>
      <w:jc w:val="both"/>
    </w:pPr>
    <w:rPr>
      <w:rFonts w:ascii="Times New Roman" w:eastAsia="Times New Roman" w:hAnsi="Times New Roman"/>
      <w:sz w:val="24"/>
      <w:szCs w:val="20"/>
    </w:rPr>
  </w:style>
  <w:style w:type="paragraph" w:styleId="ListBullet">
    <w:name w:val="List Bullet"/>
    <w:basedOn w:val="Normal"/>
    <w:pPr>
      <w:numPr>
        <w:numId w:val="15"/>
      </w:numPr>
      <w:spacing w:after="240" w:line="240" w:lineRule="auto"/>
      <w:jc w:val="both"/>
    </w:pPr>
    <w:rPr>
      <w:rFonts w:ascii="Times New Roman" w:eastAsia="Times New Roman" w:hAnsi="Times New Roman"/>
      <w:sz w:val="24"/>
      <w:szCs w:val="20"/>
    </w:rPr>
  </w:style>
  <w:style w:type="character" w:styleId="Strong">
    <w:name w:val="Strong"/>
    <w:uiPriority w:val="22"/>
    <w:qFormat/>
    <w:rPr>
      <w:b/>
      <w:bCs/>
    </w:rPr>
  </w:style>
  <w:style w:type="paragraph" w:customStyle="1" w:styleId="Default">
    <w:name w:val="Default"/>
    <w:pPr>
      <w:autoSpaceDE w:val="0"/>
      <w:autoSpaceDN w:val="0"/>
      <w:adjustRightInd w:val="0"/>
      <w:spacing w:after="200" w:line="276" w:lineRule="auto"/>
    </w:pPr>
    <w:rPr>
      <w:rFonts w:ascii="Times New Roman" w:eastAsia="Times New Roman" w:hAnsi="Times New Roman"/>
      <w:color w:val="000000"/>
      <w:sz w:val="24"/>
      <w:szCs w:val="24"/>
    </w:rPr>
  </w:style>
  <w:style w:type="paragraph" w:styleId="BalloonText">
    <w:name w:val="Balloon Text"/>
    <w:basedOn w:val="Normal"/>
    <w:link w:val="BalloonTextChar"/>
    <w:uiPriority w:val="99"/>
    <w:unhideWhenUsed/>
    <w:pPr>
      <w:spacing w:after="0" w:line="240" w:lineRule="auto"/>
    </w:pPr>
    <w:rPr>
      <w:rFonts w:ascii="Tahoma" w:eastAsia="Times New Roman" w:hAnsi="Tahoma"/>
      <w:sz w:val="16"/>
      <w:szCs w:val="16"/>
    </w:rPr>
  </w:style>
  <w:style w:type="character" w:customStyle="1" w:styleId="BalloonTextChar">
    <w:name w:val="Balloon Text Char"/>
    <w:link w:val="BalloonText"/>
    <w:uiPriority w:val="99"/>
    <w:rPr>
      <w:rFonts w:ascii="Tahoma" w:eastAsia="Times New Roman" w:hAnsi="Tahoma" w:cs="Times New Roman"/>
      <w:sz w:val="16"/>
      <w:szCs w:val="16"/>
      <w:lang w:val="da-DK" w:eastAsia="da-DK"/>
    </w:rPr>
  </w:style>
  <w:style w:type="paragraph" w:styleId="NormalWeb">
    <w:name w:val="Normal (Web)"/>
    <w:basedOn w:val="Normal"/>
    <w:uiPriority w:val="99"/>
    <w:unhideWhenUsed/>
    <w:pPr>
      <w:spacing w:before="60" w:after="180" w:line="240" w:lineRule="auto"/>
      <w:ind w:right="90"/>
    </w:pPr>
    <w:rPr>
      <w:rFonts w:ascii="Times New Roman" w:eastAsia="Times New Roman" w:hAnsi="Times New Roman"/>
      <w:sz w:val="24"/>
      <w:szCs w:val="24"/>
    </w:rPr>
  </w:style>
  <w:style w:type="character" w:customStyle="1" w:styleId="bold-about1">
    <w:name w:val="bold-about1"/>
    <w:rPr>
      <w:b/>
      <w:bCs/>
      <w:color w:val="A16200"/>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link w:val="CommentText"/>
    <w:uiPriority w:val="99"/>
    <w:rPr>
      <w:rFonts w:ascii="Calibri" w:eastAsia="Times New Roman" w:hAnsi="Calibri" w:cs="Times New Roman"/>
      <w:sz w:val="20"/>
      <w:szCs w:val="20"/>
      <w:lang w:val="da-DK" w:eastAsia="da-DK"/>
    </w:rPr>
  </w:style>
  <w:style w:type="character" w:customStyle="1" w:styleId="st1">
    <w:name w:val="st1"/>
  </w:style>
  <w:style w:type="paragraph" w:customStyle="1" w:styleId="BodyBulletpoints">
    <w:name w:val="Body Bullet points"/>
    <w:basedOn w:val="Normal"/>
    <w:link w:val="BodyBulletpointsChar"/>
    <w:autoRedefine/>
    <w:uiPriority w:val="99"/>
    <w:pPr>
      <w:autoSpaceDE w:val="0"/>
      <w:autoSpaceDN w:val="0"/>
      <w:adjustRightInd w:val="0"/>
      <w:spacing w:after="0" w:line="240" w:lineRule="auto"/>
      <w:ind w:left="1"/>
      <w:jc w:val="both"/>
    </w:pPr>
    <w:rPr>
      <w:rFonts w:ascii="Verdana" w:eastAsia="Times New Roman" w:hAnsi="Verdana"/>
      <w:color w:val="000000"/>
      <w:sz w:val="20"/>
      <w:szCs w:val="20"/>
    </w:rPr>
  </w:style>
  <w:style w:type="character" w:customStyle="1" w:styleId="BodyBulletpointsChar">
    <w:name w:val="Body Bullet points Char"/>
    <w:link w:val="BodyBulletpoints"/>
    <w:uiPriority w:val="99"/>
    <w:locked/>
    <w:rPr>
      <w:rFonts w:ascii="Verdana" w:eastAsia="Times New Roman" w:hAnsi="Verdana" w:cs="Times New Roman"/>
      <w:color w:val="000000"/>
      <w:sz w:val="20"/>
      <w:szCs w:val="20"/>
      <w:lang w:eastAsia="da-DK"/>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ascii="Calibri" w:eastAsia="Times New Roman" w:hAnsi="Calibri" w:cs="Times New Roman"/>
      <w:b/>
      <w:bCs/>
      <w:sz w:val="20"/>
      <w:szCs w:val="20"/>
      <w:lang w:val="da-DK" w:eastAsia="da-DK"/>
    </w:rPr>
  </w:style>
  <w:style w:type="character" w:styleId="FollowedHyperlink">
    <w:name w:val="FollowedHyperlink"/>
    <w:uiPriority w:val="99"/>
    <w:unhideWhenUsed/>
    <w:rPr>
      <w:color w:val="800080"/>
      <w:u w:val="single"/>
    </w:rPr>
  </w:style>
  <w:style w:type="paragraph" w:styleId="Revision">
    <w:name w:val="Revision"/>
    <w:hidden/>
    <w:uiPriority w:val="99"/>
    <w:semiHidden/>
    <w:pPr>
      <w:spacing w:after="200" w:line="276" w:lineRule="auto"/>
    </w:pPr>
    <w:rPr>
      <w:rFonts w:eastAsia="Times New Roman"/>
      <w:sz w:val="22"/>
      <w:szCs w:val="22"/>
    </w:rPr>
  </w:style>
  <w:style w:type="character" w:customStyle="1" w:styleId="FootnoteTextChar1CharChar1">
    <w:name w:val="Footnote Text Char1 Char Char1"/>
    <w:aliases w:val="Footnote Text Char Char Char Char1,Footnote Text Char1 Char Char Char Char1,Footnote Text Char Char Char Char Char Char1,Footnote Text Char1 Char1 Char Char1,Footnote Text Char Char Char1 Char Char1"/>
    <w:uiPriority w:val="99"/>
    <w:locked/>
    <w:rPr>
      <w:lang w:eastAsia="da-DK"/>
    </w:rPr>
  </w:style>
  <w:style w:type="paragraph" w:customStyle="1" w:styleId="Contact">
    <w:name w:val="Contact"/>
    <w:basedOn w:val="Normal"/>
    <w:next w:val="Normal"/>
    <w:pPr>
      <w:spacing w:before="480" w:after="0" w:line="240" w:lineRule="auto"/>
      <w:ind w:left="567" w:hanging="567"/>
    </w:pPr>
    <w:rPr>
      <w:rFonts w:ascii="Times New Roman" w:eastAsia="Times New Roman" w:hAnsi="Times New Roman"/>
      <w:sz w:val="24"/>
      <w:szCs w:val="20"/>
    </w:rPr>
  </w:style>
  <w:style w:type="paragraph" w:styleId="Title">
    <w:name w:val="Title"/>
    <w:basedOn w:val="Normal"/>
    <w:next w:val="Normal"/>
    <w:link w:val="TitleChar"/>
    <w:uiPriority w:val="10"/>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Pr>
      <w:rFonts w:ascii="Cambria" w:eastAsia="Times New Roman" w:hAnsi="Cambria" w:cs="Times New Roman"/>
      <w:spacing w:val="5"/>
      <w:sz w:val="52"/>
      <w:szCs w:val="52"/>
      <w:lang w:eastAsia="da-DK"/>
    </w:rPr>
  </w:style>
  <w:style w:type="paragraph" w:styleId="Subtitle">
    <w:name w:val="Subtitle"/>
    <w:basedOn w:val="Normal"/>
    <w:next w:val="Normal"/>
    <w:link w:val="SubtitleChar"/>
    <w:uiPriority w:val="11"/>
    <w:pPr>
      <w:spacing w:after="600"/>
    </w:pPr>
    <w:rPr>
      <w:rFonts w:ascii="Cambria" w:eastAsia="Times New Roman" w:hAnsi="Cambria"/>
      <w:i/>
      <w:iCs/>
      <w:spacing w:val="13"/>
      <w:sz w:val="24"/>
      <w:szCs w:val="24"/>
    </w:rPr>
  </w:style>
  <w:style w:type="character" w:customStyle="1" w:styleId="SubtitleChar">
    <w:name w:val="Subtitle Char"/>
    <w:link w:val="Subtitle"/>
    <w:uiPriority w:val="11"/>
    <w:rPr>
      <w:rFonts w:ascii="Cambria" w:eastAsia="Times New Roman" w:hAnsi="Cambria" w:cs="Times New Roman"/>
      <w:i/>
      <w:iCs/>
      <w:spacing w:val="13"/>
      <w:sz w:val="24"/>
      <w:szCs w:val="24"/>
      <w:lang w:eastAsia="da-DK"/>
    </w:rPr>
  </w:style>
  <w:style w:type="character" w:styleId="Emphasis">
    <w:name w:val="Emphasis"/>
    <w:uiPriority w:val="20"/>
    <w:rPr>
      <w:b/>
      <w:bCs/>
      <w:i/>
      <w:iCs/>
      <w:spacing w:val="10"/>
      <w:bdr w:val="none" w:sz="0" w:space="0" w:color="auto"/>
      <w:shd w:val="clear" w:color="auto" w:fill="auto"/>
    </w:rPr>
  </w:style>
  <w:style w:type="paragraph" w:styleId="NoSpacing">
    <w:name w:val="No Spacing"/>
    <w:basedOn w:val="Normal"/>
    <w:uiPriority w:val="1"/>
    <w:pPr>
      <w:spacing w:after="0" w:line="240" w:lineRule="auto"/>
    </w:pPr>
    <w:rPr>
      <w:rFonts w:eastAsia="Times New Roman"/>
    </w:rPr>
  </w:style>
  <w:style w:type="paragraph" w:styleId="ListParagraph">
    <w:name w:val="List Paragraph"/>
    <w:basedOn w:val="Normal"/>
    <w:uiPriority w:val="34"/>
    <w:qFormat/>
    <w:pPr>
      <w:ind w:left="720"/>
      <w:contextualSpacing/>
    </w:pPr>
    <w:rPr>
      <w:rFonts w:eastAsia="Times New Roman"/>
    </w:rPr>
  </w:style>
  <w:style w:type="paragraph" w:styleId="Quote">
    <w:name w:val="Quote"/>
    <w:basedOn w:val="Normal"/>
    <w:next w:val="Normal"/>
    <w:link w:val="QuoteChar"/>
    <w:uiPriority w:val="29"/>
    <w:pPr>
      <w:spacing w:before="200" w:after="0"/>
      <w:ind w:left="360" w:right="360"/>
    </w:pPr>
    <w:rPr>
      <w:rFonts w:eastAsia="Times New Roman"/>
      <w:i/>
      <w:iCs/>
    </w:rPr>
  </w:style>
  <w:style w:type="character" w:customStyle="1" w:styleId="QuoteChar">
    <w:name w:val="Quote Char"/>
    <w:link w:val="Quote"/>
    <w:uiPriority w:val="29"/>
    <w:rPr>
      <w:rFonts w:ascii="Calibri" w:eastAsia="Times New Roman" w:hAnsi="Calibri" w:cs="Times New Roman"/>
      <w:i/>
      <w:iCs/>
      <w:lang w:eastAsia="da-DK"/>
    </w:rPr>
  </w:style>
  <w:style w:type="paragraph" w:styleId="IntenseQuote">
    <w:name w:val="Intense Quote"/>
    <w:basedOn w:val="Normal"/>
    <w:next w:val="Normal"/>
    <w:link w:val="IntenseQuoteChar"/>
    <w:uiPriority w:val="30"/>
    <w:pPr>
      <w:pBdr>
        <w:bottom w:val="single" w:sz="4" w:space="1" w:color="auto"/>
      </w:pBdr>
      <w:spacing w:before="200" w:after="280"/>
      <w:ind w:left="1008" w:right="1152"/>
      <w:jc w:val="both"/>
    </w:pPr>
    <w:rPr>
      <w:rFonts w:eastAsia="Times New Roman"/>
      <w:b/>
      <w:bCs/>
      <w:i/>
      <w:iCs/>
    </w:rPr>
  </w:style>
  <w:style w:type="character" w:customStyle="1" w:styleId="IntenseQuoteChar">
    <w:name w:val="Intense Quote Char"/>
    <w:link w:val="IntenseQuote"/>
    <w:uiPriority w:val="30"/>
    <w:rPr>
      <w:rFonts w:ascii="Calibri" w:eastAsia="Times New Roman" w:hAnsi="Calibri" w:cs="Times New Roman"/>
      <w:b/>
      <w:bCs/>
      <w:i/>
      <w:iCs/>
      <w:lang w:eastAsia="da-DK"/>
    </w:rPr>
  </w:style>
  <w:style w:type="character" w:styleId="SubtleEmphasis">
    <w:name w:val="Subtle Emphasis"/>
    <w:uiPriority w:val="19"/>
    <w:rPr>
      <w:i/>
      <w:iCs/>
    </w:rPr>
  </w:style>
  <w:style w:type="character" w:styleId="IntenseEmphasis">
    <w:name w:val="Intense Emphasis"/>
    <w:uiPriority w:val="21"/>
    <w:rPr>
      <w:b/>
      <w:bCs/>
    </w:rPr>
  </w:style>
  <w:style w:type="character" w:styleId="SubtleReference">
    <w:name w:val="Subtle Reference"/>
    <w:uiPriority w:val="31"/>
    <w:rPr>
      <w:smallCaps/>
    </w:rPr>
  </w:style>
  <w:style w:type="character" w:styleId="IntenseReference">
    <w:name w:val="Intense Reference"/>
    <w:uiPriority w:val="32"/>
    <w:rPr>
      <w:smallCaps/>
      <w:spacing w:val="5"/>
      <w:u w:val="single"/>
    </w:rPr>
  </w:style>
  <w:style w:type="character" w:styleId="BookTitle">
    <w:name w:val="Book Title"/>
    <w:uiPriority w:val="33"/>
    <w:rPr>
      <w:i/>
      <w:iCs/>
      <w:smallCaps/>
      <w:spacing w:val="5"/>
    </w:rPr>
  </w:style>
  <w:style w:type="paragraph" w:customStyle="1" w:styleId="ListBullet1">
    <w:name w:val="List Bullet 1"/>
    <w:basedOn w:val="Text1"/>
    <w:pPr>
      <w:numPr>
        <w:numId w:val="16"/>
      </w:numPr>
      <w:spacing w:before="0" w:after="240"/>
    </w:pPr>
    <w:rPr>
      <w:szCs w:val="20"/>
    </w:rPr>
  </w:style>
  <w:style w:type="paragraph" w:styleId="ListBullet2">
    <w:name w:val="List Bullet 2"/>
    <w:basedOn w:val="Text2"/>
    <w:pPr>
      <w:numPr>
        <w:numId w:val="17"/>
      </w:numPr>
      <w:spacing w:before="0" w:after="240"/>
    </w:pPr>
    <w:rPr>
      <w:szCs w:val="20"/>
    </w:rPr>
  </w:style>
  <w:style w:type="paragraph" w:styleId="ListBullet3">
    <w:name w:val="List Bullet 3"/>
    <w:basedOn w:val="Text3"/>
    <w:pPr>
      <w:numPr>
        <w:numId w:val="18"/>
      </w:numPr>
      <w:spacing w:before="0" w:after="240"/>
    </w:pPr>
    <w:rPr>
      <w:szCs w:val="20"/>
    </w:rPr>
  </w:style>
  <w:style w:type="paragraph" w:styleId="ListBullet4">
    <w:name w:val="List Bullet 4"/>
    <w:basedOn w:val="Text4"/>
    <w:pPr>
      <w:numPr>
        <w:numId w:val="19"/>
      </w:numPr>
      <w:spacing w:before="0" w:after="240"/>
    </w:pPr>
    <w:rPr>
      <w:szCs w:val="20"/>
    </w:rPr>
  </w:style>
  <w:style w:type="paragraph" w:customStyle="1" w:styleId="ListDash1">
    <w:name w:val="List Dash 1"/>
    <w:basedOn w:val="Text1"/>
    <w:pPr>
      <w:numPr>
        <w:numId w:val="21"/>
      </w:numPr>
      <w:spacing w:before="0" w:after="240"/>
    </w:pPr>
    <w:rPr>
      <w:szCs w:val="20"/>
    </w:rPr>
  </w:style>
  <w:style w:type="paragraph" w:customStyle="1" w:styleId="ListDash2">
    <w:name w:val="List Dash 2"/>
    <w:basedOn w:val="Text2"/>
    <w:pPr>
      <w:numPr>
        <w:numId w:val="22"/>
      </w:numPr>
      <w:spacing w:before="0" w:after="240"/>
    </w:pPr>
    <w:rPr>
      <w:szCs w:val="20"/>
    </w:rPr>
  </w:style>
  <w:style w:type="paragraph" w:customStyle="1" w:styleId="ListDash3">
    <w:name w:val="List Dash 3"/>
    <w:basedOn w:val="Text3"/>
    <w:pPr>
      <w:numPr>
        <w:numId w:val="23"/>
      </w:numPr>
      <w:spacing w:before="0" w:after="240"/>
    </w:pPr>
    <w:rPr>
      <w:szCs w:val="20"/>
    </w:rPr>
  </w:style>
  <w:style w:type="paragraph" w:customStyle="1" w:styleId="ListDash4">
    <w:name w:val="List Dash 4"/>
    <w:basedOn w:val="Text4"/>
    <w:pPr>
      <w:numPr>
        <w:numId w:val="24"/>
      </w:numPr>
      <w:spacing w:before="0" w:after="240"/>
    </w:pPr>
    <w:rPr>
      <w:szCs w:val="20"/>
    </w:rPr>
  </w:style>
  <w:style w:type="paragraph" w:styleId="ListNumber">
    <w:name w:val="List Number"/>
    <w:basedOn w:val="Normal"/>
    <w:pPr>
      <w:numPr>
        <w:numId w:val="25"/>
      </w:numPr>
      <w:spacing w:after="240" w:line="240" w:lineRule="auto"/>
      <w:jc w:val="both"/>
    </w:pPr>
    <w:rPr>
      <w:rFonts w:ascii="Times New Roman" w:eastAsia="Times New Roman" w:hAnsi="Times New Roman"/>
      <w:sz w:val="24"/>
      <w:szCs w:val="20"/>
    </w:rPr>
  </w:style>
  <w:style w:type="paragraph" w:customStyle="1" w:styleId="ListNumber1">
    <w:name w:val="List Number 1"/>
    <w:basedOn w:val="Text1"/>
    <w:pPr>
      <w:numPr>
        <w:numId w:val="26"/>
      </w:numPr>
      <w:spacing w:before="0" w:after="240"/>
    </w:pPr>
    <w:rPr>
      <w:szCs w:val="20"/>
    </w:rPr>
  </w:style>
  <w:style w:type="paragraph" w:styleId="ListNumber2">
    <w:name w:val="List Number 2"/>
    <w:basedOn w:val="Text2"/>
    <w:pPr>
      <w:numPr>
        <w:numId w:val="27"/>
      </w:numPr>
      <w:spacing w:before="0" w:after="240"/>
    </w:pPr>
    <w:rPr>
      <w:szCs w:val="20"/>
    </w:rPr>
  </w:style>
  <w:style w:type="paragraph" w:styleId="ListNumber3">
    <w:name w:val="List Number 3"/>
    <w:basedOn w:val="Text3"/>
    <w:pPr>
      <w:numPr>
        <w:numId w:val="28"/>
      </w:numPr>
      <w:spacing w:before="0" w:after="240"/>
    </w:pPr>
    <w:rPr>
      <w:szCs w:val="20"/>
    </w:rPr>
  </w:style>
  <w:style w:type="paragraph" w:styleId="ListNumber4">
    <w:name w:val="List Number 4"/>
    <w:basedOn w:val="Text4"/>
    <w:pPr>
      <w:numPr>
        <w:numId w:val="29"/>
      </w:numPr>
      <w:spacing w:before="0" w:after="240"/>
    </w:pPr>
    <w:rPr>
      <w:szCs w:val="20"/>
    </w:rPr>
  </w:style>
  <w:style w:type="paragraph" w:customStyle="1" w:styleId="ListNumberLevel2">
    <w:name w:val="List Number (Level 2)"/>
    <w:basedOn w:val="Normal"/>
    <w:pPr>
      <w:numPr>
        <w:ilvl w:val="1"/>
        <w:numId w:val="25"/>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Text1"/>
    <w:pPr>
      <w:numPr>
        <w:ilvl w:val="1"/>
        <w:numId w:val="26"/>
      </w:numPr>
      <w:spacing w:before="0" w:after="240"/>
    </w:pPr>
    <w:rPr>
      <w:szCs w:val="20"/>
    </w:rPr>
  </w:style>
  <w:style w:type="paragraph" w:customStyle="1" w:styleId="ListNumber2Level2">
    <w:name w:val="List Number 2 (Level 2)"/>
    <w:basedOn w:val="Text2"/>
    <w:pPr>
      <w:numPr>
        <w:ilvl w:val="1"/>
        <w:numId w:val="27"/>
      </w:numPr>
      <w:spacing w:before="0" w:after="240"/>
    </w:pPr>
    <w:rPr>
      <w:szCs w:val="20"/>
    </w:rPr>
  </w:style>
  <w:style w:type="paragraph" w:customStyle="1" w:styleId="ListNumber3Level2">
    <w:name w:val="List Number 3 (Level 2)"/>
    <w:basedOn w:val="Text3"/>
    <w:pPr>
      <w:numPr>
        <w:ilvl w:val="1"/>
        <w:numId w:val="28"/>
      </w:numPr>
      <w:spacing w:before="0" w:after="240"/>
    </w:pPr>
    <w:rPr>
      <w:szCs w:val="20"/>
    </w:rPr>
  </w:style>
  <w:style w:type="paragraph" w:customStyle="1" w:styleId="ListNumber4Level2">
    <w:name w:val="List Number 4 (Level 2)"/>
    <w:basedOn w:val="Text4"/>
    <w:pPr>
      <w:numPr>
        <w:ilvl w:val="1"/>
        <w:numId w:val="29"/>
      </w:numPr>
      <w:spacing w:before="0" w:after="240"/>
    </w:pPr>
    <w:rPr>
      <w:szCs w:val="20"/>
    </w:rPr>
  </w:style>
  <w:style w:type="paragraph" w:customStyle="1" w:styleId="ListNumberLevel3">
    <w:name w:val="List Number (Level 3)"/>
    <w:basedOn w:val="Normal"/>
    <w:pPr>
      <w:numPr>
        <w:ilvl w:val="2"/>
        <w:numId w:val="25"/>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Text1"/>
    <w:pPr>
      <w:numPr>
        <w:ilvl w:val="2"/>
        <w:numId w:val="26"/>
      </w:numPr>
      <w:spacing w:before="0" w:after="240"/>
    </w:pPr>
    <w:rPr>
      <w:szCs w:val="20"/>
    </w:rPr>
  </w:style>
  <w:style w:type="paragraph" w:customStyle="1" w:styleId="ListNumber2Level3">
    <w:name w:val="List Number 2 (Level 3)"/>
    <w:basedOn w:val="Text2"/>
    <w:pPr>
      <w:numPr>
        <w:ilvl w:val="2"/>
        <w:numId w:val="27"/>
      </w:numPr>
      <w:spacing w:before="0" w:after="240"/>
    </w:pPr>
    <w:rPr>
      <w:szCs w:val="20"/>
    </w:rPr>
  </w:style>
  <w:style w:type="paragraph" w:customStyle="1" w:styleId="ListNumber3Level3">
    <w:name w:val="List Number 3 (Level 3)"/>
    <w:basedOn w:val="Text3"/>
    <w:pPr>
      <w:numPr>
        <w:ilvl w:val="2"/>
        <w:numId w:val="28"/>
      </w:numPr>
      <w:spacing w:before="0" w:after="240"/>
    </w:pPr>
    <w:rPr>
      <w:szCs w:val="20"/>
    </w:rPr>
  </w:style>
  <w:style w:type="paragraph" w:customStyle="1" w:styleId="ListNumber4Level3">
    <w:name w:val="List Number 4 (Level 3)"/>
    <w:basedOn w:val="Text4"/>
    <w:pPr>
      <w:numPr>
        <w:ilvl w:val="2"/>
        <w:numId w:val="29"/>
      </w:numPr>
      <w:spacing w:before="0" w:after="240"/>
    </w:pPr>
    <w:rPr>
      <w:szCs w:val="20"/>
    </w:rPr>
  </w:style>
  <w:style w:type="paragraph" w:customStyle="1" w:styleId="ListNumberLevel4">
    <w:name w:val="List Number (Level 4)"/>
    <w:basedOn w:val="Normal"/>
    <w:pPr>
      <w:numPr>
        <w:ilvl w:val="3"/>
        <w:numId w:val="25"/>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Text1"/>
    <w:pPr>
      <w:numPr>
        <w:ilvl w:val="3"/>
        <w:numId w:val="26"/>
      </w:numPr>
      <w:spacing w:before="0" w:after="240"/>
    </w:pPr>
    <w:rPr>
      <w:szCs w:val="20"/>
    </w:rPr>
  </w:style>
  <w:style w:type="paragraph" w:customStyle="1" w:styleId="ListNumber2Level4">
    <w:name w:val="List Number 2 (Level 4)"/>
    <w:basedOn w:val="Text2"/>
    <w:pPr>
      <w:numPr>
        <w:ilvl w:val="3"/>
        <w:numId w:val="27"/>
      </w:numPr>
      <w:spacing w:before="0" w:after="240"/>
    </w:pPr>
    <w:rPr>
      <w:szCs w:val="20"/>
    </w:rPr>
  </w:style>
  <w:style w:type="paragraph" w:customStyle="1" w:styleId="ListNumber3Level4">
    <w:name w:val="List Number 3 (Level 4)"/>
    <w:basedOn w:val="Text3"/>
    <w:pPr>
      <w:numPr>
        <w:ilvl w:val="3"/>
        <w:numId w:val="28"/>
      </w:numPr>
      <w:spacing w:before="0" w:after="240"/>
    </w:pPr>
    <w:rPr>
      <w:szCs w:val="20"/>
    </w:rPr>
  </w:style>
  <w:style w:type="paragraph" w:customStyle="1" w:styleId="ListNumber4Level4">
    <w:name w:val="List Number 4 (Level 4)"/>
    <w:basedOn w:val="Text4"/>
    <w:pPr>
      <w:numPr>
        <w:ilvl w:val="3"/>
        <w:numId w:val="29"/>
      </w:numPr>
      <w:spacing w:before="0" w:after="240"/>
    </w:pPr>
    <w:rPr>
      <w:szCs w:val="20"/>
    </w:rPr>
  </w:style>
  <w:style w:type="paragraph" w:customStyle="1" w:styleId="Nota">
    <w:name w:val="Nota"/>
    <w:aliases w:val=" Char1,Char1,(NECG) Footnote Reference,fr,Appel note de bas de p,o,Style 6,Signature Ch"/>
    <w:basedOn w:val="Normal"/>
    <w:link w:val="FootnoteReference"/>
    <w:uiPriority w:val="99"/>
    <w:pPr>
      <w:spacing w:after="160" w:line="240" w:lineRule="exact"/>
    </w:pPr>
    <w:rPr>
      <w:vertAlign w:val="superscript"/>
    </w:rPr>
  </w:style>
  <w:style w:type="paragraph" w:customStyle="1" w:styleId="AARHeading11">
    <w:name w:val="AAR Heading 1 (1.)"/>
    <w:basedOn w:val="Heading1"/>
    <w:next w:val="Normal"/>
    <w:pPr>
      <w:pageBreakBefore/>
      <w:widowControl w:val="0"/>
      <w:numPr>
        <w:numId w:val="31"/>
      </w:numPr>
      <w:autoSpaceDE w:val="0"/>
      <w:autoSpaceDN w:val="0"/>
      <w:adjustRightInd w:val="0"/>
      <w:spacing w:before="0" w:after="240"/>
    </w:pPr>
    <w:rPr>
      <w:rFonts w:ascii="Verdana" w:hAnsi="Verdana" w:cs="Times New Roman Bold"/>
      <w:caps/>
      <w:smallCaps w:val="0"/>
      <w:color w:val="004494"/>
      <w:sz w:val="32"/>
      <w:szCs w:val="44"/>
    </w:rPr>
  </w:style>
  <w:style w:type="paragraph" w:customStyle="1" w:styleId="AARHeading211">
    <w:name w:val="AAR Heading 2 (1.1)"/>
    <w:basedOn w:val="Heading2"/>
    <w:next w:val="Normal"/>
    <w:pPr>
      <w:widowControl w:val="0"/>
      <w:numPr>
        <w:numId w:val="31"/>
      </w:numPr>
      <w:autoSpaceDE w:val="0"/>
      <w:autoSpaceDN w:val="0"/>
      <w:adjustRightInd w:val="0"/>
      <w:spacing w:after="240"/>
    </w:pPr>
    <w:rPr>
      <w:rFonts w:ascii="Verdana" w:eastAsia="Calibri" w:hAnsi="Verdana"/>
      <w:color w:val="2681B4"/>
      <w:sz w:val="28"/>
    </w:rPr>
  </w:style>
  <w:style w:type="paragraph" w:customStyle="1" w:styleId="AARHeading3111">
    <w:name w:val="AAR Heading 3 (1.1.1)"/>
    <w:basedOn w:val="AARHeading211"/>
    <w:next w:val="Normal"/>
    <w:pPr>
      <w:numPr>
        <w:ilvl w:val="2"/>
      </w:numPr>
    </w:pPr>
  </w:style>
  <w:style w:type="paragraph" w:customStyle="1" w:styleId="Footerapproval">
    <w:name w:val="Footer approval"/>
    <w:basedOn w:val="Footer"/>
    <w:pPr>
      <w:tabs>
        <w:tab w:val="clear" w:pos="4535"/>
        <w:tab w:val="clear" w:pos="9071"/>
        <w:tab w:val="left" w:pos="6804"/>
      </w:tabs>
      <w:ind w:right="-567"/>
    </w:pPr>
    <w:rPr>
      <w:rFonts w:ascii="Verdana" w:eastAsia="Times New Roman" w:hAnsi="Verdana"/>
      <w:sz w:val="13"/>
      <w:szCs w:val="20"/>
    </w:rPr>
  </w:style>
  <w:style w:type="paragraph" w:customStyle="1" w:styleId="FooterDate">
    <w:name w:val="Footer Date"/>
    <w:basedOn w:val="Footer"/>
    <w:link w:val="FooterDateChar"/>
    <w:pPr>
      <w:tabs>
        <w:tab w:val="clear" w:pos="4535"/>
        <w:tab w:val="clear" w:pos="9071"/>
        <w:tab w:val="right" w:pos="9240"/>
      </w:tabs>
      <w:ind w:right="-567"/>
    </w:pPr>
    <w:rPr>
      <w:rFonts w:ascii="Verdana" w:eastAsia="Times New Roman" w:hAnsi="Verdana"/>
      <w:sz w:val="16"/>
      <w:szCs w:val="20"/>
    </w:rPr>
  </w:style>
  <w:style w:type="character" w:customStyle="1" w:styleId="FooterDateChar">
    <w:name w:val="Footer Date Char"/>
    <w:link w:val="FooterDate"/>
    <w:rPr>
      <w:rFonts w:ascii="Verdana" w:eastAsia="Times New Roman" w:hAnsi="Verdana" w:cs="Times New Roman"/>
      <w:sz w:val="16"/>
      <w:szCs w:val="20"/>
      <w:lang w:val="da-DK" w:eastAsia="da-DK"/>
    </w:rPr>
  </w:style>
  <w:style w:type="paragraph" w:customStyle="1" w:styleId="ECHOHeading1">
    <w:name w:val="ECHO Heading 1"/>
    <w:basedOn w:val="ManualHeading1"/>
    <w:link w:val="ECHOHeading1Char"/>
    <w:qFormat/>
    <w:pPr>
      <w:spacing w:after="360"/>
      <w:ind w:left="851" w:hanging="851"/>
      <w:jc w:val="left"/>
    </w:pPr>
    <w:rPr>
      <w:rFonts w:ascii="Verdana" w:hAnsi="Verdana"/>
      <w:color w:val="4F81BD"/>
      <w:sz w:val="32"/>
      <w:szCs w:val="28"/>
    </w:rPr>
  </w:style>
  <w:style w:type="paragraph" w:customStyle="1" w:styleId="ECHOContent">
    <w:name w:val="ECHO Content"/>
    <w:basedOn w:val="Normal"/>
    <w:link w:val="ECHOContentChar"/>
    <w:qFormat/>
    <w:pPr>
      <w:spacing w:after="240"/>
      <w:jc w:val="both"/>
    </w:pPr>
    <w:rPr>
      <w:rFonts w:ascii="Verdana" w:eastAsia="Times New Roman" w:hAnsi="Verdana"/>
      <w:sz w:val="20"/>
      <w:szCs w:val="20"/>
    </w:rPr>
  </w:style>
  <w:style w:type="character" w:customStyle="1" w:styleId="ManualHeading1Char">
    <w:name w:val="Manual Heading 1 Char"/>
    <w:link w:val="ManualHeading1"/>
    <w:rPr>
      <w:rFonts w:ascii="Times New Roman" w:eastAsia="Times New Roman" w:hAnsi="Times New Roman" w:cs="Times New Roman"/>
      <w:b/>
      <w:smallCaps/>
      <w:sz w:val="24"/>
      <w:szCs w:val="24"/>
    </w:rPr>
  </w:style>
  <w:style w:type="character" w:customStyle="1" w:styleId="ECHOHeading1Char">
    <w:name w:val="ECHO Heading 1 Char"/>
    <w:link w:val="ECHOHeading1"/>
    <w:rPr>
      <w:rFonts w:ascii="Verdana" w:eastAsia="Times New Roman" w:hAnsi="Verdana" w:cs="Times New Roman"/>
      <w:b/>
      <w:smallCaps/>
      <w:color w:val="4F81BD"/>
      <w:sz w:val="32"/>
      <w:szCs w:val="28"/>
    </w:rPr>
  </w:style>
  <w:style w:type="paragraph" w:customStyle="1" w:styleId="ECHOContentList">
    <w:name w:val="ECHO Content List"/>
    <w:basedOn w:val="Normal"/>
    <w:link w:val="ECHOContentListChar"/>
    <w:qFormat/>
    <w:pPr>
      <w:numPr>
        <w:numId w:val="30"/>
      </w:numPr>
      <w:spacing w:after="240"/>
      <w:jc w:val="both"/>
    </w:pPr>
    <w:rPr>
      <w:rFonts w:ascii="Verdana" w:eastAsia="Times New Roman" w:hAnsi="Verdana"/>
      <w:sz w:val="20"/>
      <w:szCs w:val="20"/>
    </w:rPr>
  </w:style>
  <w:style w:type="character" w:customStyle="1" w:styleId="ECHOContentChar">
    <w:name w:val="ECHO Content Char"/>
    <w:link w:val="ECHOContent"/>
    <w:rPr>
      <w:rFonts w:ascii="Verdana" w:eastAsia="Times New Roman" w:hAnsi="Verdana" w:cs="Times New Roman"/>
      <w:sz w:val="20"/>
      <w:szCs w:val="20"/>
    </w:rPr>
  </w:style>
  <w:style w:type="paragraph" w:customStyle="1" w:styleId="ECHOContentEmphasis">
    <w:name w:val="ECHO Content Emphasis"/>
    <w:basedOn w:val="ECHOContent"/>
    <w:link w:val="ECHOContentEmphasisChar"/>
    <w:qFormat/>
    <w:rPr>
      <w:b/>
      <w:color w:val="4F81BD"/>
    </w:rPr>
  </w:style>
  <w:style w:type="character" w:customStyle="1" w:styleId="ECHOContentListChar">
    <w:name w:val="ECHO Content List Char"/>
    <w:link w:val="ECHOContentList"/>
    <w:rPr>
      <w:rFonts w:ascii="Verdana" w:eastAsia="Times New Roman" w:hAnsi="Verdana"/>
      <w:lang w:eastAsia="da-DK"/>
    </w:rPr>
  </w:style>
  <w:style w:type="paragraph" w:customStyle="1" w:styleId="Footernotes">
    <w:name w:val="Footer notes"/>
    <w:basedOn w:val="FootnoteText"/>
    <w:link w:val="FooternotesChar"/>
    <w:qFormat/>
    <w:rPr>
      <w:rFonts w:ascii="Verdana" w:hAnsi="Verdana"/>
      <w:color w:val="595959"/>
      <w:sz w:val="16"/>
      <w:szCs w:val="16"/>
    </w:rPr>
  </w:style>
  <w:style w:type="character" w:customStyle="1" w:styleId="ECHOContentEmphasisChar">
    <w:name w:val="ECHO Content Emphasis Char"/>
    <w:link w:val="ECHOContentEmphasis"/>
    <w:rPr>
      <w:rFonts w:ascii="Verdana" w:eastAsia="Times New Roman" w:hAnsi="Verdana" w:cs="Times New Roman"/>
      <w:b/>
      <w:color w:val="4F81BD"/>
      <w:sz w:val="20"/>
      <w:szCs w:val="20"/>
    </w:rPr>
  </w:style>
  <w:style w:type="paragraph" w:customStyle="1" w:styleId="ECHOHeading2">
    <w:name w:val="ECHO Heading 2"/>
    <w:basedOn w:val="Normal"/>
    <w:link w:val="ECHOHeading2Char"/>
    <w:qFormat/>
    <w:pPr>
      <w:spacing w:before="120" w:after="240" w:line="240" w:lineRule="auto"/>
      <w:jc w:val="both"/>
    </w:pPr>
    <w:rPr>
      <w:rFonts w:ascii="Verdana" w:eastAsia="Times New Roman" w:hAnsi="Verdana"/>
      <w:b/>
      <w:color w:val="4F81BD"/>
      <w:sz w:val="28"/>
      <w:szCs w:val="24"/>
    </w:rPr>
  </w:style>
  <w:style w:type="character" w:customStyle="1" w:styleId="FootnoteTextChar2">
    <w:name w:val="Footnote Text Char2"/>
    <w:link w:val="FootnoteText"/>
    <w:rPr>
      <w:rFonts w:ascii="Times New Roman" w:eastAsia="Times New Roman" w:hAnsi="Times New Roman" w:cs="Times New Roman"/>
      <w:sz w:val="20"/>
      <w:szCs w:val="20"/>
    </w:rPr>
  </w:style>
  <w:style w:type="character" w:customStyle="1" w:styleId="FooternotesChar">
    <w:name w:val="Footer notes Char"/>
    <w:link w:val="Footernotes"/>
    <w:rPr>
      <w:rFonts w:ascii="Verdana" w:eastAsia="Times New Roman" w:hAnsi="Verdana" w:cs="Times New Roman"/>
      <w:color w:val="595959"/>
      <w:sz w:val="16"/>
      <w:szCs w:val="16"/>
    </w:rPr>
  </w:style>
  <w:style w:type="paragraph" w:customStyle="1" w:styleId="ECHOHeading3">
    <w:name w:val="ECHO Heading 3"/>
    <w:basedOn w:val="Normal"/>
    <w:link w:val="ECHOHeading3Char"/>
    <w:qFormat/>
    <w:pPr>
      <w:spacing w:before="120" w:after="240" w:line="240" w:lineRule="auto"/>
      <w:jc w:val="both"/>
    </w:pPr>
    <w:rPr>
      <w:rFonts w:ascii="Verdana" w:eastAsia="Times New Roman" w:hAnsi="Verdana"/>
      <w:b/>
      <w:color w:val="595959"/>
      <w:sz w:val="24"/>
      <w:szCs w:val="24"/>
    </w:rPr>
  </w:style>
  <w:style w:type="character" w:customStyle="1" w:styleId="ECHOHeading2Char">
    <w:name w:val="ECHO Heading 2 Char"/>
    <w:link w:val="ECHOHeading2"/>
    <w:rPr>
      <w:rFonts w:ascii="Verdana" w:eastAsia="Times New Roman" w:hAnsi="Verdana" w:cs="Times New Roman"/>
      <w:b/>
      <w:color w:val="4F81BD"/>
      <w:sz w:val="28"/>
      <w:szCs w:val="24"/>
    </w:rPr>
  </w:style>
  <w:style w:type="table" w:styleId="MediumShading1-Accent5">
    <w:name w:val="Medium Shading 1 Accent 5"/>
    <w:basedOn w:val="TableNormal"/>
    <w:uiPriority w:val="63"/>
    <w:rPr>
      <w:rFonts w:ascii="Times New Roman" w:eastAsia="Times New Roman" w:hAnsi="Times New Roma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ECHOHeading3Char">
    <w:name w:val="ECHO Heading 3 Char"/>
    <w:link w:val="ECHOHeading3"/>
    <w:rPr>
      <w:rFonts w:ascii="Verdana" w:eastAsia="Times New Roman" w:hAnsi="Verdana" w:cs="Times New Roman"/>
      <w:b/>
      <w:color w:val="595959"/>
      <w:sz w:val="24"/>
      <w:szCs w:val="24"/>
    </w:rPr>
  </w:style>
  <w:style w:type="table" w:styleId="MediumList1-Accent1">
    <w:name w:val="Medium List 1 Accent 1"/>
    <w:basedOn w:val="TableNormal"/>
    <w:uiPriority w:val="65"/>
    <w:rPr>
      <w:rFonts w:ascii="Times New Roman" w:eastAsia="Times New Roman" w:hAnsi="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ColorfulGrid-Accent1">
    <w:name w:val="Colorful Grid Accent 1"/>
    <w:basedOn w:val="TableNormal"/>
    <w:uiPriority w:val="73"/>
    <w:rPr>
      <w:rFonts w:ascii="Times New Roman" w:eastAsia="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1-Accent1">
    <w:name w:val="Medium Shading 1 Accent 1"/>
    <w:basedOn w:val="TableNormal"/>
    <w:uiPriority w:val="63"/>
    <w:rPr>
      <w:rFonts w:ascii="Times New Roman" w:eastAsia="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3876">
      <w:bodyDiv w:val="1"/>
      <w:marLeft w:val="0"/>
      <w:marRight w:val="0"/>
      <w:marTop w:val="0"/>
      <w:marBottom w:val="0"/>
      <w:divBdr>
        <w:top w:val="none" w:sz="0" w:space="0" w:color="auto"/>
        <w:left w:val="none" w:sz="0" w:space="0" w:color="auto"/>
        <w:bottom w:val="none" w:sz="0" w:space="0" w:color="auto"/>
        <w:right w:val="none" w:sz="0" w:space="0" w:color="auto"/>
      </w:divBdr>
      <w:divsChild>
        <w:div w:id="825707832">
          <w:marLeft w:val="0"/>
          <w:marRight w:val="0"/>
          <w:marTop w:val="0"/>
          <w:marBottom w:val="0"/>
          <w:divBdr>
            <w:top w:val="single" w:sz="2" w:space="0" w:color="CCCCCC"/>
            <w:left w:val="single" w:sz="6" w:space="0" w:color="CCCCCC"/>
            <w:bottom w:val="single" w:sz="6" w:space="0" w:color="CCCCCC"/>
            <w:right w:val="single" w:sz="6" w:space="0" w:color="CCCCCC"/>
          </w:divBdr>
          <w:divsChild>
            <w:div w:id="1290821520">
              <w:marLeft w:val="0"/>
              <w:marRight w:val="0"/>
              <w:marTop w:val="0"/>
              <w:marBottom w:val="0"/>
              <w:divBdr>
                <w:top w:val="none" w:sz="0" w:space="0" w:color="auto"/>
                <w:left w:val="none" w:sz="0" w:space="0" w:color="auto"/>
                <w:bottom w:val="none" w:sz="0" w:space="0" w:color="auto"/>
                <w:right w:val="none" w:sz="0" w:space="0" w:color="auto"/>
              </w:divBdr>
              <w:divsChild>
                <w:div w:id="965237995">
                  <w:marLeft w:val="-180"/>
                  <w:marRight w:val="-180"/>
                  <w:marTop w:val="0"/>
                  <w:marBottom w:val="0"/>
                  <w:divBdr>
                    <w:top w:val="none" w:sz="0" w:space="0" w:color="auto"/>
                    <w:left w:val="none" w:sz="0" w:space="0" w:color="auto"/>
                    <w:bottom w:val="none" w:sz="0" w:space="0" w:color="auto"/>
                    <w:right w:val="none" w:sz="0" w:space="0" w:color="auto"/>
                  </w:divBdr>
                  <w:divsChild>
                    <w:div w:id="360279102">
                      <w:marLeft w:val="0"/>
                      <w:marRight w:val="0"/>
                      <w:marTop w:val="0"/>
                      <w:marBottom w:val="0"/>
                      <w:divBdr>
                        <w:top w:val="none" w:sz="0" w:space="0" w:color="auto"/>
                        <w:left w:val="none" w:sz="0" w:space="0" w:color="auto"/>
                        <w:bottom w:val="none" w:sz="0" w:space="0" w:color="auto"/>
                        <w:right w:val="none" w:sz="0" w:space="0" w:color="auto"/>
                      </w:divBdr>
                      <w:divsChild>
                        <w:div w:id="1177425238">
                          <w:marLeft w:val="-180"/>
                          <w:marRight w:val="-180"/>
                          <w:marTop w:val="0"/>
                          <w:marBottom w:val="0"/>
                          <w:divBdr>
                            <w:top w:val="none" w:sz="0" w:space="0" w:color="auto"/>
                            <w:left w:val="none" w:sz="0" w:space="0" w:color="auto"/>
                            <w:bottom w:val="none" w:sz="0" w:space="0" w:color="auto"/>
                            <w:right w:val="none" w:sz="0" w:space="0" w:color="auto"/>
                          </w:divBdr>
                          <w:divsChild>
                            <w:div w:id="1648975453">
                              <w:marLeft w:val="0"/>
                              <w:marRight w:val="0"/>
                              <w:marTop w:val="0"/>
                              <w:marBottom w:val="0"/>
                              <w:divBdr>
                                <w:top w:val="none" w:sz="0" w:space="0" w:color="auto"/>
                                <w:left w:val="none" w:sz="0" w:space="0" w:color="auto"/>
                                <w:bottom w:val="none" w:sz="0" w:space="0" w:color="auto"/>
                                <w:right w:val="none" w:sz="0" w:space="0" w:color="auto"/>
                              </w:divBdr>
                              <w:divsChild>
                                <w:div w:id="1892227146">
                                  <w:marLeft w:val="0"/>
                                  <w:marRight w:val="0"/>
                                  <w:marTop w:val="0"/>
                                  <w:marBottom w:val="0"/>
                                  <w:divBdr>
                                    <w:top w:val="none" w:sz="0" w:space="0" w:color="auto"/>
                                    <w:left w:val="none" w:sz="0" w:space="0" w:color="auto"/>
                                    <w:bottom w:val="none" w:sz="0" w:space="0" w:color="auto"/>
                                    <w:right w:val="none" w:sz="0" w:space="0" w:color="auto"/>
                                  </w:divBdr>
                                  <w:divsChild>
                                    <w:div w:id="178200604">
                                      <w:marLeft w:val="0"/>
                                      <w:marRight w:val="0"/>
                                      <w:marTop w:val="0"/>
                                      <w:marBottom w:val="0"/>
                                      <w:divBdr>
                                        <w:top w:val="none" w:sz="0" w:space="0" w:color="auto"/>
                                        <w:left w:val="none" w:sz="0" w:space="0" w:color="auto"/>
                                        <w:bottom w:val="none" w:sz="0" w:space="0" w:color="auto"/>
                                        <w:right w:val="none" w:sz="0" w:space="0" w:color="auto"/>
                                      </w:divBdr>
                                      <w:divsChild>
                                        <w:div w:id="135033117">
                                          <w:marLeft w:val="0"/>
                                          <w:marRight w:val="0"/>
                                          <w:marTop w:val="0"/>
                                          <w:marBottom w:val="0"/>
                                          <w:divBdr>
                                            <w:top w:val="none" w:sz="0" w:space="0" w:color="auto"/>
                                            <w:left w:val="none" w:sz="0" w:space="0" w:color="auto"/>
                                            <w:bottom w:val="none" w:sz="0" w:space="0" w:color="auto"/>
                                            <w:right w:val="none" w:sz="0" w:space="0" w:color="auto"/>
                                          </w:divBdr>
                                          <w:divsChild>
                                            <w:div w:id="1015956605">
                                              <w:marLeft w:val="0"/>
                                              <w:marRight w:val="0"/>
                                              <w:marTop w:val="0"/>
                                              <w:marBottom w:val="0"/>
                                              <w:divBdr>
                                                <w:top w:val="none" w:sz="0" w:space="0" w:color="auto"/>
                                                <w:left w:val="none" w:sz="0" w:space="0" w:color="auto"/>
                                                <w:bottom w:val="none" w:sz="0" w:space="0" w:color="auto"/>
                                                <w:right w:val="none" w:sz="0" w:space="0" w:color="auto"/>
                                              </w:divBdr>
                                              <w:divsChild>
                                                <w:div w:id="1933195309">
                                                  <w:marLeft w:val="0"/>
                                                  <w:marRight w:val="0"/>
                                                  <w:marTop w:val="0"/>
                                                  <w:marBottom w:val="0"/>
                                                  <w:divBdr>
                                                    <w:top w:val="none" w:sz="0" w:space="0" w:color="auto"/>
                                                    <w:left w:val="none" w:sz="0" w:space="0" w:color="auto"/>
                                                    <w:bottom w:val="none" w:sz="0" w:space="0" w:color="auto"/>
                                                    <w:right w:val="none" w:sz="0" w:space="0" w:color="auto"/>
                                                  </w:divBdr>
                                                  <w:divsChild>
                                                    <w:div w:id="533269718">
                                                      <w:marLeft w:val="0"/>
                                                      <w:marRight w:val="0"/>
                                                      <w:marTop w:val="0"/>
                                                      <w:marBottom w:val="0"/>
                                                      <w:divBdr>
                                                        <w:top w:val="none" w:sz="0" w:space="0" w:color="auto"/>
                                                        <w:left w:val="none" w:sz="0" w:space="0" w:color="auto"/>
                                                        <w:bottom w:val="none" w:sz="0" w:space="0" w:color="auto"/>
                                                        <w:right w:val="none" w:sz="0" w:space="0" w:color="auto"/>
                                                      </w:divBdr>
                                                      <w:divsChild>
                                                        <w:div w:id="797845728">
                                                          <w:marLeft w:val="-180"/>
                                                          <w:marRight w:val="-180"/>
                                                          <w:marTop w:val="0"/>
                                                          <w:marBottom w:val="0"/>
                                                          <w:divBdr>
                                                            <w:top w:val="none" w:sz="0" w:space="0" w:color="auto"/>
                                                            <w:left w:val="none" w:sz="0" w:space="0" w:color="auto"/>
                                                            <w:bottom w:val="none" w:sz="0" w:space="0" w:color="auto"/>
                                                            <w:right w:val="none" w:sz="0" w:space="0" w:color="auto"/>
                                                          </w:divBdr>
                                                          <w:divsChild>
                                                            <w:div w:id="728462409">
                                                              <w:marLeft w:val="0"/>
                                                              <w:marRight w:val="0"/>
                                                              <w:marTop w:val="0"/>
                                                              <w:marBottom w:val="0"/>
                                                              <w:divBdr>
                                                                <w:top w:val="none" w:sz="0" w:space="0" w:color="auto"/>
                                                                <w:left w:val="none" w:sz="0" w:space="0" w:color="auto"/>
                                                                <w:bottom w:val="none" w:sz="0" w:space="0" w:color="auto"/>
                                                                <w:right w:val="none" w:sz="0" w:space="0" w:color="auto"/>
                                                              </w:divBdr>
                                                              <w:divsChild>
                                                                <w:div w:id="1532188335">
                                                                  <w:marLeft w:val="0"/>
                                                                  <w:marRight w:val="0"/>
                                                                  <w:marTop w:val="0"/>
                                                                  <w:marBottom w:val="0"/>
                                                                  <w:divBdr>
                                                                    <w:top w:val="none" w:sz="0" w:space="0" w:color="auto"/>
                                                                    <w:left w:val="none" w:sz="0" w:space="0" w:color="auto"/>
                                                                    <w:bottom w:val="none" w:sz="0" w:space="0" w:color="auto"/>
                                                                    <w:right w:val="none" w:sz="0" w:space="0" w:color="auto"/>
                                                                  </w:divBdr>
                                                                  <w:divsChild>
                                                                    <w:div w:id="1135760819">
                                                                      <w:marLeft w:val="0"/>
                                                                      <w:marRight w:val="0"/>
                                                                      <w:marTop w:val="0"/>
                                                                      <w:marBottom w:val="0"/>
                                                                      <w:divBdr>
                                                                        <w:top w:val="none" w:sz="0" w:space="0" w:color="auto"/>
                                                                        <w:left w:val="none" w:sz="0" w:space="0" w:color="auto"/>
                                                                        <w:bottom w:val="none" w:sz="0" w:space="0" w:color="auto"/>
                                                                        <w:right w:val="none" w:sz="0" w:space="0" w:color="auto"/>
                                                                      </w:divBdr>
                                                                      <w:divsChild>
                                                                        <w:div w:id="2014141842">
                                                                          <w:marLeft w:val="0"/>
                                                                          <w:marRight w:val="0"/>
                                                                          <w:marTop w:val="0"/>
                                                                          <w:marBottom w:val="0"/>
                                                                          <w:divBdr>
                                                                            <w:top w:val="none" w:sz="0" w:space="0" w:color="auto"/>
                                                                            <w:left w:val="none" w:sz="0" w:space="0" w:color="auto"/>
                                                                            <w:bottom w:val="none" w:sz="0" w:space="0" w:color="auto"/>
                                                                            <w:right w:val="none" w:sz="0" w:space="0" w:color="auto"/>
                                                                          </w:divBdr>
                                                                          <w:divsChild>
                                                                            <w:div w:id="1949894333">
                                                                              <w:marLeft w:val="0"/>
                                                                              <w:marRight w:val="0"/>
                                                                              <w:marTop w:val="0"/>
                                                                              <w:marBottom w:val="0"/>
                                                                              <w:divBdr>
                                                                                <w:top w:val="none" w:sz="0" w:space="0" w:color="auto"/>
                                                                                <w:left w:val="none" w:sz="0" w:space="0" w:color="auto"/>
                                                                                <w:bottom w:val="none" w:sz="0" w:space="0" w:color="auto"/>
                                                                                <w:right w:val="none" w:sz="0" w:space="0" w:color="auto"/>
                                                                              </w:divBdr>
                                                                              <w:divsChild>
                                                                                <w:div w:id="3366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947263">
      <w:bodyDiv w:val="1"/>
      <w:marLeft w:val="0"/>
      <w:marRight w:val="0"/>
      <w:marTop w:val="0"/>
      <w:marBottom w:val="0"/>
      <w:divBdr>
        <w:top w:val="none" w:sz="0" w:space="0" w:color="auto"/>
        <w:left w:val="none" w:sz="0" w:space="0" w:color="auto"/>
        <w:bottom w:val="none" w:sz="0" w:space="0" w:color="auto"/>
        <w:right w:val="none" w:sz="0" w:space="0" w:color="auto"/>
      </w:divBdr>
    </w:div>
    <w:div w:id="365370279">
      <w:bodyDiv w:val="1"/>
      <w:marLeft w:val="0"/>
      <w:marRight w:val="0"/>
      <w:marTop w:val="0"/>
      <w:marBottom w:val="0"/>
      <w:divBdr>
        <w:top w:val="none" w:sz="0" w:space="0" w:color="auto"/>
        <w:left w:val="none" w:sz="0" w:space="0" w:color="auto"/>
        <w:bottom w:val="none" w:sz="0" w:space="0" w:color="auto"/>
        <w:right w:val="none" w:sz="0" w:space="0" w:color="auto"/>
      </w:divBdr>
    </w:div>
    <w:div w:id="401028087">
      <w:bodyDiv w:val="1"/>
      <w:marLeft w:val="0"/>
      <w:marRight w:val="0"/>
      <w:marTop w:val="0"/>
      <w:marBottom w:val="0"/>
      <w:divBdr>
        <w:top w:val="none" w:sz="0" w:space="0" w:color="auto"/>
        <w:left w:val="none" w:sz="0" w:space="0" w:color="auto"/>
        <w:bottom w:val="none" w:sz="0" w:space="0" w:color="auto"/>
        <w:right w:val="none" w:sz="0" w:space="0" w:color="auto"/>
      </w:divBdr>
      <w:divsChild>
        <w:div w:id="823274853">
          <w:marLeft w:val="0"/>
          <w:marRight w:val="0"/>
          <w:marTop w:val="0"/>
          <w:marBottom w:val="0"/>
          <w:divBdr>
            <w:top w:val="single" w:sz="2" w:space="0" w:color="CCCCCC"/>
            <w:left w:val="single" w:sz="6" w:space="0" w:color="CCCCCC"/>
            <w:bottom w:val="single" w:sz="6" w:space="0" w:color="CCCCCC"/>
            <w:right w:val="single" w:sz="6" w:space="0" w:color="CCCCCC"/>
          </w:divBdr>
          <w:divsChild>
            <w:div w:id="313721661">
              <w:marLeft w:val="0"/>
              <w:marRight w:val="0"/>
              <w:marTop w:val="0"/>
              <w:marBottom w:val="0"/>
              <w:divBdr>
                <w:top w:val="none" w:sz="0" w:space="0" w:color="auto"/>
                <w:left w:val="none" w:sz="0" w:space="0" w:color="auto"/>
                <w:bottom w:val="none" w:sz="0" w:space="0" w:color="auto"/>
                <w:right w:val="none" w:sz="0" w:space="0" w:color="auto"/>
              </w:divBdr>
              <w:divsChild>
                <w:div w:id="1949242029">
                  <w:marLeft w:val="-180"/>
                  <w:marRight w:val="-180"/>
                  <w:marTop w:val="0"/>
                  <w:marBottom w:val="0"/>
                  <w:divBdr>
                    <w:top w:val="none" w:sz="0" w:space="0" w:color="auto"/>
                    <w:left w:val="none" w:sz="0" w:space="0" w:color="auto"/>
                    <w:bottom w:val="none" w:sz="0" w:space="0" w:color="auto"/>
                    <w:right w:val="none" w:sz="0" w:space="0" w:color="auto"/>
                  </w:divBdr>
                  <w:divsChild>
                    <w:div w:id="954404164">
                      <w:marLeft w:val="0"/>
                      <w:marRight w:val="0"/>
                      <w:marTop w:val="0"/>
                      <w:marBottom w:val="0"/>
                      <w:divBdr>
                        <w:top w:val="none" w:sz="0" w:space="0" w:color="auto"/>
                        <w:left w:val="none" w:sz="0" w:space="0" w:color="auto"/>
                        <w:bottom w:val="none" w:sz="0" w:space="0" w:color="auto"/>
                        <w:right w:val="none" w:sz="0" w:space="0" w:color="auto"/>
                      </w:divBdr>
                      <w:divsChild>
                        <w:div w:id="1003825797">
                          <w:marLeft w:val="-180"/>
                          <w:marRight w:val="-180"/>
                          <w:marTop w:val="0"/>
                          <w:marBottom w:val="0"/>
                          <w:divBdr>
                            <w:top w:val="none" w:sz="0" w:space="0" w:color="auto"/>
                            <w:left w:val="none" w:sz="0" w:space="0" w:color="auto"/>
                            <w:bottom w:val="none" w:sz="0" w:space="0" w:color="auto"/>
                            <w:right w:val="none" w:sz="0" w:space="0" w:color="auto"/>
                          </w:divBdr>
                          <w:divsChild>
                            <w:div w:id="381563565">
                              <w:marLeft w:val="0"/>
                              <w:marRight w:val="0"/>
                              <w:marTop w:val="0"/>
                              <w:marBottom w:val="0"/>
                              <w:divBdr>
                                <w:top w:val="none" w:sz="0" w:space="0" w:color="auto"/>
                                <w:left w:val="none" w:sz="0" w:space="0" w:color="auto"/>
                                <w:bottom w:val="none" w:sz="0" w:space="0" w:color="auto"/>
                                <w:right w:val="none" w:sz="0" w:space="0" w:color="auto"/>
                              </w:divBdr>
                              <w:divsChild>
                                <w:div w:id="2135899588">
                                  <w:marLeft w:val="0"/>
                                  <w:marRight w:val="0"/>
                                  <w:marTop w:val="0"/>
                                  <w:marBottom w:val="0"/>
                                  <w:divBdr>
                                    <w:top w:val="none" w:sz="0" w:space="0" w:color="auto"/>
                                    <w:left w:val="none" w:sz="0" w:space="0" w:color="auto"/>
                                    <w:bottom w:val="none" w:sz="0" w:space="0" w:color="auto"/>
                                    <w:right w:val="none" w:sz="0" w:space="0" w:color="auto"/>
                                  </w:divBdr>
                                  <w:divsChild>
                                    <w:div w:id="490948263">
                                      <w:marLeft w:val="0"/>
                                      <w:marRight w:val="0"/>
                                      <w:marTop w:val="0"/>
                                      <w:marBottom w:val="0"/>
                                      <w:divBdr>
                                        <w:top w:val="none" w:sz="0" w:space="0" w:color="auto"/>
                                        <w:left w:val="none" w:sz="0" w:space="0" w:color="auto"/>
                                        <w:bottom w:val="none" w:sz="0" w:space="0" w:color="auto"/>
                                        <w:right w:val="none" w:sz="0" w:space="0" w:color="auto"/>
                                      </w:divBdr>
                                      <w:divsChild>
                                        <w:div w:id="487478342">
                                          <w:marLeft w:val="0"/>
                                          <w:marRight w:val="0"/>
                                          <w:marTop w:val="0"/>
                                          <w:marBottom w:val="0"/>
                                          <w:divBdr>
                                            <w:top w:val="none" w:sz="0" w:space="0" w:color="auto"/>
                                            <w:left w:val="none" w:sz="0" w:space="0" w:color="auto"/>
                                            <w:bottom w:val="none" w:sz="0" w:space="0" w:color="auto"/>
                                            <w:right w:val="none" w:sz="0" w:space="0" w:color="auto"/>
                                          </w:divBdr>
                                          <w:divsChild>
                                            <w:div w:id="327372086">
                                              <w:marLeft w:val="0"/>
                                              <w:marRight w:val="0"/>
                                              <w:marTop w:val="0"/>
                                              <w:marBottom w:val="0"/>
                                              <w:divBdr>
                                                <w:top w:val="none" w:sz="0" w:space="0" w:color="auto"/>
                                                <w:left w:val="none" w:sz="0" w:space="0" w:color="auto"/>
                                                <w:bottom w:val="none" w:sz="0" w:space="0" w:color="auto"/>
                                                <w:right w:val="none" w:sz="0" w:space="0" w:color="auto"/>
                                              </w:divBdr>
                                              <w:divsChild>
                                                <w:div w:id="1000889424">
                                                  <w:marLeft w:val="0"/>
                                                  <w:marRight w:val="0"/>
                                                  <w:marTop w:val="0"/>
                                                  <w:marBottom w:val="0"/>
                                                  <w:divBdr>
                                                    <w:top w:val="none" w:sz="0" w:space="0" w:color="auto"/>
                                                    <w:left w:val="none" w:sz="0" w:space="0" w:color="auto"/>
                                                    <w:bottom w:val="none" w:sz="0" w:space="0" w:color="auto"/>
                                                    <w:right w:val="none" w:sz="0" w:space="0" w:color="auto"/>
                                                  </w:divBdr>
                                                  <w:divsChild>
                                                    <w:div w:id="2018655695">
                                                      <w:marLeft w:val="0"/>
                                                      <w:marRight w:val="0"/>
                                                      <w:marTop w:val="0"/>
                                                      <w:marBottom w:val="0"/>
                                                      <w:divBdr>
                                                        <w:top w:val="none" w:sz="0" w:space="0" w:color="auto"/>
                                                        <w:left w:val="none" w:sz="0" w:space="0" w:color="auto"/>
                                                        <w:bottom w:val="none" w:sz="0" w:space="0" w:color="auto"/>
                                                        <w:right w:val="none" w:sz="0" w:space="0" w:color="auto"/>
                                                      </w:divBdr>
                                                      <w:divsChild>
                                                        <w:div w:id="270280446">
                                                          <w:marLeft w:val="-180"/>
                                                          <w:marRight w:val="-180"/>
                                                          <w:marTop w:val="0"/>
                                                          <w:marBottom w:val="0"/>
                                                          <w:divBdr>
                                                            <w:top w:val="none" w:sz="0" w:space="0" w:color="auto"/>
                                                            <w:left w:val="none" w:sz="0" w:space="0" w:color="auto"/>
                                                            <w:bottom w:val="none" w:sz="0" w:space="0" w:color="auto"/>
                                                            <w:right w:val="none" w:sz="0" w:space="0" w:color="auto"/>
                                                          </w:divBdr>
                                                          <w:divsChild>
                                                            <w:div w:id="1209146447">
                                                              <w:marLeft w:val="0"/>
                                                              <w:marRight w:val="0"/>
                                                              <w:marTop w:val="0"/>
                                                              <w:marBottom w:val="0"/>
                                                              <w:divBdr>
                                                                <w:top w:val="none" w:sz="0" w:space="0" w:color="auto"/>
                                                                <w:left w:val="none" w:sz="0" w:space="0" w:color="auto"/>
                                                                <w:bottom w:val="none" w:sz="0" w:space="0" w:color="auto"/>
                                                                <w:right w:val="none" w:sz="0" w:space="0" w:color="auto"/>
                                                              </w:divBdr>
                                                              <w:divsChild>
                                                                <w:div w:id="1249433">
                                                                  <w:marLeft w:val="0"/>
                                                                  <w:marRight w:val="0"/>
                                                                  <w:marTop w:val="0"/>
                                                                  <w:marBottom w:val="0"/>
                                                                  <w:divBdr>
                                                                    <w:top w:val="none" w:sz="0" w:space="0" w:color="auto"/>
                                                                    <w:left w:val="none" w:sz="0" w:space="0" w:color="auto"/>
                                                                    <w:bottom w:val="none" w:sz="0" w:space="0" w:color="auto"/>
                                                                    <w:right w:val="none" w:sz="0" w:space="0" w:color="auto"/>
                                                                  </w:divBdr>
                                                                  <w:divsChild>
                                                                    <w:div w:id="406390581">
                                                                      <w:marLeft w:val="0"/>
                                                                      <w:marRight w:val="0"/>
                                                                      <w:marTop w:val="0"/>
                                                                      <w:marBottom w:val="0"/>
                                                                      <w:divBdr>
                                                                        <w:top w:val="none" w:sz="0" w:space="0" w:color="auto"/>
                                                                        <w:left w:val="none" w:sz="0" w:space="0" w:color="auto"/>
                                                                        <w:bottom w:val="none" w:sz="0" w:space="0" w:color="auto"/>
                                                                        <w:right w:val="none" w:sz="0" w:space="0" w:color="auto"/>
                                                                      </w:divBdr>
                                                                      <w:divsChild>
                                                                        <w:div w:id="1064913025">
                                                                          <w:marLeft w:val="0"/>
                                                                          <w:marRight w:val="0"/>
                                                                          <w:marTop w:val="0"/>
                                                                          <w:marBottom w:val="0"/>
                                                                          <w:divBdr>
                                                                            <w:top w:val="none" w:sz="0" w:space="0" w:color="auto"/>
                                                                            <w:left w:val="none" w:sz="0" w:space="0" w:color="auto"/>
                                                                            <w:bottom w:val="none" w:sz="0" w:space="0" w:color="auto"/>
                                                                            <w:right w:val="none" w:sz="0" w:space="0" w:color="auto"/>
                                                                          </w:divBdr>
                                                                          <w:divsChild>
                                                                            <w:div w:id="1883399961">
                                                                              <w:marLeft w:val="0"/>
                                                                              <w:marRight w:val="0"/>
                                                                              <w:marTop w:val="0"/>
                                                                              <w:marBottom w:val="0"/>
                                                                              <w:divBdr>
                                                                                <w:top w:val="none" w:sz="0" w:space="0" w:color="auto"/>
                                                                                <w:left w:val="none" w:sz="0" w:space="0" w:color="auto"/>
                                                                                <w:bottom w:val="none" w:sz="0" w:space="0" w:color="auto"/>
                                                                                <w:right w:val="none" w:sz="0" w:space="0" w:color="auto"/>
                                                                              </w:divBdr>
                                                                              <w:divsChild>
                                                                                <w:div w:id="1297489084">
                                                                                  <w:marLeft w:val="0"/>
                                                                                  <w:marRight w:val="0"/>
                                                                                  <w:marTop w:val="0"/>
                                                                                  <w:marBottom w:val="0"/>
                                                                                  <w:divBdr>
                                                                                    <w:top w:val="none" w:sz="0" w:space="0" w:color="auto"/>
                                                                                    <w:left w:val="none" w:sz="0" w:space="0" w:color="auto"/>
                                                                                    <w:bottom w:val="none" w:sz="0" w:space="0" w:color="auto"/>
                                                                                    <w:right w:val="none" w:sz="0" w:space="0" w:color="auto"/>
                                                                                  </w:divBdr>
                                                                                  <w:divsChild>
                                                                                    <w:div w:id="13579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978780">
      <w:bodyDiv w:val="1"/>
      <w:marLeft w:val="0"/>
      <w:marRight w:val="0"/>
      <w:marTop w:val="0"/>
      <w:marBottom w:val="0"/>
      <w:divBdr>
        <w:top w:val="none" w:sz="0" w:space="0" w:color="auto"/>
        <w:left w:val="none" w:sz="0" w:space="0" w:color="auto"/>
        <w:bottom w:val="none" w:sz="0" w:space="0" w:color="auto"/>
        <w:right w:val="none" w:sz="0" w:space="0" w:color="auto"/>
      </w:divBdr>
    </w:div>
    <w:div w:id="518130092">
      <w:bodyDiv w:val="1"/>
      <w:marLeft w:val="0"/>
      <w:marRight w:val="0"/>
      <w:marTop w:val="0"/>
      <w:marBottom w:val="0"/>
      <w:divBdr>
        <w:top w:val="none" w:sz="0" w:space="0" w:color="auto"/>
        <w:left w:val="none" w:sz="0" w:space="0" w:color="auto"/>
        <w:bottom w:val="none" w:sz="0" w:space="0" w:color="auto"/>
        <w:right w:val="none" w:sz="0" w:space="0" w:color="auto"/>
      </w:divBdr>
    </w:div>
    <w:div w:id="695737132">
      <w:bodyDiv w:val="1"/>
      <w:marLeft w:val="0"/>
      <w:marRight w:val="0"/>
      <w:marTop w:val="0"/>
      <w:marBottom w:val="0"/>
      <w:divBdr>
        <w:top w:val="none" w:sz="0" w:space="0" w:color="auto"/>
        <w:left w:val="none" w:sz="0" w:space="0" w:color="auto"/>
        <w:bottom w:val="none" w:sz="0" w:space="0" w:color="auto"/>
        <w:right w:val="none" w:sz="0" w:space="0" w:color="auto"/>
      </w:divBdr>
    </w:div>
    <w:div w:id="1067536734">
      <w:bodyDiv w:val="1"/>
      <w:marLeft w:val="0"/>
      <w:marRight w:val="0"/>
      <w:marTop w:val="0"/>
      <w:marBottom w:val="0"/>
      <w:divBdr>
        <w:top w:val="none" w:sz="0" w:space="0" w:color="auto"/>
        <w:left w:val="none" w:sz="0" w:space="0" w:color="auto"/>
        <w:bottom w:val="none" w:sz="0" w:space="0" w:color="auto"/>
        <w:right w:val="none" w:sz="0" w:space="0" w:color="auto"/>
      </w:divBdr>
    </w:div>
    <w:div w:id="1134179096">
      <w:bodyDiv w:val="1"/>
      <w:marLeft w:val="0"/>
      <w:marRight w:val="0"/>
      <w:marTop w:val="0"/>
      <w:marBottom w:val="0"/>
      <w:divBdr>
        <w:top w:val="none" w:sz="0" w:space="0" w:color="auto"/>
        <w:left w:val="none" w:sz="0" w:space="0" w:color="auto"/>
        <w:bottom w:val="none" w:sz="0" w:space="0" w:color="auto"/>
        <w:right w:val="none" w:sz="0" w:space="0" w:color="auto"/>
      </w:divBdr>
    </w:div>
    <w:div w:id="1156334509">
      <w:bodyDiv w:val="1"/>
      <w:marLeft w:val="0"/>
      <w:marRight w:val="0"/>
      <w:marTop w:val="0"/>
      <w:marBottom w:val="0"/>
      <w:divBdr>
        <w:top w:val="none" w:sz="0" w:space="0" w:color="auto"/>
        <w:left w:val="none" w:sz="0" w:space="0" w:color="auto"/>
        <w:bottom w:val="none" w:sz="0" w:space="0" w:color="auto"/>
        <w:right w:val="none" w:sz="0" w:space="0" w:color="auto"/>
      </w:divBdr>
    </w:div>
    <w:div w:id="1173911865">
      <w:bodyDiv w:val="1"/>
      <w:marLeft w:val="0"/>
      <w:marRight w:val="0"/>
      <w:marTop w:val="0"/>
      <w:marBottom w:val="0"/>
      <w:divBdr>
        <w:top w:val="none" w:sz="0" w:space="0" w:color="auto"/>
        <w:left w:val="none" w:sz="0" w:space="0" w:color="auto"/>
        <w:bottom w:val="none" w:sz="0" w:space="0" w:color="auto"/>
        <w:right w:val="none" w:sz="0" w:space="0" w:color="auto"/>
      </w:divBdr>
      <w:divsChild>
        <w:div w:id="797603593">
          <w:marLeft w:val="0"/>
          <w:marRight w:val="0"/>
          <w:marTop w:val="0"/>
          <w:marBottom w:val="0"/>
          <w:divBdr>
            <w:top w:val="single" w:sz="2" w:space="0" w:color="CCCCCC"/>
            <w:left w:val="single" w:sz="6" w:space="0" w:color="CCCCCC"/>
            <w:bottom w:val="single" w:sz="6" w:space="0" w:color="CCCCCC"/>
            <w:right w:val="single" w:sz="6" w:space="0" w:color="CCCCCC"/>
          </w:divBdr>
          <w:divsChild>
            <w:div w:id="13312400">
              <w:marLeft w:val="0"/>
              <w:marRight w:val="0"/>
              <w:marTop w:val="0"/>
              <w:marBottom w:val="0"/>
              <w:divBdr>
                <w:top w:val="none" w:sz="0" w:space="0" w:color="auto"/>
                <w:left w:val="none" w:sz="0" w:space="0" w:color="auto"/>
                <w:bottom w:val="none" w:sz="0" w:space="0" w:color="auto"/>
                <w:right w:val="none" w:sz="0" w:space="0" w:color="auto"/>
              </w:divBdr>
              <w:divsChild>
                <w:div w:id="1337804358">
                  <w:marLeft w:val="-180"/>
                  <w:marRight w:val="-180"/>
                  <w:marTop w:val="0"/>
                  <w:marBottom w:val="0"/>
                  <w:divBdr>
                    <w:top w:val="none" w:sz="0" w:space="0" w:color="auto"/>
                    <w:left w:val="none" w:sz="0" w:space="0" w:color="auto"/>
                    <w:bottom w:val="none" w:sz="0" w:space="0" w:color="auto"/>
                    <w:right w:val="none" w:sz="0" w:space="0" w:color="auto"/>
                  </w:divBdr>
                  <w:divsChild>
                    <w:div w:id="962075909">
                      <w:marLeft w:val="0"/>
                      <w:marRight w:val="0"/>
                      <w:marTop w:val="0"/>
                      <w:marBottom w:val="0"/>
                      <w:divBdr>
                        <w:top w:val="none" w:sz="0" w:space="0" w:color="auto"/>
                        <w:left w:val="none" w:sz="0" w:space="0" w:color="auto"/>
                        <w:bottom w:val="none" w:sz="0" w:space="0" w:color="auto"/>
                        <w:right w:val="none" w:sz="0" w:space="0" w:color="auto"/>
                      </w:divBdr>
                      <w:divsChild>
                        <w:div w:id="335768662">
                          <w:marLeft w:val="-180"/>
                          <w:marRight w:val="-180"/>
                          <w:marTop w:val="0"/>
                          <w:marBottom w:val="0"/>
                          <w:divBdr>
                            <w:top w:val="none" w:sz="0" w:space="0" w:color="auto"/>
                            <w:left w:val="none" w:sz="0" w:space="0" w:color="auto"/>
                            <w:bottom w:val="none" w:sz="0" w:space="0" w:color="auto"/>
                            <w:right w:val="none" w:sz="0" w:space="0" w:color="auto"/>
                          </w:divBdr>
                          <w:divsChild>
                            <w:div w:id="1845511707">
                              <w:marLeft w:val="0"/>
                              <w:marRight w:val="0"/>
                              <w:marTop w:val="0"/>
                              <w:marBottom w:val="0"/>
                              <w:divBdr>
                                <w:top w:val="none" w:sz="0" w:space="0" w:color="auto"/>
                                <w:left w:val="none" w:sz="0" w:space="0" w:color="auto"/>
                                <w:bottom w:val="none" w:sz="0" w:space="0" w:color="auto"/>
                                <w:right w:val="none" w:sz="0" w:space="0" w:color="auto"/>
                              </w:divBdr>
                              <w:divsChild>
                                <w:div w:id="369383259">
                                  <w:marLeft w:val="0"/>
                                  <w:marRight w:val="0"/>
                                  <w:marTop w:val="0"/>
                                  <w:marBottom w:val="0"/>
                                  <w:divBdr>
                                    <w:top w:val="none" w:sz="0" w:space="0" w:color="auto"/>
                                    <w:left w:val="none" w:sz="0" w:space="0" w:color="auto"/>
                                    <w:bottom w:val="none" w:sz="0" w:space="0" w:color="auto"/>
                                    <w:right w:val="none" w:sz="0" w:space="0" w:color="auto"/>
                                  </w:divBdr>
                                  <w:divsChild>
                                    <w:div w:id="424689972">
                                      <w:marLeft w:val="0"/>
                                      <w:marRight w:val="0"/>
                                      <w:marTop w:val="0"/>
                                      <w:marBottom w:val="0"/>
                                      <w:divBdr>
                                        <w:top w:val="none" w:sz="0" w:space="0" w:color="auto"/>
                                        <w:left w:val="none" w:sz="0" w:space="0" w:color="auto"/>
                                        <w:bottom w:val="none" w:sz="0" w:space="0" w:color="auto"/>
                                        <w:right w:val="none" w:sz="0" w:space="0" w:color="auto"/>
                                      </w:divBdr>
                                      <w:divsChild>
                                        <w:div w:id="1181817571">
                                          <w:marLeft w:val="0"/>
                                          <w:marRight w:val="0"/>
                                          <w:marTop w:val="0"/>
                                          <w:marBottom w:val="0"/>
                                          <w:divBdr>
                                            <w:top w:val="none" w:sz="0" w:space="0" w:color="auto"/>
                                            <w:left w:val="none" w:sz="0" w:space="0" w:color="auto"/>
                                            <w:bottom w:val="none" w:sz="0" w:space="0" w:color="auto"/>
                                            <w:right w:val="none" w:sz="0" w:space="0" w:color="auto"/>
                                          </w:divBdr>
                                          <w:divsChild>
                                            <w:div w:id="1368873829">
                                              <w:marLeft w:val="0"/>
                                              <w:marRight w:val="0"/>
                                              <w:marTop w:val="0"/>
                                              <w:marBottom w:val="0"/>
                                              <w:divBdr>
                                                <w:top w:val="none" w:sz="0" w:space="0" w:color="auto"/>
                                                <w:left w:val="none" w:sz="0" w:space="0" w:color="auto"/>
                                                <w:bottom w:val="none" w:sz="0" w:space="0" w:color="auto"/>
                                                <w:right w:val="none" w:sz="0" w:space="0" w:color="auto"/>
                                              </w:divBdr>
                                              <w:divsChild>
                                                <w:div w:id="204951096">
                                                  <w:marLeft w:val="0"/>
                                                  <w:marRight w:val="0"/>
                                                  <w:marTop w:val="0"/>
                                                  <w:marBottom w:val="0"/>
                                                  <w:divBdr>
                                                    <w:top w:val="none" w:sz="0" w:space="0" w:color="auto"/>
                                                    <w:left w:val="none" w:sz="0" w:space="0" w:color="auto"/>
                                                    <w:bottom w:val="none" w:sz="0" w:space="0" w:color="auto"/>
                                                    <w:right w:val="none" w:sz="0" w:space="0" w:color="auto"/>
                                                  </w:divBdr>
                                                  <w:divsChild>
                                                    <w:div w:id="306278298">
                                                      <w:marLeft w:val="0"/>
                                                      <w:marRight w:val="0"/>
                                                      <w:marTop w:val="0"/>
                                                      <w:marBottom w:val="0"/>
                                                      <w:divBdr>
                                                        <w:top w:val="none" w:sz="0" w:space="0" w:color="auto"/>
                                                        <w:left w:val="none" w:sz="0" w:space="0" w:color="auto"/>
                                                        <w:bottom w:val="none" w:sz="0" w:space="0" w:color="auto"/>
                                                        <w:right w:val="none" w:sz="0" w:space="0" w:color="auto"/>
                                                      </w:divBdr>
                                                      <w:divsChild>
                                                        <w:div w:id="1223755286">
                                                          <w:marLeft w:val="-180"/>
                                                          <w:marRight w:val="-180"/>
                                                          <w:marTop w:val="0"/>
                                                          <w:marBottom w:val="0"/>
                                                          <w:divBdr>
                                                            <w:top w:val="none" w:sz="0" w:space="0" w:color="auto"/>
                                                            <w:left w:val="none" w:sz="0" w:space="0" w:color="auto"/>
                                                            <w:bottom w:val="none" w:sz="0" w:space="0" w:color="auto"/>
                                                            <w:right w:val="none" w:sz="0" w:space="0" w:color="auto"/>
                                                          </w:divBdr>
                                                          <w:divsChild>
                                                            <w:div w:id="444428554">
                                                              <w:marLeft w:val="0"/>
                                                              <w:marRight w:val="0"/>
                                                              <w:marTop w:val="0"/>
                                                              <w:marBottom w:val="0"/>
                                                              <w:divBdr>
                                                                <w:top w:val="none" w:sz="0" w:space="0" w:color="auto"/>
                                                                <w:left w:val="none" w:sz="0" w:space="0" w:color="auto"/>
                                                                <w:bottom w:val="none" w:sz="0" w:space="0" w:color="auto"/>
                                                                <w:right w:val="none" w:sz="0" w:space="0" w:color="auto"/>
                                                              </w:divBdr>
                                                              <w:divsChild>
                                                                <w:div w:id="531386991">
                                                                  <w:marLeft w:val="0"/>
                                                                  <w:marRight w:val="0"/>
                                                                  <w:marTop w:val="0"/>
                                                                  <w:marBottom w:val="0"/>
                                                                  <w:divBdr>
                                                                    <w:top w:val="none" w:sz="0" w:space="0" w:color="auto"/>
                                                                    <w:left w:val="none" w:sz="0" w:space="0" w:color="auto"/>
                                                                    <w:bottom w:val="none" w:sz="0" w:space="0" w:color="auto"/>
                                                                    <w:right w:val="none" w:sz="0" w:space="0" w:color="auto"/>
                                                                  </w:divBdr>
                                                                  <w:divsChild>
                                                                    <w:div w:id="1381710659">
                                                                      <w:marLeft w:val="0"/>
                                                                      <w:marRight w:val="0"/>
                                                                      <w:marTop w:val="0"/>
                                                                      <w:marBottom w:val="0"/>
                                                                      <w:divBdr>
                                                                        <w:top w:val="none" w:sz="0" w:space="0" w:color="auto"/>
                                                                        <w:left w:val="none" w:sz="0" w:space="0" w:color="auto"/>
                                                                        <w:bottom w:val="none" w:sz="0" w:space="0" w:color="auto"/>
                                                                        <w:right w:val="none" w:sz="0" w:space="0" w:color="auto"/>
                                                                      </w:divBdr>
                                                                      <w:divsChild>
                                                                        <w:div w:id="642928624">
                                                                          <w:marLeft w:val="0"/>
                                                                          <w:marRight w:val="0"/>
                                                                          <w:marTop w:val="0"/>
                                                                          <w:marBottom w:val="0"/>
                                                                          <w:divBdr>
                                                                            <w:top w:val="none" w:sz="0" w:space="0" w:color="auto"/>
                                                                            <w:left w:val="none" w:sz="0" w:space="0" w:color="auto"/>
                                                                            <w:bottom w:val="none" w:sz="0" w:space="0" w:color="auto"/>
                                                                            <w:right w:val="none" w:sz="0" w:space="0" w:color="auto"/>
                                                                          </w:divBdr>
                                                                          <w:divsChild>
                                                                            <w:div w:id="637297568">
                                                                              <w:marLeft w:val="0"/>
                                                                              <w:marRight w:val="0"/>
                                                                              <w:marTop w:val="0"/>
                                                                              <w:marBottom w:val="0"/>
                                                                              <w:divBdr>
                                                                                <w:top w:val="none" w:sz="0" w:space="0" w:color="auto"/>
                                                                                <w:left w:val="none" w:sz="0" w:space="0" w:color="auto"/>
                                                                                <w:bottom w:val="none" w:sz="0" w:space="0" w:color="auto"/>
                                                                                <w:right w:val="none" w:sz="0" w:space="0" w:color="auto"/>
                                                                              </w:divBdr>
                                                                              <w:divsChild>
                                                                                <w:div w:id="1583179427">
                                                                                  <w:marLeft w:val="0"/>
                                                                                  <w:marRight w:val="0"/>
                                                                                  <w:marTop w:val="0"/>
                                                                                  <w:marBottom w:val="0"/>
                                                                                  <w:divBdr>
                                                                                    <w:top w:val="none" w:sz="0" w:space="0" w:color="auto"/>
                                                                                    <w:left w:val="none" w:sz="0" w:space="0" w:color="auto"/>
                                                                                    <w:bottom w:val="none" w:sz="0" w:space="0" w:color="auto"/>
                                                                                    <w:right w:val="none" w:sz="0" w:space="0" w:color="auto"/>
                                                                                  </w:divBdr>
                                                                                  <w:divsChild>
                                                                                    <w:div w:id="11677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685002">
      <w:bodyDiv w:val="1"/>
      <w:marLeft w:val="0"/>
      <w:marRight w:val="0"/>
      <w:marTop w:val="0"/>
      <w:marBottom w:val="0"/>
      <w:divBdr>
        <w:top w:val="none" w:sz="0" w:space="0" w:color="auto"/>
        <w:left w:val="none" w:sz="0" w:space="0" w:color="auto"/>
        <w:bottom w:val="none" w:sz="0" w:space="0" w:color="auto"/>
        <w:right w:val="none" w:sz="0" w:space="0" w:color="auto"/>
      </w:divBdr>
    </w:div>
    <w:div w:id="1326781159">
      <w:bodyDiv w:val="1"/>
      <w:marLeft w:val="0"/>
      <w:marRight w:val="0"/>
      <w:marTop w:val="0"/>
      <w:marBottom w:val="0"/>
      <w:divBdr>
        <w:top w:val="none" w:sz="0" w:space="0" w:color="auto"/>
        <w:left w:val="none" w:sz="0" w:space="0" w:color="auto"/>
        <w:bottom w:val="none" w:sz="0" w:space="0" w:color="auto"/>
        <w:right w:val="none" w:sz="0" w:space="0" w:color="auto"/>
      </w:divBdr>
    </w:div>
    <w:div w:id="1393695363">
      <w:bodyDiv w:val="1"/>
      <w:marLeft w:val="0"/>
      <w:marRight w:val="0"/>
      <w:marTop w:val="0"/>
      <w:marBottom w:val="0"/>
      <w:divBdr>
        <w:top w:val="none" w:sz="0" w:space="0" w:color="auto"/>
        <w:left w:val="none" w:sz="0" w:space="0" w:color="auto"/>
        <w:bottom w:val="none" w:sz="0" w:space="0" w:color="auto"/>
        <w:right w:val="none" w:sz="0" w:space="0" w:color="auto"/>
      </w:divBdr>
    </w:div>
    <w:div w:id="1567112028">
      <w:bodyDiv w:val="1"/>
      <w:marLeft w:val="0"/>
      <w:marRight w:val="0"/>
      <w:marTop w:val="0"/>
      <w:marBottom w:val="0"/>
      <w:divBdr>
        <w:top w:val="none" w:sz="0" w:space="0" w:color="auto"/>
        <w:left w:val="none" w:sz="0" w:space="0" w:color="auto"/>
        <w:bottom w:val="none" w:sz="0" w:space="0" w:color="auto"/>
        <w:right w:val="none" w:sz="0" w:space="0" w:color="auto"/>
      </w:divBdr>
    </w:div>
    <w:div w:id="1648045304">
      <w:bodyDiv w:val="1"/>
      <w:marLeft w:val="0"/>
      <w:marRight w:val="0"/>
      <w:marTop w:val="0"/>
      <w:marBottom w:val="0"/>
      <w:divBdr>
        <w:top w:val="none" w:sz="0" w:space="0" w:color="auto"/>
        <w:left w:val="none" w:sz="0" w:space="0" w:color="auto"/>
        <w:bottom w:val="none" w:sz="0" w:space="0" w:color="auto"/>
        <w:right w:val="none" w:sz="0" w:space="0" w:color="auto"/>
      </w:divBdr>
    </w:div>
    <w:div w:id="1902906196">
      <w:bodyDiv w:val="1"/>
      <w:marLeft w:val="0"/>
      <w:marRight w:val="0"/>
      <w:marTop w:val="0"/>
      <w:marBottom w:val="0"/>
      <w:divBdr>
        <w:top w:val="none" w:sz="0" w:space="0" w:color="auto"/>
        <w:left w:val="none" w:sz="0" w:space="0" w:color="auto"/>
        <w:bottom w:val="none" w:sz="0" w:space="0" w:color="auto"/>
        <w:right w:val="none" w:sz="0" w:space="0" w:color="auto"/>
      </w:divBdr>
      <w:divsChild>
        <w:div w:id="17245476">
          <w:marLeft w:val="0"/>
          <w:marRight w:val="0"/>
          <w:marTop w:val="0"/>
          <w:marBottom w:val="0"/>
          <w:divBdr>
            <w:top w:val="none" w:sz="0" w:space="0" w:color="auto"/>
            <w:left w:val="none" w:sz="0" w:space="0" w:color="auto"/>
            <w:bottom w:val="none" w:sz="0" w:space="0" w:color="auto"/>
            <w:right w:val="none" w:sz="0" w:space="0" w:color="auto"/>
          </w:divBdr>
          <w:divsChild>
            <w:div w:id="1224562804">
              <w:marLeft w:val="0"/>
              <w:marRight w:val="0"/>
              <w:marTop w:val="0"/>
              <w:marBottom w:val="0"/>
              <w:divBdr>
                <w:top w:val="none" w:sz="0" w:space="0" w:color="auto"/>
                <w:left w:val="none" w:sz="0" w:space="0" w:color="auto"/>
                <w:bottom w:val="none" w:sz="0" w:space="0" w:color="auto"/>
                <w:right w:val="none" w:sz="0" w:space="0" w:color="auto"/>
              </w:divBdr>
              <w:divsChild>
                <w:div w:id="275215427">
                  <w:marLeft w:val="0"/>
                  <w:marRight w:val="0"/>
                  <w:marTop w:val="0"/>
                  <w:marBottom w:val="0"/>
                  <w:divBdr>
                    <w:top w:val="none" w:sz="0" w:space="0" w:color="auto"/>
                    <w:left w:val="none" w:sz="0" w:space="0" w:color="auto"/>
                    <w:bottom w:val="none" w:sz="0" w:space="0" w:color="auto"/>
                    <w:right w:val="none" w:sz="0" w:space="0" w:color="auto"/>
                  </w:divBdr>
                  <w:divsChild>
                    <w:div w:id="363755649">
                      <w:marLeft w:val="0"/>
                      <w:marRight w:val="0"/>
                      <w:marTop w:val="0"/>
                      <w:marBottom w:val="0"/>
                      <w:divBdr>
                        <w:top w:val="none" w:sz="0" w:space="0" w:color="auto"/>
                        <w:left w:val="none" w:sz="0" w:space="0" w:color="auto"/>
                        <w:bottom w:val="none" w:sz="0" w:space="0" w:color="auto"/>
                        <w:right w:val="none" w:sz="0" w:space="0" w:color="auto"/>
                      </w:divBdr>
                      <w:divsChild>
                        <w:div w:id="947157374">
                          <w:marLeft w:val="0"/>
                          <w:marRight w:val="0"/>
                          <w:marTop w:val="0"/>
                          <w:marBottom w:val="0"/>
                          <w:divBdr>
                            <w:top w:val="none" w:sz="0" w:space="0" w:color="auto"/>
                            <w:left w:val="none" w:sz="0" w:space="0" w:color="auto"/>
                            <w:bottom w:val="none" w:sz="0" w:space="0" w:color="auto"/>
                            <w:right w:val="none" w:sz="0" w:space="0" w:color="auto"/>
                          </w:divBdr>
                          <w:divsChild>
                            <w:div w:id="477965286">
                              <w:marLeft w:val="0"/>
                              <w:marRight w:val="0"/>
                              <w:marTop w:val="0"/>
                              <w:marBottom w:val="0"/>
                              <w:divBdr>
                                <w:top w:val="none" w:sz="0" w:space="0" w:color="auto"/>
                                <w:left w:val="none" w:sz="0" w:space="0" w:color="auto"/>
                                <w:bottom w:val="none" w:sz="0" w:space="0" w:color="auto"/>
                                <w:right w:val="none" w:sz="0" w:space="0" w:color="auto"/>
                              </w:divBdr>
                              <w:divsChild>
                                <w:div w:id="728571957">
                                  <w:marLeft w:val="0"/>
                                  <w:marRight w:val="0"/>
                                  <w:marTop w:val="0"/>
                                  <w:marBottom w:val="0"/>
                                  <w:divBdr>
                                    <w:top w:val="none" w:sz="0" w:space="0" w:color="auto"/>
                                    <w:left w:val="none" w:sz="0" w:space="0" w:color="auto"/>
                                    <w:bottom w:val="none" w:sz="0" w:space="0" w:color="auto"/>
                                    <w:right w:val="none" w:sz="0" w:space="0" w:color="auto"/>
                                  </w:divBdr>
                                  <w:divsChild>
                                    <w:div w:id="1758205975">
                                      <w:marLeft w:val="0"/>
                                      <w:marRight w:val="0"/>
                                      <w:marTop w:val="0"/>
                                      <w:marBottom w:val="0"/>
                                      <w:divBdr>
                                        <w:top w:val="none" w:sz="0" w:space="0" w:color="auto"/>
                                        <w:left w:val="none" w:sz="0" w:space="0" w:color="auto"/>
                                        <w:bottom w:val="none" w:sz="0" w:space="0" w:color="auto"/>
                                        <w:right w:val="none" w:sz="0" w:space="0" w:color="auto"/>
                                      </w:divBdr>
                                      <w:divsChild>
                                        <w:div w:id="946155369">
                                          <w:marLeft w:val="0"/>
                                          <w:marRight w:val="0"/>
                                          <w:marTop w:val="0"/>
                                          <w:marBottom w:val="0"/>
                                          <w:divBdr>
                                            <w:top w:val="none" w:sz="0" w:space="0" w:color="auto"/>
                                            <w:left w:val="none" w:sz="0" w:space="0" w:color="auto"/>
                                            <w:bottom w:val="none" w:sz="0" w:space="0" w:color="auto"/>
                                            <w:right w:val="none" w:sz="0" w:space="0" w:color="auto"/>
                                          </w:divBdr>
                                          <w:divsChild>
                                            <w:div w:id="1304967687">
                                              <w:marLeft w:val="0"/>
                                              <w:marRight w:val="0"/>
                                              <w:marTop w:val="0"/>
                                              <w:marBottom w:val="0"/>
                                              <w:divBdr>
                                                <w:top w:val="none" w:sz="0" w:space="0" w:color="auto"/>
                                                <w:left w:val="none" w:sz="0" w:space="0" w:color="auto"/>
                                                <w:bottom w:val="none" w:sz="0" w:space="0" w:color="auto"/>
                                                <w:right w:val="none" w:sz="0" w:space="0" w:color="auto"/>
                                              </w:divBdr>
                                              <w:divsChild>
                                                <w:div w:id="529999510">
                                                  <w:marLeft w:val="0"/>
                                                  <w:marRight w:val="0"/>
                                                  <w:marTop w:val="0"/>
                                                  <w:marBottom w:val="0"/>
                                                  <w:divBdr>
                                                    <w:top w:val="none" w:sz="0" w:space="0" w:color="auto"/>
                                                    <w:left w:val="none" w:sz="0" w:space="0" w:color="auto"/>
                                                    <w:bottom w:val="none" w:sz="0" w:space="0" w:color="auto"/>
                                                    <w:right w:val="none" w:sz="0" w:space="0" w:color="auto"/>
                                                  </w:divBdr>
                                                  <w:divsChild>
                                                    <w:div w:id="212935406">
                                                      <w:marLeft w:val="0"/>
                                                      <w:marRight w:val="0"/>
                                                      <w:marTop w:val="0"/>
                                                      <w:marBottom w:val="0"/>
                                                      <w:divBdr>
                                                        <w:top w:val="none" w:sz="0" w:space="0" w:color="auto"/>
                                                        <w:left w:val="none" w:sz="0" w:space="0" w:color="auto"/>
                                                        <w:bottom w:val="none" w:sz="0" w:space="0" w:color="auto"/>
                                                        <w:right w:val="none" w:sz="0" w:space="0" w:color="auto"/>
                                                      </w:divBdr>
                                                      <w:divsChild>
                                                        <w:div w:id="16601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60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echo/funding-evaluations/funding-decisions-hips_e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ec.europa.eu/info/node/10237"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c.europa.eu/echo/e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ec.europa.eu/echo/files/funding/agreements/agreements_2016.pdf" TargetMode="External"/><Relationship Id="rId20" Type="http://schemas.openxmlformats.org/officeDocument/2006/relationships/hyperlink" Target="https://ec.europa.eu/info/publications/annual-activity-reports-2016_e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euaidexplorer.ec.europa.eu/" TargetMode="Externa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ec.europa.eu/echo/about/annual_reports_en.ht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ec.europa.eu/echo/funding-evaluations/evaluations_en" TargetMode="Externa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habitat.org/wp-content/uploads/2016/05/Global-Alliance-for-Urban-Crises-Charter-for-WHS-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6AAB-6A83-453E-AD23-82251249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3229</Words>
  <Characters>20121</Characters>
  <Application>Microsoft Office Word</Application>
  <DocSecurity>0</DocSecurity>
  <Lines>649</Lines>
  <Paragraphs>466</Paragraphs>
  <ScaleCrop>false</ScaleCrop>
  <Manager/>
  <Company/>
  <LinksUpToDate>false</LinksUpToDate>
  <CharactersWithSpaces>22884</CharactersWithSpaces>
  <SharedDoc>false</SharedDoc>
  <HLinks>
    <vt:vector size="72" baseType="variant">
      <vt:variant>
        <vt:i4>6488161</vt:i4>
      </vt:variant>
      <vt:variant>
        <vt:i4>42</vt:i4>
      </vt:variant>
      <vt:variant>
        <vt:i4>0</vt:i4>
      </vt:variant>
      <vt:variant>
        <vt:i4>5</vt:i4>
      </vt:variant>
      <vt:variant>
        <vt:lpwstr>https://euaidexplorer.ec.europa.eu/</vt:lpwstr>
      </vt:variant>
      <vt:variant>
        <vt:lpwstr/>
      </vt:variant>
      <vt:variant>
        <vt:i4>4063318</vt:i4>
      </vt:variant>
      <vt:variant>
        <vt:i4>39</vt:i4>
      </vt:variant>
      <vt:variant>
        <vt:i4>0</vt:i4>
      </vt:variant>
      <vt:variant>
        <vt:i4>5</vt:i4>
      </vt:variant>
      <vt:variant>
        <vt:lpwstr>http://ec.europa.eu/echo/funding-evaluations/evaluations_en</vt:lpwstr>
      </vt:variant>
      <vt:variant>
        <vt:lpwstr/>
      </vt:variant>
      <vt:variant>
        <vt:i4>5242909</vt:i4>
      </vt:variant>
      <vt:variant>
        <vt:i4>36</vt:i4>
      </vt:variant>
      <vt:variant>
        <vt:i4>0</vt:i4>
      </vt:variant>
      <vt:variant>
        <vt:i4>5</vt:i4>
      </vt:variant>
      <vt:variant>
        <vt:lpwstr>https://ec.europa.eu/info/node/10237</vt:lpwstr>
      </vt:variant>
      <vt:variant>
        <vt:lpwstr/>
      </vt:variant>
      <vt:variant>
        <vt:i4>1310836</vt:i4>
      </vt:variant>
      <vt:variant>
        <vt:i4>33</vt:i4>
      </vt:variant>
      <vt:variant>
        <vt:i4>0</vt:i4>
      </vt:variant>
      <vt:variant>
        <vt:i4>5</vt:i4>
      </vt:variant>
      <vt:variant>
        <vt:lpwstr>https://ec.europa.eu/info/publications/annual-activity-reports-2016_en</vt:lpwstr>
      </vt:variant>
      <vt:variant>
        <vt:lpwstr/>
      </vt:variant>
      <vt:variant>
        <vt:i4>6029319</vt:i4>
      </vt:variant>
      <vt:variant>
        <vt:i4>30</vt:i4>
      </vt:variant>
      <vt:variant>
        <vt:i4>0</vt:i4>
      </vt:variant>
      <vt:variant>
        <vt:i4>5</vt:i4>
      </vt:variant>
      <vt:variant>
        <vt:lpwstr>http://ec.europa.eu/echo/about/annual_reports_en.htm</vt:lpwstr>
      </vt:variant>
      <vt:variant>
        <vt:lpwstr/>
      </vt:variant>
      <vt:variant>
        <vt:i4>327806</vt:i4>
      </vt:variant>
      <vt:variant>
        <vt:i4>27</vt:i4>
      </vt:variant>
      <vt:variant>
        <vt:i4>0</vt:i4>
      </vt:variant>
      <vt:variant>
        <vt:i4>5</vt:i4>
      </vt:variant>
      <vt:variant>
        <vt:lpwstr>http://ec.europa.eu/echo/funding-evaluations/funding-decisions-hips_en</vt:lpwstr>
      </vt:variant>
      <vt:variant>
        <vt:lpwstr/>
      </vt:variant>
      <vt:variant>
        <vt:i4>3670132</vt:i4>
      </vt:variant>
      <vt:variant>
        <vt:i4>24</vt:i4>
      </vt:variant>
      <vt:variant>
        <vt:i4>0</vt:i4>
      </vt:variant>
      <vt:variant>
        <vt:i4>5</vt:i4>
      </vt:variant>
      <vt:variant>
        <vt:lpwstr>http://ec.europa.eu/echo/en</vt:lpwstr>
      </vt:variant>
      <vt:variant>
        <vt:lpwstr/>
      </vt:variant>
      <vt:variant>
        <vt:i4>5308475</vt:i4>
      </vt:variant>
      <vt:variant>
        <vt:i4>21</vt:i4>
      </vt:variant>
      <vt:variant>
        <vt:i4>0</vt:i4>
      </vt:variant>
      <vt:variant>
        <vt:i4>5</vt:i4>
      </vt:variant>
      <vt:variant>
        <vt:lpwstr>http://ec.europa.eu/echo/files/funding/agreements/agreements_2016.pdf</vt:lpwstr>
      </vt:variant>
      <vt:variant>
        <vt:lpwstr/>
      </vt:variant>
      <vt:variant>
        <vt:i4>1507386</vt:i4>
      </vt:variant>
      <vt:variant>
        <vt:i4>14</vt:i4>
      </vt:variant>
      <vt:variant>
        <vt:i4>0</vt:i4>
      </vt:variant>
      <vt:variant>
        <vt:i4>5</vt:i4>
      </vt:variant>
      <vt:variant>
        <vt:lpwstr/>
      </vt:variant>
      <vt:variant>
        <vt:lpwstr>_Toc484787286</vt:lpwstr>
      </vt:variant>
      <vt:variant>
        <vt:i4>1507386</vt:i4>
      </vt:variant>
      <vt:variant>
        <vt:i4>8</vt:i4>
      </vt:variant>
      <vt:variant>
        <vt:i4>0</vt:i4>
      </vt:variant>
      <vt:variant>
        <vt:i4>5</vt:i4>
      </vt:variant>
      <vt:variant>
        <vt:lpwstr/>
      </vt:variant>
      <vt:variant>
        <vt:lpwstr>_Toc484787285</vt:lpwstr>
      </vt:variant>
      <vt:variant>
        <vt:i4>1507386</vt:i4>
      </vt:variant>
      <vt:variant>
        <vt:i4>2</vt:i4>
      </vt:variant>
      <vt:variant>
        <vt:i4>0</vt:i4>
      </vt:variant>
      <vt:variant>
        <vt:i4>5</vt:i4>
      </vt:variant>
      <vt:variant>
        <vt:lpwstr/>
      </vt:variant>
      <vt:variant>
        <vt:lpwstr>_Toc484787284</vt:lpwstr>
      </vt:variant>
      <vt:variant>
        <vt:i4>6881332</vt:i4>
      </vt:variant>
      <vt:variant>
        <vt:i4>0</vt:i4>
      </vt:variant>
      <vt:variant>
        <vt:i4>0</vt:i4>
      </vt:variant>
      <vt:variant>
        <vt:i4>5</vt:i4>
      </vt:variant>
      <vt:variant>
        <vt:lpwstr>https://unhabitat.org/wp-content/uploads/2016/05/Global-Alliance-for-Urban-Crises-Charter-for-WHS-Final.pdf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2017-10-17T13:19:00Z</dcterms:created>
  <dcterms:modified xsi:type="dcterms:W3CDTF">2017-11-06T08:46:00Z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