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F136816-BCA6-4930-83A5-9D39AE459EDC" style="width:450.8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t>ANNEX</w:t>
      </w:r>
      <w:r>
        <w:rPr>
          <w:noProof/>
          <w:u w:val="none"/>
        </w:rPr>
        <w:br/>
      </w:r>
      <w:r>
        <w:rPr>
          <w:noProof/>
          <w:u w:val="none"/>
        </w:rPr>
        <w:br/>
        <w:t>DECISION OF THE EU-SWITZERLAND JOINT COMMITTEE</w:t>
      </w:r>
      <w:r>
        <w:rPr>
          <w:rStyle w:val="FootnoteReference"/>
          <w:noProof/>
          <w:u w:val="none"/>
        </w:rPr>
        <w:footnoteReference w:id="2"/>
      </w:r>
      <w:r>
        <w:rPr>
          <w:noProof/>
          <w:u w:val="none"/>
        </w:rPr>
        <w:t xml:space="preserve"> </w:t>
      </w:r>
      <w:r>
        <w:rPr>
          <w:noProof/>
          <w:u w:val="none"/>
        </w:rPr>
        <w:br/>
      </w:r>
      <w:r>
        <w:rPr>
          <w:noProof/>
          <w:u w:val="none"/>
        </w:rPr>
        <w:br/>
        <w:t>amending the annexes and protocols to the Agreement between the European Economic Community and the Swiss Confederation on direct insurance other than life assurance and finding that the domestic legislation of the Contracting Parties is compatible with that Agreement</w:t>
      </w:r>
    </w:p>
    <w:p>
      <w:pPr>
        <w:pStyle w:val="Institutionquiagit"/>
        <w:rPr>
          <w:noProof/>
        </w:rPr>
      </w:pPr>
      <w:r>
        <w:rPr>
          <w:noProof/>
        </w:rPr>
        <w:t>THE EU-SWITZERLAND JOINT COMMITTEE,</w:t>
      </w:r>
    </w:p>
    <w:p>
      <w:pPr>
        <w:rPr>
          <w:noProof/>
        </w:rPr>
      </w:pPr>
      <w:r>
        <w:rPr>
          <w:noProof/>
        </w:rPr>
        <w:t>Having regard to Article 39 and 40.3 of the Agreement between the European Economic Community and the Swiss Confederation on direct insurance other than life assurance (‘the Agreement’),</w:t>
      </w:r>
    </w:p>
    <w:p>
      <w:pPr>
        <w:rPr>
          <w:noProof/>
        </w:rPr>
      </w:pPr>
      <w:r>
        <w:rPr>
          <w:noProof/>
        </w:rPr>
        <w:t>Having regard to Decision No 1/2001 of the EC-Switzerland Joint Committee</w:t>
      </w:r>
      <w:r>
        <w:rPr>
          <w:rFonts w:eastAsia="Times New Roman"/>
          <w:bCs/>
          <w:noProof/>
          <w:szCs w:val="24"/>
        </w:rPr>
        <w:t>,</w:t>
      </w:r>
    </w:p>
    <w:p>
      <w:pPr>
        <w:rPr>
          <w:noProof/>
        </w:rPr>
      </w:pPr>
      <w:r>
        <w:rPr>
          <w:noProof/>
        </w:rPr>
        <w:t>Whereas:</w:t>
      </w:r>
    </w:p>
    <w:p>
      <w:pPr>
        <w:pStyle w:val="Considrant"/>
        <w:numPr>
          <w:ilvl w:val="0"/>
          <w:numId w:val="9"/>
        </w:numPr>
        <w:rPr>
          <w:noProof/>
        </w:rPr>
      </w:pPr>
      <w:r>
        <w:rPr>
          <w:noProof/>
        </w:rPr>
        <w:t>New Member States have acceded to the Union and their accession requires some technical amendments to Annex III to the Agreement;</w:t>
      </w:r>
    </w:p>
    <w:p>
      <w:pPr>
        <w:pStyle w:val="Considrant"/>
        <w:rPr>
          <w:noProof/>
        </w:rPr>
      </w:pPr>
      <w:r>
        <w:rPr>
          <w:noProof/>
        </w:rPr>
        <w:t>Certain legislative provisions adopted by the Union and by Switzerland require an amendment of the protocols and annexes to the Agreement;</w:t>
      </w:r>
    </w:p>
    <w:p>
      <w:pPr>
        <w:pStyle w:val="Considrant"/>
        <w:rPr>
          <w:noProof/>
        </w:rPr>
      </w:pPr>
      <w:r>
        <w:rPr>
          <w:noProof/>
        </w:rPr>
        <w:t>After examination, certain legislative provisions adopted by Switzerland do not require the Agreement to be amended.</w:t>
      </w:r>
    </w:p>
    <w:p>
      <w:pPr>
        <w:pStyle w:val="Considrant"/>
        <w:rPr>
          <w:noProof/>
        </w:rPr>
      </w:pPr>
      <w:r>
        <w:rPr>
          <w:noProof/>
        </w:rPr>
        <w:t xml:space="preserve">Following the legislative provisions adopted by </w:t>
      </w:r>
      <w:r>
        <w:rPr>
          <w:rFonts w:eastAsia="Times New Roman"/>
          <w:noProof/>
          <w:szCs w:val="24"/>
        </w:rPr>
        <w:t>the Swiss Confederation</w:t>
      </w:r>
      <w:r>
        <w:rPr>
          <w:noProof/>
        </w:rPr>
        <w:t xml:space="preserve"> and the Union between </w:t>
      </w:r>
      <w:r>
        <w:rPr>
          <w:rFonts w:eastAsia="Times New Roman"/>
          <w:noProof/>
          <w:szCs w:val="24"/>
        </w:rPr>
        <w:t>18 </w:t>
      </w:r>
      <w:r>
        <w:rPr>
          <w:noProof/>
        </w:rPr>
        <w:t>July 2001 and [Date of signature of decision], and in order to reflect the accession of new Member States to the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rFonts w:eastAsia="Times New Roman"/>
          <w:noProof/>
          <w:szCs w:val="24"/>
        </w:rPr>
        <w:t>The</w:t>
      </w:r>
      <w:r>
        <w:rPr>
          <w:noProof/>
        </w:rPr>
        <w:t xml:space="preserve"> Agreement is hereby amended as follows:</w:t>
      </w:r>
    </w:p>
    <w:p>
      <w:pPr>
        <w:pStyle w:val="Point0number"/>
        <w:numPr>
          <w:ilvl w:val="0"/>
          <w:numId w:val="10"/>
        </w:numPr>
        <w:tabs>
          <w:tab w:val="clear" w:pos="850"/>
          <w:tab w:val="left" w:pos="567"/>
        </w:tabs>
        <w:ind w:left="0" w:firstLine="0"/>
        <w:rPr>
          <w:noProof/>
        </w:rPr>
      </w:pPr>
      <w:r>
        <w:rPr>
          <w:noProof/>
        </w:rPr>
        <w:t>The exchange value between the EUR and the CHF for all the annexes and protocols  shall be fixed at EUR 1 = CHF 1,14.</w:t>
      </w:r>
    </w:p>
    <w:p>
      <w:pPr>
        <w:pStyle w:val="Point0number"/>
        <w:tabs>
          <w:tab w:val="clear" w:pos="850"/>
          <w:tab w:val="left" w:pos="567"/>
        </w:tabs>
        <w:ind w:left="0" w:firstLine="0"/>
        <w:rPr>
          <w:noProof/>
        </w:rPr>
      </w:pPr>
      <w:r>
        <w:rPr>
          <w:noProof/>
        </w:rPr>
        <w:t>Protocol No 1 to the Agreement shall be amended as follows:</w:t>
      </w:r>
    </w:p>
    <w:p>
      <w:pPr>
        <w:pStyle w:val="Point1"/>
        <w:tabs>
          <w:tab w:val="left" w:pos="1134"/>
        </w:tabs>
        <w:ind w:left="567" w:firstLine="0"/>
        <w:rPr>
          <w:noProof/>
        </w:rPr>
      </w:pPr>
      <w:r>
        <w:rPr>
          <w:noProof/>
        </w:rPr>
        <w:t>(a)</w:t>
      </w:r>
      <w:r>
        <w:rPr>
          <w:b/>
          <w:noProof/>
        </w:rPr>
        <w:tab/>
      </w:r>
      <w:r>
        <w:rPr>
          <w:noProof/>
        </w:rPr>
        <w:t>Article 1 shall be replaced by the following:</w:t>
      </w:r>
    </w:p>
    <w:p>
      <w:pPr>
        <w:pStyle w:val="Point1"/>
        <w:ind w:left="840" w:right="568" w:firstLine="10"/>
        <w:jc w:val="center"/>
        <w:rPr>
          <w:noProof/>
        </w:rPr>
      </w:pPr>
      <w:r>
        <w:rPr>
          <w:noProof/>
        </w:rPr>
        <w:t>“Article 1</w:t>
      </w:r>
    </w:p>
    <w:p>
      <w:pPr>
        <w:pStyle w:val="Point1"/>
        <w:ind w:left="840" w:right="568" w:firstLine="10"/>
        <w:jc w:val="center"/>
        <w:rPr>
          <w:noProof/>
        </w:rPr>
      </w:pPr>
      <w:r>
        <w:rPr>
          <w:noProof/>
        </w:rPr>
        <w:t>Definition of the solvency margin</w:t>
      </w:r>
    </w:p>
    <w:p>
      <w:pPr>
        <w:pStyle w:val="Point1"/>
        <w:ind w:left="1134" w:right="568" w:firstLine="0"/>
        <w:rPr>
          <w:noProof/>
        </w:rPr>
      </w:pPr>
      <w:r>
        <w:rPr>
          <w:noProof/>
        </w:rPr>
        <w:t xml:space="preserve">The solvency margin for undertakings whose head office is domiciled in the territory of the Union is the Solvency Capital Requirement, as referred to in Articles 100 and 101 </w:t>
      </w:r>
      <w:r>
        <w:rPr>
          <w:rFonts w:eastAsia="Times New Roman"/>
          <w:noProof/>
          <w:szCs w:val="24"/>
        </w:rPr>
        <w:t xml:space="preserve">of </w:t>
      </w:r>
      <w:r>
        <w:rPr>
          <w:noProof/>
        </w:rPr>
        <w:t>Directive 2009/138/EC</w:t>
      </w:r>
      <w:r>
        <w:rPr>
          <w:rFonts w:eastAsia="Times New Roman"/>
          <w:noProof/>
          <w:szCs w:val="24"/>
        </w:rPr>
        <w:t xml:space="preserve"> of the European Parliament and of the Council*, (‘Solvency 2’) as </w:t>
      </w:r>
      <w:r>
        <w:rPr>
          <w:noProof/>
        </w:rPr>
        <w:t xml:space="preserve">amended by Directive 2014/51/EU </w:t>
      </w:r>
      <w:r>
        <w:rPr>
          <w:rFonts w:eastAsia="Times New Roman"/>
          <w:noProof/>
          <w:szCs w:val="24"/>
        </w:rPr>
        <w:t>of the European Parliament and of the Council**(‘Omnibus 2’)</w:t>
      </w:r>
    </w:p>
    <w:p>
      <w:pPr>
        <w:pStyle w:val="Point1"/>
        <w:ind w:left="1134" w:right="568" w:firstLine="10"/>
        <w:rPr>
          <w:noProof/>
        </w:rPr>
      </w:pPr>
      <w:r>
        <w:rPr>
          <w:noProof/>
        </w:rPr>
        <w:t xml:space="preserve">The solvency margin for undertakings whose head office is domiciled in the territory of </w:t>
      </w:r>
      <w:r>
        <w:rPr>
          <w:rFonts w:eastAsia="Times New Roman"/>
          <w:noProof/>
          <w:szCs w:val="24"/>
        </w:rPr>
        <w:t>the Swiss Confederation</w:t>
      </w:r>
      <w:r>
        <w:rPr>
          <w:noProof/>
        </w:rPr>
        <w:t xml:space="preserve"> is the Target Capital (Zielkapital), which is defined together with related concepts such as the valuation of assets and liabilities and the Risk Bearing Capital (Risikotragendes Kapital) of the Swiss Solvency Test (SST) in the Versicherungsaufsichtsgesetz</w:t>
      </w:r>
      <w:r>
        <w:rPr>
          <w:rFonts w:eastAsia="Times New Roman"/>
          <w:noProof/>
          <w:szCs w:val="24"/>
        </w:rPr>
        <w:t>***</w:t>
      </w:r>
      <w:r>
        <w:rPr>
          <w:noProof/>
        </w:rPr>
        <w:t xml:space="preserve"> ('Insurance Supervisory Act') and the Aufsichtsverordnung</w:t>
      </w:r>
      <w:r>
        <w:rPr>
          <w:rFonts w:eastAsia="Times New Roman"/>
          <w:noProof/>
          <w:szCs w:val="24"/>
        </w:rPr>
        <w:t>****</w:t>
      </w:r>
      <w:r>
        <w:rPr>
          <w:noProof/>
        </w:rPr>
        <w:t xml:space="preserve"> ('Insurance Supervisory Ordinance').</w:t>
      </w:r>
    </w:p>
    <w:p>
      <w:pPr>
        <w:pStyle w:val="Point1"/>
        <w:ind w:left="1134" w:right="568" w:firstLine="10"/>
        <w:rPr>
          <w:rFonts w:eastAsia="Times New Roman"/>
          <w:noProof/>
          <w:szCs w:val="24"/>
        </w:rPr>
      </w:pPr>
      <w:r>
        <w:rPr>
          <w:rFonts w:eastAsia="Times New Roman"/>
          <w:noProof/>
          <w:szCs w:val="24"/>
        </w:rPr>
        <w:t>_____________________________________________________________</w:t>
      </w:r>
    </w:p>
    <w:p>
      <w:pPr>
        <w:pStyle w:val="Point1"/>
        <w:ind w:left="1701" w:right="568" w:hanging="557"/>
        <w:rPr>
          <w:rFonts w:eastAsia="Times New Roman"/>
          <w:noProof/>
          <w:sz w:val="20"/>
          <w:szCs w:val="20"/>
        </w:rPr>
      </w:pPr>
      <w:r>
        <w:rPr>
          <w:rFonts w:eastAsia="Times New Roman"/>
          <w:noProof/>
          <w:sz w:val="20"/>
          <w:szCs w:val="20"/>
        </w:rPr>
        <w:t>*</w:t>
      </w:r>
      <w:r>
        <w:rPr>
          <w:rFonts w:eastAsia="Times New Roman"/>
          <w:noProof/>
          <w:sz w:val="20"/>
          <w:szCs w:val="20"/>
        </w:rPr>
        <w:tab/>
        <w:t>Directive 2009/138/EC of the European Parliament and of the Council of 25 November 2009 on the taking-up and pursuit of the business of Insurance and Reinsurance (OJ L 335, 17.12.2009, p. 1).</w:t>
      </w:r>
    </w:p>
    <w:p>
      <w:pPr>
        <w:pStyle w:val="Point1"/>
        <w:ind w:left="1701" w:right="568" w:hanging="557"/>
        <w:rPr>
          <w:rFonts w:eastAsia="Times New Roman"/>
          <w:noProof/>
          <w:sz w:val="20"/>
          <w:szCs w:val="20"/>
        </w:rPr>
      </w:pPr>
      <w:r>
        <w:rPr>
          <w:rFonts w:eastAsia="Times New Roman"/>
          <w:noProof/>
          <w:sz w:val="20"/>
          <w:szCs w:val="20"/>
        </w:rPr>
        <w:t>**</w:t>
      </w:r>
      <w:r>
        <w:rPr>
          <w:rFonts w:eastAsia="Times New Roman"/>
          <w:noProof/>
          <w:sz w:val="20"/>
          <w:szCs w:val="20"/>
        </w:rPr>
        <w:tab/>
        <w:t>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 (OJ L 153, 22.5.2014, p. 1).</w:t>
      </w:r>
    </w:p>
    <w:p>
      <w:pPr>
        <w:pStyle w:val="Point1"/>
        <w:ind w:left="1701" w:right="568" w:hanging="557"/>
        <w:rPr>
          <w:rFonts w:eastAsia="Times New Roman"/>
          <w:noProof/>
          <w:sz w:val="20"/>
          <w:szCs w:val="20"/>
          <w:lang w:val="de-DE"/>
        </w:rPr>
      </w:pPr>
      <w:r>
        <w:rPr>
          <w:rFonts w:eastAsia="Times New Roman"/>
          <w:noProof/>
          <w:sz w:val="20"/>
          <w:szCs w:val="20"/>
          <w:lang w:val="de-DE"/>
        </w:rPr>
        <w:t>***</w:t>
      </w:r>
      <w:r>
        <w:rPr>
          <w:rFonts w:eastAsia="Times New Roman"/>
          <w:noProof/>
          <w:sz w:val="20"/>
          <w:szCs w:val="20"/>
          <w:lang w:val="de-DE"/>
        </w:rPr>
        <w:tab/>
        <w:t>Versicherungsaufsichtsgesetz, SR 961.01.</w:t>
      </w:r>
    </w:p>
    <w:p>
      <w:pPr>
        <w:pStyle w:val="Point1"/>
        <w:ind w:left="1701" w:right="568" w:hanging="557"/>
        <w:rPr>
          <w:rFonts w:eastAsia="Times New Roman"/>
          <w:noProof/>
          <w:sz w:val="20"/>
          <w:szCs w:val="20"/>
          <w:lang w:val="de-DE"/>
        </w:rPr>
      </w:pPr>
      <w:r>
        <w:rPr>
          <w:rFonts w:eastAsia="Times New Roman"/>
          <w:noProof/>
          <w:sz w:val="20"/>
          <w:szCs w:val="20"/>
          <w:lang w:val="de-DE"/>
        </w:rPr>
        <w:t>****</w:t>
      </w:r>
      <w:r>
        <w:rPr>
          <w:rFonts w:eastAsia="Times New Roman"/>
          <w:noProof/>
          <w:sz w:val="20"/>
          <w:szCs w:val="20"/>
          <w:lang w:val="de-DE"/>
        </w:rPr>
        <w:tab/>
        <w:t>Aufsichtsverordnung, SR 961.011.”;</w:t>
      </w:r>
    </w:p>
    <w:p>
      <w:pPr>
        <w:pStyle w:val="Point1"/>
        <w:ind w:left="1134" w:right="568"/>
        <w:rPr>
          <w:noProof/>
          <w:lang w:val="de-DE"/>
        </w:rPr>
      </w:pPr>
      <w:r>
        <w:rPr>
          <w:rFonts w:eastAsia="Times New Roman"/>
          <w:noProof/>
          <w:szCs w:val="24"/>
          <w:lang w:val="de-DE"/>
        </w:rPr>
        <w:t>(b)</w:t>
      </w:r>
      <w:r>
        <w:rPr>
          <w:rFonts w:eastAsia="Times New Roman"/>
          <w:noProof/>
          <w:szCs w:val="24"/>
          <w:lang w:val="de-DE"/>
        </w:rPr>
        <w:tab/>
      </w:r>
      <w:r>
        <w:rPr>
          <w:noProof/>
          <w:lang w:val="de-DE"/>
        </w:rPr>
        <w:t xml:space="preserve">Article 2 </w:t>
      </w:r>
      <w:r>
        <w:rPr>
          <w:rFonts w:eastAsia="Times New Roman"/>
          <w:noProof/>
          <w:szCs w:val="24"/>
          <w:lang w:val="de-DE"/>
        </w:rPr>
        <w:t xml:space="preserve">is </w:t>
      </w:r>
      <w:r>
        <w:rPr>
          <w:noProof/>
          <w:lang w:val="de-DE"/>
        </w:rPr>
        <w:t>deleted</w:t>
      </w:r>
      <w:r>
        <w:rPr>
          <w:rFonts w:eastAsia="Times New Roman"/>
          <w:noProof/>
          <w:szCs w:val="24"/>
          <w:lang w:val="de-DE"/>
        </w:rPr>
        <w:t>;</w:t>
      </w:r>
    </w:p>
    <w:p>
      <w:pPr>
        <w:pStyle w:val="Point1"/>
        <w:ind w:left="1134"/>
        <w:rPr>
          <w:rFonts w:eastAsia="Times New Roman"/>
          <w:noProof/>
          <w:szCs w:val="24"/>
        </w:rPr>
      </w:pPr>
      <w:r>
        <w:rPr>
          <w:rFonts w:eastAsia="Times New Roman"/>
          <w:noProof/>
          <w:szCs w:val="24"/>
        </w:rPr>
        <w:t>(c)</w:t>
      </w:r>
      <w:r>
        <w:rPr>
          <w:rFonts w:eastAsia="Times New Roman"/>
          <w:noProof/>
          <w:szCs w:val="24"/>
        </w:rPr>
        <w:tab/>
      </w:r>
      <w:r>
        <w:rPr>
          <w:noProof/>
        </w:rPr>
        <w:t xml:space="preserve">Article 3 </w:t>
      </w:r>
      <w:r>
        <w:rPr>
          <w:rFonts w:eastAsia="Times New Roman"/>
          <w:noProof/>
          <w:szCs w:val="24"/>
        </w:rPr>
        <w:t>is replaced by the following:</w:t>
      </w:r>
    </w:p>
    <w:p>
      <w:pPr>
        <w:pStyle w:val="Point1"/>
        <w:ind w:left="1134" w:right="568" w:firstLine="0"/>
        <w:jc w:val="center"/>
        <w:rPr>
          <w:rFonts w:eastAsia="Times New Roman"/>
          <w:noProof/>
          <w:szCs w:val="24"/>
        </w:rPr>
      </w:pPr>
      <w:r>
        <w:rPr>
          <w:rFonts w:eastAsia="Times New Roman"/>
          <w:noProof/>
          <w:szCs w:val="24"/>
        </w:rPr>
        <w:t>“Article 3</w:t>
      </w:r>
    </w:p>
    <w:p>
      <w:pPr>
        <w:pStyle w:val="Point1"/>
        <w:ind w:left="1134" w:right="568" w:firstLine="0"/>
        <w:jc w:val="center"/>
        <w:rPr>
          <w:noProof/>
        </w:rPr>
      </w:pPr>
      <w:r>
        <w:rPr>
          <w:rFonts w:eastAsia="Times New Roman"/>
          <w:noProof/>
          <w:szCs w:val="24"/>
        </w:rPr>
        <w:t>Definition</w:t>
      </w:r>
      <w:r>
        <w:rPr>
          <w:noProof/>
        </w:rPr>
        <w:t xml:space="preserve"> of the guarantee fund</w:t>
      </w:r>
    </w:p>
    <w:p>
      <w:pPr>
        <w:pStyle w:val="Point1"/>
        <w:ind w:left="1134" w:right="568" w:hanging="1"/>
        <w:rPr>
          <w:noProof/>
        </w:rPr>
      </w:pPr>
      <w:r>
        <w:rPr>
          <w:noProof/>
        </w:rPr>
        <w:t xml:space="preserve">The guarantee fund for undertakings whose head office is domiciled in the territory of the Union is the Minimum Capital Requirement </w:t>
      </w:r>
      <w:r>
        <w:rPr>
          <w:rFonts w:eastAsia="Times New Roman"/>
          <w:noProof/>
          <w:szCs w:val="24"/>
        </w:rPr>
        <w:t xml:space="preserve">as referred to </w:t>
      </w:r>
      <w:r>
        <w:rPr>
          <w:noProof/>
        </w:rPr>
        <w:t xml:space="preserve">in Articles 128 and 129 </w:t>
      </w:r>
      <w:r>
        <w:rPr>
          <w:rFonts w:eastAsia="Times New Roman"/>
          <w:noProof/>
          <w:szCs w:val="24"/>
        </w:rPr>
        <w:t>of Solvency 2</w:t>
      </w:r>
      <w:r>
        <w:rPr>
          <w:noProof/>
        </w:rPr>
        <w:t>, as amended by Omnibus 2.</w:t>
      </w:r>
    </w:p>
    <w:p>
      <w:pPr>
        <w:pStyle w:val="Point1"/>
        <w:ind w:left="1134" w:right="568" w:firstLine="0"/>
        <w:rPr>
          <w:noProof/>
        </w:rPr>
      </w:pPr>
      <w:r>
        <w:rPr>
          <w:noProof/>
        </w:rPr>
        <w:t xml:space="preserve">The guarantee fund for undertakings whose head office is domiciled in the territory of </w:t>
      </w:r>
      <w:r>
        <w:rPr>
          <w:rFonts w:eastAsia="Times New Roman"/>
          <w:noProof/>
          <w:szCs w:val="24"/>
        </w:rPr>
        <w:t>the Swiss Confederation</w:t>
      </w:r>
      <w:r>
        <w:rPr>
          <w:noProof/>
        </w:rPr>
        <w:t xml:space="preserve"> is the minimal capital (lowest intervention level) in the Swiss Solvency Test</w:t>
      </w:r>
      <w:r>
        <w:rPr>
          <w:rFonts w:eastAsia="Times New Roman"/>
          <w:noProof/>
          <w:szCs w:val="24"/>
        </w:rPr>
        <w:t>.”;</w:t>
      </w:r>
    </w:p>
    <w:p>
      <w:pPr>
        <w:pStyle w:val="Point1"/>
        <w:ind w:left="1134"/>
        <w:rPr>
          <w:noProof/>
        </w:rPr>
      </w:pPr>
      <w:r>
        <w:rPr>
          <w:rFonts w:eastAsia="Times New Roman"/>
          <w:noProof/>
          <w:szCs w:val="24"/>
        </w:rPr>
        <w:t>(d)</w:t>
      </w:r>
      <w:r>
        <w:rPr>
          <w:rFonts w:eastAsia="Times New Roman"/>
          <w:noProof/>
          <w:szCs w:val="24"/>
        </w:rPr>
        <w:tab/>
      </w:r>
      <w:r>
        <w:rPr>
          <w:noProof/>
        </w:rPr>
        <w:t xml:space="preserve">Article 4 </w:t>
      </w:r>
      <w:r>
        <w:rPr>
          <w:rFonts w:eastAsia="Times New Roman"/>
          <w:noProof/>
          <w:szCs w:val="24"/>
        </w:rPr>
        <w:t xml:space="preserve">is </w:t>
      </w:r>
      <w:r>
        <w:rPr>
          <w:noProof/>
        </w:rPr>
        <w:t>deleted.</w:t>
      </w:r>
    </w:p>
    <w:p>
      <w:pPr>
        <w:pStyle w:val="Point0number"/>
        <w:tabs>
          <w:tab w:val="clear" w:pos="850"/>
          <w:tab w:val="left" w:pos="567"/>
        </w:tabs>
        <w:ind w:left="0" w:firstLine="0"/>
        <w:rPr>
          <w:noProof/>
        </w:rPr>
      </w:pPr>
      <w:r>
        <w:rPr>
          <w:noProof/>
        </w:rPr>
        <w:t>The list of acceptable legal forms in Part B of Annex III to the Agreement should be replaced by the list in Part A of Annex III to Directive 2009/138/EC of the European Parliament and of the Council</w:t>
      </w:r>
      <w:r>
        <w:rPr>
          <w:rStyle w:val="FootnoteReference"/>
          <w:noProof/>
        </w:rPr>
        <w:footnoteReference w:id="3"/>
      </w:r>
      <w:r>
        <w:rPr>
          <w:noProof/>
        </w:rPr>
        <w:t>.</w:t>
      </w:r>
    </w:p>
    <w:p>
      <w:pPr>
        <w:pStyle w:val="Titrearticle"/>
        <w:rPr>
          <w:noProof/>
        </w:rPr>
      </w:pPr>
      <w:r>
        <w:rPr>
          <w:noProof/>
        </w:rPr>
        <w:t>Article 2</w:t>
      </w:r>
    </w:p>
    <w:p>
      <w:pPr>
        <w:spacing w:before="150" w:after="150"/>
        <w:ind w:right="1"/>
        <w:rPr>
          <w:noProof/>
        </w:rPr>
      </w:pPr>
      <w:r>
        <w:rPr>
          <w:noProof/>
        </w:rPr>
        <w:t xml:space="preserve">The following </w:t>
      </w:r>
      <w:r>
        <w:rPr>
          <w:rFonts w:eastAsia="Times New Roman"/>
          <w:noProof/>
          <w:szCs w:val="24"/>
        </w:rPr>
        <w:t>acts of</w:t>
      </w:r>
      <w:r>
        <w:rPr>
          <w:noProof/>
        </w:rPr>
        <w:t xml:space="preserve"> the </w:t>
      </w:r>
      <w:r>
        <w:rPr>
          <w:rFonts w:eastAsia="Times New Roman"/>
          <w:noProof/>
          <w:szCs w:val="24"/>
        </w:rPr>
        <w:t>Union</w:t>
      </w:r>
      <w:r>
        <w:rPr>
          <w:noProof/>
        </w:rPr>
        <w:t xml:space="preserve"> are compatible with the Agreement:</w:t>
      </w:r>
    </w:p>
    <w:p>
      <w:pPr>
        <w:pStyle w:val="Tiret0"/>
        <w:numPr>
          <w:ilvl w:val="0"/>
          <w:numId w:val="11"/>
        </w:numPr>
        <w:rPr>
          <w:noProof/>
        </w:rPr>
      </w:pPr>
      <w:r>
        <w:rPr>
          <w:noProof/>
        </w:rPr>
        <w:t>Directive 2009/138/EC (‘Solvency 2’), as amended by Directive 2014/51/EU of the European Parliament and of the Council (‘Omnibus 2’)</w:t>
      </w:r>
      <w:r>
        <w:rPr>
          <w:rStyle w:val="FootnoteReference"/>
          <w:noProof/>
        </w:rPr>
        <w:footnoteReference w:id="4"/>
      </w:r>
      <w:r>
        <w:rPr>
          <w:noProof/>
        </w:rPr>
        <w:t>;</w:t>
      </w:r>
    </w:p>
    <w:p>
      <w:pPr>
        <w:pStyle w:val="Tiret0"/>
        <w:rPr>
          <w:noProof/>
        </w:rPr>
      </w:pPr>
      <w:r>
        <w:rPr>
          <w:noProof/>
        </w:rPr>
        <w:t xml:space="preserve">Commission Delegated Regulation No 2015/35, in the version published in the </w:t>
      </w:r>
      <w:r>
        <w:rPr>
          <w:i/>
          <w:noProof/>
        </w:rPr>
        <w:t>Official Journal of the European Union</w:t>
      </w:r>
      <w:r>
        <w:rPr>
          <w:noProof/>
        </w:rPr>
        <w:t xml:space="preserve"> of 17 January 2015</w:t>
      </w:r>
      <w:r>
        <w:rPr>
          <w:rStyle w:val="FootnoteReference"/>
          <w:rFonts w:eastAsia="Times New Roman"/>
          <w:noProof/>
          <w:szCs w:val="24"/>
        </w:rPr>
        <w:footnoteReference w:id="5"/>
      </w:r>
      <w:r>
        <w:rPr>
          <w:noProof/>
        </w:rPr>
        <w:t>;</w:t>
      </w:r>
    </w:p>
    <w:p>
      <w:pPr>
        <w:pStyle w:val="Tiret0"/>
        <w:rPr>
          <w:noProof/>
        </w:rPr>
      </w:pPr>
      <w:r>
        <w:rPr>
          <w:noProof/>
        </w:rPr>
        <w:t xml:space="preserve">Commission Implementing Regulation (EU) 2015/460 on the approval of an internal model, in the version published in the </w:t>
      </w:r>
      <w:r>
        <w:rPr>
          <w:i/>
          <w:noProof/>
        </w:rPr>
        <w:t>Official Journal of the European Union</w:t>
      </w:r>
      <w:r>
        <w:rPr>
          <w:noProof/>
        </w:rPr>
        <w:t xml:space="preserve"> of 20 March 2015</w:t>
      </w:r>
      <w:r>
        <w:rPr>
          <w:rStyle w:val="FootnoteReference"/>
          <w:noProof/>
        </w:rPr>
        <w:footnoteReference w:id="6"/>
      </w:r>
      <w:r>
        <w:rPr>
          <w:noProof/>
        </w:rPr>
        <w:t>;</w:t>
      </w:r>
    </w:p>
    <w:p>
      <w:pPr>
        <w:pStyle w:val="Tiret0"/>
        <w:rPr>
          <w:noProof/>
        </w:rPr>
      </w:pPr>
      <w:r>
        <w:rPr>
          <w:noProof/>
        </w:rPr>
        <w:t xml:space="preserve">Commission Implementing Regulation (EU) 2015/462 on the procedures for supervisory approval to establish SPVs, for the cooperation and exchange of information between supervisory authorities regarding SPVs, as well as to set out formats and templates for information to be reported by SPVs, in the version published in the </w:t>
      </w:r>
      <w:r>
        <w:rPr>
          <w:i/>
          <w:noProof/>
        </w:rPr>
        <w:t>Official Journal of the European Union</w:t>
      </w:r>
      <w:r>
        <w:rPr>
          <w:noProof/>
        </w:rPr>
        <w:t xml:space="preserve"> of 20 March 2015</w:t>
      </w:r>
      <w:r>
        <w:rPr>
          <w:rStyle w:val="FootnoteReference"/>
          <w:noProof/>
        </w:rPr>
        <w:footnoteReference w:id="7"/>
      </w:r>
      <w:r>
        <w:rPr>
          <w:noProof/>
        </w:rPr>
        <w:t xml:space="preserve">; </w:t>
      </w:r>
    </w:p>
    <w:p>
      <w:pPr>
        <w:pStyle w:val="Tiret0"/>
        <w:rPr>
          <w:noProof/>
        </w:rPr>
      </w:pPr>
      <w:r>
        <w:rPr>
          <w:noProof/>
        </w:rPr>
        <w:t xml:space="preserve">Commission Implementing Regulation (EU) 2015/461 on the process to reach a joint decision on the application to use a group internal model, in the version published in the </w:t>
      </w:r>
      <w:r>
        <w:rPr>
          <w:i/>
          <w:noProof/>
        </w:rPr>
        <w:t>Official Journal of the European Union</w:t>
      </w:r>
      <w:r>
        <w:rPr>
          <w:noProof/>
        </w:rPr>
        <w:t xml:space="preserve"> of 20 March 2015</w:t>
      </w:r>
      <w:r>
        <w:rPr>
          <w:rStyle w:val="FootnoteReference"/>
          <w:noProof/>
        </w:rPr>
        <w:footnoteReference w:id="8"/>
      </w:r>
      <w:r>
        <w:rPr>
          <w:noProof/>
        </w:rPr>
        <w:t xml:space="preserve">; </w:t>
      </w:r>
    </w:p>
    <w:p>
      <w:pPr>
        <w:pStyle w:val="Tiret0"/>
        <w:rPr>
          <w:noProof/>
        </w:rPr>
      </w:pPr>
      <w:r>
        <w:rPr>
          <w:noProof/>
        </w:rPr>
        <w:t xml:space="preserve">Commission Implementing Regulation (EU) 2015/498 on the supervisory approval procedure to use undertaking-specific parameters, in the version published in the </w:t>
      </w:r>
      <w:r>
        <w:rPr>
          <w:i/>
          <w:noProof/>
        </w:rPr>
        <w:t>Official Journal of the European Union</w:t>
      </w:r>
      <w:r>
        <w:rPr>
          <w:noProof/>
        </w:rPr>
        <w:t xml:space="preserve"> of 25 March 2015</w:t>
      </w:r>
      <w:r>
        <w:rPr>
          <w:rStyle w:val="FootnoteReference"/>
          <w:noProof/>
        </w:rPr>
        <w:footnoteReference w:id="9"/>
      </w:r>
      <w:r>
        <w:rPr>
          <w:noProof/>
        </w:rPr>
        <w:t xml:space="preserve">; </w:t>
      </w:r>
    </w:p>
    <w:p>
      <w:pPr>
        <w:pStyle w:val="Tiret0"/>
        <w:rPr>
          <w:noProof/>
        </w:rPr>
      </w:pPr>
      <w:r>
        <w:rPr>
          <w:noProof/>
        </w:rPr>
        <w:t xml:space="preserve">Commission Implementing Regulation (EU) 2015/500 on the procedures to be followed for the supervisory approval of the application of a matching adjustment, in the version published in the </w:t>
      </w:r>
      <w:r>
        <w:rPr>
          <w:i/>
          <w:noProof/>
        </w:rPr>
        <w:t>Official Journal of the European Union</w:t>
      </w:r>
      <w:r>
        <w:rPr>
          <w:noProof/>
        </w:rPr>
        <w:t xml:space="preserve"> of 25 March 2015</w:t>
      </w:r>
      <w:r>
        <w:rPr>
          <w:rStyle w:val="FootnoteReference"/>
          <w:noProof/>
        </w:rPr>
        <w:footnoteReference w:id="10"/>
      </w:r>
      <w:r>
        <w:rPr>
          <w:noProof/>
        </w:rPr>
        <w:t xml:space="preserve">; </w:t>
      </w:r>
    </w:p>
    <w:p>
      <w:pPr>
        <w:pStyle w:val="Tiret0"/>
        <w:rPr>
          <w:noProof/>
        </w:rPr>
      </w:pPr>
      <w:r>
        <w:rPr>
          <w:noProof/>
        </w:rPr>
        <w:t xml:space="preserve">Commission Implementing Regulation (EU) 2015/499 on the procedures to be used for granting supervisory approval for the use of ancillary own-fund items, in the version published in the </w:t>
      </w:r>
      <w:r>
        <w:rPr>
          <w:i/>
          <w:noProof/>
        </w:rPr>
        <w:t>Official Journal of the European Union</w:t>
      </w:r>
      <w:r>
        <w:rPr>
          <w:noProof/>
        </w:rPr>
        <w:t xml:space="preserve"> of 25 March 2015</w:t>
      </w:r>
      <w:r>
        <w:rPr>
          <w:rStyle w:val="FootnoteReference"/>
          <w:noProof/>
        </w:rPr>
        <w:footnoteReference w:id="11"/>
      </w:r>
      <w:r>
        <w:rPr>
          <w:noProof/>
        </w:rPr>
        <w:t xml:space="preserve">; </w:t>
      </w:r>
    </w:p>
    <w:p>
      <w:pPr>
        <w:pStyle w:val="Tiret0"/>
        <w:rPr>
          <w:noProof/>
        </w:rPr>
      </w:pPr>
      <w:r>
        <w:rPr>
          <w:noProof/>
        </w:rPr>
        <w:t xml:space="preserve">Commission Delegated Decision (EU) 2015/1602 on the equivalence of the solvency and prudential regime for insurance and reinsurance undertakings in force in Switzerland, in the version published in the </w:t>
      </w:r>
      <w:r>
        <w:rPr>
          <w:i/>
          <w:noProof/>
        </w:rPr>
        <w:t>Official Journal of the European Union</w:t>
      </w:r>
      <w:r>
        <w:rPr>
          <w:noProof/>
        </w:rPr>
        <w:t xml:space="preserve"> of 24 September 2015</w:t>
      </w:r>
      <w:r>
        <w:rPr>
          <w:rStyle w:val="FootnoteReference"/>
          <w:noProof/>
        </w:rPr>
        <w:footnoteReference w:id="12"/>
      </w:r>
      <w:r>
        <w:rPr>
          <w:noProof/>
        </w:rPr>
        <w:t xml:space="preserve">; </w:t>
      </w:r>
    </w:p>
    <w:p>
      <w:pPr>
        <w:pStyle w:val="Tiret0"/>
        <w:rPr>
          <w:noProof/>
        </w:rPr>
      </w:pPr>
      <w:r>
        <w:rPr>
          <w:noProof/>
        </w:rPr>
        <w:t xml:space="preserve">Commission Delegated Decision (EU) 2015/2290 on the provisional equivalence of the solvency regimes in force in Australia, Bermuda, Brazil, Canada, Mexico and the United States, in the version published in the </w:t>
      </w:r>
      <w:r>
        <w:rPr>
          <w:i/>
          <w:noProof/>
        </w:rPr>
        <w:t>Official Journal of the European Union</w:t>
      </w:r>
      <w:r>
        <w:rPr>
          <w:noProof/>
        </w:rPr>
        <w:t xml:space="preserve"> of 9 December 2015</w:t>
      </w:r>
      <w:r>
        <w:rPr>
          <w:rStyle w:val="FootnoteReference"/>
          <w:noProof/>
        </w:rPr>
        <w:footnoteReference w:id="13"/>
      </w:r>
      <w:r>
        <w:rPr>
          <w:noProof/>
        </w:rPr>
        <w:t xml:space="preserve">; </w:t>
      </w:r>
    </w:p>
    <w:p>
      <w:pPr>
        <w:pStyle w:val="Tiret0"/>
        <w:rPr>
          <w:noProof/>
        </w:rPr>
      </w:pPr>
      <w:r>
        <w:rPr>
          <w:noProof/>
        </w:rPr>
        <w:t xml:space="preserve">Commission Delegated Regulation (EU) 2016/467 amending Delegated Regulation (EU) 2015/35 concerning the calculation of regulatory capital requirements for several categories of assets held by insurance and reinsurance undertakings, in the version published in the </w:t>
      </w:r>
      <w:r>
        <w:rPr>
          <w:i/>
          <w:noProof/>
        </w:rPr>
        <w:t>Official Journal of the European Union</w:t>
      </w:r>
      <w:r>
        <w:rPr>
          <w:noProof/>
        </w:rPr>
        <w:t xml:space="preserve"> of 1 April 2016</w:t>
      </w:r>
      <w:r>
        <w:rPr>
          <w:rStyle w:val="FootnoteReference"/>
          <w:noProof/>
        </w:rPr>
        <w:footnoteReference w:id="14"/>
      </w:r>
      <w:r>
        <w:rPr>
          <w:noProof/>
        </w:rPr>
        <w:t>;</w:t>
      </w:r>
    </w:p>
    <w:p>
      <w:pPr>
        <w:pStyle w:val="Tiret0"/>
        <w:rPr>
          <w:noProof/>
        </w:rPr>
      </w:pPr>
      <w:r>
        <w:rPr>
          <w:noProof/>
        </w:rPr>
        <w:t xml:space="preserve">Commission Implementing Regulation (EU) 2015/2011 on the lists of regional governments and local authorities, exposures to whom are to be treated as exposures to the central government in accordance with Directive 2009/138/EC, in the version published in the </w:t>
      </w:r>
      <w:r>
        <w:rPr>
          <w:i/>
          <w:noProof/>
        </w:rPr>
        <w:t>Official Journal of the European Union</w:t>
      </w:r>
      <w:r>
        <w:rPr>
          <w:noProof/>
        </w:rPr>
        <w:t xml:space="preserve"> of 12 November 2015</w:t>
      </w:r>
      <w:r>
        <w:rPr>
          <w:rStyle w:val="FootnoteReference"/>
          <w:noProof/>
        </w:rPr>
        <w:footnoteReference w:id="15"/>
      </w:r>
      <w:r>
        <w:rPr>
          <w:noProof/>
        </w:rPr>
        <w:t>;</w:t>
      </w:r>
    </w:p>
    <w:p>
      <w:pPr>
        <w:pStyle w:val="Tiret0"/>
        <w:rPr>
          <w:noProof/>
        </w:rPr>
      </w:pPr>
      <w:r>
        <w:rPr>
          <w:noProof/>
        </w:rPr>
        <w:t xml:space="preserve">Commission Implementing Regulation (EU) 2015/2016 on the equity index for the symmetric adjustment of the standard equity capital charge, in the version published in the </w:t>
      </w:r>
      <w:r>
        <w:rPr>
          <w:i/>
          <w:noProof/>
        </w:rPr>
        <w:t>Official Journal of the European Union</w:t>
      </w:r>
      <w:r>
        <w:rPr>
          <w:noProof/>
        </w:rPr>
        <w:t xml:space="preserve"> of 12 November 2015</w:t>
      </w:r>
      <w:r>
        <w:rPr>
          <w:rStyle w:val="FootnoteReference"/>
          <w:noProof/>
        </w:rPr>
        <w:footnoteReference w:id="16"/>
      </w:r>
      <w:r>
        <w:rPr>
          <w:noProof/>
        </w:rPr>
        <w:t>;</w:t>
      </w:r>
    </w:p>
    <w:p>
      <w:pPr>
        <w:pStyle w:val="Tiret0"/>
        <w:rPr>
          <w:noProof/>
        </w:rPr>
      </w:pPr>
      <w:r>
        <w:rPr>
          <w:noProof/>
        </w:rPr>
        <w:t xml:space="preserve">Commission Implementing Regulation (EU) 2015/2017 on the adjusted factors to calculate the capital requirement for currency risk for currencies pegged to the euro, in the version published in the </w:t>
      </w:r>
      <w:r>
        <w:rPr>
          <w:i/>
          <w:noProof/>
        </w:rPr>
        <w:t>Official Journal of the European Union</w:t>
      </w:r>
      <w:r>
        <w:rPr>
          <w:noProof/>
        </w:rPr>
        <w:t xml:space="preserve"> of 12 November 2015</w:t>
      </w:r>
      <w:r>
        <w:rPr>
          <w:rStyle w:val="FootnoteReference"/>
          <w:noProof/>
        </w:rPr>
        <w:footnoteReference w:id="17"/>
      </w:r>
      <w:r>
        <w:rPr>
          <w:noProof/>
        </w:rPr>
        <w:t>;</w:t>
      </w:r>
    </w:p>
    <w:p>
      <w:pPr>
        <w:pStyle w:val="Tiret0"/>
        <w:rPr>
          <w:noProof/>
        </w:rPr>
      </w:pPr>
      <w:r>
        <w:rPr>
          <w:noProof/>
        </w:rPr>
        <w:t xml:space="preserve">Commission Implementing Regulation (EU) 2015/2013 on standard deviations in relation to health risk equalisation systems, in the version published in the </w:t>
      </w:r>
      <w:r>
        <w:rPr>
          <w:i/>
          <w:noProof/>
        </w:rPr>
        <w:t>Official Journal of the European Union</w:t>
      </w:r>
      <w:r>
        <w:rPr>
          <w:noProof/>
        </w:rPr>
        <w:t xml:space="preserve"> of 12 November 2015</w:t>
      </w:r>
      <w:r>
        <w:rPr>
          <w:rStyle w:val="FootnoteReference"/>
          <w:noProof/>
        </w:rPr>
        <w:footnoteReference w:id="18"/>
      </w:r>
      <w:r>
        <w:rPr>
          <w:noProof/>
        </w:rPr>
        <w:t>;</w:t>
      </w:r>
    </w:p>
    <w:p>
      <w:pPr>
        <w:pStyle w:val="Tiret0"/>
        <w:rPr>
          <w:noProof/>
        </w:rPr>
      </w:pPr>
      <w:r>
        <w:rPr>
          <w:noProof/>
        </w:rPr>
        <w:t xml:space="preserve">Commission Implementing Regulation (EU) 2015/2014 on the procedures and templates for the submission of information to the group supervisor and for the exchange of information between supervisory authorities, in the version published in the </w:t>
      </w:r>
      <w:r>
        <w:rPr>
          <w:i/>
          <w:noProof/>
        </w:rPr>
        <w:t>Official Journal of the European Union</w:t>
      </w:r>
      <w:r>
        <w:rPr>
          <w:noProof/>
        </w:rPr>
        <w:t xml:space="preserve"> of 12 November 2015</w:t>
      </w:r>
      <w:r>
        <w:rPr>
          <w:rStyle w:val="FootnoteReference"/>
          <w:noProof/>
        </w:rPr>
        <w:footnoteReference w:id="19"/>
      </w:r>
      <w:r>
        <w:rPr>
          <w:noProof/>
        </w:rPr>
        <w:t>;</w:t>
      </w:r>
    </w:p>
    <w:p>
      <w:pPr>
        <w:pStyle w:val="Tiret0"/>
        <w:rPr>
          <w:noProof/>
        </w:rPr>
      </w:pPr>
      <w:r>
        <w:rPr>
          <w:noProof/>
        </w:rPr>
        <w:t xml:space="preserve">Commission Implementing Regulation (EU) 2015/2012 on the procedures for decisions to set, calculate and remove capital add-ons, in the version published in the </w:t>
      </w:r>
      <w:r>
        <w:rPr>
          <w:i/>
          <w:noProof/>
        </w:rPr>
        <w:t>Official Journal of the European Union</w:t>
      </w:r>
      <w:r>
        <w:rPr>
          <w:noProof/>
        </w:rPr>
        <w:t xml:space="preserve"> of 12 November 2015</w:t>
      </w:r>
      <w:r>
        <w:rPr>
          <w:rStyle w:val="FootnoteReference"/>
          <w:noProof/>
        </w:rPr>
        <w:footnoteReference w:id="20"/>
      </w:r>
      <w:r>
        <w:rPr>
          <w:noProof/>
        </w:rPr>
        <w:t>;</w:t>
      </w:r>
    </w:p>
    <w:p>
      <w:pPr>
        <w:pStyle w:val="Tiret0"/>
        <w:rPr>
          <w:noProof/>
        </w:rPr>
      </w:pPr>
      <w:r>
        <w:rPr>
          <w:noProof/>
        </w:rPr>
        <w:t xml:space="preserve">Commission Implementing Regulation (EU) 2015/2015 on the procedures for assessing external credit assessments, in the version published in the </w:t>
      </w:r>
      <w:r>
        <w:rPr>
          <w:i/>
          <w:noProof/>
        </w:rPr>
        <w:t>Official Journal of the European Union</w:t>
      </w:r>
      <w:r>
        <w:rPr>
          <w:noProof/>
        </w:rPr>
        <w:t xml:space="preserve"> of 12 November 2015</w:t>
      </w:r>
      <w:r>
        <w:rPr>
          <w:rStyle w:val="FootnoteReference"/>
          <w:noProof/>
        </w:rPr>
        <w:footnoteReference w:id="21"/>
      </w:r>
      <w:r>
        <w:rPr>
          <w:noProof/>
        </w:rPr>
        <w:t>;</w:t>
      </w:r>
    </w:p>
    <w:p>
      <w:pPr>
        <w:pStyle w:val="Tiret0"/>
        <w:rPr>
          <w:noProof/>
        </w:rPr>
      </w:pPr>
      <w:r>
        <w:rPr>
          <w:noProof/>
        </w:rPr>
        <w:t xml:space="preserve">Commission Delegated Decision (EU) 2016/310 on the equivalence of the solvency regime for insurance and reinsurance undertakings in force in Japan, in the version published in the </w:t>
      </w:r>
      <w:r>
        <w:rPr>
          <w:i/>
          <w:noProof/>
        </w:rPr>
        <w:t>Official Journal of the European Union</w:t>
      </w:r>
      <w:r>
        <w:rPr>
          <w:noProof/>
        </w:rPr>
        <w:t xml:space="preserve"> of 4 March 2016</w:t>
      </w:r>
      <w:r>
        <w:rPr>
          <w:rStyle w:val="FootnoteReference"/>
          <w:noProof/>
        </w:rPr>
        <w:footnoteReference w:id="22"/>
      </w:r>
      <w:r>
        <w:rPr>
          <w:noProof/>
        </w:rPr>
        <w:t>;</w:t>
      </w:r>
    </w:p>
    <w:p>
      <w:pPr>
        <w:pStyle w:val="Tiret0"/>
        <w:rPr>
          <w:noProof/>
        </w:rPr>
      </w:pPr>
      <w:r>
        <w:rPr>
          <w:noProof/>
        </w:rPr>
        <w:t xml:space="preserve">Commission Delegated Decision (EU) 2016/309 on the equivalence of the supervisory regime for insurance and reinsurance undertakings in force in Bermuda  amending Comission Delegated Decision (EU) 2015/2290, in the version published in the </w:t>
      </w:r>
      <w:r>
        <w:rPr>
          <w:i/>
          <w:noProof/>
        </w:rPr>
        <w:t>Official Journal of the European Union</w:t>
      </w:r>
      <w:r>
        <w:rPr>
          <w:noProof/>
        </w:rPr>
        <w:t xml:space="preserve"> of 4 March 2016</w:t>
      </w:r>
      <w:r>
        <w:rPr>
          <w:rStyle w:val="FootnoteReference"/>
          <w:noProof/>
        </w:rPr>
        <w:footnoteReference w:id="23"/>
      </w:r>
      <w:r>
        <w:rPr>
          <w:noProof/>
        </w:rPr>
        <w:t>;</w:t>
      </w:r>
    </w:p>
    <w:p>
      <w:pPr>
        <w:pStyle w:val="Tiret0"/>
        <w:rPr>
          <w:noProof/>
        </w:rPr>
      </w:pPr>
      <w:r>
        <w:rPr>
          <w:noProof/>
        </w:rPr>
        <w:t xml:space="preserve">Commission Implementing Regulation (EU) 2015/2450 -Supervisory reporting: templates for submission, in the version published in the </w:t>
      </w:r>
      <w:r>
        <w:rPr>
          <w:i/>
          <w:noProof/>
        </w:rPr>
        <w:t>Official Journal of the European Union</w:t>
      </w:r>
      <w:r>
        <w:rPr>
          <w:noProof/>
        </w:rPr>
        <w:t xml:space="preserve"> of 31 December 2015</w:t>
      </w:r>
      <w:r>
        <w:rPr>
          <w:rStyle w:val="FootnoteReference"/>
          <w:noProof/>
        </w:rPr>
        <w:footnoteReference w:id="24"/>
      </w:r>
      <w:r>
        <w:rPr>
          <w:noProof/>
        </w:rPr>
        <w:t>;</w:t>
      </w:r>
    </w:p>
    <w:p>
      <w:pPr>
        <w:pStyle w:val="Tiret0"/>
        <w:rPr>
          <w:noProof/>
        </w:rPr>
      </w:pPr>
      <w:r>
        <w:rPr>
          <w:noProof/>
        </w:rPr>
        <w:t xml:space="preserve">Commission Implementing Regulation (EU) 2015/2452 -Solvency and financial condition report, in the version published in the </w:t>
      </w:r>
      <w:r>
        <w:rPr>
          <w:i/>
          <w:noProof/>
        </w:rPr>
        <w:t>Official Journal of the European Union</w:t>
      </w:r>
      <w:r>
        <w:rPr>
          <w:noProof/>
        </w:rPr>
        <w:t xml:space="preserve"> of 31 December 2015</w:t>
      </w:r>
      <w:r>
        <w:rPr>
          <w:rStyle w:val="FootnoteReference"/>
          <w:noProof/>
        </w:rPr>
        <w:footnoteReference w:id="25"/>
      </w:r>
      <w:r>
        <w:rPr>
          <w:noProof/>
        </w:rPr>
        <w:t>;</w:t>
      </w:r>
    </w:p>
    <w:p>
      <w:pPr>
        <w:pStyle w:val="Tiret0"/>
        <w:rPr>
          <w:noProof/>
        </w:rPr>
      </w:pPr>
      <w:r>
        <w:rPr>
          <w:noProof/>
        </w:rPr>
        <w:t xml:space="preserve">Commission Implementing Regulation (EU) 2015/2451 - Reporting by supervisors, in the version published in the </w:t>
      </w:r>
      <w:r>
        <w:rPr>
          <w:i/>
          <w:noProof/>
        </w:rPr>
        <w:t>Official Journal of the European Union</w:t>
      </w:r>
      <w:r>
        <w:rPr>
          <w:noProof/>
        </w:rPr>
        <w:t xml:space="preserve"> of 31 December 2015</w:t>
      </w:r>
      <w:r>
        <w:rPr>
          <w:rStyle w:val="FootnoteReference"/>
          <w:noProof/>
        </w:rPr>
        <w:footnoteReference w:id="26"/>
      </w:r>
      <w:r>
        <w:rPr>
          <w:noProof/>
        </w:rPr>
        <w:t>;</w:t>
      </w:r>
    </w:p>
    <w:p>
      <w:pPr>
        <w:pStyle w:val="Tiret0"/>
        <w:rPr>
          <w:noProof/>
        </w:rPr>
      </w:pPr>
      <w:r>
        <w:rPr>
          <w:noProof/>
        </w:rPr>
        <w:t xml:space="preserve">Commission Implementing Regulation (EU) 2016/165 on the calculation of technical provisions and basic own funds for reporting with reference dates from 1 January until 30 March 2016, in the version published in the </w:t>
      </w:r>
      <w:r>
        <w:rPr>
          <w:i/>
          <w:noProof/>
        </w:rPr>
        <w:t>Official Journal of the European Union</w:t>
      </w:r>
      <w:r>
        <w:rPr>
          <w:noProof/>
        </w:rPr>
        <w:t xml:space="preserve"> of 9 February 2016</w:t>
      </w:r>
      <w:r>
        <w:rPr>
          <w:rStyle w:val="FootnoteReference"/>
          <w:noProof/>
        </w:rPr>
        <w:footnoteReference w:id="27"/>
      </w:r>
      <w:r>
        <w:rPr>
          <w:noProof/>
        </w:rPr>
        <w:t>;</w:t>
      </w:r>
    </w:p>
    <w:p>
      <w:pPr>
        <w:pStyle w:val="Tiret0"/>
        <w:rPr>
          <w:noProof/>
        </w:rPr>
      </w:pPr>
      <w:r>
        <w:rPr>
          <w:noProof/>
        </w:rPr>
        <w:t xml:space="preserve">Commission Implementing Regulation (EU) 2016/869 on the calculation of technical provisions and basic own funds for reporting with reference dates from 31 March until 29 June 2016, in the version published in the </w:t>
      </w:r>
      <w:r>
        <w:rPr>
          <w:i/>
          <w:noProof/>
        </w:rPr>
        <w:t>Official Journal of the European Union</w:t>
      </w:r>
      <w:r>
        <w:rPr>
          <w:noProof/>
        </w:rPr>
        <w:t xml:space="preserve"> of 3 June 2016</w:t>
      </w:r>
      <w:r>
        <w:rPr>
          <w:rStyle w:val="FootnoteReference"/>
          <w:noProof/>
        </w:rPr>
        <w:footnoteReference w:id="28"/>
      </w:r>
      <w:r>
        <w:rPr>
          <w:noProof/>
        </w:rPr>
        <w:t>;</w:t>
      </w:r>
    </w:p>
    <w:p>
      <w:pPr>
        <w:pStyle w:val="Tiret0"/>
        <w:rPr>
          <w:noProof/>
        </w:rPr>
      </w:pPr>
      <w:r>
        <w:rPr>
          <w:noProof/>
        </w:rPr>
        <w:t xml:space="preserve">Commission Implementing Regulation (EU) 2016/1376 on the calculation of technical provisions and basic own funds for reporting with reference dates from 30 June until 29 September 2016, in the version published in the </w:t>
      </w:r>
      <w:r>
        <w:rPr>
          <w:i/>
          <w:noProof/>
        </w:rPr>
        <w:t>Official Journal of the European Union</w:t>
      </w:r>
      <w:r>
        <w:rPr>
          <w:noProof/>
        </w:rPr>
        <w:t xml:space="preserve"> of 18 August 2016</w:t>
      </w:r>
      <w:r>
        <w:rPr>
          <w:rStyle w:val="FootnoteReference"/>
          <w:noProof/>
        </w:rPr>
        <w:footnoteReference w:id="29"/>
      </w:r>
      <w:r>
        <w:rPr>
          <w:noProof/>
        </w:rPr>
        <w:t>;</w:t>
      </w:r>
    </w:p>
    <w:p>
      <w:pPr>
        <w:pStyle w:val="Tiret0"/>
        <w:rPr>
          <w:noProof/>
        </w:rPr>
      </w:pPr>
      <w:r>
        <w:rPr>
          <w:noProof/>
        </w:rPr>
        <w:t xml:space="preserve">Commission Implementing Regulation (EU) 2016/1630 on the procedures for the application of the transitional measure for the equity risk sub-module, in the version published in the </w:t>
      </w:r>
      <w:r>
        <w:rPr>
          <w:i/>
          <w:noProof/>
        </w:rPr>
        <w:t>Official Journal of the European Union</w:t>
      </w:r>
      <w:r>
        <w:rPr>
          <w:noProof/>
        </w:rPr>
        <w:t xml:space="preserve"> of 10 September 2016</w:t>
      </w:r>
      <w:r>
        <w:rPr>
          <w:rStyle w:val="FootnoteReference"/>
          <w:noProof/>
        </w:rPr>
        <w:footnoteReference w:id="30"/>
      </w:r>
      <w:r>
        <w:rPr>
          <w:noProof/>
        </w:rPr>
        <w:t>;</w:t>
      </w:r>
    </w:p>
    <w:p>
      <w:pPr>
        <w:pStyle w:val="Tiret0"/>
        <w:rPr>
          <w:noProof/>
        </w:rPr>
      </w:pPr>
      <w:r>
        <w:rPr>
          <w:noProof/>
        </w:rPr>
        <w:t xml:space="preserve">Commission Implementing Regulation (EU) 2016/1800 on the allocation of credit assessments of external credit assessment institutions to an objective scale of credit quality steps, in the version published in the </w:t>
      </w:r>
      <w:r>
        <w:rPr>
          <w:i/>
          <w:noProof/>
        </w:rPr>
        <w:t>Official Journal of the European Union</w:t>
      </w:r>
      <w:r>
        <w:rPr>
          <w:noProof/>
        </w:rPr>
        <w:t xml:space="preserve"> of 12 October 2016</w:t>
      </w:r>
      <w:r>
        <w:rPr>
          <w:rStyle w:val="FootnoteReference"/>
          <w:noProof/>
        </w:rPr>
        <w:footnoteReference w:id="31"/>
      </w:r>
      <w:r>
        <w:rPr>
          <w:noProof/>
        </w:rPr>
        <w:t>;</w:t>
      </w:r>
    </w:p>
    <w:p>
      <w:pPr>
        <w:pStyle w:val="Tiret0"/>
        <w:rPr>
          <w:noProof/>
        </w:rPr>
      </w:pPr>
      <w:r>
        <w:rPr>
          <w:noProof/>
        </w:rPr>
        <w:t xml:space="preserve">Commission Implementing Regulation (EU) 2016/1868 amending and correcting Impl. Reg. (EU) 2015/2450 on the templates for the submission of information to the supervisory authorities, in the version published in the </w:t>
      </w:r>
      <w:r>
        <w:rPr>
          <w:i/>
          <w:noProof/>
        </w:rPr>
        <w:t>Official Journal of the European Union</w:t>
      </w:r>
      <w:r>
        <w:rPr>
          <w:noProof/>
        </w:rPr>
        <w:t xml:space="preserve"> of 21 October 2016</w:t>
      </w:r>
      <w:r>
        <w:rPr>
          <w:rStyle w:val="FootnoteReference"/>
          <w:noProof/>
        </w:rPr>
        <w:footnoteReference w:id="32"/>
      </w:r>
      <w:r>
        <w:rPr>
          <w:noProof/>
        </w:rPr>
        <w:t>;</w:t>
      </w:r>
    </w:p>
    <w:p>
      <w:pPr>
        <w:pStyle w:val="Tiret0"/>
        <w:rPr>
          <w:noProof/>
        </w:rPr>
      </w:pPr>
      <w:r>
        <w:rPr>
          <w:noProof/>
        </w:rPr>
        <w:t xml:space="preserve">Commission Commission Implementing Regulation (EU) 2016/1976 laying down technical information for the calculation of technical provisions and basic own funds for reporting with reference dates from 30 September until 30 December 2016, in the version published in the </w:t>
      </w:r>
      <w:r>
        <w:rPr>
          <w:i/>
          <w:noProof/>
        </w:rPr>
        <w:t>Official Journal of the European Union</w:t>
      </w:r>
      <w:r>
        <w:rPr>
          <w:noProof/>
        </w:rPr>
        <w:t xml:space="preserve"> of 16 November 2016</w:t>
      </w:r>
      <w:r>
        <w:rPr>
          <w:rStyle w:val="FootnoteReference"/>
          <w:noProof/>
        </w:rPr>
        <w:footnoteReference w:id="33"/>
      </w:r>
      <w:r>
        <w:rPr>
          <w:noProof/>
        </w:rPr>
        <w:t>;</w:t>
      </w:r>
    </w:p>
    <w:p>
      <w:pPr>
        <w:pStyle w:val="Tiret0"/>
        <w:rPr>
          <w:noProof/>
        </w:rPr>
      </w:pPr>
      <w:r>
        <w:rPr>
          <w:noProof/>
        </w:rPr>
        <w:t xml:space="preserve">Commission Implementing Regulation (EU) 2017/309 laying down technical information for the calculation of technical provisions and basic own funds for reporting with reference dates from 31 December 2016 until 30 March 2017, in the version published in the </w:t>
      </w:r>
      <w:r>
        <w:rPr>
          <w:i/>
          <w:noProof/>
        </w:rPr>
        <w:t>Official Journal of the European Union</w:t>
      </w:r>
      <w:r>
        <w:rPr>
          <w:noProof/>
        </w:rPr>
        <w:t xml:space="preserve"> of 28 February 2017</w:t>
      </w:r>
      <w:r>
        <w:rPr>
          <w:rStyle w:val="FootnoteReference"/>
          <w:noProof/>
        </w:rPr>
        <w:footnoteReference w:id="34"/>
      </w:r>
      <w:r>
        <w:rPr>
          <w:noProof/>
        </w:rPr>
        <w:t>;</w:t>
      </w:r>
    </w:p>
    <w:p>
      <w:pPr>
        <w:pStyle w:val="Tiret0"/>
        <w:rPr>
          <w:noProof/>
        </w:rPr>
      </w:pPr>
      <w:r>
        <w:rPr>
          <w:noProof/>
        </w:rPr>
        <w:t xml:space="preserve">Commission Implementing Regulation (EU) 2017/812 laying down technical information for the calculation of technical provisions and basic own funds for reporting with reference dates from 31 March until 29 June 2017, in the version published in the </w:t>
      </w:r>
      <w:r>
        <w:rPr>
          <w:i/>
          <w:noProof/>
        </w:rPr>
        <w:t>Official Journal of the European Union</w:t>
      </w:r>
      <w:r>
        <w:rPr>
          <w:noProof/>
        </w:rPr>
        <w:t xml:space="preserve"> of 18 May 2017</w:t>
      </w:r>
      <w:r>
        <w:rPr>
          <w:rStyle w:val="FootnoteReference"/>
          <w:noProof/>
        </w:rPr>
        <w:footnoteReference w:id="35"/>
      </w:r>
      <w:r>
        <w:rPr>
          <w:noProof/>
        </w:rPr>
        <w:t>;</w:t>
      </w:r>
    </w:p>
    <w:p>
      <w:pPr>
        <w:pStyle w:val="Tiret0"/>
        <w:rPr>
          <w:noProof/>
        </w:rPr>
      </w:pPr>
      <w:r>
        <w:rPr>
          <w:noProof/>
        </w:rPr>
        <w:t xml:space="preserve">Commission Delegated Regulation (EU) 2017/1542 amending Delegated Regulation (EU) 2015/35 concerning the calculation of regulatory capital requirements for certain categories of assets held by insurance and reinsurance undertakings (infrastructure corporates), in the version published in the </w:t>
      </w:r>
      <w:r>
        <w:rPr>
          <w:i/>
          <w:noProof/>
        </w:rPr>
        <w:t>Official Journal of the European Union</w:t>
      </w:r>
      <w:r>
        <w:rPr>
          <w:noProof/>
        </w:rPr>
        <w:t xml:space="preserve"> of 14 September 2017</w:t>
      </w:r>
      <w:r>
        <w:rPr>
          <w:rStyle w:val="FootnoteReference"/>
          <w:noProof/>
        </w:rPr>
        <w:footnoteReference w:id="36"/>
      </w:r>
      <w:r>
        <w:rPr>
          <w:noProof/>
        </w:rPr>
        <w:t>;</w:t>
      </w:r>
    </w:p>
    <w:p>
      <w:pPr>
        <w:pStyle w:val="Tiret0"/>
        <w:rPr>
          <w:noProof/>
        </w:rPr>
      </w:pPr>
      <w:r>
        <w:rPr>
          <w:noProof/>
        </w:rPr>
        <w:t xml:space="preserve">Commission Implementing Regulation (EU) 2017/1421 laying down technical information for the calculation of technical provisions and basic own funds for reporting with reference dates from 30 June until 29 September 2017 in accordance with Directive 2009/138/EC of the European Parliament and of the Council on the taking-up and pursuit of the business of Insurance and Reinsurance, in the version published in the </w:t>
      </w:r>
      <w:r>
        <w:rPr>
          <w:i/>
          <w:noProof/>
        </w:rPr>
        <w:t>Official Journal of the European Union</w:t>
      </w:r>
      <w:r>
        <w:rPr>
          <w:noProof/>
        </w:rPr>
        <w:t xml:space="preserve"> of 14 September 2017</w:t>
      </w:r>
      <w:r>
        <w:rPr>
          <w:rStyle w:val="FootnoteReference"/>
          <w:noProof/>
        </w:rPr>
        <w:footnoteReference w:id="37"/>
      </w:r>
      <w:r>
        <w:rPr>
          <w:noProof/>
        </w:rPr>
        <w:t>;</w:t>
      </w:r>
    </w:p>
    <w:p>
      <w:pPr>
        <w:spacing w:before="150" w:after="150"/>
        <w:ind w:right="1"/>
        <w:rPr>
          <w:noProof/>
        </w:rPr>
      </w:pPr>
      <w:r>
        <w:rPr>
          <w:rFonts w:eastAsia="Times New Roman"/>
          <w:noProof/>
          <w:szCs w:val="24"/>
        </w:rPr>
        <w:t>The following legislative provisions of the Swiss Confederation</w:t>
      </w:r>
      <w:r>
        <w:rPr>
          <w:noProof/>
        </w:rPr>
        <w:t xml:space="preserve"> are compatible with the Agreement:</w:t>
      </w:r>
    </w:p>
    <w:p>
      <w:pPr>
        <w:pStyle w:val="Tiret0"/>
        <w:rPr>
          <w:noProof/>
        </w:rPr>
      </w:pPr>
      <w:r>
        <w:rPr>
          <w:noProof/>
        </w:rPr>
        <w:t>Insurance Supervisory Act (SR 961.01)</w:t>
      </w:r>
      <w:r>
        <w:rPr>
          <w:rStyle w:val="FootnoteReference"/>
          <w:noProof/>
        </w:rPr>
        <w:footnoteReference w:id="38"/>
      </w:r>
    </w:p>
    <w:p>
      <w:pPr>
        <w:pStyle w:val="Tiret0"/>
        <w:rPr>
          <w:noProof/>
        </w:rPr>
      </w:pPr>
      <w:r>
        <w:rPr>
          <w:noProof/>
        </w:rPr>
        <w:t>Insurance Supervisory Ordinance (SR 961.011)</w:t>
      </w:r>
      <w:r>
        <w:rPr>
          <w:rStyle w:val="FootnoteReference"/>
          <w:noProof/>
        </w:rPr>
        <w:footnoteReference w:id="39"/>
      </w:r>
      <w:r>
        <w:rPr>
          <w:noProof/>
        </w:rPr>
        <w:t>;</w:t>
      </w:r>
    </w:p>
    <w:p>
      <w:pPr>
        <w:pStyle w:val="Fait"/>
        <w:rPr>
          <w:noProof/>
        </w:rPr>
      </w:pPr>
    </w:p>
    <w:p>
      <w:pPr>
        <w:pStyle w:val="Fait"/>
        <w:rPr>
          <w:noProof/>
        </w:rPr>
      </w:pPr>
    </w:p>
    <w:p>
      <w:pPr>
        <w:pStyle w:val="Fait"/>
        <w:rPr>
          <w:noProof/>
        </w:rPr>
      </w:pPr>
      <w:r>
        <w:rPr>
          <w:noProof/>
        </w:rPr>
        <w:t xml:space="preserve">Done at </w:t>
      </w:r>
      <w:r>
        <w:rPr>
          <w:noProof/>
          <w:highlight w:val="yellow"/>
        </w:rPr>
        <w:t>XX</w:t>
      </w:r>
      <w:r>
        <w:rPr>
          <w:noProof/>
        </w:rPr>
        <w:t xml:space="preserve">, </w:t>
      </w:r>
      <w:r>
        <w:rPr>
          <w:rStyle w:val="Marker"/>
          <w:noProof/>
        </w:rPr>
        <w:t>[…]</w:t>
      </w:r>
      <w:r>
        <w:rPr>
          <w:noProof/>
        </w:rPr>
        <w:t>.</w:t>
      </w:r>
    </w:p>
    <w:p>
      <w:pPr>
        <w:pStyle w:val="Institutionquisigne"/>
        <w:rPr>
          <w:noProof/>
        </w:rPr>
      </w:pPr>
      <w:r>
        <w:rPr>
          <w:noProof/>
        </w:rPr>
        <w:tab/>
        <w:t>For the Joint Committee</w:t>
      </w:r>
    </w:p>
    <w:p>
      <w:pPr>
        <w:pStyle w:val="Personnequisigne"/>
        <w:rPr>
          <w:noProof/>
          <w:color w:val="0000FF"/>
        </w:rPr>
      </w:pPr>
      <w:r>
        <w:rPr>
          <w:noProof/>
        </w:rPr>
        <w:tab/>
        <w:t>The President</w:t>
      </w:r>
      <w:r>
        <w:rPr>
          <w:noProof/>
        </w:rPr>
        <w:br/>
      </w:r>
      <w:r>
        <w:rPr>
          <w:noProof/>
        </w:rPr>
        <w:tab/>
      </w:r>
      <w:r>
        <w:rPr>
          <w:rStyle w:val="Marker"/>
          <w:noProof/>
        </w:rPr>
        <w:t>[…]</w:t>
      </w:r>
      <w:r>
        <w:rPr>
          <w:noProof/>
        </w:rPr>
        <w:tab/>
      </w:r>
      <w:r>
        <w:rPr>
          <w:noProof/>
        </w:rPr>
        <w:br/>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Formerly the EC-Switzerland Joint Committee.</w:t>
      </w:r>
    </w:p>
  </w:footnote>
  <w:footnote w:id="3">
    <w:p>
      <w:pPr>
        <w:pStyle w:val="FootnfoteText"/>
      </w:pPr>
      <w:r>
        <w:rPr>
          <w:rStyle w:val="FootnoteReference"/>
        </w:rPr>
        <w:footnoteRef/>
      </w:r>
      <w:r>
        <w:tab/>
      </w:r>
      <w:r>
        <w:rPr>
          <w:rStyle w:val="Strong"/>
          <w:b w:val="0"/>
          <w:bCs w:val="0"/>
        </w:rPr>
        <w:t>Directive 2009/138/EC of the European Parliament and of the Council of 25 November 2009 on the taking-up and pursuit of the business of Insurance and Reinsurance (Solvency II)</w:t>
      </w:r>
      <w:r>
        <w:t>, (OJ L 335, 17.12.2009, p. 1).</w:t>
      </w:r>
    </w:p>
  </w:footnote>
  <w:footnote w:id="4">
    <w:p>
      <w:pPr>
        <w:pStyle w:val="FootnoteText"/>
        <w:rPr>
          <w:lang w:val="en-US"/>
        </w:rPr>
      </w:pPr>
      <w:r>
        <w:rPr>
          <w:rStyle w:val="FootnoteReference"/>
        </w:rPr>
        <w:footnoteRef/>
      </w:r>
      <w:r>
        <w:rPr>
          <w:lang w:val="en-US"/>
        </w:rPr>
        <w:tab/>
        <w:t>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 (OJ L 153, 22.5.2014, p. 1).</w:t>
      </w:r>
    </w:p>
  </w:footnote>
  <w:footnote w:id="5">
    <w:p>
      <w:pPr>
        <w:pStyle w:val="FootnfoteText"/>
      </w:pPr>
      <w:r>
        <w:rPr>
          <w:rStyle w:val="FootnoteReference"/>
        </w:rPr>
        <w:footnoteRef/>
      </w:r>
      <w:r>
        <w:tab/>
        <w:t>Commission Delegated Regulation 2015/35/EU of 10 October 2014 supplementing Directive 2009/138/EC of the European Parliament and of the Council on the taking-up and pursuit of the business of Insurance and Reinsurance (Solvency II)(OJ L 12, 17.1.2015, p. 1).</w:t>
      </w:r>
    </w:p>
  </w:footnote>
  <w:footnote w:id="6">
    <w:p>
      <w:pPr>
        <w:pStyle w:val="FootnoteText"/>
      </w:pPr>
      <w:r>
        <w:rPr>
          <w:rStyle w:val="FootnoteReference"/>
        </w:rPr>
        <w:footnoteRef/>
      </w:r>
      <w:r>
        <w:tab/>
        <w:t>Commission Implementing Regulation (EU) 2015/460 of 19 March 2015 on the approval of an internal model  (OJ L 76, 20.03.2015, p.13).</w:t>
      </w:r>
    </w:p>
  </w:footnote>
  <w:footnote w:id="7">
    <w:p>
      <w:pPr>
        <w:pStyle w:val="FootnoteText"/>
      </w:pPr>
      <w:r>
        <w:rPr>
          <w:rStyle w:val="FootnoteReference"/>
        </w:rPr>
        <w:footnoteRef/>
      </w:r>
      <w:r>
        <w:tab/>
        <w:t>Commission Implementing Regulation (EU) 2015/462 of 19 March 2015 on the procedures for supervisory approval to establish SPVs, for the cooperation and exchange of information between supervisory authorities regarding SPVs, as well as to set out formats and templates for information to be reported by SPVs  (OJ L 76, 20.03.2015, p.23).</w:t>
      </w:r>
    </w:p>
  </w:footnote>
  <w:footnote w:id="8">
    <w:p>
      <w:pPr>
        <w:pStyle w:val="FootnoteText"/>
      </w:pPr>
      <w:r>
        <w:rPr>
          <w:rStyle w:val="FootnoteReference"/>
        </w:rPr>
        <w:footnoteRef/>
      </w:r>
      <w:r>
        <w:tab/>
        <w:t>Commission Implementing Regulation (EU) 2015/461 of 19 March 2015 on the process to reach a joint decision on the application to use a group internal model  (OJ L 76, 20.03.2015, p.19).</w:t>
      </w:r>
    </w:p>
  </w:footnote>
  <w:footnote w:id="9">
    <w:p>
      <w:pPr>
        <w:pStyle w:val="FootnoteText"/>
      </w:pPr>
      <w:r>
        <w:rPr>
          <w:rStyle w:val="FootnoteReference"/>
        </w:rPr>
        <w:footnoteRef/>
      </w:r>
      <w:r>
        <w:tab/>
        <w:t>Commission Implementing Regulation (EU) 2015/498 of 24 March 2015 on the supervisory approval procedure to use undertaking-specific parameters  (OJ L 79, 25.3.2015, p. 8).</w:t>
      </w:r>
    </w:p>
  </w:footnote>
  <w:footnote w:id="10">
    <w:p>
      <w:pPr>
        <w:pStyle w:val="FootnoteText"/>
      </w:pPr>
      <w:r>
        <w:rPr>
          <w:rStyle w:val="FootnoteReference"/>
        </w:rPr>
        <w:footnoteRef/>
      </w:r>
      <w:r>
        <w:tab/>
        <w:t>Commission Implementing Regulation (EU) 2015/500 of 24 March 2015 on the procedures to be followed for the supervisory approval of the application of a matching adjustment  (OJ L 79, 25.3.2015, p. 18).</w:t>
      </w:r>
    </w:p>
  </w:footnote>
  <w:footnote w:id="11">
    <w:p>
      <w:pPr>
        <w:pStyle w:val="FootnoteText"/>
      </w:pPr>
      <w:r>
        <w:rPr>
          <w:rStyle w:val="FootnoteReference"/>
        </w:rPr>
        <w:footnoteRef/>
      </w:r>
      <w:r>
        <w:tab/>
        <w:t>Commission Implementing Regulation (EU) 2015/499 of 24 March 2015 on the procedures to be used for granting supervisory approval for the use of ancillary own-fund items  (OJ L 79, 25.3.2015, p. 12).</w:t>
      </w:r>
    </w:p>
  </w:footnote>
  <w:footnote w:id="12">
    <w:p>
      <w:pPr>
        <w:pStyle w:val="FootnoteText"/>
      </w:pPr>
      <w:r>
        <w:rPr>
          <w:rStyle w:val="FootnoteReference"/>
        </w:rPr>
        <w:footnoteRef/>
      </w:r>
      <w:r>
        <w:tab/>
        <w:t>Commission Delegated Decision (EU) 2015/1602 of 5 June 2015 on the equivalence of the solvency and prudential regime for insurance and reinsurance undertakings in force in Switzerland (OJ L 248, 24.09.2015, p. 95).</w:t>
      </w:r>
    </w:p>
  </w:footnote>
  <w:footnote w:id="13">
    <w:p>
      <w:pPr>
        <w:pStyle w:val="FootnoteText"/>
      </w:pPr>
      <w:r>
        <w:rPr>
          <w:rStyle w:val="FootnoteReference"/>
        </w:rPr>
        <w:footnoteRef/>
      </w:r>
      <w:r>
        <w:tab/>
        <w:t>Commission Delegated Decision (EU) 2015/2290 of 12 June 2015 on the provisional equivalence of the solvency regimes in force in Australia, Bermuda, Brazil, Canada, Mexico and the United States (OJ L 323, 9.12.2015, p. 22).</w:t>
      </w:r>
    </w:p>
  </w:footnote>
  <w:footnote w:id="14">
    <w:p>
      <w:pPr>
        <w:pStyle w:val="FootnoteText"/>
      </w:pPr>
      <w:r>
        <w:rPr>
          <w:rStyle w:val="FootnoteReference"/>
        </w:rPr>
        <w:footnoteRef/>
      </w:r>
      <w:r>
        <w:tab/>
        <w:t>Commission Delegated Regulation (EU) 2016/467 of 30 September 2015 amending Delegated Regulation (EU) 2015/35 concerning the calculation of regulatory capital requirements for several categories of assets held by insurance and reinsurance undertakings (OJ L 85, 1.4.2016, p. 6).</w:t>
      </w:r>
    </w:p>
  </w:footnote>
  <w:footnote w:id="15">
    <w:p>
      <w:pPr>
        <w:pStyle w:val="FootnoteText"/>
      </w:pPr>
      <w:r>
        <w:rPr>
          <w:rStyle w:val="FootnoteReference"/>
        </w:rPr>
        <w:footnoteRef/>
      </w:r>
      <w:r>
        <w:tab/>
        <w:t>Commission Implementing Regulation (EU) 2015/2011 of 11 November 2015 on the lists of regional governments and local authorities, exposures to whom are to be treated as exposures to the central government in accordance with Directive 2009/138/EC (OJ L 295, 12.11.2015, p. 3).</w:t>
      </w:r>
    </w:p>
  </w:footnote>
  <w:footnote w:id="16">
    <w:p>
      <w:pPr>
        <w:pStyle w:val="FootnoteText"/>
      </w:pPr>
      <w:r>
        <w:rPr>
          <w:rStyle w:val="FootnoteReference"/>
        </w:rPr>
        <w:footnoteRef/>
      </w:r>
      <w:r>
        <w:tab/>
        <w:t>Commission Implementing Regulation (EU) 2015/2016 of 11 November 2015 on the equity index for the symmetric adjustment of the standard equity capital charge (OJ L 295, 12.11.2015, p. 18).</w:t>
      </w:r>
    </w:p>
  </w:footnote>
  <w:footnote w:id="17">
    <w:p>
      <w:pPr>
        <w:pStyle w:val="FootnoteText"/>
      </w:pPr>
      <w:r>
        <w:rPr>
          <w:rStyle w:val="FootnoteReference"/>
        </w:rPr>
        <w:footnoteRef/>
      </w:r>
      <w:r>
        <w:tab/>
        <w:t>Commission Implementing Regulation (EU) 2015/2017 of 11 November 2015 on the adjusted factors to calculate the capital requirement for currency risk for currencies pegged to the euro (OJ L 295, 12.11.2015, p. 21).</w:t>
      </w:r>
    </w:p>
  </w:footnote>
  <w:footnote w:id="18">
    <w:p>
      <w:pPr>
        <w:pStyle w:val="FootnoteText"/>
      </w:pPr>
      <w:r>
        <w:rPr>
          <w:rStyle w:val="FootnoteReference"/>
        </w:rPr>
        <w:footnoteRef/>
      </w:r>
      <w:r>
        <w:tab/>
        <w:t>Commission Implementing Regulation (EU) 2015/2013 of 11 November 2015 on standard deviations in relation to health risk equalisation systems (OJ L 295, 12.11.2015, p. 9).</w:t>
      </w:r>
    </w:p>
  </w:footnote>
  <w:footnote w:id="19">
    <w:p>
      <w:pPr>
        <w:pStyle w:val="FootnoteText"/>
      </w:pPr>
      <w:r>
        <w:rPr>
          <w:rStyle w:val="FootnoteReference"/>
        </w:rPr>
        <w:footnoteRef/>
      </w:r>
      <w:r>
        <w:tab/>
        <w:t>Commission Implementing Regulation (EU) 2015/2014 of 11 November 2015 on the procedures and templates for the submission of information to the group supervisor and for the exchange of information between supervisory authorities (OJ L 295, 12.11.2015, p. 11).</w:t>
      </w:r>
    </w:p>
  </w:footnote>
  <w:footnote w:id="20">
    <w:p>
      <w:pPr>
        <w:pStyle w:val="FootnoteText"/>
      </w:pPr>
      <w:r>
        <w:rPr>
          <w:rStyle w:val="FootnoteReference"/>
        </w:rPr>
        <w:footnoteRef/>
      </w:r>
      <w:r>
        <w:tab/>
        <w:t>Commission Implementing Regulation (EU) 2015/2012 of 11 November 2015 on the procedures for decisions to set, calculate and remove capital add-ons (OJ L 295, 12.11.2015, p. 5).</w:t>
      </w:r>
    </w:p>
  </w:footnote>
  <w:footnote w:id="21">
    <w:p>
      <w:pPr>
        <w:pStyle w:val="FootnoteText"/>
      </w:pPr>
      <w:r>
        <w:rPr>
          <w:rStyle w:val="FootnoteReference"/>
        </w:rPr>
        <w:footnoteRef/>
      </w:r>
      <w:r>
        <w:tab/>
        <w:t>Commission Implementing Regulation (EU) 2015/2015 of 11 November 2015 on the procedures for assessing external credit assessments (OJ L 295, 12.11.2015, p. 16).</w:t>
      </w:r>
    </w:p>
  </w:footnote>
  <w:footnote w:id="22">
    <w:p>
      <w:pPr>
        <w:pStyle w:val="FootnoteText"/>
      </w:pPr>
      <w:r>
        <w:rPr>
          <w:rStyle w:val="FootnoteReference"/>
        </w:rPr>
        <w:footnoteRef/>
      </w:r>
      <w:r>
        <w:tab/>
        <w:t>Commission Delegated Decision (EU) 2016/310 of 26 November 2015 on the equivalence of the solvency regime for insurance and reinsurance undertakings in force in Japan (OJ L 58, 4.3.2016, p. 55).</w:t>
      </w:r>
    </w:p>
  </w:footnote>
  <w:footnote w:id="23">
    <w:p>
      <w:pPr>
        <w:pStyle w:val="FootnoteText"/>
      </w:pPr>
      <w:r>
        <w:rPr>
          <w:rStyle w:val="FootnoteReference"/>
        </w:rPr>
        <w:footnoteRef/>
      </w:r>
      <w:r>
        <w:tab/>
        <w:t>Commission Delegated Decision (EU) 2016/309 of 26 November 2015 on the equivalence of the supervisory regime for insurance and reinsurance undertakings in force in Bermuda  amending Comission Delegated Decision (EU) 2015/2290 (OJ L 58, 4.3.2016, p. 50).</w:t>
      </w:r>
    </w:p>
  </w:footnote>
  <w:footnote w:id="24">
    <w:p>
      <w:pPr>
        <w:pStyle w:val="FootnoteText"/>
      </w:pPr>
      <w:r>
        <w:rPr>
          <w:rStyle w:val="FootnoteReference"/>
        </w:rPr>
        <w:footnoteRef/>
      </w:r>
      <w:r>
        <w:tab/>
        <w:t>Commission Implementing Regulation (EU) 2015/2450 of 2 December 2015 -Supervisory reporting: templates for submission (OJ L 347, 31.12.2015, p. 1).</w:t>
      </w:r>
    </w:p>
  </w:footnote>
  <w:footnote w:id="25">
    <w:p>
      <w:pPr>
        <w:pStyle w:val="FootnoteText"/>
      </w:pPr>
      <w:r>
        <w:rPr>
          <w:rStyle w:val="FootnoteReference"/>
        </w:rPr>
        <w:footnoteRef/>
      </w:r>
      <w:r>
        <w:tab/>
        <w:t>Commission Implementing Regulation (EU) 2015/2452 of 2 December 2015 -Solvency and financial condition report (OJ L 347, 31.12.2015, p. 1285).</w:t>
      </w:r>
    </w:p>
  </w:footnote>
  <w:footnote w:id="26">
    <w:p>
      <w:pPr>
        <w:pStyle w:val="FootnoteText"/>
      </w:pPr>
      <w:r>
        <w:rPr>
          <w:rStyle w:val="FootnoteReference"/>
        </w:rPr>
        <w:footnoteRef/>
      </w:r>
      <w:r>
        <w:tab/>
        <w:t>Commission Implementing Regulation (EU) 2015/2451 of 2 December 2015 - Reporting by supervisors (OJ L 347, 31.12.2015, p. 1224).</w:t>
      </w:r>
    </w:p>
  </w:footnote>
  <w:footnote w:id="27">
    <w:p>
      <w:pPr>
        <w:pStyle w:val="FootnoteText"/>
      </w:pPr>
      <w:r>
        <w:rPr>
          <w:rStyle w:val="FootnoteReference"/>
        </w:rPr>
        <w:footnoteRef/>
      </w:r>
      <w:r>
        <w:tab/>
        <w:t>Commission Implementing Regulation (EU) 2016/165 of 5 February 2016 on the calculation of technical provisions and basic own funds for reporting with reference dates from 1 January until 30 March 2016 (OJ L 32, 9.2.2016, p.31).</w:t>
      </w:r>
    </w:p>
  </w:footnote>
  <w:footnote w:id="28">
    <w:p>
      <w:pPr>
        <w:pStyle w:val="FootnoteText"/>
      </w:pPr>
      <w:r>
        <w:rPr>
          <w:rStyle w:val="FootnoteReference"/>
        </w:rPr>
        <w:footnoteRef/>
      </w:r>
      <w:r>
        <w:tab/>
        <w:t>Commission Implementing Regulation (EU) 2016/869 of 27 May 2016 on the calculation of technical provisions and basic own funds for reporting with reference dates from 31 March until 29 June 2016 (OJ L 147, 3.6.2016, p. 1).</w:t>
      </w:r>
    </w:p>
  </w:footnote>
  <w:footnote w:id="29">
    <w:p>
      <w:pPr>
        <w:pStyle w:val="FootnoteText"/>
      </w:pPr>
      <w:r>
        <w:rPr>
          <w:rStyle w:val="FootnoteReference"/>
        </w:rPr>
        <w:footnoteRef/>
      </w:r>
      <w:r>
        <w:tab/>
        <w:t>Commission Implementing Regulation (EU) 2016/1376 of 8 August 2016 on the calculation of technical provisions and basic own funds for reporting with reference dates from 30 June until 29 September 2016 (OJ L 224, 18.8.2016, p.1).</w:t>
      </w:r>
    </w:p>
  </w:footnote>
  <w:footnote w:id="30">
    <w:p>
      <w:pPr>
        <w:pStyle w:val="FootnoteText"/>
      </w:pPr>
      <w:r>
        <w:rPr>
          <w:rStyle w:val="FootnoteReference"/>
        </w:rPr>
        <w:footnoteRef/>
      </w:r>
      <w:r>
        <w:tab/>
        <w:t>Commission Implementing Regulation (EU) 2016/1630 of 9 September 2016 on the procedures for the application of the transitional measure for the equity risk sub-module (OJ L 243, 10.9.2016, p. 1).</w:t>
      </w:r>
    </w:p>
  </w:footnote>
  <w:footnote w:id="31">
    <w:p>
      <w:pPr>
        <w:pStyle w:val="FootnoteText"/>
      </w:pPr>
      <w:r>
        <w:rPr>
          <w:rStyle w:val="FootnoteReference"/>
        </w:rPr>
        <w:footnoteRef/>
      </w:r>
      <w:r>
        <w:tab/>
        <w:t>Commission Implementing Regulation (EU) 2016/1800 of 11 October 2016 on the allocation of credit assessments of external credit assessment institutions to an objective scale of credit quality steps (OJ L 275, 12.10.2016, p. 19).</w:t>
      </w:r>
    </w:p>
  </w:footnote>
  <w:footnote w:id="32">
    <w:p>
      <w:pPr>
        <w:pStyle w:val="FootnoteText"/>
      </w:pPr>
      <w:r>
        <w:rPr>
          <w:rStyle w:val="FootnoteReference"/>
        </w:rPr>
        <w:footnoteRef/>
      </w:r>
      <w:r>
        <w:tab/>
        <w:t>Commission Implementing Regulation (EU) 2016/1868 of 20 October 2016 amending and correcting Impl. Reg. (EU) 2015/2450 on the templates for the submission of information to the supervisory authorities (OJ L 286, 21.10.2016, p. 35).</w:t>
      </w:r>
    </w:p>
  </w:footnote>
  <w:footnote w:id="33">
    <w:p>
      <w:pPr>
        <w:pStyle w:val="FootnoteText"/>
      </w:pPr>
      <w:r>
        <w:rPr>
          <w:rStyle w:val="FootnoteReference"/>
        </w:rPr>
        <w:footnoteRef/>
      </w:r>
      <w:r>
        <w:tab/>
        <w:t>Commission Commission Implementing Regulation (EU) 2016/1976 of 10 November 2016 laying down technical information for the calculation of technical provisions and basic own funds for reporting with reference dates from 30 September until 30 December 2016 (OJ L 309, 16.11.2016, p. 1).</w:t>
      </w:r>
    </w:p>
  </w:footnote>
  <w:footnote w:id="34">
    <w:p>
      <w:pPr>
        <w:pStyle w:val="FootnoteText"/>
      </w:pPr>
      <w:r>
        <w:rPr>
          <w:rStyle w:val="FootnoteReference"/>
        </w:rPr>
        <w:footnoteRef/>
      </w:r>
      <w:r>
        <w:tab/>
        <w:t>Commission Implementing Regulation (EU) 2017/309 of 23 February 2017 laying down technical information for the calculation of technical provisions and basic own funds for reporting with reference dates from 31 December 2016 until 30 March 2017 (OJ L 53,  28.02.2017, p. 1).</w:t>
      </w:r>
    </w:p>
  </w:footnote>
  <w:footnote w:id="35">
    <w:p>
      <w:pPr>
        <w:pStyle w:val="FootnoteText"/>
      </w:pPr>
      <w:r>
        <w:rPr>
          <w:rStyle w:val="FootnoteReference"/>
        </w:rPr>
        <w:footnoteRef/>
      </w:r>
      <w:r>
        <w:tab/>
        <w:t>Commission Implementing Regulation (EU) 2017/812 of 15 May 2017 laying down technical information for the calculation of technical provisions and basic own funds for reporting with reference dates from 31 March until 29 June 2017 (OJ L 126, 18.5.2017, p.1).</w:t>
      </w:r>
    </w:p>
  </w:footnote>
  <w:footnote w:id="36">
    <w:p>
      <w:pPr>
        <w:pStyle w:val="FootnoteText"/>
      </w:pPr>
      <w:r>
        <w:rPr>
          <w:rStyle w:val="FootnoteReference"/>
        </w:rPr>
        <w:footnoteRef/>
      </w:r>
      <w:r>
        <w:tab/>
        <w:t>Commission Delegated Regulation (EU) 2017/1542 of 8 June 2017 amending Delegated Regulation (EU) 2015/35 concerning the calculation of regulatory capital requirements for certain categories of assets held by insurance and reinsurance undertakings (infrastructure corporates) (OJ L 236, 14.9.2017, p. 14).</w:t>
      </w:r>
    </w:p>
  </w:footnote>
  <w:footnote w:id="37">
    <w:p>
      <w:pPr>
        <w:pStyle w:val="FootnoteText"/>
      </w:pPr>
      <w:r>
        <w:rPr>
          <w:rStyle w:val="FootnoteReference"/>
        </w:rPr>
        <w:footnoteRef/>
      </w:r>
      <w:r>
        <w:tab/>
        <w:t>Commission Implementing Regulation (EU) 2017/1421 of 2 August 2017 laying down technical information for the calculation of technical provisions and basic own funds for reporting with reference dates from 30 June until 29 September 2017 in accordance with Directive 2009/138/EC of the European Parliament and of the Council on the taking-up and pursuit of the business of Insurance and Reinsurance (OJ L 204, 5.8.2017, p.7).</w:t>
      </w:r>
    </w:p>
  </w:footnote>
  <w:footnote w:id="38">
    <w:p>
      <w:pPr>
        <w:pStyle w:val="FootnoteText"/>
        <w:tabs>
          <w:tab w:val="left" w:pos="720"/>
          <w:tab w:val="left" w:pos="1440"/>
          <w:tab w:val="left" w:pos="2160"/>
          <w:tab w:val="left" w:pos="2880"/>
          <w:tab w:val="left" w:pos="3600"/>
          <w:tab w:val="left" w:pos="5940"/>
        </w:tabs>
        <w:rPr>
          <w:lang w:val="de-CH"/>
        </w:rPr>
      </w:pPr>
      <w:r>
        <w:rPr>
          <w:rStyle w:val="FootnoteReference"/>
        </w:rPr>
        <w:footnoteRef/>
      </w:r>
      <w:r>
        <w:rPr>
          <w:lang w:val="de-DE"/>
        </w:rPr>
        <w:tab/>
      </w:r>
      <w:r>
        <w:rPr>
          <w:rFonts w:eastAsia="Times New Roman"/>
          <w:lang w:val="de-CH"/>
        </w:rPr>
        <w:t>Versicherungsaufsichtsgesetz, SR 961.01.</w:t>
      </w:r>
      <w:r>
        <w:rPr>
          <w:rFonts w:eastAsia="Times New Roman"/>
          <w:lang w:val="de-CH"/>
        </w:rPr>
        <w:tab/>
      </w:r>
    </w:p>
  </w:footnote>
  <w:footnote w:id="39">
    <w:p>
      <w:pPr>
        <w:pStyle w:val="FootnoteText"/>
        <w:rPr>
          <w:lang w:val="de-CH"/>
        </w:rPr>
      </w:pPr>
      <w:r>
        <w:rPr>
          <w:rStyle w:val="FootnoteReference"/>
        </w:rPr>
        <w:footnoteRef/>
      </w:r>
      <w:r>
        <w:rPr>
          <w:lang w:val="de-CH"/>
        </w:rPr>
        <w:tab/>
      </w:r>
      <w:r>
        <w:rPr>
          <w:rFonts w:eastAsia="Times New Roman"/>
          <w:lang w:val="de-CH"/>
        </w:rPr>
        <w:t>Aufsichtsverordnung, SR 961.011.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E6A1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AEE3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41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42F7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60C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12AF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3A22A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09:47: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4F136816-BCA6-4930-83A5-9D39AE459EDC"/>
    <w:docVar w:name="LW_COVERPAGE_TYPE" w:val="1"/>
    <w:docVar w:name="LW_CROSSREFERENCE" w:val="&lt;UNUSED&gt;"/>
    <w:docVar w:name="LW_DocType" w:val="ANNEX"/>
    <w:docVar w:name="LW_EMISSION" w:val="17.11.2017"/>
    <w:docVar w:name="LW_EMISSION_ISODATE" w:val="2017-11-17"/>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taken on the Union's behalf in the EU-Switzerland Joint Committee concerning a technical revision of the Agreement on direct insurance other than life insurance_x000b_"/>
    <w:docVar w:name="LW_OBJETACTEPRINCIPAL.CP" w:val="establishing the position to be taken on the Union's behalf in the EU-Switzerland Joint Committee concerning a technical revision of the Agreement on direct insurance other than life insurance_x000b_"/>
    <w:docVar w:name="LW_PART_NBR" w:val="1"/>
    <w:docVar w:name="LW_PART_NBR_TOTAL" w:val="1"/>
    <w:docVar w:name="LW_REF.INST.NEW" w:val="COM"/>
    <w:docVar w:name="LW_REF.INST.NEW_ADOPTED" w:val="final"/>
    <w:docVar w:name="LW_REF.INST.NEW_TEXT" w:val="(2017)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character" w:customStyle="1" w:styleId="Point1Char">
    <w:name w:val="Point 1 Char"/>
    <w:rPr>
      <w:rFonts w:ascii="Times New Roman" w:hAnsi="Times New Roman"/>
      <w:sz w:val="24"/>
      <w:szCs w:val="22"/>
      <w:lang w:eastAsia="en-US"/>
    </w:rPr>
  </w:style>
  <w:style w:type="character" w:customStyle="1" w:styleId="Point0Char">
    <w:name w:val="Point 0 Char"/>
    <w:rPr>
      <w:rFonts w:ascii="Times New Roman" w:hAnsi="Times New Roman"/>
      <w:sz w:val="24"/>
      <w:szCs w:val="22"/>
      <w:lang w:eastAsia="en-US"/>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customStyle="1" w:styleId="FootnfoteText">
    <w:name w:val="Footnfote Text"/>
    <w:basedOn w:val="FootnoteText"/>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character" w:customStyle="1" w:styleId="Point1Char">
    <w:name w:val="Point 1 Char"/>
    <w:rPr>
      <w:rFonts w:ascii="Times New Roman" w:hAnsi="Times New Roman"/>
      <w:sz w:val="24"/>
      <w:szCs w:val="22"/>
      <w:lang w:eastAsia="en-US"/>
    </w:rPr>
  </w:style>
  <w:style w:type="character" w:customStyle="1" w:styleId="Point0Char">
    <w:name w:val="Point 0 Char"/>
    <w:rPr>
      <w:rFonts w:ascii="Times New Roman" w:hAnsi="Times New Roman"/>
      <w:sz w:val="24"/>
      <w:szCs w:val="22"/>
      <w:lang w:eastAsia="en-US"/>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customStyle="1" w:styleId="FootnfoteText">
    <w:name w:val="Footnfote Text"/>
    <w:basedOn w:val="FootnoteText"/>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0387">
      <w:bodyDiv w:val="1"/>
      <w:marLeft w:val="0"/>
      <w:marRight w:val="0"/>
      <w:marTop w:val="0"/>
      <w:marBottom w:val="0"/>
      <w:divBdr>
        <w:top w:val="none" w:sz="0" w:space="0" w:color="auto"/>
        <w:left w:val="none" w:sz="0" w:space="0" w:color="auto"/>
        <w:bottom w:val="none" w:sz="0" w:space="0" w:color="auto"/>
        <w:right w:val="none" w:sz="0" w:space="0" w:color="auto"/>
      </w:divBdr>
    </w:div>
    <w:div w:id="413672065">
      <w:bodyDiv w:val="1"/>
      <w:marLeft w:val="0"/>
      <w:marRight w:val="0"/>
      <w:marTop w:val="0"/>
      <w:marBottom w:val="0"/>
      <w:divBdr>
        <w:top w:val="none" w:sz="0" w:space="0" w:color="auto"/>
        <w:left w:val="none" w:sz="0" w:space="0" w:color="auto"/>
        <w:bottom w:val="none" w:sz="0" w:space="0" w:color="auto"/>
        <w:right w:val="none" w:sz="0" w:space="0" w:color="auto"/>
      </w:divBdr>
    </w:div>
    <w:div w:id="614366309">
      <w:bodyDiv w:val="1"/>
      <w:marLeft w:val="0"/>
      <w:marRight w:val="0"/>
      <w:marTop w:val="0"/>
      <w:marBottom w:val="0"/>
      <w:divBdr>
        <w:top w:val="none" w:sz="0" w:space="0" w:color="auto"/>
        <w:left w:val="none" w:sz="0" w:space="0" w:color="auto"/>
        <w:bottom w:val="none" w:sz="0" w:space="0" w:color="auto"/>
        <w:right w:val="none" w:sz="0" w:space="0" w:color="auto"/>
      </w:divBdr>
    </w:div>
    <w:div w:id="969016776">
      <w:bodyDiv w:val="1"/>
      <w:marLeft w:val="0"/>
      <w:marRight w:val="0"/>
      <w:marTop w:val="0"/>
      <w:marBottom w:val="0"/>
      <w:divBdr>
        <w:top w:val="none" w:sz="0" w:space="0" w:color="auto"/>
        <w:left w:val="none" w:sz="0" w:space="0" w:color="auto"/>
        <w:bottom w:val="none" w:sz="0" w:space="0" w:color="auto"/>
        <w:right w:val="none" w:sz="0" w:space="0" w:color="auto"/>
      </w:divBdr>
    </w:div>
    <w:div w:id="1181118337">
      <w:bodyDiv w:val="1"/>
      <w:marLeft w:val="0"/>
      <w:marRight w:val="0"/>
      <w:marTop w:val="0"/>
      <w:marBottom w:val="0"/>
      <w:divBdr>
        <w:top w:val="none" w:sz="0" w:space="0" w:color="auto"/>
        <w:left w:val="none" w:sz="0" w:space="0" w:color="auto"/>
        <w:bottom w:val="none" w:sz="0" w:space="0" w:color="auto"/>
        <w:right w:val="none" w:sz="0" w:space="0" w:color="auto"/>
      </w:divBdr>
    </w:div>
    <w:div w:id="1308045577">
      <w:bodyDiv w:val="1"/>
      <w:marLeft w:val="0"/>
      <w:marRight w:val="0"/>
      <w:marTop w:val="0"/>
      <w:marBottom w:val="0"/>
      <w:divBdr>
        <w:top w:val="none" w:sz="0" w:space="0" w:color="auto"/>
        <w:left w:val="none" w:sz="0" w:space="0" w:color="auto"/>
        <w:bottom w:val="none" w:sz="0" w:space="0" w:color="auto"/>
        <w:right w:val="none" w:sz="0" w:space="0" w:color="auto"/>
      </w:divBdr>
    </w:div>
    <w:div w:id="1578781688">
      <w:bodyDiv w:val="1"/>
      <w:marLeft w:val="0"/>
      <w:marRight w:val="0"/>
      <w:marTop w:val="0"/>
      <w:marBottom w:val="0"/>
      <w:divBdr>
        <w:top w:val="none" w:sz="0" w:space="0" w:color="auto"/>
        <w:left w:val="none" w:sz="0" w:space="0" w:color="auto"/>
        <w:bottom w:val="none" w:sz="0" w:space="0" w:color="auto"/>
        <w:right w:val="none" w:sz="0" w:space="0" w:color="auto"/>
      </w:divBdr>
    </w:div>
    <w:div w:id="1661957008">
      <w:bodyDiv w:val="1"/>
      <w:marLeft w:val="0"/>
      <w:marRight w:val="0"/>
      <w:marTop w:val="0"/>
      <w:marBottom w:val="0"/>
      <w:divBdr>
        <w:top w:val="none" w:sz="0" w:space="0" w:color="auto"/>
        <w:left w:val="none" w:sz="0" w:space="0" w:color="auto"/>
        <w:bottom w:val="none" w:sz="0" w:space="0" w:color="auto"/>
        <w:right w:val="none" w:sz="0" w:space="0" w:color="auto"/>
      </w:divBdr>
    </w:div>
    <w:div w:id="1800611221">
      <w:bodyDiv w:val="1"/>
      <w:marLeft w:val="0"/>
      <w:marRight w:val="0"/>
      <w:marTop w:val="0"/>
      <w:marBottom w:val="0"/>
      <w:divBdr>
        <w:top w:val="none" w:sz="0" w:space="0" w:color="auto"/>
        <w:left w:val="none" w:sz="0" w:space="0" w:color="auto"/>
        <w:bottom w:val="none" w:sz="0" w:space="0" w:color="auto"/>
        <w:right w:val="none" w:sz="0" w:space="0" w:color="auto"/>
      </w:divBdr>
    </w:div>
    <w:div w:id="2054577658">
      <w:bodyDiv w:val="1"/>
      <w:marLeft w:val="0"/>
      <w:marRight w:val="0"/>
      <w:marTop w:val="0"/>
      <w:marBottom w:val="0"/>
      <w:divBdr>
        <w:top w:val="none" w:sz="0" w:space="0" w:color="auto"/>
        <w:left w:val="none" w:sz="0" w:space="0" w:color="auto"/>
        <w:bottom w:val="none" w:sz="0" w:space="0" w:color="auto"/>
        <w:right w:val="none" w:sz="0" w:space="0" w:color="auto"/>
      </w:divBdr>
    </w:div>
    <w:div w:id="21327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4398-C6CC-4DBD-9663-85ABAD6B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1996</Words>
  <Characters>11141</Characters>
  <Application>Microsoft Office Word</Application>
  <DocSecurity>0</DocSecurity>
  <Lines>210</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RIBEIRO MIRANDA (EEAS)</dc:creator>
  <cp:lastModifiedBy>DIGIT/A3</cp:lastModifiedBy>
  <cp:revision>7</cp:revision>
  <cp:lastPrinted>2017-10-18T12:20:00Z</cp:lastPrinted>
  <dcterms:created xsi:type="dcterms:W3CDTF">2017-10-27T11:01:00Z</dcterms:created>
  <dcterms:modified xsi:type="dcterms:W3CDTF">2017-11-15T08:47:00Z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20130911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