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A2" w:rsidRDefault="004450F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A3C25D0-489E-400F-909E-881C46776119" style="width:450.75pt;height:321pt">
            <v:imagedata r:id="rId9" o:title=""/>
          </v:shape>
        </w:pict>
      </w:r>
    </w:p>
    <w:bookmarkEnd w:id="0"/>
    <w:p w:rsidR="00A45AA2" w:rsidRDefault="00A45AA2">
      <w:pPr>
        <w:rPr>
          <w:noProof/>
        </w:rPr>
        <w:sectPr w:rsidR="00A45AA2">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rsidR="00A45AA2" w:rsidRDefault="004450FC">
      <w:pPr>
        <w:pStyle w:val="Heading1"/>
        <w:rPr>
          <w:noProof/>
        </w:rPr>
      </w:pPr>
      <w:r>
        <w:rPr>
          <w:noProof/>
        </w:rPr>
        <w:lastRenderedPageBreak/>
        <w:t xml:space="preserve">Sukupuolten palkkaerot EU:ssa </w:t>
      </w:r>
    </w:p>
    <w:p w:rsidR="00A45AA2" w:rsidRDefault="004450FC">
      <w:pPr>
        <w:rPr>
          <w:i/>
          <w:noProof/>
        </w:rPr>
      </w:pPr>
      <w:r>
        <w:rPr>
          <w:i/>
          <w:noProof/>
        </w:rPr>
        <w:t>Sukupuolten palkkaerot ovat pysyneet ennallaan</w:t>
      </w:r>
    </w:p>
    <w:p w:rsidR="00A45AA2" w:rsidRDefault="004450FC">
      <w:pPr>
        <w:rPr>
          <w:noProof/>
        </w:rPr>
      </w:pPr>
      <w:r>
        <w:rPr>
          <w:noProof/>
        </w:rPr>
        <w:t xml:space="preserve">Sukupuolten tasa-arvo on yksi Euroopan unionin perusperiaatteista, mutta </w:t>
      </w:r>
      <w:r>
        <w:rPr>
          <w:noProof/>
        </w:rPr>
        <w:t>työpaikoilla se ei vielä toteudu. Naiset ansaitsevat EU:ssa kaikilla talouden aloilla keskimäärin 16 prosenttia vähemmän tunnissa kuin miehet. Sukupuolten palkkaero on pysynyt ennallaan viimeiset viisi vuotta. Nykyisellä vauhdilla palkkakuilu saataisiin ku</w:t>
      </w:r>
      <w:r>
        <w:rPr>
          <w:noProof/>
        </w:rPr>
        <w:t>rottua umpeen vasta seuraavan vuosituhannen vaihteessa. Kehityksen pysähtyminen viime vuosina herättää kysymyksen tarpeesta vahvistaa ja mukauttaa nykyisiä aloitteita: sukupuolten eriarvoisuutta työmarkkinoilla on kyllä saatu vähennettyä, mutta sitä ei ole</w:t>
      </w:r>
      <w:r>
        <w:rPr>
          <w:noProof/>
        </w:rPr>
        <w:t xml:space="preserve"> poistettu</w:t>
      </w:r>
      <w:r>
        <w:rPr>
          <w:rStyle w:val="FootnoteReference"/>
          <w:noProof/>
        </w:rPr>
        <w:footnoteReference w:id="1"/>
      </w:r>
      <w:r>
        <w:rPr>
          <w:noProof/>
        </w:rPr>
        <w:t xml:space="preserve">. </w:t>
      </w:r>
    </w:p>
    <w:p w:rsidR="00A45AA2" w:rsidRDefault="004450FC">
      <w:pPr>
        <w:rPr>
          <w:i/>
          <w:noProof/>
        </w:rPr>
      </w:pPr>
      <w:r>
        <w:rPr>
          <w:i/>
          <w:noProof/>
        </w:rPr>
        <w:t>Taustalla työmarkkinoiden voimakas eriytyminen</w:t>
      </w:r>
    </w:p>
    <w:p w:rsidR="00A45AA2" w:rsidRDefault="004450FC">
      <w:pPr>
        <w:rPr>
          <w:noProof/>
        </w:rPr>
      </w:pPr>
      <w:r>
        <w:rPr>
          <w:noProof/>
        </w:rPr>
        <w:t>Toimialat ja ammatit ovat eriytyneet sukupuolen mukaan: useimmilla eurooppalaisilla työntekijöillä on pääasiassa samaa sukupuolta olevia kollegoita</w:t>
      </w:r>
      <w:r>
        <w:rPr>
          <w:rStyle w:val="FootnoteReference"/>
          <w:noProof/>
        </w:rPr>
        <w:footnoteReference w:id="2"/>
      </w:r>
      <w:r>
        <w:rPr>
          <w:noProof/>
        </w:rPr>
        <w:t xml:space="preserve">, ja naisvaltaisilla aloilla palkat ovat usein </w:t>
      </w:r>
      <w:r>
        <w:rPr>
          <w:noProof/>
        </w:rPr>
        <w:t>miesvaltaisia aloja alhaisemmat</w:t>
      </w:r>
      <w:r>
        <w:rPr>
          <w:rStyle w:val="FootnoteReference"/>
          <w:noProof/>
        </w:rPr>
        <w:footnoteReference w:id="3"/>
      </w:r>
      <w:r>
        <w:rPr>
          <w:noProof/>
        </w:rPr>
        <w:t>. Vaikka useilla aloitteilla on onnistuttu rohkaisemaan naisia siirtymään miesvaltaisille aloille (kuten luonnontieteet ja teknologia), ammattien ja toimialojen eriytymisaste on pysynyt lähestulkoon ennallaan</w:t>
      </w:r>
      <w:r>
        <w:rPr>
          <w:rStyle w:val="FootnoteReference"/>
          <w:noProof/>
        </w:rPr>
        <w:footnoteReference w:id="4"/>
      </w:r>
      <w:r>
        <w:rPr>
          <w:noProof/>
        </w:rPr>
        <w:t>. Lisäksi lähes</w:t>
      </w:r>
      <w:r>
        <w:rPr>
          <w:noProof/>
        </w:rPr>
        <w:t xml:space="preserve"> kaikilla aloilla valvonta- tai johtotehtäviin ylennetään enemmän miehiä, minkä vuoksi johtotasolla alle viisi prosenttia toimitusjohtajista on naisia. Tällainen ”vertikaalinen” eriytyminen aiheuttaa merkittävän osan sukupuolten palkkaeroista</w:t>
      </w:r>
      <w:r>
        <w:rPr>
          <w:rStyle w:val="FootnoteReference"/>
          <w:noProof/>
        </w:rPr>
        <w:footnoteReference w:id="5"/>
      </w:r>
      <w:r>
        <w:rPr>
          <w:noProof/>
        </w:rPr>
        <w:t xml:space="preserve">. </w:t>
      </w:r>
    </w:p>
    <w:p w:rsidR="00A45AA2" w:rsidRDefault="004450FC">
      <w:pPr>
        <w:rPr>
          <w:i/>
          <w:noProof/>
        </w:rPr>
      </w:pPr>
      <w:r>
        <w:rPr>
          <w:i/>
          <w:noProof/>
        </w:rPr>
        <w:t>Syvälle ju</w:t>
      </w:r>
      <w:r>
        <w:rPr>
          <w:i/>
          <w:noProof/>
        </w:rPr>
        <w:t>urtuneita käsityksiä voimistavat puutteelliset työ- ja perhe-elämän tasapainoon tähtäävät strategiat</w:t>
      </w:r>
    </w:p>
    <w:p w:rsidR="00A45AA2" w:rsidRDefault="004450FC">
      <w:pPr>
        <w:rPr>
          <w:noProof/>
        </w:rPr>
      </w:pPr>
      <w:r>
        <w:rPr>
          <w:noProof/>
        </w:rPr>
        <w:t>Yhteiskunnassa esiintyy edelleen miesten ja naisten rooliin liittyvää kaavamaista ajattelua, joka koskee myös sitä, onko heidän paikkansa työmarkkinoilla v</w:t>
      </w:r>
      <w:r>
        <w:rPr>
          <w:noProof/>
        </w:rPr>
        <w:t>ai kotona. Tämä on yksi sukupuolten palkkaeron perimmäisistä syistä. Miehet hoitavat lapsia tai huollettavia sukulaisia keskimäärin huomattavasti vähemmän kuin naiset, ja naiset eivät voi puolestaan käyttää tätä aikaa palkkatyössä tai saada kokemusta, joka</w:t>
      </w:r>
      <w:r>
        <w:rPr>
          <w:noProof/>
        </w:rPr>
        <w:t xml:space="preserve"> auttaa heitä työelämässä</w:t>
      </w:r>
      <w:r>
        <w:rPr>
          <w:rStyle w:val="FootnoteReference"/>
          <w:noProof/>
        </w:rPr>
        <w:footnoteReference w:id="6"/>
      </w:r>
      <w:r>
        <w:rPr>
          <w:noProof/>
        </w:rPr>
        <w:t>. Tarkoituksenmukaisesti suunnitelluilla työ- ja perhe-elämän yhteensovittamista edistävillä strategioilla voidaan auttaa kaventamaan sukupuolten palkkaeroa. Tätä eroa voidaan vähentää myös investoimalla virallisiin hoitojärjestel</w:t>
      </w:r>
      <w:r>
        <w:rPr>
          <w:noProof/>
        </w:rPr>
        <w:t xml:space="preserve">miin ja riittäviin naisten ja miesten perhevapaisiin, sillä näin vähennettäisiin naisten </w:t>
      </w:r>
      <w:r>
        <w:rPr>
          <w:noProof/>
        </w:rPr>
        <w:lastRenderedPageBreak/>
        <w:t>poissaoloja työelämästä ja työurien keskeytymistä. Naisten ja miesten joustavampia työjärjestelyjä (mukaan lukien joustavat työajat, lyhennetty työaika ja etätyö) olis</w:t>
      </w:r>
      <w:r>
        <w:rPr>
          <w:noProof/>
        </w:rPr>
        <w:t>i hyödynnettävä laajemmin. Niitä ei pitäisi nähdä työnantajalle aiheutuvina kustannuksina, joista työntekijöitä rangaistaan usein palkkaan liittyvillä seurauksilla</w:t>
      </w:r>
      <w:r>
        <w:rPr>
          <w:rStyle w:val="FootnoteReference"/>
          <w:noProof/>
        </w:rPr>
        <w:footnoteReference w:id="7"/>
      </w:r>
      <w:r>
        <w:rPr>
          <w:noProof/>
        </w:rPr>
        <w:t>.</w:t>
      </w:r>
    </w:p>
    <w:p w:rsidR="00A45AA2" w:rsidRDefault="004450FC">
      <w:pPr>
        <w:rPr>
          <w:rFonts w:eastAsia="Calibri"/>
          <w:i/>
          <w:noProof/>
        </w:rPr>
      </w:pPr>
      <w:r>
        <w:rPr>
          <w:i/>
          <w:noProof/>
        </w:rPr>
        <w:t xml:space="preserve">Syrjintä johtuu myös avoimuuden puutteesta </w:t>
      </w:r>
    </w:p>
    <w:p w:rsidR="00A45AA2" w:rsidRDefault="004450FC">
      <w:pPr>
        <w:rPr>
          <w:rFonts w:eastAsia="Calibri"/>
          <w:noProof/>
        </w:rPr>
      </w:pPr>
      <w:r>
        <w:rPr>
          <w:noProof/>
        </w:rPr>
        <w:t>Lähes kaikissa ammateissa miehet saavat keskim</w:t>
      </w:r>
      <w:r>
        <w:rPr>
          <w:noProof/>
        </w:rPr>
        <w:t>äärin enemmän palkkaa kuin naiset. Palkkasyrjintä on edelleen yleistä. Naiselle saatetaan maksaa täsmälleen samasta työstä vähemmän kuin miehelle, ja tyypillisesti naisten tekemästä työstä maksetaan vähemmän kuin tyypillisesti miesten tekemästä työstä, vai</w:t>
      </w:r>
      <w:r>
        <w:rPr>
          <w:noProof/>
        </w:rPr>
        <w:t>kka työ olisi samanarvoista. Lisäksi palkkatasojen salassapito vaikeuttaa syrjintätapausten havaitsemista. Vaikka suurin osa eurooppalaisista (69 prosenttia) tiedostaa sukupuolten palkkaeron olemassaolon kaikkialla talouselämässä, työntekijät eivät yleensä</w:t>
      </w:r>
      <w:r>
        <w:rPr>
          <w:noProof/>
        </w:rPr>
        <w:t xml:space="preserve"> usko, että tällaista palkkaeroa on heidän omassa yrityksessään. Kolmasosa työntekijöistä ei kuitenkaan tiedä kollegoidensa palkkoja. Eurooppalaiset kannattavat työelämän avoimuuden lisäämistä. Lähes kaksi kolmasosaa kannattaa ajatusta siitä, että heidän o</w:t>
      </w:r>
      <w:r>
        <w:rPr>
          <w:noProof/>
        </w:rPr>
        <w:t>massa organisaatiossaan tai omalla työpaikallaan julkaistaan sukupuolen ja tehtävätyypin mukaan eritellyt keskipalkat</w:t>
      </w:r>
      <w:r>
        <w:rPr>
          <w:rStyle w:val="FootnoteReference"/>
          <w:noProof/>
        </w:rPr>
        <w:footnoteReference w:id="8"/>
      </w:r>
      <w:r>
        <w:rPr>
          <w:noProof/>
        </w:rPr>
        <w:t xml:space="preserve">. </w:t>
      </w:r>
    </w:p>
    <w:p w:rsidR="00A45AA2" w:rsidRDefault="004450FC">
      <w:pPr>
        <w:rPr>
          <w:rFonts w:eastAsia="Calibri"/>
          <w:noProof/>
        </w:rPr>
      </w:pPr>
      <w:r>
        <w:rPr>
          <w:noProof/>
        </w:rPr>
        <w:t xml:space="preserve">Lähes puolet työntekijöistä ei mielellään neuvottele palkastaan, ja osuus on naisten keskuudessa suurempi kuin miesten. Kuitenkin myös </w:t>
      </w:r>
      <w:r>
        <w:rPr>
          <w:noProof/>
        </w:rPr>
        <w:t>taustatekijät ovat tärkeät. Naiset neuvottelevat yleensä yhtä paljon kuin miehet, kun nimenomaisesti todetaan, että palkat ovat neuvoteltavissa ja että neuvottelu on asianmukaista käyttäytymistä. Työn organisoinnilla sekä rekrytointi- ja palkkapolitiikan s</w:t>
      </w:r>
      <w:r>
        <w:rPr>
          <w:noProof/>
        </w:rPr>
        <w:t xml:space="preserve">uunnittelulla voi olla suuri vaikutus. Jos ne järjestetään hyvin, niillä voidaan torjua tiedostamattomia ennakkoasenteita miehistä ja naisista sekä välttää kaksinaismoralismia siitä, ettei naisia ja miehiä palkita yhtäläisellä tavalla. </w:t>
      </w:r>
    </w:p>
    <w:p w:rsidR="00A45AA2" w:rsidRDefault="004450FC">
      <w:pPr>
        <w:rPr>
          <w:rFonts w:eastAsia="Calibri"/>
          <w:noProof/>
          <w:sz w:val="22"/>
          <w:szCs w:val="22"/>
        </w:rPr>
      </w:pPr>
      <w:r>
        <w:rPr>
          <w:noProof/>
        </w:rPr>
        <w:t>Sukupuolten palkkae</w:t>
      </w:r>
      <w:r>
        <w:rPr>
          <w:noProof/>
        </w:rPr>
        <w:t>rojen suuruus riippuu myös palkanmuodostuksesta vastaavista instituutioista. Alakohtaisilla vähimmäispalkoilla ja palkanmääritysmekanismeilla voidaan edistää palkkojen nostamista matalapalkkaisilla aloilla ja siten kaventaa sukupuolten palkkaeroja</w:t>
      </w:r>
      <w:r>
        <w:rPr>
          <w:rStyle w:val="FootnoteReference"/>
          <w:noProof/>
          <w:sz w:val="22"/>
        </w:rPr>
        <w:footnoteReference w:id="9"/>
      </w:r>
      <w:r>
        <w:rPr>
          <w:noProof/>
        </w:rPr>
        <w:t>.</w:t>
      </w:r>
      <w:r>
        <w:rPr>
          <w:noProof/>
          <w:sz w:val="22"/>
        </w:rPr>
        <w:t xml:space="preserve"> </w:t>
      </w:r>
    </w:p>
    <w:p w:rsidR="00A45AA2" w:rsidRDefault="004450FC">
      <w:pPr>
        <w:rPr>
          <w:rFonts w:eastAsia="Calibri"/>
          <w:noProof/>
          <w:szCs w:val="24"/>
        </w:rPr>
      </w:pPr>
      <w:r>
        <w:rPr>
          <w:noProof/>
        </w:rPr>
        <w:t>Nykytilanteen perusteella vaikuttaa siltä, että EU:n tasolla on harkittava pidemmälle meneviä toimenpiteitä. Niillä edistettäisiin työllisyyttä ja kasvua EU:ssa sekä oikeudenmukaisempia, työllisyyttä tukevia sisämarkkinoita. Tässä tiedonannossa esitetään t</w:t>
      </w:r>
      <w:r>
        <w:rPr>
          <w:noProof/>
        </w:rPr>
        <w:t xml:space="preserve">oimintasuunnitelma sukupuolten palkkaerojen kaventamiseksi sekä naisten ja miesten samapalkkaisuuden periaatteen täysimääräisen täytäntöönpanon varmistamiseksi.  </w:t>
      </w:r>
    </w:p>
    <w:p w:rsidR="00A45AA2" w:rsidRDefault="004450FC">
      <w:pPr>
        <w:pStyle w:val="Heading1"/>
        <w:rPr>
          <w:noProof/>
        </w:rPr>
      </w:pPr>
      <w:r>
        <w:rPr>
          <w:noProof/>
        </w:rPr>
        <w:t>Poliittiset painopisteet</w:t>
      </w:r>
    </w:p>
    <w:p w:rsidR="00A45AA2" w:rsidRDefault="004450FC">
      <w:pPr>
        <w:tabs>
          <w:tab w:val="left" w:pos="5103"/>
        </w:tabs>
        <w:ind w:right="-28"/>
        <w:rPr>
          <w:noProof/>
        </w:rPr>
      </w:pPr>
      <w:r>
        <w:rPr>
          <w:noProof/>
        </w:rPr>
        <w:t>Sukupuolten palkkaerojen poistaminen on edelleen päätavoite sukupuol</w:t>
      </w:r>
      <w:r>
        <w:rPr>
          <w:noProof/>
        </w:rPr>
        <w:t>ten tasa-arvon toteuttamisessa</w:t>
      </w:r>
      <w:r>
        <w:rPr>
          <w:rStyle w:val="FootnoteReference"/>
          <w:noProof/>
        </w:rPr>
        <w:footnoteReference w:id="10"/>
      </w:r>
      <w:r>
        <w:rPr>
          <w:noProof/>
        </w:rPr>
        <w:t xml:space="preserve"> ja YK:n vuoden 2030 toimintaohjelmassa esitettyjen kestävän </w:t>
      </w:r>
      <w:r>
        <w:rPr>
          <w:noProof/>
        </w:rPr>
        <w:lastRenderedPageBreak/>
        <w:t>kehityksen tavoitteiden saavuttamisessa. Lisäksi se edistää Euroopan sosiaalisten oikeuksien pilaria [josta Euroopan parlamentti, neuvosto ja komissio antoivat juli</w:t>
      </w:r>
      <w:r>
        <w:rPr>
          <w:noProof/>
        </w:rPr>
        <w:t xml:space="preserve">stuksen 17. marraskuuta Göteborgissa pidetyssä </w:t>
      </w:r>
      <w:hyperlink r:id="rId16">
        <w:r>
          <w:rPr>
            <w:rStyle w:val="Hyperlink"/>
            <w:noProof/>
          </w:rPr>
          <w:t>oikeudenmukaisia työpaikkoja ja kasvua käsittelevässä sosiaalialan huippukokouksessa</w:t>
        </w:r>
      </w:hyperlink>
      <w:r>
        <w:rPr>
          <w:noProof/>
        </w:rPr>
        <w:t>] ja erityisesti sukupuolten tasa-arvoa kaikilla aloilla koskevaa periaatet</w:t>
      </w:r>
      <w:r>
        <w:rPr>
          <w:noProof/>
        </w:rPr>
        <w:t xml:space="preserve">ta 2 ja yhtäläisiä mahdollisuuksia koskevaa periaatetta 3. </w:t>
      </w:r>
    </w:p>
    <w:p w:rsidR="00A45AA2" w:rsidRDefault="004450FC">
      <w:pPr>
        <w:tabs>
          <w:tab w:val="left" w:pos="5103"/>
        </w:tabs>
        <w:ind w:right="-28"/>
        <w:rPr>
          <w:noProof/>
        </w:rPr>
      </w:pPr>
      <w:r>
        <w:rPr>
          <w:noProof/>
        </w:rPr>
        <w:t>Tämän vuoksi se on edelleen myös komission poliittinen painopiste</w:t>
      </w:r>
      <w:r>
        <w:rPr>
          <w:rStyle w:val="FootnoteReference"/>
          <w:noProof/>
        </w:rPr>
        <w:footnoteReference w:id="11"/>
      </w:r>
      <w:r>
        <w:rPr>
          <w:noProof/>
        </w:rPr>
        <w:t>. Tämän toimintasuunnitelman tarkoituksena on muuntaa tämä sukupuolten palkkaeron kaventamista koskeva sitoumus keskeisiksi käytän</w:t>
      </w:r>
      <w:r>
        <w:rPr>
          <w:noProof/>
        </w:rPr>
        <w:t>nön toimenpiteiksi.</w:t>
      </w:r>
    </w:p>
    <w:p w:rsidR="00A45AA2" w:rsidRDefault="004450FC">
      <w:pPr>
        <w:tabs>
          <w:tab w:val="left" w:pos="5103"/>
        </w:tabs>
        <w:spacing w:after="0"/>
        <w:ind w:right="-28"/>
        <w:rPr>
          <w:noProof/>
        </w:rPr>
      </w:pPr>
      <w:r>
        <w:rPr>
          <w:noProof/>
        </w:rPr>
        <w:t>Tässä toimintasuunnitelmassa esitetään laaja ja johdonmukainen toimintakokonaisuus sukupuolten palkkaeron kaventamiseksi. Tässä ei keskitytä kartoittamaan vain yhtä tekijää tai syytä, vaan huomioon otetaan kaikki mahdolliset näkökulmat.</w:t>
      </w:r>
      <w:r>
        <w:rPr>
          <w:noProof/>
        </w:rPr>
        <w:t xml:space="preserve"> Esitetyt toimet tukevat toisiaan.</w:t>
      </w:r>
    </w:p>
    <w:p w:rsidR="00A45AA2" w:rsidRDefault="00A45AA2">
      <w:pPr>
        <w:tabs>
          <w:tab w:val="left" w:pos="5103"/>
        </w:tabs>
        <w:spacing w:after="0"/>
        <w:ind w:right="-28"/>
        <w:rPr>
          <w:noProof/>
        </w:rPr>
      </w:pPr>
    </w:p>
    <w:p w:rsidR="00A45AA2" w:rsidRDefault="004450FC">
      <w:pPr>
        <w:tabs>
          <w:tab w:val="left" w:pos="5103"/>
        </w:tabs>
        <w:spacing w:after="0"/>
        <w:ind w:right="-28"/>
        <w:rPr>
          <w:noProof/>
        </w:rPr>
      </w:pPr>
      <w:r>
        <w:rPr>
          <w:noProof/>
        </w:rPr>
        <w:t xml:space="preserve">Kahdeksan tärkeintä toimintalohkoa ovat seuraavat: </w:t>
      </w:r>
    </w:p>
    <w:p w:rsidR="00A45AA2" w:rsidRDefault="00A45AA2">
      <w:pPr>
        <w:tabs>
          <w:tab w:val="left" w:pos="5103"/>
        </w:tabs>
        <w:spacing w:after="0"/>
        <w:ind w:right="-28"/>
        <w:rPr>
          <w:noProof/>
        </w:rPr>
      </w:pPr>
    </w:p>
    <w:p w:rsidR="00A45AA2" w:rsidRDefault="004450FC">
      <w:pPr>
        <w:tabs>
          <w:tab w:val="left" w:pos="5103"/>
        </w:tabs>
        <w:spacing w:after="0"/>
        <w:ind w:right="-28"/>
        <w:rPr>
          <w:noProof/>
        </w:rPr>
      </w:pPr>
      <w:r>
        <w:rPr>
          <w:noProof/>
        </w:rPr>
        <w:t xml:space="preserve">1. samapalkkaisuuden periaatteen täytäntöönpanon parantaminen </w:t>
      </w:r>
    </w:p>
    <w:p w:rsidR="00A45AA2" w:rsidRDefault="004450FC">
      <w:pPr>
        <w:tabs>
          <w:tab w:val="left" w:pos="5103"/>
        </w:tabs>
        <w:spacing w:after="0"/>
        <w:ind w:right="-28"/>
        <w:rPr>
          <w:noProof/>
        </w:rPr>
      </w:pPr>
      <w:r>
        <w:rPr>
          <w:noProof/>
        </w:rPr>
        <w:t>2. eriytymisen torjuminen ammateissa ja toimialoilla</w:t>
      </w:r>
    </w:p>
    <w:p w:rsidR="00A45AA2" w:rsidRDefault="004450FC">
      <w:pPr>
        <w:tabs>
          <w:tab w:val="left" w:pos="5103"/>
        </w:tabs>
        <w:spacing w:after="0"/>
        <w:ind w:right="-28"/>
        <w:rPr>
          <w:noProof/>
        </w:rPr>
      </w:pPr>
      <w:r>
        <w:rPr>
          <w:noProof/>
        </w:rPr>
        <w:t>3. lasikaton murtaminen: aloitteet vertikaalisen er</w:t>
      </w:r>
      <w:r>
        <w:rPr>
          <w:noProof/>
        </w:rPr>
        <w:t>iytymisen torjumiseksi</w:t>
      </w:r>
    </w:p>
    <w:p w:rsidR="00A45AA2" w:rsidRDefault="004450FC">
      <w:pPr>
        <w:tabs>
          <w:tab w:val="left" w:pos="5103"/>
        </w:tabs>
        <w:spacing w:after="0"/>
        <w:ind w:right="-28"/>
        <w:rPr>
          <w:noProof/>
        </w:rPr>
      </w:pPr>
      <w:r>
        <w:rPr>
          <w:noProof/>
        </w:rPr>
        <w:t>4. hoitovastuisiin liittyvien kielteisten seurausten torjuminen</w:t>
      </w:r>
    </w:p>
    <w:p w:rsidR="00A45AA2" w:rsidRDefault="004450FC">
      <w:pPr>
        <w:tabs>
          <w:tab w:val="left" w:pos="5103"/>
        </w:tabs>
        <w:spacing w:after="0"/>
        <w:ind w:right="-28"/>
        <w:rPr>
          <w:noProof/>
        </w:rPr>
      </w:pPr>
      <w:r>
        <w:rPr>
          <w:noProof/>
        </w:rPr>
        <w:t>5. naisten ammattitaidon, panoksen ja vastuun parempi arvostaminen</w:t>
      </w:r>
    </w:p>
    <w:p w:rsidR="00A45AA2" w:rsidRDefault="004450FC">
      <w:pPr>
        <w:tabs>
          <w:tab w:val="left" w:pos="5103"/>
        </w:tabs>
        <w:spacing w:after="0"/>
        <w:ind w:right="-28"/>
        <w:rPr>
          <w:noProof/>
        </w:rPr>
      </w:pPr>
      <w:r>
        <w:rPr>
          <w:noProof/>
        </w:rPr>
        <w:t>6. asioiden valottaminen: eriarvoisuuden ja stereotypioiden paljastaminen</w:t>
      </w:r>
    </w:p>
    <w:p w:rsidR="00A45AA2" w:rsidRDefault="004450FC">
      <w:pPr>
        <w:tabs>
          <w:tab w:val="left" w:pos="5103"/>
        </w:tabs>
        <w:spacing w:after="0"/>
        <w:ind w:right="-28"/>
        <w:rPr>
          <w:noProof/>
        </w:rPr>
      </w:pPr>
      <w:r>
        <w:rPr>
          <w:noProof/>
        </w:rPr>
        <w:t>7. sukupuolten palkkaeroista</w:t>
      </w:r>
      <w:r>
        <w:rPr>
          <w:noProof/>
        </w:rPr>
        <w:t xml:space="preserve"> varoittaminen ja tiedottaminen</w:t>
      </w:r>
    </w:p>
    <w:p w:rsidR="00A45AA2" w:rsidRDefault="004450FC">
      <w:pPr>
        <w:tabs>
          <w:tab w:val="left" w:pos="5103"/>
        </w:tabs>
        <w:spacing w:after="0"/>
        <w:ind w:right="-28"/>
        <w:rPr>
          <w:noProof/>
        </w:rPr>
      </w:pPr>
      <w:r>
        <w:rPr>
          <w:noProof/>
        </w:rPr>
        <w:t>8. sukupuolten palkkaerojen kaventamiseen tähtäävien kumppanuuksien tehostaminen.</w:t>
      </w:r>
    </w:p>
    <w:p w:rsidR="00A45AA2" w:rsidRDefault="00A45AA2">
      <w:pPr>
        <w:tabs>
          <w:tab w:val="left" w:pos="5103"/>
        </w:tabs>
        <w:spacing w:after="0"/>
        <w:ind w:right="-28"/>
        <w:rPr>
          <w:noProof/>
        </w:rPr>
      </w:pPr>
    </w:p>
    <w:p w:rsidR="00A45AA2" w:rsidRDefault="004450FC">
      <w:pPr>
        <w:spacing w:after="0"/>
        <w:rPr>
          <w:noProof/>
        </w:rPr>
      </w:pPr>
      <w:r>
        <w:rPr>
          <w:noProof/>
        </w:rPr>
        <w:t>Tehokkuuden vuoksi synergiaa tarvitaan niiden toimenpiteiden välillä, joita keskeiset sidosryhmät toteuttavat unionin, jäsenvaltioiden ja yri</w:t>
      </w:r>
      <w:r>
        <w:rPr>
          <w:noProof/>
        </w:rPr>
        <w:t xml:space="preserve">tysten tasolla. </w:t>
      </w:r>
    </w:p>
    <w:p w:rsidR="00A45AA2" w:rsidRDefault="00A45AA2">
      <w:pPr>
        <w:spacing w:after="0"/>
        <w:rPr>
          <w:noProof/>
        </w:rPr>
      </w:pPr>
    </w:p>
    <w:p w:rsidR="00A45AA2" w:rsidRDefault="00A45AA2">
      <w:pPr>
        <w:spacing w:after="0"/>
        <w:jc w:val="left"/>
        <w:rPr>
          <w:b/>
          <w:smallCaps/>
          <w:noProof/>
          <w:u w:val="single"/>
        </w:rPr>
      </w:pPr>
    </w:p>
    <w:p w:rsidR="00A45AA2" w:rsidRDefault="004450FC">
      <w:pPr>
        <w:pStyle w:val="Heading1"/>
        <w:numPr>
          <w:ilvl w:val="0"/>
          <w:numId w:val="0"/>
        </w:numPr>
        <w:spacing w:before="0"/>
        <w:rPr>
          <w:noProof/>
        </w:rPr>
      </w:pPr>
      <w:r>
        <w:rPr>
          <w:noProof/>
        </w:rPr>
        <w:t xml:space="preserve">Toimi 1: Samapalkkaisuuden periaatteen täytäntöönpanon parantaminen  </w:t>
      </w:r>
    </w:p>
    <w:p w:rsidR="00A45AA2" w:rsidRDefault="004450FC">
      <w:pPr>
        <w:pStyle w:val="Text2"/>
        <w:ind w:left="0"/>
        <w:rPr>
          <w:b/>
          <w:i/>
          <w:noProof/>
        </w:rPr>
      </w:pPr>
      <w:r>
        <w:rPr>
          <w:b/>
          <w:i/>
          <w:noProof/>
        </w:rPr>
        <w:t xml:space="preserve">Komissio arvioi, tarvitaanko uusia oikeudellisia toimenpiteitä, joilla parannetaan periaatteen soveltamista, ja se valvoo EU:ssa voimassa olevia oikeuksia ja panee ne </w:t>
      </w:r>
      <w:r>
        <w:rPr>
          <w:b/>
          <w:i/>
          <w:noProof/>
        </w:rPr>
        <w:t xml:space="preserve">täytäntöön. </w:t>
      </w:r>
    </w:p>
    <w:p w:rsidR="00A45AA2" w:rsidRDefault="004450FC">
      <w:pPr>
        <w:pStyle w:val="Text2"/>
        <w:ind w:left="0"/>
        <w:rPr>
          <w:noProof/>
        </w:rPr>
      </w:pPr>
      <w:r>
        <w:rPr>
          <w:noProof/>
        </w:rPr>
        <w:t xml:space="preserve">SEUT-sopimuksen 157 artiklassa vahvistetaan samapalkkaisuuden periaate. Sukupuolten yhdenvertaisuutta koskevan direktiivin uudelleenlaaditun toisinnon (2006/54/EY) 4 artiklassa säädetään samapalkkaisuuden periaatteesta. Sen mukaan samaa työtä </w:t>
      </w:r>
      <w:r>
        <w:rPr>
          <w:noProof/>
        </w:rPr>
        <w:t xml:space="preserve">tai samanarvoista työtä tekevien suora tai epäsuora syrjintä sukupuolen perusteella on kiellettyä kaikkien korvausta koskevien näkökohtien ja ehtojen kohdalla. </w:t>
      </w:r>
    </w:p>
    <w:p w:rsidR="00A45AA2" w:rsidRDefault="004450FC">
      <w:pPr>
        <w:pStyle w:val="ListBullet"/>
        <w:rPr>
          <w:noProof/>
        </w:rPr>
      </w:pPr>
      <w:r>
        <w:rPr>
          <w:noProof/>
        </w:rPr>
        <w:t xml:space="preserve">Vuonna 2013 komissio hyväksyi täytäntöönpanokertomuksen sukupuolten yhdenvertaisuutta koskevan </w:t>
      </w:r>
      <w:r>
        <w:rPr>
          <w:noProof/>
        </w:rPr>
        <w:t>direktiivin uudelleenlaaditusta toisinnosta</w:t>
      </w:r>
      <w:r>
        <w:rPr>
          <w:rStyle w:val="FootnoteReference"/>
          <w:noProof/>
        </w:rPr>
        <w:footnoteReference w:id="12"/>
      </w:r>
      <w:r>
        <w:rPr>
          <w:noProof/>
        </w:rPr>
        <w:t xml:space="preserve">. Kertomuksessa esitetään tilannekatsaus direktiivin täytäntöönpanosta, myös samapalkkaisuuden osalta. </w:t>
      </w:r>
    </w:p>
    <w:p w:rsidR="00A45AA2" w:rsidRDefault="004450FC">
      <w:pPr>
        <w:pStyle w:val="ListBullet"/>
        <w:rPr>
          <w:noProof/>
        </w:rPr>
      </w:pPr>
      <w:r>
        <w:rPr>
          <w:noProof/>
        </w:rPr>
        <w:t>Vuonna 2014 komissio antoi suosituksen samapalkkaisuuden periaatteen lujittamisesta läpinäkyvyyden avulla</w:t>
      </w:r>
      <w:r>
        <w:rPr>
          <w:rStyle w:val="FootnoteReference"/>
          <w:noProof/>
        </w:rPr>
        <w:footnoteReference w:id="13"/>
      </w:r>
      <w:r>
        <w:rPr>
          <w:noProof/>
        </w:rPr>
        <w:t xml:space="preserve">. </w:t>
      </w:r>
      <w:r>
        <w:rPr>
          <w:noProof/>
        </w:rPr>
        <w:t>Sillä edistetään samapalkkaisuutta koskevan lainsäädännön tehokkaampaa täytäntöönpanoa ja siinä esitetään konkreettinen toimenpidevälineistö palkkauksen läpinäkyvyyden parantamiseksi</w:t>
      </w:r>
      <w:r>
        <w:rPr>
          <w:rStyle w:val="FootnoteReference"/>
          <w:noProof/>
        </w:rPr>
        <w:footnoteReference w:id="14"/>
      </w:r>
      <w:r>
        <w:rPr>
          <w:noProof/>
        </w:rPr>
        <w:t>. Suosituksessa kehotetaan jäsenvaltioita valitsemaan ja toteuttamaan ain</w:t>
      </w:r>
      <w:r>
        <w:rPr>
          <w:noProof/>
        </w:rPr>
        <w:t>akin yksi toimenpiteistä kunkin maan olosuhteiden perusteella.</w:t>
      </w:r>
    </w:p>
    <w:p w:rsidR="00A45AA2" w:rsidRDefault="004450FC">
      <w:pPr>
        <w:pStyle w:val="Text2"/>
        <w:ind w:left="0"/>
        <w:rPr>
          <w:noProof/>
        </w:rPr>
      </w:pPr>
      <w:r>
        <w:rPr>
          <w:noProof/>
        </w:rPr>
        <w:t>Komissio on hyväksynyt yhdessä toimintasuunnitelman kanssa arviointikertomuksen palkkojen läpinäkyvyydestä. Kertomuksessa tarkastellaan jäsenvaltioiden seurantatoimia ja esitetään katsaus voima</w:t>
      </w:r>
      <w:r>
        <w:rPr>
          <w:noProof/>
        </w:rPr>
        <w:t>ssa oleviin kansallisiin toimenpiteisiin</w:t>
      </w:r>
      <w:r>
        <w:rPr>
          <w:rStyle w:val="FootnoteReference"/>
          <w:noProof/>
        </w:rPr>
        <w:footnoteReference w:id="15"/>
      </w:r>
      <w:r>
        <w:rPr>
          <w:noProof/>
        </w:rPr>
        <w:t xml:space="preserve">. Jäsenvaltioiden ilmoittamien kansallisten toimenpiteiden arviointi osoitti, että voimassa olevat kansalliset avoimuustoimenpiteet eivät ole yksin riittäviä ja tehokkaita. </w:t>
      </w:r>
    </w:p>
    <w:p w:rsidR="00A45AA2" w:rsidRDefault="004450FC">
      <w:pPr>
        <w:pStyle w:val="Text2"/>
        <w:ind w:left="0"/>
        <w:rPr>
          <w:noProof/>
        </w:rPr>
      </w:pPr>
      <w:r>
        <w:rPr>
          <w:noProof/>
        </w:rPr>
        <w:t>Kertomuksessa sukupuolten yhdenvertaisuut</w:t>
      </w:r>
      <w:r>
        <w:rPr>
          <w:noProof/>
        </w:rPr>
        <w:t>ta koskevan direktiivin uudelleenlaaditun toisinnon täytäntöönpanosta ja kertomuksessa palkkojen läpinäkyvyydestä annetun suosituksen täytäntöönpanosta esitetään näyttöä tarpeesta edistää nykyistä oikeuskehystä ja tehostaa sen täytäntöönpanoa.</w:t>
      </w:r>
    </w:p>
    <w:p w:rsidR="00A45AA2" w:rsidRDefault="004450FC">
      <w:pPr>
        <w:rPr>
          <w:rFonts w:eastAsia="Calibri"/>
          <w:i/>
          <w:noProof/>
        </w:rPr>
      </w:pPr>
      <w:r>
        <w:rPr>
          <w:i/>
          <w:noProof/>
        </w:rPr>
        <w:t>Komissio aik</w:t>
      </w:r>
      <w:r>
        <w:rPr>
          <w:i/>
          <w:noProof/>
        </w:rPr>
        <w:t>oo erityisesti toteuttaa seuraavia toimia:</w:t>
      </w:r>
    </w:p>
    <w:p w:rsidR="00A45AA2" w:rsidRDefault="004450FC">
      <w:pPr>
        <w:pStyle w:val="Text2"/>
        <w:numPr>
          <w:ilvl w:val="0"/>
          <w:numId w:val="34"/>
        </w:numPr>
        <w:rPr>
          <w:noProof/>
        </w:rPr>
      </w:pPr>
      <w:r>
        <w:rPr>
          <w:noProof/>
        </w:rPr>
        <w:t xml:space="preserve">Komissio arvioi mahdollisuutta esittää kohdennettuja muutoksia sukupuolten yhdenvertaisuutta koskevan direktiivin uudelleenlaadittuun toisintoon tarkastelemalla seuraavia asioita:  </w:t>
      </w:r>
    </w:p>
    <w:p w:rsidR="00A45AA2" w:rsidRDefault="004450FC">
      <w:pPr>
        <w:pStyle w:val="Text2"/>
        <w:numPr>
          <w:ilvl w:val="1"/>
          <w:numId w:val="34"/>
        </w:numPr>
        <w:rPr>
          <w:noProof/>
        </w:rPr>
      </w:pPr>
      <w:r>
        <w:rPr>
          <w:noProof/>
        </w:rPr>
        <w:t xml:space="preserve">tarve ja mahdollisuus tehdä sitovia joistakin tai kaikista vuoden 2013 suositukseen sisältyvistä palkkauksen läpinäkyvyyttä koskevista toimenpiteistä, joita ovat muun muassa </w:t>
      </w:r>
    </w:p>
    <w:p w:rsidR="00A45AA2" w:rsidRDefault="004450FC">
      <w:pPr>
        <w:pStyle w:val="ListBullet1"/>
        <w:numPr>
          <w:ilvl w:val="0"/>
          <w:numId w:val="21"/>
        </w:numPr>
        <w:spacing w:after="0"/>
        <w:rPr>
          <w:noProof/>
        </w:rPr>
      </w:pPr>
      <w:r>
        <w:rPr>
          <w:noProof/>
        </w:rPr>
        <w:t>työntekijöiden oikeus pyytää tietoja palkkatasoista</w:t>
      </w:r>
    </w:p>
    <w:p w:rsidR="00A45AA2" w:rsidRDefault="004450FC">
      <w:pPr>
        <w:pStyle w:val="ListBullet1"/>
        <w:numPr>
          <w:ilvl w:val="0"/>
          <w:numId w:val="21"/>
        </w:numPr>
        <w:spacing w:after="0"/>
        <w:rPr>
          <w:noProof/>
        </w:rPr>
      </w:pPr>
      <w:r>
        <w:rPr>
          <w:noProof/>
        </w:rPr>
        <w:t>työnantajien säännöllinen tie</w:t>
      </w:r>
      <w:r>
        <w:rPr>
          <w:noProof/>
        </w:rPr>
        <w:t>dottaminen työntekijäryhmä- tai tehtäväkohtaisista palkkatiedoista</w:t>
      </w:r>
    </w:p>
    <w:p w:rsidR="00A45AA2" w:rsidRDefault="004450FC">
      <w:pPr>
        <w:pStyle w:val="ListBullet1"/>
        <w:numPr>
          <w:ilvl w:val="0"/>
          <w:numId w:val="21"/>
        </w:numPr>
        <w:spacing w:after="0"/>
        <w:rPr>
          <w:noProof/>
        </w:rPr>
      </w:pPr>
      <w:r>
        <w:rPr>
          <w:noProof/>
        </w:rPr>
        <w:t xml:space="preserve">samanarvoisen työn käsitteen selkeyttäminen </w:t>
      </w:r>
    </w:p>
    <w:p w:rsidR="00A45AA2" w:rsidRDefault="00A45AA2">
      <w:pPr>
        <w:pStyle w:val="Text2"/>
        <w:spacing w:after="0"/>
        <w:rPr>
          <w:noProof/>
        </w:rPr>
      </w:pPr>
    </w:p>
    <w:p w:rsidR="00A45AA2" w:rsidRDefault="004450FC">
      <w:pPr>
        <w:pStyle w:val="ListBullet2"/>
        <w:numPr>
          <w:ilvl w:val="0"/>
          <w:numId w:val="35"/>
        </w:numPr>
        <w:rPr>
          <w:b/>
          <w:noProof/>
        </w:rPr>
      </w:pPr>
      <w:r>
        <w:rPr>
          <w:noProof/>
        </w:rPr>
        <w:t>seuraamusmekanismin ja uhreille myönnettävien korvauksien parantaminen arvioimalla tarvetta ottaa käyttöön tiettyjä toimenpiteitä, kuten</w:t>
      </w:r>
      <w:r>
        <w:rPr>
          <w:rStyle w:val="FootnoteReference"/>
          <w:noProof/>
        </w:rPr>
        <w:footnoteReference w:id="16"/>
      </w:r>
    </w:p>
    <w:p w:rsidR="00A45AA2" w:rsidRDefault="004450FC">
      <w:pPr>
        <w:pStyle w:val="ListBullet1"/>
        <w:numPr>
          <w:ilvl w:val="0"/>
          <w:numId w:val="22"/>
        </w:numPr>
        <w:spacing w:after="0"/>
        <w:rPr>
          <w:noProof/>
        </w:rPr>
      </w:pPr>
      <w:r>
        <w:rPr>
          <w:noProof/>
        </w:rPr>
        <w:t>samap</w:t>
      </w:r>
      <w:r>
        <w:rPr>
          <w:noProof/>
        </w:rPr>
        <w:t xml:space="preserve">alkkaisuuden periaatteen rikkomisesta määrättävät vähimmäisseuraamukset </w:t>
      </w:r>
    </w:p>
    <w:p w:rsidR="00A45AA2" w:rsidRDefault="004450FC">
      <w:pPr>
        <w:pStyle w:val="ListBullet1"/>
        <w:numPr>
          <w:ilvl w:val="0"/>
          <w:numId w:val="22"/>
        </w:numPr>
        <w:spacing w:after="0"/>
        <w:rPr>
          <w:noProof/>
        </w:rPr>
      </w:pPr>
      <w:r>
        <w:rPr>
          <w:noProof/>
        </w:rPr>
        <w:t>vähimmäisvaatimukset korvauksille, joiden perusteella uhrin asema saatetaan vastaamaan tilannetta, jossa samapalkkaisuuden periaatetta olisi noudatettu</w:t>
      </w:r>
    </w:p>
    <w:p w:rsidR="00A45AA2" w:rsidRDefault="00A45AA2">
      <w:pPr>
        <w:pStyle w:val="ListBullet1"/>
        <w:spacing w:after="0"/>
        <w:ind w:left="1562"/>
        <w:rPr>
          <w:noProof/>
        </w:rPr>
      </w:pPr>
    </w:p>
    <w:p w:rsidR="00A45AA2" w:rsidRDefault="004450FC">
      <w:pPr>
        <w:pStyle w:val="ListBullet2"/>
        <w:numPr>
          <w:ilvl w:val="0"/>
          <w:numId w:val="23"/>
        </w:numPr>
        <w:tabs>
          <w:tab w:val="left" w:pos="1134"/>
        </w:tabs>
        <w:rPr>
          <w:noProof/>
        </w:rPr>
      </w:pPr>
      <w:r>
        <w:rPr>
          <w:noProof/>
        </w:rPr>
        <w:t>sukupuolten tasa-arvon varmist</w:t>
      </w:r>
      <w:r>
        <w:rPr>
          <w:noProof/>
        </w:rPr>
        <w:t>aminen ammatillisissa eläkejärjestelmissä, jotta sukupuolten yhdenvertaisuutta koskevan direktiivin uudelleenlaadittua toisintoa mukautetaan unionin tuomioistuimen oikeuskäytännön perusteella: direktiivissä sallitaan naisten ja miesten erilainen kohtelu am</w:t>
      </w:r>
      <w:r>
        <w:rPr>
          <w:noProof/>
        </w:rPr>
        <w:t>matillisissa eläkejärjestelmissä erilaisen tilastollisen elinajanodotteen vuoksi; naiset saavat tämän vuoksi alhaisemman kuukausittaisen eläkkeen, koska he elävät keskimäärin pidempään (mikä edistää sukupuolten eläke-eroja); tuomioistuin totesi tällaisen k</w:t>
      </w:r>
      <w:r>
        <w:rPr>
          <w:noProof/>
        </w:rPr>
        <w:t>äytännön syrjiväksi ja kielsi sen valtioneläkkeiden osalta</w:t>
      </w:r>
      <w:r>
        <w:rPr>
          <w:rStyle w:val="FootnoteReference"/>
          <w:noProof/>
        </w:rPr>
        <w:footnoteReference w:id="17"/>
      </w:r>
      <w:r>
        <w:rPr>
          <w:noProof/>
        </w:rPr>
        <w:t xml:space="preserve"> vuonna 2014 ja yksityisten eläkkeiden osalta (vakuutussopimukset) vuonna 2011</w:t>
      </w:r>
      <w:r>
        <w:rPr>
          <w:rStyle w:val="FootnoteReference"/>
          <w:noProof/>
        </w:rPr>
        <w:footnoteReference w:id="18"/>
      </w:r>
      <w:r>
        <w:rPr>
          <w:noProof/>
        </w:rPr>
        <w:t xml:space="preserve"> </w:t>
      </w:r>
    </w:p>
    <w:p w:rsidR="00A45AA2" w:rsidRDefault="004450FC">
      <w:pPr>
        <w:pStyle w:val="Text2"/>
        <w:numPr>
          <w:ilvl w:val="0"/>
          <w:numId w:val="36"/>
        </w:numPr>
        <w:tabs>
          <w:tab w:val="clear" w:pos="2160"/>
          <w:tab w:val="left" w:pos="567"/>
        </w:tabs>
        <w:rPr>
          <w:noProof/>
        </w:rPr>
      </w:pPr>
      <w:r>
        <w:rPr>
          <w:noProof/>
        </w:rPr>
        <w:t xml:space="preserve">tasa-arvoelinten valvontatehtävän vahvistaminen esimerkiksi </w:t>
      </w:r>
    </w:p>
    <w:p w:rsidR="00A45AA2" w:rsidRDefault="004450FC">
      <w:pPr>
        <w:pStyle w:val="ListBullet1"/>
        <w:numPr>
          <w:ilvl w:val="0"/>
          <w:numId w:val="22"/>
        </w:numPr>
        <w:spacing w:after="0"/>
        <w:rPr>
          <w:noProof/>
        </w:rPr>
      </w:pPr>
      <w:r>
        <w:rPr>
          <w:noProof/>
        </w:rPr>
        <w:t>varmistamalla, että tasa-arvoelimet voivat toteuttaa tä</w:t>
      </w:r>
      <w:r>
        <w:rPr>
          <w:noProof/>
        </w:rPr>
        <w:t xml:space="preserve">tä tehtävää käytännössä täysimääräisesti, erityisesti valvomalla sovellettavien sääntöjen täytäntöönpanoa </w:t>
      </w:r>
    </w:p>
    <w:p w:rsidR="00A45AA2" w:rsidRDefault="004450FC">
      <w:pPr>
        <w:pStyle w:val="ListBullet1"/>
        <w:numPr>
          <w:ilvl w:val="0"/>
          <w:numId w:val="22"/>
        </w:numPr>
        <w:spacing w:after="0"/>
        <w:rPr>
          <w:noProof/>
        </w:rPr>
      </w:pPr>
      <w:r>
        <w:rPr>
          <w:noProof/>
        </w:rPr>
        <w:t>selventämällä tasa-arvoelimille direktiivissä asetettuja vaatimuksia ja/tai asettamalla erityisesti niiden riippumattomuutta ja tehokkuutta sekä toim</w:t>
      </w:r>
      <w:r>
        <w:rPr>
          <w:noProof/>
        </w:rPr>
        <w:t>ivaltuuksia koskevia monialaisia standardeja niiden valvontatehtävän mukaisesti</w:t>
      </w:r>
      <w:r>
        <w:rPr>
          <w:rStyle w:val="FootnoteReference"/>
          <w:noProof/>
        </w:rPr>
        <w:footnoteReference w:id="19"/>
      </w:r>
      <w:r>
        <w:rPr>
          <w:noProof/>
        </w:rPr>
        <w:t xml:space="preserve">.  </w:t>
      </w:r>
    </w:p>
    <w:p w:rsidR="00A45AA2" w:rsidRDefault="00A45AA2">
      <w:pPr>
        <w:pStyle w:val="ListBullet1"/>
        <w:spacing w:after="0"/>
        <w:ind w:left="1562"/>
        <w:rPr>
          <w:noProof/>
        </w:rPr>
      </w:pPr>
    </w:p>
    <w:p w:rsidR="00A45AA2" w:rsidRDefault="004450FC">
      <w:pPr>
        <w:pStyle w:val="Text2"/>
        <w:numPr>
          <w:ilvl w:val="0"/>
          <w:numId w:val="24"/>
        </w:numPr>
        <w:tabs>
          <w:tab w:val="clear" w:pos="2160"/>
          <w:tab w:val="left" w:pos="0"/>
        </w:tabs>
        <w:rPr>
          <w:noProof/>
        </w:rPr>
      </w:pPr>
      <w:r>
        <w:rPr>
          <w:noProof/>
        </w:rPr>
        <w:t xml:space="preserve">Komissio arvioi edelleen, onko EU:n säännöstö pantu asianmukaisesti täytäntöön EU:n eri jäsenvaltioissa, ja seuraa samapalkkaisuuden periaatteen käytännön soveltamista. </w:t>
      </w:r>
      <w:r>
        <w:rPr>
          <w:noProof/>
        </w:rPr>
        <w:t>Jos sääntöjä ei noudateta, komissio jatkaa rikkomusmenettelyn soveltamista tätä jäsenvaltiota vastaan unionia koskevien velvoitteiden noudattamatta jättämisestä.</w:t>
      </w:r>
    </w:p>
    <w:p w:rsidR="00A45AA2" w:rsidRDefault="004450FC">
      <w:pPr>
        <w:pStyle w:val="Text2"/>
        <w:numPr>
          <w:ilvl w:val="0"/>
          <w:numId w:val="24"/>
        </w:numPr>
        <w:rPr>
          <w:noProof/>
        </w:rPr>
      </w:pPr>
      <w:r>
        <w:rPr>
          <w:noProof/>
        </w:rPr>
        <w:t>Komissio aikoo laatia vuonna 2019 kertomuksen SEUT-sopimuksen 157 artiklan 4 kohdan perusteell</w:t>
      </w:r>
      <w:r>
        <w:rPr>
          <w:noProof/>
        </w:rPr>
        <w:t>a hyväksytyistä, erityisetuja tarjoavista kansallisista toimenpiteistä, joiden tarkoituksena on helpottaa aliedustettuna olevan sukupuolen ammatillisen toiminnan harjoittamista taikka ehkäistä tai kompensoida ammattiuraan liittyviä haittoja.</w:t>
      </w:r>
    </w:p>
    <w:p w:rsidR="00A45AA2" w:rsidRDefault="004450FC">
      <w:pPr>
        <w:pStyle w:val="Text2"/>
        <w:numPr>
          <w:ilvl w:val="0"/>
          <w:numId w:val="24"/>
        </w:numPr>
        <w:rPr>
          <w:noProof/>
        </w:rPr>
      </w:pPr>
      <w:r>
        <w:rPr>
          <w:noProof/>
        </w:rPr>
        <w:t>Komissio jatka</w:t>
      </w:r>
      <w:r>
        <w:rPr>
          <w:noProof/>
        </w:rPr>
        <w:t>a yhteistyötä kansallisten tasa-arvoelinten eurooppalaisen verkoston (Equinet), miesten ja naisten yhtäläisiä mahdollisuuksia käsittelevän neuvoa-antavan komitean sekä sukupuolinäkökulman valtavirtaistamista käsittelevän korkean tason työryhmän kanssa, jot</w:t>
      </w:r>
      <w:r>
        <w:rPr>
          <w:noProof/>
        </w:rPr>
        <w:t xml:space="preserve">ta samapalkkaisuuden periaatteen täytäntöönpanoa jäsenvaltioissa voidaan tehostaa. </w:t>
      </w:r>
    </w:p>
    <w:p w:rsidR="00A45AA2" w:rsidRDefault="004450FC">
      <w:pPr>
        <w:pStyle w:val="Heading1"/>
        <w:numPr>
          <w:ilvl w:val="0"/>
          <w:numId w:val="0"/>
        </w:numPr>
        <w:ind w:left="480" w:hanging="480"/>
        <w:rPr>
          <w:noProof/>
        </w:rPr>
      </w:pPr>
      <w:r>
        <w:rPr>
          <w:noProof/>
        </w:rPr>
        <w:t xml:space="preserve">Toimi 2: Eriytymisen torjuminen ammateissa ja toimialoilla </w:t>
      </w:r>
    </w:p>
    <w:p w:rsidR="00A45AA2" w:rsidRDefault="004450FC">
      <w:pPr>
        <w:rPr>
          <w:rFonts w:eastAsia="Calibri"/>
          <w:b/>
          <w:i/>
          <w:noProof/>
        </w:rPr>
      </w:pPr>
      <w:r>
        <w:rPr>
          <w:b/>
          <w:i/>
          <w:noProof/>
        </w:rPr>
        <w:t>Komissio kannustaa menettelytapoja, joilla varmistetaan, että stereotypiat, jotka johtavat eroihin naisten ja mi</w:t>
      </w:r>
      <w:r>
        <w:rPr>
          <w:b/>
          <w:i/>
          <w:noProof/>
        </w:rPr>
        <w:t xml:space="preserve">esten työllistymisessä eri aloille, poistetaan varhaisessa vaiheessa koulunkäyntiä ja työelämää. Komissio tukee yritysten ja muiden työnantajien toimia, joilla pyritään varmistamaan samapalkkaisuus sekä houkuttelemaan ja palkkamaan aliedustetun sukupuolen </w:t>
      </w:r>
      <w:r>
        <w:rPr>
          <w:b/>
          <w:i/>
          <w:noProof/>
        </w:rPr>
        <w:t>edustajia.</w:t>
      </w:r>
    </w:p>
    <w:p w:rsidR="00A45AA2" w:rsidRDefault="004450FC">
      <w:pPr>
        <w:pStyle w:val="ListBullet"/>
        <w:spacing w:after="200"/>
        <w:rPr>
          <w:rFonts w:eastAsia="Calibri"/>
          <w:noProof/>
        </w:rPr>
      </w:pPr>
      <w:r>
        <w:rPr>
          <w:noProof/>
        </w:rPr>
        <w:t xml:space="preserve">Sukupuoleen perustuva eriytyminen toimialoilla on yksi sukupuolten palkkaerojen pääsyistä. </w:t>
      </w:r>
    </w:p>
    <w:p w:rsidR="00A45AA2" w:rsidRDefault="004450FC">
      <w:pPr>
        <w:pStyle w:val="ListBullet"/>
        <w:rPr>
          <w:noProof/>
        </w:rPr>
      </w:pPr>
      <w:r>
        <w:rPr>
          <w:noProof/>
        </w:rPr>
        <w:t>Miesten ja naisten edustus vaihtelee eri talouden aloilla. Naisia työskentelee vähemmän joillakin talouden aloilla, kuten rakentamisen, teollisuuden, lii</w:t>
      </w:r>
      <w:r>
        <w:rPr>
          <w:noProof/>
        </w:rPr>
        <w:t>kenteen, luonnontieteiden sekä tieto- ja viestintätekniikan aloilla</w:t>
      </w:r>
      <w:r>
        <w:rPr>
          <w:rStyle w:val="FootnoteReference"/>
          <w:noProof/>
        </w:rPr>
        <w:footnoteReference w:id="20"/>
      </w:r>
      <w:r>
        <w:rPr>
          <w:noProof/>
        </w:rPr>
        <w:t>. Vastaavasti miehet päätyvät harvemmin eurooppalaisen yhteiskunnan ja talouden tulevaisuuden kannalta keskeisille aloille, kuten koulutuksen sekä hoito- ja hoivatyön alan ammatteihin.</w:t>
      </w:r>
    </w:p>
    <w:p w:rsidR="00A45AA2" w:rsidRDefault="004450FC">
      <w:pPr>
        <w:pStyle w:val="ListBullet"/>
        <w:rPr>
          <w:noProof/>
        </w:rPr>
      </w:pPr>
      <w:r>
        <w:rPr>
          <w:noProof/>
        </w:rPr>
        <w:t>Tie</w:t>
      </w:r>
      <w:r>
        <w:rPr>
          <w:noProof/>
        </w:rPr>
        <w:t>to- ja viestintätekniikan ala on kasvanut viimeisten 10 vuoden aikana, ja on odotettavissa, että sillä luodaan edelleen työpaikkoja. Tieto- ja viestintätekniikka-alalla on 8 miljoonaa työntekijää, joista kuitenkin vain 16 prosenttia on naisia. Insinööritie</w:t>
      </w:r>
      <w:r>
        <w:rPr>
          <w:noProof/>
        </w:rPr>
        <w:t>teiden ja luonnontieteen aloilla sukupuolten välinen jakauma näkyy edelleen nuorten keskuudessa. Vuonna 2014 naisten osuus kaikista tohtorintutkinnon EU:ssa suorittaneista oli 46 prosenttia. Insinööritieteiden, tuotantotalouden ja rakentamisen alalla naist</w:t>
      </w:r>
      <w:r>
        <w:rPr>
          <w:noProof/>
        </w:rPr>
        <w:t>en osuus oli vain 28 prosenttia ja tietotekniikan alalla ainoastaan 21 prosenttia. Miesten osuus koulutusalan tohtorintutkinnoista oli puolestaan vain 33 prosenttia.</w:t>
      </w:r>
    </w:p>
    <w:p w:rsidR="00A45AA2" w:rsidRDefault="004450FC">
      <w:pPr>
        <w:pStyle w:val="ListBullet"/>
        <w:rPr>
          <w:noProof/>
        </w:rPr>
      </w:pPr>
      <w:r>
        <w:rPr>
          <w:noProof/>
        </w:rPr>
        <w:t xml:space="preserve">Jos naisia saataisiin houkuteltua lisää luonnontieteiden, teknologian, insinööritieteiden </w:t>
      </w:r>
      <w:r>
        <w:rPr>
          <w:noProof/>
        </w:rPr>
        <w:t>ja matematiikan aloille</w:t>
      </w:r>
      <w:r>
        <w:rPr>
          <w:rStyle w:val="FootnoteReference"/>
          <w:noProof/>
        </w:rPr>
        <w:footnoteReference w:id="21"/>
      </w:r>
      <w:r>
        <w:rPr>
          <w:noProof/>
        </w:rPr>
        <w:t>, EU:n BKT olisi vuonna 2050 kohentunut henkeä kohti 2,2–3,0 prosenttia. Kehitys voi olla mahdollista uusien suuntausten ansiosta, joita ovat esimerkiksi tyttöjen kiinnostus koodaukseen tai naisten johtamien startup-yritysten esiinm</w:t>
      </w:r>
      <w:r>
        <w:rPr>
          <w:noProof/>
        </w:rPr>
        <w:t xml:space="preserve">arssi. </w:t>
      </w:r>
    </w:p>
    <w:p w:rsidR="00A45AA2" w:rsidRDefault="004450FC">
      <w:pPr>
        <w:rPr>
          <w:rFonts w:eastAsia="Calibri"/>
          <w:noProof/>
        </w:rPr>
      </w:pPr>
      <w:r>
        <w:rPr>
          <w:noProof/>
        </w:rPr>
        <w:t>Koska ura- ja opiskeluvalinnat tehdään melko aikaisin, eikä niitä voi useinkaan enää kokonaan vaihtaa, työmarkkinoiden eriytymistä on torjuttava jo kouluissa. PISA-tiedot</w:t>
      </w:r>
      <w:r>
        <w:rPr>
          <w:rStyle w:val="FootnoteReference"/>
          <w:noProof/>
        </w:rPr>
        <w:footnoteReference w:id="22"/>
      </w:r>
      <w:r>
        <w:rPr>
          <w:noProof/>
        </w:rPr>
        <w:t xml:space="preserve"> osoittavat, että sukupuolistereotypiat ovat edelleen yleisiä, mikä aiheuttaa</w:t>
      </w:r>
      <w:r>
        <w:rPr>
          <w:noProof/>
        </w:rPr>
        <w:t xml:space="preserve"> eroja itseluottamuksessa ja sitoutumisessa eri aloille. Eriytymisen torjumiseksi koulutuksessa ja työmarkkinoilla on kuitenkin löytynyt muutamia hyviä toimintamalleja. Tärkeitä tällä alalla ovat keskinäinen oppiminen ja kokemukset toimenpiteistä, jotka to</w:t>
      </w:r>
      <w:r>
        <w:rPr>
          <w:noProof/>
        </w:rPr>
        <w:t>della ”toimivat”.</w:t>
      </w:r>
    </w:p>
    <w:p w:rsidR="00A45AA2" w:rsidRDefault="004450FC">
      <w:pPr>
        <w:rPr>
          <w:rFonts w:eastAsia="Calibri"/>
          <w:i/>
          <w:noProof/>
        </w:rPr>
      </w:pPr>
      <w:r>
        <w:rPr>
          <w:i/>
          <w:noProof/>
        </w:rPr>
        <w:t>Komissio aikoo erityisesti toteuttaa seuraavia toimia:</w:t>
      </w:r>
    </w:p>
    <w:p w:rsidR="00A45AA2" w:rsidRDefault="004450FC">
      <w:pPr>
        <w:pStyle w:val="ListParagraph"/>
        <w:ind w:left="644"/>
        <w:rPr>
          <w:noProof/>
        </w:rPr>
      </w:pPr>
      <w:r>
        <w:rPr>
          <w:noProof/>
        </w:rPr>
        <w:t>Komissio tukee monikansallisia hankkeita stereotypioiden ja eriytymisen torjumiseksi koulutuksessa ja työmarkkinoilla. Painopisteenä ovat kokeelliset toimenpiteet, jotka tuottavat tod</w:t>
      </w:r>
      <w:r>
        <w:rPr>
          <w:noProof/>
        </w:rPr>
        <w:t xml:space="preserve">ellista näyttöä. Tukea tarjotaan perusoikeus-, tasa-arvo- ja kansalaisuusohjelman 2014–2020 avulla. Ohjelma täydentää jäsenvaltioille ESR:n ja </w:t>
      </w:r>
      <w:hyperlink r:id="rId17">
        <w:r>
          <w:rPr>
            <w:noProof/>
          </w:rPr>
          <w:t>Erasmus+</w:t>
        </w:r>
      </w:hyperlink>
      <w:r>
        <w:rPr>
          <w:noProof/>
        </w:rPr>
        <w:t xml:space="preserve">-ohjelman avulla myönnettävää tukea. </w:t>
      </w:r>
    </w:p>
    <w:p w:rsidR="00A45AA2" w:rsidRDefault="00A45AA2">
      <w:pPr>
        <w:pStyle w:val="ListParagraph"/>
        <w:ind w:left="644"/>
        <w:rPr>
          <w:noProof/>
        </w:rPr>
      </w:pPr>
    </w:p>
    <w:p w:rsidR="00A45AA2" w:rsidRDefault="004450FC">
      <w:pPr>
        <w:pStyle w:val="ListParagraph"/>
        <w:numPr>
          <w:ilvl w:val="0"/>
          <w:numId w:val="19"/>
        </w:numPr>
        <w:spacing w:after="0"/>
        <w:rPr>
          <w:rFonts w:eastAsia="Calibri"/>
          <w:noProof/>
        </w:rPr>
      </w:pPr>
      <w:r>
        <w:rPr>
          <w:noProof/>
        </w:rPr>
        <w:t>Komissio järjestää arviointikonferenssin (vuonna 2018) ja päätöskonferenssin (vuonna 2019) stereotypioiden ja eriytymisen torjumista koskevien hankkeiden</w:t>
      </w:r>
      <w:r>
        <w:rPr>
          <w:noProof/>
        </w:rPr>
        <w:t xml:space="preserve"> tulosten</w:t>
      </w:r>
      <w:r>
        <w:rPr>
          <w:rStyle w:val="FootnoteReference"/>
          <w:noProof/>
        </w:rPr>
        <w:footnoteReference w:id="23"/>
      </w:r>
      <w:r>
        <w:rPr>
          <w:noProof/>
        </w:rPr>
        <w:t xml:space="preserve"> perusteella. Konferenssit järjestetään yhteistyössä keskeisten sidosryhmien, erityisesti koulujen, koulutuksen tarjoajien, yliopistojen, julkisten työvoimapalvelujen ja uraohjauksen tarjoajien kanssa. Konferenssien tarkoituksena on tuoda esiin lupaavimpia</w:t>
      </w:r>
      <w:r>
        <w:rPr>
          <w:noProof/>
        </w:rPr>
        <w:t xml:space="preserve"> kokemuksia ja levittää tietoa niistä eri sidosryhmille ja kansallisille hallituksille. </w:t>
      </w:r>
    </w:p>
    <w:p w:rsidR="00A45AA2" w:rsidRDefault="00A45AA2">
      <w:pPr>
        <w:pStyle w:val="ListParagraph"/>
        <w:spacing w:after="0"/>
        <w:ind w:left="644"/>
        <w:rPr>
          <w:b/>
          <w:bCs/>
          <w:smallCaps/>
          <w:noProof/>
          <w:snapToGrid w:val="0"/>
          <w:szCs w:val="24"/>
          <w:u w:val="single"/>
        </w:rPr>
      </w:pPr>
    </w:p>
    <w:p w:rsidR="00A45AA2" w:rsidRDefault="004450FC">
      <w:pPr>
        <w:pStyle w:val="ListParagraph"/>
        <w:numPr>
          <w:ilvl w:val="0"/>
          <w:numId w:val="19"/>
        </w:numPr>
        <w:spacing w:after="0"/>
        <w:rPr>
          <w:noProof/>
        </w:rPr>
      </w:pPr>
      <w:r>
        <w:rPr>
          <w:noProof/>
        </w:rPr>
        <w:t>Komissio käynnistää parhaiden käytäntöjen säännöllisen jakamisen yritysten kesken. Näin pyritään poistamaan sukupuoleen perustuva eriytyminen ja helpottamaan edelleen</w:t>
      </w:r>
      <w:r>
        <w:rPr>
          <w:noProof/>
        </w:rPr>
        <w:t xml:space="preserve"> EU:n monimuotoisuusverkoston (</w:t>
      </w:r>
      <w:r>
        <w:rPr>
          <w:i/>
          <w:noProof/>
        </w:rPr>
        <w:t>EU Platform of Diversity Charters</w:t>
      </w:r>
      <w:r>
        <w:rPr>
          <w:noProof/>
        </w:rPr>
        <w:t>)</w:t>
      </w:r>
      <w:r>
        <w:rPr>
          <w:rStyle w:val="FootnoteReference"/>
          <w:noProof/>
        </w:rPr>
        <w:footnoteReference w:id="24"/>
      </w:r>
      <w:r>
        <w:rPr>
          <w:noProof/>
        </w:rPr>
        <w:t xml:space="preserve"> työtä.</w:t>
      </w:r>
    </w:p>
    <w:p w:rsidR="00A45AA2" w:rsidRDefault="00A45AA2">
      <w:pPr>
        <w:pStyle w:val="ListParagraph"/>
        <w:spacing w:after="0"/>
        <w:rPr>
          <w:noProof/>
        </w:rPr>
      </w:pPr>
    </w:p>
    <w:p w:rsidR="00A45AA2" w:rsidRDefault="004450FC">
      <w:pPr>
        <w:pStyle w:val="ListParagraph"/>
        <w:numPr>
          <w:ilvl w:val="0"/>
          <w:numId w:val="19"/>
        </w:numPr>
        <w:spacing w:after="0"/>
        <w:rPr>
          <w:noProof/>
        </w:rPr>
      </w:pPr>
      <w:r>
        <w:rPr>
          <w:noProof/>
        </w:rPr>
        <w:t xml:space="preserve">Komissio jatkaa koulutusalan toimijoiden johtamien stereotypioita kyseenalaistavien ruohonjuuritason hankkeiden rahoittamista </w:t>
      </w:r>
      <w:hyperlink r:id="rId18">
        <w:r>
          <w:rPr>
            <w:noProof/>
          </w:rPr>
          <w:t>Erasmus+</w:t>
        </w:r>
      </w:hyperlink>
      <w:r>
        <w:rPr>
          <w:noProof/>
        </w:rPr>
        <w:t>-ohjelman avulla.</w:t>
      </w:r>
    </w:p>
    <w:p w:rsidR="00A45AA2" w:rsidRDefault="00A45AA2">
      <w:pPr>
        <w:pStyle w:val="ListParagraph"/>
        <w:spacing w:after="0"/>
        <w:ind w:left="644"/>
        <w:rPr>
          <w:noProof/>
        </w:rPr>
      </w:pPr>
    </w:p>
    <w:p w:rsidR="00A45AA2" w:rsidRDefault="00A45AA2">
      <w:pPr>
        <w:pStyle w:val="ListParagraph"/>
        <w:spacing w:after="0"/>
        <w:rPr>
          <w:noProof/>
        </w:rPr>
      </w:pPr>
    </w:p>
    <w:p w:rsidR="00A45AA2" w:rsidRDefault="004450FC">
      <w:pPr>
        <w:pStyle w:val="ListBullet"/>
        <w:numPr>
          <w:ilvl w:val="0"/>
          <w:numId w:val="19"/>
        </w:numPr>
        <w:rPr>
          <w:noProof/>
        </w:rPr>
      </w:pPr>
      <w:r>
        <w:rPr>
          <w:noProof/>
        </w:rPr>
        <w:t>Komissio toteuttaa erityisaloitteita eri aloilla naisten ja miesten taitoihin, valmiuksiin ja rooleihin liittyvien</w:t>
      </w:r>
      <w:r>
        <w:rPr>
          <w:noProof/>
        </w:rPr>
        <w:t xml:space="preserve"> stereotypioiden poistamiseksi. Tällaisia aloitteita ovat muun muassa seuraavat:</w:t>
      </w:r>
    </w:p>
    <w:p w:rsidR="00A45AA2" w:rsidRDefault="004450FC">
      <w:pPr>
        <w:pStyle w:val="ListBullet"/>
        <w:numPr>
          <w:ilvl w:val="0"/>
          <w:numId w:val="4"/>
        </w:numPr>
        <w:ind w:left="1286"/>
        <w:rPr>
          <w:noProof/>
        </w:rPr>
      </w:pPr>
      <w:r>
        <w:rPr>
          <w:noProof/>
        </w:rPr>
        <w:t>kutsutaan yrityksiä digitaalitaitojen ja työllisyyden edistämiseksi perustettuun suureen koalitioon</w:t>
      </w:r>
      <w:r>
        <w:rPr>
          <w:rStyle w:val="FootnoteReference"/>
          <w:noProof/>
        </w:rPr>
        <w:footnoteReference w:id="25"/>
      </w:r>
      <w:r>
        <w:rPr>
          <w:noProof/>
        </w:rPr>
        <w:t xml:space="preserve">; niitä kehotetaan erityisesti tarjoamaan naisille ja tytöille enemmän </w:t>
      </w:r>
      <w:r>
        <w:rPr>
          <w:noProof/>
        </w:rPr>
        <w:t>digitaalisia taitoja ja kannustamaan heitä tieto- ja viestintätekniikan opintoihin ja ammattiurille; EU:n rahoitusta myönnetään organisaatioille ja yrityksille sukupuolisidonnaista innovointia, monimuotoisuutta ja osallisuutta sekä tasapainoista johtajuutt</w:t>
      </w:r>
      <w:r>
        <w:rPr>
          <w:noProof/>
        </w:rPr>
        <w:t>a koskevien hyvien käytäntöjen vaihdon jatkamiseen;</w:t>
      </w:r>
    </w:p>
    <w:p w:rsidR="00A45AA2" w:rsidRDefault="004450FC">
      <w:pPr>
        <w:pStyle w:val="ListBullet"/>
        <w:numPr>
          <w:ilvl w:val="0"/>
          <w:numId w:val="4"/>
        </w:numPr>
        <w:ind w:left="1286"/>
        <w:rPr>
          <w:noProof/>
        </w:rPr>
      </w:pPr>
      <w:r>
        <w:rPr>
          <w:noProof/>
        </w:rPr>
        <w:t xml:space="preserve">julkaistaan syksyllä 2017 </w:t>
      </w:r>
      <w:r>
        <w:rPr>
          <w:i/>
          <w:noProof/>
        </w:rPr>
        <w:t>naisia digiajalla</w:t>
      </w:r>
      <w:r>
        <w:rPr>
          <w:noProof/>
        </w:rPr>
        <w:t xml:space="preserve"> koskeva tutkimus, jossa esitetään yleiskatsaus alan suuntauksiin, ja pohditaan asianmukaisia jatkotoimia; </w:t>
      </w:r>
    </w:p>
    <w:p w:rsidR="00A45AA2" w:rsidRDefault="004450FC">
      <w:pPr>
        <w:pStyle w:val="ListBullet1"/>
        <w:numPr>
          <w:ilvl w:val="0"/>
          <w:numId w:val="29"/>
        </w:numPr>
        <w:ind w:left="1276" w:hanging="283"/>
        <w:rPr>
          <w:noProof/>
        </w:rPr>
      </w:pPr>
      <w:r>
        <w:rPr>
          <w:noProof/>
        </w:rPr>
        <w:t>tarjotaan välineet (kuten Euroopan tasa-arvoinstituut</w:t>
      </w:r>
      <w:r>
        <w:rPr>
          <w:noProof/>
        </w:rPr>
        <w:t>in kehittämä sukupuolten tasavertaisuutta tieteessä ja tutkimuksessa koskeva väline, GEAR) sellaisten institutionaalisten muutosten edistämiseksi, joilla voidaan parantaa tasa-arvoa tieteen ura-alueilla; jatketaan tieteen ja tutkimuksen alan keskeisten suu</w:t>
      </w:r>
      <w:r>
        <w:rPr>
          <w:noProof/>
        </w:rPr>
        <w:t>ntausten säännöllistä seurantaa</w:t>
      </w:r>
      <w:r>
        <w:rPr>
          <w:i/>
          <w:noProof/>
        </w:rPr>
        <w:t xml:space="preserve"> She Figures</w:t>
      </w:r>
      <w:r>
        <w:rPr>
          <w:noProof/>
        </w:rPr>
        <w:t xml:space="preserve"> -raportissa, joka on komission tärkein julkaisu tällä alalla;</w:t>
      </w:r>
    </w:p>
    <w:p w:rsidR="00A45AA2" w:rsidRDefault="004450FC">
      <w:pPr>
        <w:pStyle w:val="ListBullet"/>
        <w:numPr>
          <w:ilvl w:val="0"/>
          <w:numId w:val="29"/>
        </w:numPr>
        <w:ind w:left="1323" w:hanging="330"/>
        <w:rPr>
          <w:noProof/>
        </w:rPr>
      </w:pPr>
      <w:r>
        <w:rPr>
          <w:noProof/>
        </w:rPr>
        <w:t xml:space="preserve">korostetaan naisten saavutuksia tiedealalla jakamalla innovatiivisille naisille tarkoitettu EU:n palkinto; </w:t>
      </w:r>
    </w:p>
    <w:p w:rsidR="00A45AA2" w:rsidRDefault="004450FC">
      <w:pPr>
        <w:pStyle w:val="ListBullet"/>
        <w:numPr>
          <w:ilvl w:val="0"/>
          <w:numId w:val="29"/>
        </w:numPr>
        <w:ind w:left="1276" w:hanging="283"/>
        <w:rPr>
          <w:noProof/>
        </w:rPr>
      </w:pPr>
      <w:r>
        <w:rPr>
          <w:noProof/>
        </w:rPr>
        <w:t>perustetaan EU:n muutosfoorumi (</w:t>
      </w:r>
      <w:r>
        <w:rPr>
          <w:i/>
          <w:noProof/>
        </w:rPr>
        <w:t>EU Platfor</w:t>
      </w:r>
      <w:r>
        <w:rPr>
          <w:i/>
          <w:noProof/>
        </w:rPr>
        <w:t>m for change</w:t>
      </w:r>
      <w:r>
        <w:rPr>
          <w:noProof/>
        </w:rPr>
        <w:t>), jolla lisätään naisten työllisyyttä ja yhtäläisiä mahdollisuuksia liikennealalla</w:t>
      </w:r>
      <w:r>
        <w:rPr>
          <w:rStyle w:val="FootnoteReference"/>
          <w:noProof/>
        </w:rPr>
        <w:footnoteReference w:id="26"/>
      </w:r>
      <w:r>
        <w:rPr>
          <w:noProof/>
        </w:rPr>
        <w:t>, ja julkaistaan vuonna 2018 tutkimus toimintamallista naisten työllisyyden lisäämiseksi liikennealalla; sen tulokset on tarkoitus levittää laajalle, ja näin vo</w:t>
      </w:r>
      <w:r>
        <w:rPr>
          <w:noProof/>
        </w:rPr>
        <w:t xml:space="preserve">idaan jakaa alan parhaita käytäntöjä ja kannustaa muita aloja samanlaisiin toimiin;  </w:t>
      </w:r>
    </w:p>
    <w:p w:rsidR="00A45AA2" w:rsidRDefault="004450FC">
      <w:pPr>
        <w:pStyle w:val="ListBullet"/>
        <w:tabs>
          <w:tab w:val="num" w:pos="566"/>
        </w:tabs>
        <w:ind w:left="1276" w:hanging="283"/>
        <w:rPr>
          <w:noProof/>
        </w:rPr>
      </w:pPr>
      <w:r>
        <w:rPr>
          <w:noProof/>
        </w:rPr>
        <w:t xml:space="preserve">- </w:t>
      </w:r>
      <w:r>
        <w:rPr>
          <w:noProof/>
        </w:rPr>
        <w:tab/>
        <w:t>tuetaan opettajien ja rehtorien uraan liittyvää jäsenvaltioiden välistä vertaisoppimista, jotta voidaan puuttua koulutuksen alan sukupuolijakauman epätasapainoon</w:t>
      </w:r>
      <w:r>
        <w:rPr>
          <w:rStyle w:val="FootnoteReference"/>
          <w:noProof/>
        </w:rPr>
        <w:footnoteReference w:id="27"/>
      </w:r>
      <w:r>
        <w:rPr>
          <w:noProof/>
        </w:rPr>
        <w:t>; täm</w:t>
      </w:r>
      <w:r>
        <w:rPr>
          <w:noProof/>
        </w:rPr>
        <w:t xml:space="preserve">ä toteutetaan Koulutus 2020 </w:t>
      </w:r>
      <w:r>
        <w:rPr>
          <w:noProof/>
        </w:rPr>
        <w:noBreakHyphen/>
        <w:t>ohjelman eri asiantuntijaseminaareissa, ja se on osa koulutusalan eurooppalaista alakohtaista sosiaalista vuoropuhelua</w:t>
      </w:r>
      <w:r>
        <w:rPr>
          <w:rStyle w:val="FootnoteReference"/>
          <w:noProof/>
        </w:rPr>
        <w:footnoteReference w:id="28"/>
      </w:r>
      <w:r>
        <w:rPr>
          <w:noProof/>
        </w:rPr>
        <w:t>;</w:t>
      </w:r>
    </w:p>
    <w:p w:rsidR="00A45AA2" w:rsidRDefault="004450FC">
      <w:pPr>
        <w:pStyle w:val="ListBullet"/>
        <w:numPr>
          <w:ilvl w:val="0"/>
          <w:numId w:val="30"/>
        </w:numPr>
        <w:ind w:left="1276" w:hanging="283"/>
        <w:rPr>
          <w:noProof/>
        </w:rPr>
      </w:pPr>
      <w:r>
        <w:rPr>
          <w:noProof/>
        </w:rPr>
        <w:t>tuetaan Eurydice-verkon</w:t>
      </w:r>
      <w:r>
        <w:rPr>
          <w:noProof/>
          <w:vertAlign w:val="superscript"/>
        </w:rPr>
        <w:footnoteReference w:id="29"/>
      </w:r>
      <w:r>
        <w:rPr>
          <w:noProof/>
        </w:rPr>
        <w:t xml:space="preserve"> yhteistyössä OECD:n kanssa suorittamaa opettajien palkkatietojen keräämistä, ja k</w:t>
      </w:r>
      <w:r>
        <w:rPr>
          <w:noProof/>
        </w:rPr>
        <w:t>annustetaan jäsenvaltioita toteuttamaan toimia alan alipalkkauksen poistamiseksi.</w:t>
      </w:r>
    </w:p>
    <w:p w:rsidR="00A45AA2" w:rsidRDefault="004450FC">
      <w:pPr>
        <w:pStyle w:val="Heading1"/>
        <w:numPr>
          <w:ilvl w:val="0"/>
          <w:numId w:val="0"/>
        </w:numPr>
        <w:rPr>
          <w:noProof/>
        </w:rPr>
      </w:pPr>
      <w:r>
        <w:rPr>
          <w:noProof/>
        </w:rPr>
        <w:t>Toimi 3: Lasikaton murtaminen: vertikaalisen eriytymisen torjuminen</w:t>
      </w:r>
    </w:p>
    <w:p w:rsidR="00A45AA2" w:rsidRDefault="004450FC">
      <w:pPr>
        <w:rPr>
          <w:b/>
          <w:i/>
          <w:noProof/>
        </w:rPr>
      </w:pPr>
      <w:r>
        <w:rPr>
          <w:b/>
          <w:i/>
          <w:noProof/>
        </w:rPr>
        <w:t>Komissio tukee toimintatapoja, joilla parannetaan sukupuolten tasapainoista edustusta päätöksentekoprosess</w:t>
      </w:r>
      <w:r>
        <w:rPr>
          <w:b/>
          <w:i/>
          <w:noProof/>
        </w:rPr>
        <w:t xml:space="preserve">eissa ja -tehtävissä kaikilla toimialoilla. </w:t>
      </w:r>
    </w:p>
    <w:p w:rsidR="00A45AA2" w:rsidRDefault="004450FC">
      <w:pPr>
        <w:pStyle w:val="Text1"/>
        <w:ind w:left="0"/>
        <w:rPr>
          <w:noProof/>
        </w:rPr>
      </w:pPr>
      <w:r>
        <w:rPr>
          <w:noProof/>
        </w:rPr>
        <w:t>Kaikilla toimialoilla ja kaikissa ammateissa naisilla on vähemmän mahdollisuuksia saada ylennys ja johtotason vastuutehtäviä. Tämän vuoksi tarvitaan toimenpiteitä sukupuolten välisen tasapainon parantamiseksi pä</w:t>
      </w:r>
      <w:r>
        <w:rPr>
          <w:noProof/>
        </w:rPr>
        <w:t>ätöksenteossa ja sukupuolten välisen tasa-arvon varmistamiseksi kaikilla tasoilla</w:t>
      </w:r>
      <w:r>
        <w:rPr>
          <w:rStyle w:val="FootnoteReference"/>
          <w:noProof/>
        </w:rPr>
        <w:footnoteReference w:id="30"/>
      </w:r>
      <w:r>
        <w:rPr>
          <w:noProof/>
        </w:rPr>
        <w:t>.</w:t>
      </w:r>
    </w:p>
    <w:p w:rsidR="00A45AA2" w:rsidRDefault="004450FC">
      <w:pPr>
        <w:rPr>
          <w:rFonts w:eastAsia="Calibri"/>
          <w:i/>
          <w:noProof/>
        </w:rPr>
      </w:pPr>
      <w:r>
        <w:rPr>
          <w:i/>
          <w:noProof/>
        </w:rPr>
        <w:t>Komissio aikoo erityisesti toteuttaa seuraavia toimia:</w:t>
      </w:r>
    </w:p>
    <w:p w:rsidR="00A45AA2" w:rsidRDefault="004450FC">
      <w:pPr>
        <w:pStyle w:val="ListBullet"/>
        <w:numPr>
          <w:ilvl w:val="0"/>
          <w:numId w:val="31"/>
        </w:numPr>
        <w:rPr>
          <w:noProof/>
          <w:color w:val="000000"/>
        </w:rPr>
      </w:pPr>
      <w:r>
        <w:rPr>
          <w:noProof/>
        </w:rPr>
        <w:t>Komissio edistää julkisesti noteerattujen yhtiöiden johtokunnan jäsenten sukupuolijakauman tasapainottamisesta annetu</w:t>
      </w:r>
      <w:r>
        <w:rPr>
          <w:noProof/>
        </w:rPr>
        <w:t>n direktiiviehdotuksensa hyväksymistä. Ehdotuksessa asetetaan jäsenvaltioille määrälliset tavoitteet ja pidetään tärkeänä, että johtokunnat ottavat käyttöön hakijoiden avoimet valintaperusteet.</w:t>
      </w:r>
    </w:p>
    <w:p w:rsidR="00A45AA2" w:rsidRDefault="004450FC">
      <w:pPr>
        <w:pStyle w:val="ListBullet"/>
        <w:numPr>
          <w:ilvl w:val="0"/>
          <w:numId w:val="31"/>
        </w:numPr>
        <w:rPr>
          <w:noProof/>
        </w:rPr>
      </w:pPr>
      <w:r>
        <w:rPr>
          <w:noProof/>
        </w:rPr>
        <w:t>Komissio seuraa johtokuntien tasapuolista sukupuolijakaumaa ko</w:t>
      </w:r>
      <w:r>
        <w:rPr>
          <w:noProof/>
        </w:rPr>
        <w:t xml:space="preserve">skevan periaatteen toteutumista EU:n suurimmissa julkisesti noteeratuissa yhtiöissä; se käyttää tässä </w:t>
      </w:r>
      <w:r>
        <w:rPr>
          <w:rStyle w:val="Strong"/>
          <w:b w:val="0"/>
          <w:noProof/>
        </w:rPr>
        <w:t>neuvoston direktiivin 2013/34/EU muuttamisesta tietyiltä suurilta yrityksiltä ja konserneilta edellytettävien muiden kuin taloudellisten tietojen ja monim</w:t>
      </w:r>
      <w:r>
        <w:rPr>
          <w:rStyle w:val="Strong"/>
          <w:b w:val="0"/>
          <w:noProof/>
        </w:rPr>
        <w:t>uotoisuutta koskevien tietojen julkistamisen osalta</w:t>
      </w:r>
      <w:r>
        <w:rPr>
          <w:rStyle w:val="Strong"/>
          <w:noProof/>
        </w:rPr>
        <w:t xml:space="preserve"> </w:t>
      </w:r>
      <w:r>
        <w:rPr>
          <w:noProof/>
        </w:rPr>
        <w:t xml:space="preserve">annettua direktiiviä 2014/95/EU. Komissio seuraa muiden kuin taloudellisten tietojen raportointia koskevien komission suuntaviivojen noudattamista ja tarkastelee erityisesti, missä määrin suurimmat </w:t>
      </w:r>
      <w:r>
        <w:rPr>
          <w:noProof/>
        </w:rPr>
        <w:t>yritykset käsittelevät sukupuolijakauman tasapainoa monimuotoisuutta koskevissa toimintaperiaatteissaan</w:t>
      </w:r>
      <w:r>
        <w:rPr>
          <w:rStyle w:val="FootnoteReference"/>
          <w:noProof/>
        </w:rPr>
        <w:footnoteReference w:id="31"/>
      </w:r>
      <w:r>
        <w:rPr>
          <w:noProof/>
        </w:rPr>
        <w:t xml:space="preserve">. </w:t>
      </w:r>
    </w:p>
    <w:p w:rsidR="00A45AA2" w:rsidRDefault="004450FC">
      <w:pPr>
        <w:pStyle w:val="ListBullet"/>
        <w:numPr>
          <w:ilvl w:val="0"/>
          <w:numId w:val="31"/>
        </w:numPr>
        <w:rPr>
          <w:noProof/>
        </w:rPr>
      </w:pPr>
      <w:r>
        <w:rPr>
          <w:noProof/>
        </w:rPr>
        <w:t>Komissio jatkaa perusoikeus-, tasa-arvo- ja kansalaisuusohjelman kautta myönnettävää rahoitusta hallitusten, työmarkkinaosapuolten, yritysten, kansal</w:t>
      </w:r>
      <w:r>
        <w:rPr>
          <w:noProof/>
        </w:rPr>
        <w:t>aisjärjestöjen ja korkeakoulujen hankkeille, joiden tarkoituksena on parantaa sukupuolijakauman tasapainoa johtotehtävissä joka tasolla.</w:t>
      </w:r>
      <w:r>
        <w:rPr>
          <w:rStyle w:val="FootnoteReference"/>
          <w:noProof/>
        </w:rPr>
        <w:footnoteReference w:id="32"/>
      </w:r>
      <w:r>
        <w:rPr>
          <w:noProof/>
        </w:rPr>
        <w:t xml:space="preserve"> </w:t>
      </w:r>
    </w:p>
    <w:p w:rsidR="00A45AA2" w:rsidRDefault="004450FC">
      <w:pPr>
        <w:pStyle w:val="ListBullet"/>
        <w:numPr>
          <w:ilvl w:val="0"/>
          <w:numId w:val="31"/>
        </w:numPr>
        <w:rPr>
          <w:noProof/>
        </w:rPr>
      </w:pPr>
      <w:r>
        <w:rPr>
          <w:noProof/>
        </w:rPr>
        <w:t>Komissio käy vuoropuhelua työmarkkinaosapuolten kanssa ja edistää toimenpiteitä, joilla parannetaan sukupuolijakauman</w:t>
      </w:r>
      <w:r>
        <w:rPr>
          <w:noProof/>
        </w:rPr>
        <w:t xml:space="preserve"> tasapainoa päätöksenteossa, sekä luo ja toteuttaa hankkeita, joilla pyritään parantamaan sukupuolijakauman tasapainoa päätöksentekotehtävissä.</w:t>
      </w:r>
    </w:p>
    <w:p w:rsidR="00A45AA2" w:rsidRDefault="004450FC">
      <w:pPr>
        <w:pStyle w:val="ListBullet"/>
        <w:numPr>
          <w:ilvl w:val="0"/>
          <w:numId w:val="31"/>
        </w:numPr>
        <w:rPr>
          <w:noProof/>
        </w:rPr>
      </w:pPr>
      <w:r>
        <w:rPr>
          <w:noProof/>
        </w:rPr>
        <w:t>Komissio kannustaa hallituksia ottamaan käyttöön strategioita, joihin sisältyy konkreettisia toimia aliedustetun</w:t>
      </w:r>
      <w:r>
        <w:rPr>
          <w:noProof/>
        </w:rPr>
        <w:t xml:space="preserve"> sukupuolen edustuksen lisäämisestä päätöksenteossa. </w:t>
      </w:r>
    </w:p>
    <w:p w:rsidR="00A45AA2" w:rsidRDefault="004450FC">
      <w:pPr>
        <w:pStyle w:val="ListBullet"/>
        <w:numPr>
          <w:ilvl w:val="0"/>
          <w:numId w:val="31"/>
        </w:numPr>
        <w:rPr>
          <w:noProof/>
        </w:rPr>
      </w:pPr>
      <w:r>
        <w:rPr>
          <w:noProof/>
        </w:rPr>
        <w:t xml:space="preserve">Komissio käy vuoropuhelua eri alojen sääntelyelinten kanssa, jotta otetaan käyttöön sukupuolijakauman tasapainoa päätöksenteossa edistäviä toimenpiteitä. </w:t>
      </w:r>
    </w:p>
    <w:p w:rsidR="00A45AA2" w:rsidRDefault="004450FC">
      <w:pPr>
        <w:pStyle w:val="ListBullet"/>
        <w:numPr>
          <w:ilvl w:val="0"/>
          <w:numId w:val="31"/>
        </w:numPr>
        <w:rPr>
          <w:noProof/>
        </w:rPr>
      </w:pPr>
      <w:r>
        <w:rPr>
          <w:noProof/>
        </w:rPr>
        <w:t>Komissio toteuttaa työ- ja perhe-elämän tasapai</w:t>
      </w:r>
      <w:r>
        <w:rPr>
          <w:noProof/>
        </w:rPr>
        <w:t>noa koskevan aloitteen (ks. toimi 4), jolla tuetaan hoitovastuun tasapainottamista ja jakamista naisten ja miesten välillä, mikä kannustaa naisia pyrkimään korkeampaan asemaan.</w:t>
      </w:r>
    </w:p>
    <w:p w:rsidR="00A45AA2" w:rsidRDefault="004450FC">
      <w:pPr>
        <w:pStyle w:val="Heading1"/>
        <w:numPr>
          <w:ilvl w:val="0"/>
          <w:numId w:val="0"/>
        </w:numPr>
        <w:rPr>
          <w:noProof/>
        </w:rPr>
      </w:pPr>
      <w:r>
        <w:rPr>
          <w:noProof/>
        </w:rPr>
        <w:t>Toimi 4: Hoitovastuisiin liittyvien kielteisten seurausten torjuminen</w:t>
      </w:r>
    </w:p>
    <w:p w:rsidR="00A45AA2" w:rsidRDefault="004450FC">
      <w:pPr>
        <w:spacing w:after="200"/>
        <w:rPr>
          <w:b/>
          <w:i/>
          <w:noProof/>
        </w:rPr>
      </w:pPr>
      <w:r>
        <w:rPr>
          <w:b/>
          <w:i/>
          <w:noProof/>
        </w:rPr>
        <w:t xml:space="preserve">Komissio </w:t>
      </w:r>
      <w:r>
        <w:rPr>
          <w:b/>
          <w:i/>
          <w:noProof/>
        </w:rPr>
        <w:t>tukee naisten taloudellisia vaikutusmahdollisuuksia edistämällä työn ja perhe-elämän yhteensovittamiseen tähtääviä strategioita.</w:t>
      </w:r>
    </w:p>
    <w:p w:rsidR="00A45AA2" w:rsidRDefault="004450FC">
      <w:pPr>
        <w:pStyle w:val="Text2"/>
        <w:ind w:left="0"/>
        <w:rPr>
          <w:noProof/>
        </w:rPr>
      </w:pPr>
      <w:r>
        <w:rPr>
          <w:noProof/>
        </w:rPr>
        <w:t>Nuoret naiset valmistuvat nykyisin paremmin arvosanoin kuin nuoret miehet, mutta he ansaitsevat ennen 34 vuoden ikää</w:t>
      </w:r>
      <w:r>
        <w:rPr>
          <w:rStyle w:val="FootnoteReference"/>
          <w:noProof/>
        </w:rPr>
        <w:footnoteReference w:id="33"/>
      </w:r>
      <w:r>
        <w:rPr>
          <w:noProof/>
        </w:rPr>
        <w:t xml:space="preserve"> kymmeness</w:t>
      </w:r>
      <w:r>
        <w:rPr>
          <w:noProof/>
        </w:rPr>
        <w:t>ä jäsenvaltiossa jo 10 prosenttia vähemmän kuin miehet. Tämä ero kasvaa iän myötä, erityisesti lastenhoitovastuisiin liittyvien kielteisten seurausten vuoksi</w:t>
      </w:r>
      <w:r>
        <w:rPr>
          <w:rStyle w:val="FootnoteReference"/>
          <w:noProof/>
        </w:rPr>
        <w:footnoteReference w:id="34"/>
      </w:r>
      <w:r>
        <w:rPr>
          <w:noProof/>
        </w:rPr>
        <w:t>. Naiset lähtevät työmarkkinoilta hoitamaan lapsia ja/tai huollettavia perheenjäseniä ja – jos eiv</w:t>
      </w:r>
      <w:r>
        <w:rPr>
          <w:noProof/>
        </w:rPr>
        <w:t>ät jättäydy kokonaan pois työmarkkinoilta – hyväksyvät työhön palatessaan usein alhaisempaa koulutustasoa edellyttäviä tehtäviä, jotta he saisivat hoidettua perhevelvoitteet. Työn ja perhe-elämän yhteensovittamiseen tähtäävät strategiat ovat edellytys nais</w:t>
      </w:r>
      <w:r>
        <w:rPr>
          <w:noProof/>
        </w:rPr>
        <w:t>ten taloudellisten vaikutusmahdollisuuksien lisäämiselle, koska työn ja perhe-elämän välinen hyvä tasapaino lisää naisten mahdollisuuksia työmarkkinoilla ja poistaa työhönpääsyn esteitä</w:t>
      </w:r>
      <w:r>
        <w:rPr>
          <w:rStyle w:val="FootnoteReference"/>
          <w:noProof/>
        </w:rPr>
        <w:footnoteReference w:id="35"/>
      </w:r>
      <w:r>
        <w:rPr>
          <w:noProof/>
        </w:rPr>
        <w:t xml:space="preserve">. </w:t>
      </w:r>
    </w:p>
    <w:p w:rsidR="00A45AA2" w:rsidRDefault="004450FC">
      <w:pPr>
        <w:pStyle w:val="Text2"/>
        <w:ind w:left="0"/>
        <w:rPr>
          <w:noProof/>
        </w:rPr>
      </w:pPr>
      <w:r>
        <w:rPr>
          <w:noProof/>
        </w:rPr>
        <w:t>Komissio on hyväksynyt Euroopan sosiaalisten oikeuksien pilariin si</w:t>
      </w:r>
      <w:r>
        <w:rPr>
          <w:noProof/>
        </w:rPr>
        <w:t>sältyvän aloitteen, jolla parannetaan työssäkäyvien vanhempien ja omaisiaan hoitavien työ- ja yksityiselämän tasapainoa sekä nykyaikaistetaan perhevapaita ja joustavia työjärjestelyjä koskevaa EU:n voimassa olevaa oikeudellista kehystä. Sillä laaditaan myö</w:t>
      </w:r>
      <w:r>
        <w:rPr>
          <w:noProof/>
        </w:rPr>
        <w:t>s kattava toimintakehys perhevapaiden ja joustavien työjärjestelyiden suunnittelun parantamiseksi. Lisäksi sillä parannetaan virallisesti järjestettyjen hoitopalveluiden laatua, kohtuuhintaisuutta ja saatavuutta sekä puututaan kotitalouksien toisen tulonsa</w:t>
      </w:r>
      <w:r>
        <w:rPr>
          <w:noProof/>
        </w:rPr>
        <w:t>ajaan kohdistuviin taloudellisiin pidäkkeisiin. Aloitteella puututaan naisten aliedustukseen työmarkkinoilla miesten ja naisten hoitovelvoitteiden paremman jaon myötä. Sillä vähennetään naisten riskiä uralla etenemisen vaikeutumisesta ja puututaan stereoty</w:t>
      </w:r>
      <w:r>
        <w:rPr>
          <w:noProof/>
        </w:rPr>
        <w:t>pioihin, joiden vuoksi työnantajat eivät palkkaa ja/tai ylennä naisia. Tällä pitäisi olla myönteinen vaikutus työmarkkinoilla esiintyvään sukupuolen perusteella tapahtuvaan vertikaaliseen eriytymiseen. Se vähentää naisten kannustimia hakeutua alhaisemman p</w:t>
      </w:r>
      <w:r>
        <w:rPr>
          <w:noProof/>
        </w:rPr>
        <w:t>alkkatason aloille tai tehtävätasoille, joiden katsotaan tällä hetkellä mahdollistavan paremmin työn ja perhe-elämän yhteensovittamisen ja joiden palkkataso on usein alhaisempi (kuten perhelääkärit, opettajat tai paikallisviranomaisten palveluksessa olevat</w:t>
      </w:r>
      <w:r>
        <w:rPr>
          <w:noProof/>
        </w:rPr>
        <w:t xml:space="preserve">). </w:t>
      </w:r>
    </w:p>
    <w:p w:rsidR="00A45AA2" w:rsidRDefault="004450FC">
      <w:pPr>
        <w:pStyle w:val="Text2"/>
        <w:ind w:left="0"/>
        <w:rPr>
          <w:i/>
          <w:noProof/>
        </w:rPr>
      </w:pPr>
      <w:r>
        <w:rPr>
          <w:i/>
          <w:noProof/>
        </w:rPr>
        <w:t>Komissio aikoo erityisesti toteuttaa seuraavia toimia:</w:t>
      </w:r>
    </w:p>
    <w:p w:rsidR="00A45AA2" w:rsidRDefault="004450FC">
      <w:pPr>
        <w:pStyle w:val="Text2"/>
        <w:numPr>
          <w:ilvl w:val="0"/>
          <w:numId w:val="25"/>
        </w:numPr>
        <w:tabs>
          <w:tab w:val="clear" w:pos="2160"/>
          <w:tab w:val="left" w:pos="0"/>
        </w:tabs>
        <w:ind w:left="851" w:hanging="284"/>
        <w:rPr>
          <w:noProof/>
        </w:rPr>
      </w:pPr>
      <w:r>
        <w:rPr>
          <w:noProof/>
        </w:rPr>
        <w:t>Komissio kannustaa lainsäätäjiä hyväksymään nopeasti työ- ja yksityiselämän tasapainottamista koskevan direktiivin</w:t>
      </w:r>
      <w:r>
        <w:rPr>
          <w:rStyle w:val="FootnoteReference"/>
          <w:noProof/>
        </w:rPr>
        <w:footnoteReference w:id="36"/>
      </w:r>
      <w:r>
        <w:rPr>
          <w:noProof/>
        </w:rPr>
        <w:t>.</w:t>
      </w:r>
    </w:p>
    <w:p w:rsidR="00A45AA2" w:rsidRDefault="004450FC">
      <w:pPr>
        <w:pStyle w:val="Text2"/>
        <w:numPr>
          <w:ilvl w:val="0"/>
          <w:numId w:val="25"/>
        </w:numPr>
        <w:tabs>
          <w:tab w:val="clear" w:pos="2160"/>
          <w:tab w:val="left" w:pos="0"/>
        </w:tabs>
        <w:ind w:left="851" w:hanging="284"/>
        <w:rPr>
          <w:noProof/>
        </w:rPr>
      </w:pPr>
      <w:r>
        <w:rPr>
          <w:noProof/>
        </w:rPr>
        <w:t>Komissio varmistaa, että tiedonannossa</w:t>
      </w:r>
      <w:r>
        <w:rPr>
          <w:rStyle w:val="FootnoteReference"/>
          <w:noProof/>
        </w:rPr>
        <w:footnoteReference w:id="37"/>
      </w:r>
      <w:r>
        <w:rPr>
          <w:noProof/>
        </w:rPr>
        <w:t xml:space="preserve"> esitetyt muut kuin lainsäädäntötoimet pa</w:t>
      </w:r>
      <w:r>
        <w:rPr>
          <w:noProof/>
        </w:rPr>
        <w:t xml:space="preserve">nnaan nopeasti täytäntöön.  </w:t>
      </w:r>
    </w:p>
    <w:p w:rsidR="00A45AA2" w:rsidRDefault="004450FC">
      <w:pPr>
        <w:pStyle w:val="Heading1"/>
        <w:numPr>
          <w:ilvl w:val="0"/>
          <w:numId w:val="0"/>
        </w:numPr>
        <w:rPr>
          <w:noProof/>
        </w:rPr>
      </w:pPr>
      <w:r>
        <w:rPr>
          <w:noProof/>
        </w:rPr>
        <w:t>Toimi 5: Naisten ammattitaidon, panoksen ja vastuun parempi arvostaminen</w:t>
      </w:r>
    </w:p>
    <w:p w:rsidR="00A45AA2" w:rsidRDefault="004450FC">
      <w:pPr>
        <w:pStyle w:val="Text2"/>
        <w:ind w:left="0"/>
        <w:rPr>
          <w:b/>
          <w:noProof/>
        </w:rPr>
      </w:pPr>
      <w:r>
        <w:rPr>
          <w:b/>
          <w:i/>
          <w:noProof/>
        </w:rPr>
        <w:t>Sukupuoleen perustuva eriytyminen työpaikoilla ja toimialoilla on yleistä ja tilanteen muuttuminen on hidasta</w:t>
      </w:r>
      <w:r>
        <w:rPr>
          <w:rStyle w:val="FootnoteReference"/>
          <w:b/>
          <w:i/>
          <w:noProof/>
        </w:rPr>
        <w:footnoteReference w:id="38"/>
      </w:r>
      <w:r>
        <w:rPr>
          <w:b/>
          <w:i/>
          <w:noProof/>
        </w:rPr>
        <w:t>. Lyhyellä tai keskipitkällä aikavälillä tar</w:t>
      </w:r>
      <w:r>
        <w:rPr>
          <w:b/>
          <w:i/>
          <w:noProof/>
        </w:rPr>
        <w:t xml:space="preserve">vitaan toimenpiteitä, joilla parannetaan naisvaltaisten ammattien palkkausta. Näin tunnustetaan naisvaltaisilla aloilla toimimiseen tarvittava ammattitaito, panostus ja vastuu. </w:t>
      </w:r>
    </w:p>
    <w:p w:rsidR="00A45AA2" w:rsidRDefault="004450FC">
      <w:pPr>
        <w:pStyle w:val="Text2"/>
        <w:ind w:left="0"/>
        <w:rPr>
          <w:i/>
          <w:noProof/>
        </w:rPr>
      </w:pPr>
      <w:r>
        <w:rPr>
          <w:b/>
          <w:i/>
          <w:noProof/>
        </w:rPr>
        <w:t>Komissio aikoo erityisesti toteuttaa seuraavia toimia:</w:t>
      </w:r>
    </w:p>
    <w:p w:rsidR="00A45AA2" w:rsidRDefault="004450FC">
      <w:pPr>
        <w:pStyle w:val="Text2"/>
        <w:numPr>
          <w:ilvl w:val="0"/>
          <w:numId w:val="25"/>
        </w:numPr>
        <w:tabs>
          <w:tab w:val="clear" w:pos="2160"/>
          <w:tab w:val="left" w:pos="0"/>
        </w:tabs>
        <w:rPr>
          <w:noProof/>
        </w:rPr>
      </w:pPr>
      <w:r>
        <w:rPr>
          <w:noProof/>
        </w:rPr>
        <w:t>Komissio pyrkii paranta</w:t>
      </w:r>
      <w:r>
        <w:rPr>
          <w:noProof/>
        </w:rPr>
        <w:t>maan ammattitaidon tunnustamista kaikilla aloilla – myös naisvaltaisilla aloilla – uudessa osaamisohjelmassaan</w:t>
      </w:r>
      <w:r>
        <w:rPr>
          <w:rStyle w:val="FootnoteReference"/>
          <w:noProof/>
        </w:rPr>
        <w:footnoteReference w:id="39"/>
      </w:r>
      <w:r>
        <w:rPr>
          <w:noProof/>
        </w:rPr>
        <w:t>. Tässä (pätevyyden, ammattitaitojen ja arkioppimisen validointia koskevassa) osaamisohjelmassa kehitetyt välineet</w:t>
      </w:r>
      <w:r>
        <w:rPr>
          <w:noProof/>
          <w:vertAlign w:val="superscript"/>
        </w:rPr>
        <w:footnoteReference w:id="40"/>
      </w:r>
      <w:r>
        <w:rPr>
          <w:noProof/>
        </w:rPr>
        <w:t xml:space="preserve"> ovat sukupuolineutraaleja ja </w:t>
      </w:r>
      <w:r>
        <w:rPr>
          <w:noProof/>
        </w:rPr>
        <w:t>auttavat hyödyntämään näitä taitoja ja lisäämään pätevyysvaatimusten läpinäkyvyyttä. Uuden osaamisohjelman täytäntöönpanossa kiinnitetään erityistä huomiota tasa-arvokysymyksiin. Keskeisten sidosryhmien</w:t>
      </w:r>
      <w:r>
        <w:rPr>
          <w:noProof/>
          <w:vertAlign w:val="superscript"/>
        </w:rPr>
        <w:footnoteReference w:id="41"/>
      </w:r>
      <w:r>
        <w:rPr>
          <w:noProof/>
        </w:rPr>
        <w:t xml:space="preserve"> kanssa järjestetään keskinäisen oppimisen toimia sii</w:t>
      </w:r>
      <w:r>
        <w:rPr>
          <w:noProof/>
        </w:rPr>
        <w:t>tä, miten taitojen tunnustaminen ja validointi voi edistää sukupuolten tasa-arvoa.</w:t>
      </w:r>
    </w:p>
    <w:p w:rsidR="00A45AA2" w:rsidRDefault="004450FC">
      <w:pPr>
        <w:pStyle w:val="ListDash1"/>
        <w:numPr>
          <w:ilvl w:val="0"/>
          <w:numId w:val="25"/>
        </w:numPr>
        <w:rPr>
          <w:noProof/>
        </w:rPr>
      </w:pPr>
      <w:r>
        <w:rPr>
          <w:noProof/>
        </w:rPr>
        <w:t>Komissio jatkaa tietoisuuden lisäämistä sukupuolineutraaleista työnluokitusjärjestelmistä, jotta samapalkkaisuus varmistetaan käytännössä. Komissio julkaisee päivitetyn suku</w:t>
      </w:r>
      <w:r>
        <w:rPr>
          <w:noProof/>
        </w:rPr>
        <w:t>puolineutraaleja työn arviointi- ja luokitusjärjestelmiä koskevan oppaan vuonna 2018</w:t>
      </w:r>
      <w:r>
        <w:rPr>
          <w:rStyle w:val="FootnoteReference"/>
          <w:noProof/>
        </w:rPr>
        <w:footnoteReference w:id="42"/>
      </w:r>
      <w:r>
        <w:rPr>
          <w:noProof/>
        </w:rPr>
        <w:t>, ja levittää sitä laajasti.</w:t>
      </w:r>
    </w:p>
    <w:p w:rsidR="00A45AA2" w:rsidRDefault="004450FC">
      <w:pPr>
        <w:pStyle w:val="Heading1"/>
        <w:numPr>
          <w:ilvl w:val="0"/>
          <w:numId w:val="0"/>
        </w:numPr>
        <w:rPr>
          <w:noProof/>
        </w:rPr>
      </w:pPr>
      <w:r>
        <w:rPr>
          <w:noProof/>
        </w:rPr>
        <w:t xml:space="preserve">Toimi 6: Asioiden valottaminen: eriarvoisuuden ja stereotypioiden paljastaminen </w:t>
      </w:r>
    </w:p>
    <w:p w:rsidR="00A45AA2" w:rsidRDefault="004450FC">
      <w:pPr>
        <w:pStyle w:val="ListBullet"/>
        <w:rPr>
          <w:b/>
          <w:i/>
          <w:noProof/>
        </w:rPr>
      </w:pPr>
      <w:r>
        <w:rPr>
          <w:b/>
          <w:i/>
          <w:noProof/>
        </w:rPr>
        <w:t>Komissio jatkaa sukupuolten palkkaeroon ja sen palkka- ja elä</w:t>
      </w:r>
      <w:r>
        <w:rPr>
          <w:b/>
          <w:i/>
          <w:noProof/>
        </w:rPr>
        <w:t xml:space="preserve">kevaikutuksiin liittyvien tietojen keräämistä ja esittämistä. </w:t>
      </w:r>
    </w:p>
    <w:p w:rsidR="00A45AA2" w:rsidRDefault="004450FC">
      <w:pPr>
        <w:pStyle w:val="ListBullet"/>
        <w:rPr>
          <w:noProof/>
        </w:rPr>
      </w:pPr>
      <w:r>
        <w:rPr>
          <w:noProof/>
        </w:rPr>
        <w:t>Sukupuolten palkkaeroon puuttuminen edellyttää riittävää tietämystä ongelmista ja niiden laajuudesta, jotta voidaan ehdottaa riittäviä korjaustoimenpiteitä. Tämän vuoksi komissio pyrkii jatkuva</w:t>
      </w:r>
      <w:r>
        <w:rPr>
          <w:noProof/>
        </w:rPr>
        <w:t>sti toimittamaan tietoa sukupuolten palkkaeroista ja siitä ihmisille, taloudelle ja yhteiskunnille johtuvista seurauksista</w:t>
      </w:r>
      <w:r>
        <w:rPr>
          <w:noProof/>
          <w:vertAlign w:val="superscript"/>
        </w:rPr>
        <w:footnoteReference w:id="43"/>
      </w:r>
      <w:r>
        <w:rPr>
          <w:noProof/>
        </w:rPr>
        <w:t>. Se myös levittää asiasta tehtyjä keskeisiä tutkimuksia</w:t>
      </w:r>
      <w:r>
        <w:rPr>
          <w:rStyle w:val="FootnoteReference"/>
          <w:noProof/>
        </w:rPr>
        <w:footnoteReference w:id="44"/>
      </w:r>
      <w:r>
        <w:rPr>
          <w:noProof/>
        </w:rPr>
        <w:t>.</w:t>
      </w:r>
    </w:p>
    <w:p w:rsidR="00A45AA2" w:rsidRDefault="004450FC">
      <w:pPr>
        <w:pStyle w:val="ListBullet"/>
        <w:rPr>
          <w:noProof/>
        </w:rPr>
      </w:pPr>
      <w:r>
        <w:rPr>
          <w:i/>
          <w:noProof/>
        </w:rPr>
        <w:t>Komissio aikoo erityisesti toteuttaa seuraavia toimia</w:t>
      </w:r>
      <w:r>
        <w:rPr>
          <w:noProof/>
        </w:rPr>
        <w:t>:</w:t>
      </w:r>
    </w:p>
    <w:p w:rsidR="00A45AA2" w:rsidRDefault="004450FC">
      <w:pPr>
        <w:pStyle w:val="ListBullet"/>
        <w:numPr>
          <w:ilvl w:val="0"/>
          <w:numId w:val="26"/>
        </w:numPr>
        <w:rPr>
          <w:noProof/>
        </w:rPr>
      </w:pPr>
      <w:r>
        <w:rPr>
          <w:noProof/>
        </w:rPr>
        <w:t xml:space="preserve">Komissio jatkaa </w:t>
      </w:r>
      <w:r>
        <w:rPr>
          <w:noProof/>
        </w:rPr>
        <w:t>säännöllistä tiedotusta sukupuolten palkka-, ansio- ja eläke-erojen kehityksestä seuraavien asiakirjojen avulla:</w:t>
      </w:r>
    </w:p>
    <w:p w:rsidR="00A45AA2" w:rsidRDefault="004450FC">
      <w:pPr>
        <w:pStyle w:val="ListDash1"/>
        <w:numPr>
          <w:ilvl w:val="0"/>
          <w:numId w:val="27"/>
        </w:numPr>
        <w:rPr>
          <w:noProof/>
        </w:rPr>
      </w:pPr>
      <w:r>
        <w:rPr>
          <w:noProof/>
        </w:rPr>
        <w:t>komission vuotuinen kertomus naisten ja miesten tasa-arvosta, joka julkistetaan kansainvälisenä naistenpäivänä</w:t>
      </w:r>
    </w:p>
    <w:p w:rsidR="00A45AA2" w:rsidRDefault="004450FC">
      <w:pPr>
        <w:pStyle w:val="ListDash1"/>
        <w:numPr>
          <w:ilvl w:val="0"/>
          <w:numId w:val="27"/>
        </w:numPr>
        <w:rPr>
          <w:noProof/>
        </w:rPr>
      </w:pPr>
      <w:r>
        <w:rPr>
          <w:noProof/>
        </w:rPr>
        <w:t xml:space="preserve">komission ja Eurostatin vuosina </w:t>
      </w:r>
      <w:r>
        <w:rPr>
          <w:noProof/>
        </w:rPr>
        <w:t>2017 ja 2018 yhdessä laatimat sukupuolten ”tasoitettua” palkkaeroa koskevat tiedot</w:t>
      </w:r>
      <w:r>
        <w:rPr>
          <w:noProof/>
          <w:vertAlign w:val="superscript"/>
        </w:rPr>
        <w:footnoteReference w:id="45"/>
      </w:r>
      <w:r>
        <w:rPr>
          <w:noProof/>
        </w:rPr>
        <w:t xml:space="preserve"> sekä komission ja sosiaali-indikaattoreiden tulostaulun sukupuolten ”tasoittamatonta” palkkaeroa koskevat tiedot</w:t>
      </w:r>
      <w:r>
        <w:rPr>
          <w:rStyle w:val="FootnoteReference"/>
          <w:noProof/>
        </w:rPr>
        <w:footnoteReference w:id="46"/>
      </w:r>
      <w:r>
        <w:rPr>
          <w:noProof/>
        </w:rPr>
        <w:t xml:space="preserve"> </w:t>
      </w:r>
    </w:p>
    <w:p w:rsidR="00A45AA2" w:rsidRDefault="004450FC">
      <w:pPr>
        <w:pStyle w:val="ListDash1"/>
        <w:numPr>
          <w:ilvl w:val="0"/>
          <w:numId w:val="27"/>
        </w:numPr>
        <w:rPr>
          <w:noProof/>
        </w:rPr>
      </w:pPr>
      <w:r>
        <w:rPr>
          <w:noProof/>
        </w:rPr>
        <w:t>syksyllä 2017 julkaistava sukupuolten palkkaeroa ja palkk</w:t>
      </w:r>
      <w:r>
        <w:rPr>
          <w:noProof/>
        </w:rPr>
        <w:t>auksen läpinäkyvyyttä käsittelevä Eurobarometri</w:t>
      </w:r>
    </w:p>
    <w:p w:rsidR="00A45AA2" w:rsidRDefault="004450FC">
      <w:pPr>
        <w:pStyle w:val="ListDash1"/>
        <w:numPr>
          <w:ilvl w:val="0"/>
          <w:numId w:val="27"/>
        </w:numPr>
        <w:rPr>
          <w:noProof/>
        </w:rPr>
      </w:pPr>
      <w:r>
        <w:rPr>
          <w:noProof/>
        </w:rPr>
        <w:t>yhdessä tämän toimintasuunnitelman kanssa julkaistava kertomus samapalkkaisuuden periaatteen täytäntöönpanosta.</w:t>
      </w:r>
    </w:p>
    <w:p w:rsidR="00A45AA2" w:rsidRDefault="004450FC">
      <w:pPr>
        <w:pStyle w:val="ListDash1"/>
        <w:numPr>
          <w:ilvl w:val="0"/>
          <w:numId w:val="26"/>
        </w:numPr>
        <w:rPr>
          <w:noProof/>
        </w:rPr>
      </w:pPr>
      <w:r>
        <w:rPr>
          <w:noProof/>
        </w:rPr>
        <w:t>Komissio pyrkii arvioimaan paremmin sukupuolten tasa-arvoa yhteistyötaloudessa, sillä Yhdysvallo</w:t>
      </w:r>
      <w:r>
        <w:rPr>
          <w:noProof/>
        </w:rPr>
        <w:t>issa ja Euroopassa kerätyt tiedot</w:t>
      </w:r>
      <w:r>
        <w:rPr>
          <w:rStyle w:val="FootnoteReference"/>
          <w:noProof/>
        </w:rPr>
        <w:footnoteReference w:id="47"/>
      </w:r>
      <w:r>
        <w:rPr>
          <w:noProof/>
        </w:rPr>
        <w:t xml:space="preserve"> osoittavat, että alustatalouteen siirtyy enemmän naisia. Tämä suuntaus voi vaikuttaa sukupuolten palkkaeron kasvuun. Eurostatin vuosittaiseen työvoimatutkimukseen sisältyy tästä aiheesta erityisosio.</w:t>
      </w:r>
    </w:p>
    <w:p w:rsidR="00A45AA2" w:rsidRDefault="004450FC">
      <w:pPr>
        <w:pStyle w:val="ListDash1"/>
        <w:numPr>
          <w:ilvl w:val="0"/>
          <w:numId w:val="9"/>
        </w:numPr>
        <w:rPr>
          <w:b/>
          <w:smallCaps/>
          <w:noProof/>
          <w:u w:val="single"/>
        </w:rPr>
      </w:pPr>
      <w:r>
        <w:rPr>
          <w:noProof/>
        </w:rPr>
        <w:t xml:space="preserve">Komissio sisällyttää </w:t>
      </w:r>
      <w:r>
        <w:rPr>
          <w:noProof/>
        </w:rPr>
        <w:t>sukupuolinäkökulman eläkkeiden riittävyyttä koskevaan vuoden 2018 raporttiin.</w:t>
      </w:r>
    </w:p>
    <w:p w:rsidR="00A45AA2" w:rsidRDefault="004450FC">
      <w:pPr>
        <w:pStyle w:val="Heading1"/>
        <w:numPr>
          <w:ilvl w:val="0"/>
          <w:numId w:val="0"/>
        </w:numPr>
        <w:rPr>
          <w:noProof/>
        </w:rPr>
      </w:pPr>
      <w:r>
        <w:rPr>
          <w:noProof/>
        </w:rPr>
        <w:t>Toimi 7:  Sukupuolten palkkaeroista varoittaminen ja tiedottaminen</w:t>
      </w:r>
    </w:p>
    <w:p w:rsidR="00A45AA2" w:rsidRDefault="004450FC">
      <w:pPr>
        <w:pStyle w:val="ListBullet"/>
        <w:rPr>
          <w:b/>
          <w:i/>
          <w:noProof/>
        </w:rPr>
      </w:pPr>
      <w:r>
        <w:rPr>
          <w:b/>
          <w:i/>
          <w:noProof/>
        </w:rPr>
        <w:t>Komissio osallistuu aktiivisesti sukupuolten palkkaeroon liittyvään tiedotustoimintaan ja antaa ohjeistusta sam</w:t>
      </w:r>
      <w:r>
        <w:rPr>
          <w:b/>
          <w:i/>
          <w:noProof/>
        </w:rPr>
        <w:t>apalkkaisuuden periaatteesta.</w:t>
      </w:r>
    </w:p>
    <w:p w:rsidR="00A45AA2" w:rsidRDefault="004450FC">
      <w:pPr>
        <w:spacing w:after="0"/>
        <w:rPr>
          <w:noProof/>
        </w:rPr>
      </w:pPr>
      <w:r>
        <w:rPr>
          <w:noProof/>
        </w:rPr>
        <w:t>Sukupuolten palkkaerot vähenevät ainoastaan, jos kaikki asianomaiset toimijat, eli työntekijät, yritykset ja viranomaiset, osallistuvat asiaan täysipainoisesti. Tiedotus on ratkaisevan tärkeää, jotta syrjinnän uhrit voivat puo</w:t>
      </w:r>
      <w:r>
        <w:rPr>
          <w:noProof/>
        </w:rPr>
        <w:t>lustaa oikeuksiaan, jotta yritykset voivat mukauttaa käytäntöjään ja toimintaansa ja jotta viranomaiset voivat toteuttaa tarvittavia liitännäistoimia ja/tai antaa ohjeita.</w:t>
      </w:r>
    </w:p>
    <w:p w:rsidR="00A45AA2" w:rsidRDefault="00A45AA2">
      <w:pPr>
        <w:spacing w:after="0"/>
        <w:jc w:val="left"/>
        <w:rPr>
          <w:noProof/>
          <w:u w:val="single"/>
        </w:rPr>
      </w:pPr>
    </w:p>
    <w:p w:rsidR="00A45AA2" w:rsidRDefault="004450FC">
      <w:pPr>
        <w:pStyle w:val="Text2"/>
        <w:ind w:left="0"/>
        <w:rPr>
          <w:noProof/>
        </w:rPr>
      </w:pPr>
      <w:r>
        <w:rPr>
          <w:i/>
          <w:noProof/>
        </w:rPr>
        <w:t>Komissio aikoo erityisesti toteuttaa seuraavia toimia:</w:t>
      </w:r>
    </w:p>
    <w:p w:rsidR="00A45AA2" w:rsidRDefault="004450FC">
      <w:pPr>
        <w:pStyle w:val="Text2"/>
        <w:numPr>
          <w:ilvl w:val="0"/>
          <w:numId w:val="28"/>
        </w:numPr>
        <w:rPr>
          <w:noProof/>
        </w:rPr>
      </w:pPr>
      <w:r>
        <w:rPr>
          <w:noProof/>
        </w:rPr>
        <w:t xml:space="preserve">Komissio kiinnittää huomion </w:t>
      </w:r>
      <w:r>
        <w:rPr>
          <w:noProof/>
        </w:rPr>
        <w:t xml:space="preserve">sukupuolten palkkaeroon ja sen taustalla oleviin syihin erityisesti Euroopan samapalkkaisuuspäivän yhteydessä. </w:t>
      </w:r>
    </w:p>
    <w:p w:rsidR="00A45AA2" w:rsidRDefault="004450FC">
      <w:pPr>
        <w:pStyle w:val="Text2"/>
        <w:numPr>
          <w:ilvl w:val="0"/>
          <w:numId w:val="28"/>
        </w:numPr>
        <w:rPr>
          <w:noProof/>
        </w:rPr>
      </w:pPr>
      <w:r>
        <w:rPr>
          <w:noProof/>
        </w:rPr>
        <w:t>Komissio päivittää ja levittää vuosittain erityistä tiedotusmateriaalia ja maakohtaisia tiedotteita sukupuolten palkkaeroista.</w:t>
      </w:r>
    </w:p>
    <w:p w:rsidR="00A45AA2" w:rsidRDefault="004450FC">
      <w:pPr>
        <w:pStyle w:val="ListBullet"/>
        <w:numPr>
          <w:ilvl w:val="0"/>
          <w:numId w:val="20"/>
        </w:numPr>
        <w:rPr>
          <w:noProof/>
        </w:rPr>
      </w:pPr>
      <w:r>
        <w:rPr>
          <w:noProof/>
        </w:rPr>
        <w:t>Komissio julkaise</w:t>
      </w:r>
      <w:r>
        <w:rPr>
          <w:noProof/>
        </w:rPr>
        <w:t xml:space="preserve">e jatkossakin EU:n Progress-ohjelmasta rahoitettujen hankkeiden, erityisesti kahdeksan </w:t>
      </w:r>
      <w:hyperlink r:id="rId19">
        <w:r>
          <w:rPr>
            <w:noProof/>
          </w:rPr>
          <w:t>valtionvälisen hankkeen</w:t>
        </w:r>
      </w:hyperlink>
      <w:r>
        <w:rPr>
          <w:noProof/>
        </w:rPr>
        <w:t xml:space="preserve"> tulokset. Näitä ha</w:t>
      </w:r>
      <w:r>
        <w:rPr>
          <w:noProof/>
        </w:rPr>
        <w:t>nkkeita vetävät kansalaisyhteiskunta ja työmarkkinaosapuolet. Hankkeilla pyritään lisäämään tietoa sukupuolten palkkaerosta ja kaventamaan sitä, ja ne keskittyvät tiettyihin toimialoihin. Yksi hankkeista perustuu laskimen kehittämiseen, jotta yritykset voi</w:t>
      </w:r>
      <w:r>
        <w:rPr>
          <w:noProof/>
        </w:rPr>
        <w:t>vat ymmärtää paremmin sukupuolten palkkaeroa ja puuttua siihen (LOGIB-verkkotyökalun mallin mukaisesti).</w:t>
      </w:r>
    </w:p>
    <w:p w:rsidR="00A45AA2" w:rsidRDefault="004450FC">
      <w:pPr>
        <w:pStyle w:val="ListBullet"/>
        <w:numPr>
          <w:ilvl w:val="0"/>
          <w:numId w:val="20"/>
        </w:numPr>
        <w:rPr>
          <w:noProof/>
        </w:rPr>
      </w:pPr>
      <w:r>
        <w:rPr>
          <w:noProof/>
        </w:rPr>
        <w:t>Komissio julkaisee vuonna 2018 päivitetyn käsikirjan samapalkkaisuuden periaatetta koskevasta vakiintuneesta oikeuskäytännöstä. Päivityksessä hyödynnet</w:t>
      </w:r>
      <w:r>
        <w:rPr>
          <w:noProof/>
        </w:rPr>
        <w:t>ään direktiivin 2006/54/EY täytäntöönpanokertomuksen</w:t>
      </w:r>
      <w:r>
        <w:rPr>
          <w:noProof/>
          <w:vertAlign w:val="superscript"/>
        </w:rPr>
        <w:footnoteReference w:id="48"/>
      </w:r>
      <w:r>
        <w:rPr>
          <w:noProof/>
        </w:rPr>
        <w:t xml:space="preserve"> liitettä</w:t>
      </w:r>
      <w:r>
        <w:rPr>
          <w:noProof/>
          <w:vertAlign w:val="superscript"/>
        </w:rPr>
        <w:footnoteReference w:id="49"/>
      </w:r>
      <w:r>
        <w:rPr>
          <w:noProof/>
        </w:rPr>
        <w:t xml:space="preserve">, jossa esitetään katsaus tärkeimmästä vakiintuneesta oikeuskäytännöstä. Käsikirjaa on tarkoitus levittää laajalti.  </w:t>
      </w:r>
    </w:p>
    <w:p w:rsidR="00A45AA2" w:rsidRDefault="004450FC">
      <w:pPr>
        <w:pStyle w:val="ListDash1"/>
        <w:numPr>
          <w:ilvl w:val="0"/>
          <w:numId w:val="20"/>
        </w:numPr>
        <w:rPr>
          <w:i/>
          <w:noProof/>
        </w:rPr>
      </w:pPr>
      <w:r>
        <w:rPr>
          <w:noProof/>
        </w:rPr>
        <w:t>Komissio laatii vuonna 2018 päivitetyn oppaan parhaista käytännöistä, johon</w:t>
      </w:r>
      <w:r>
        <w:rPr>
          <w:noProof/>
        </w:rPr>
        <w:t xml:space="preserve"> sisältyvät jäsenvaltioiden viimeisimmät käytännön toimet samapalkkaisuuden varmistamiseksi</w:t>
      </w:r>
      <w:r>
        <w:rPr>
          <w:rStyle w:val="FootnoteReference"/>
          <w:noProof/>
        </w:rPr>
        <w:footnoteReference w:id="50"/>
      </w:r>
      <w:r>
        <w:rPr>
          <w:noProof/>
        </w:rPr>
        <w:t xml:space="preserve">. Opasta on myös tarkoitus levittää laajalti. </w:t>
      </w:r>
      <w:bookmarkStart w:id="1" w:name="_GoBack"/>
      <w:bookmarkEnd w:id="1"/>
    </w:p>
    <w:p w:rsidR="00A45AA2" w:rsidRDefault="00A45AA2">
      <w:pPr>
        <w:spacing w:after="0"/>
        <w:jc w:val="left"/>
        <w:rPr>
          <w:b/>
          <w:smallCaps/>
          <w:noProof/>
        </w:rPr>
      </w:pPr>
    </w:p>
    <w:p w:rsidR="00A45AA2" w:rsidRDefault="004450FC">
      <w:pPr>
        <w:pStyle w:val="Heading1"/>
        <w:numPr>
          <w:ilvl w:val="0"/>
          <w:numId w:val="0"/>
        </w:numPr>
        <w:rPr>
          <w:noProof/>
        </w:rPr>
      </w:pPr>
      <w:r>
        <w:rPr>
          <w:noProof/>
        </w:rPr>
        <w:t xml:space="preserve">Toimi 8: Sukupuolten palkkaerojen kaventamiseen tähtäävien kumppanuuksien tehostaminen </w:t>
      </w:r>
    </w:p>
    <w:p w:rsidR="00A45AA2" w:rsidRDefault="004450FC">
      <w:pPr>
        <w:pStyle w:val="Heading3"/>
        <w:numPr>
          <w:ilvl w:val="0"/>
          <w:numId w:val="0"/>
        </w:numPr>
        <w:rPr>
          <w:i w:val="0"/>
          <w:noProof/>
        </w:rPr>
      </w:pPr>
      <w:r>
        <w:rPr>
          <w:b/>
          <w:noProof/>
        </w:rPr>
        <w:t>Komissio jatkaa yhteydenpi</w:t>
      </w:r>
      <w:r>
        <w:rPr>
          <w:b/>
          <w:noProof/>
        </w:rPr>
        <w:t xml:space="preserve">toa keskeisten toimijoiden kanssa vaihtamalla hyviä toimintatapoja, tarjoamalla rahoitusta ja käsittelemällä sukupuolten palkkaerojen seurauksia talouspolitiikan eurooppalaisen ohjausjakson avulla. </w:t>
      </w:r>
    </w:p>
    <w:p w:rsidR="00A45AA2" w:rsidRDefault="004450FC">
      <w:pPr>
        <w:pStyle w:val="Heading3"/>
        <w:numPr>
          <w:ilvl w:val="0"/>
          <w:numId w:val="0"/>
        </w:numPr>
        <w:rPr>
          <w:i w:val="0"/>
          <w:noProof/>
        </w:rPr>
      </w:pPr>
      <w:r>
        <w:rPr>
          <w:i w:val="0"/>
          <w:noProof/>
        </w:rPr>
        <w:t>Komissio tukee jäsenvaltioita, yrityksiä, kansalaisyhteis</w:t>
      </w:r>
      <w:r>
        <w:rPr>
          <w:i w:val="0"/>
          <w:noProof/>
        </w:rPr>
        <w:t>kuntaa ja työmarkkinaosapuolia rahoituksella ja hyvien käytäntöjen vaihtoa koskevilla toimilla. Tuoreita esimerkkejä ovat seuraavat:</w:t>
      </w:r>
    </w:p>
    <w:p w:rsidR="00A45AA2" w:rsidRDefault="004450FC">
      <w:pPr>
        <w:pStyle w:val="Heading3"/>
        <w:numPr>
          <w:ilvl w:val="0"/>
          <w:numId w:val="43"/>
        </w:numPr>
        <w:rPr>
          <w:i w:val="0"/>
          <w:noProof/>
        </w:rPr>
      </w:pPr>
      <w:r>
        <w:rPr>
          <w:i w:val="0"/>
          <w:noProof/>
        </w:rPr>
        <w:t xml:space="preserve">EU:n monimuotoisuusverkoston (EU Diversity Charter Platform) erityiskokous sukupuolten tasa-arvon valtavirtaistamisesta (kesäkuu 2016) </w:t>
      </w:r>
    </w:p>
    <w:p w:rsidR="00A45AA2" w:rsidRDefault="004450FC">
      <w:pPr>
        <w:pStyle w:val="Heading3"/>
        <w:numPr>
          <w:ilvl w:val="0"/>
          <w:numId w:val="43"/>
        </w:numPr>
        <w:rPr>
          <w:i w:val="0"/>
          <w:noProof/>
        </w:rPr>
      </w:pPr>
      <w:r>
        <w:rPr>
          <w:i w:val="0"/>
          <w:noProof/>
        </w:rPr>
        <w:t>EU:n seminaari, johon osallistuu alojenvälisiä kumppaneita ja eri alojen työmarkkinaosapuolia (marraskuu 2016)</w:t>
      </w:r>
    </w:p>
    <w:p w:rsidR="00A45AA2" w:rsidRDefault="004450FC">
      <w:pPr>
        <w:pStyle w:val="Heading3"/>
        <w:numPr>
          <w:ilvl w:val="0"/>
          <w:numId w:val="43"/>
        </w:numPr>
        <w:rPr>
          <w:i w:val="0"/>
          <w:noProof/>
        </w:rPr>
      </w:pPr>
      <w:r>
        <w:rPr>
          <w:i w:val="0"/>
          <w:noProof/>
        </w:rPr>
        <w:t>keskinäis</w:t>
      </w:r>
      <w:r>
        <w:rPr>
          <w:i w:val="0"/>
          <w:noProof/>
        </w:rPr>
        <w:t xml:space="preserve">en oppimisen seminaari, joka järjestettiin sukupuolineutraaleja työnluokituksia edistävistä hyvistä käytännöistä Belgiassa (lokakuu 2016). </w:t>
      </w:r>
    </w:p>
    <w:p w:rsidR="00A45AA2" w:rsidRDefault="004450FC">
      <w:pPr>
        <w:spacing w:after="120"/>
        <w:rPr>
          <w:noProof/>
        </w:rPr>
      </w:pPr>
      <w:r>
        <w:rPr>
          <w:noProof/>
        </w:rPr>
        <w:t>Komissio tukee myös jäsenvaltioiden toimia sukupuolten palkkaeron kaventamiseksi talouspolitiikan eurooppalaisella o</w:t>
      </w:r>
      <w:r>
        <w:rPr>
          <w:noProof/>
        </w:rPr>
        <w:t>hjausjaksolla. Se voi kehottaa jäsenvaltioita puuttumaan tähän erityiskysymykseen tai korjaamaan joitakin sen perimmäisiä syitä, kuten lastenhoitoon tehtävien investointien puutetta tai verotuksellisia pidäkkeitä, jotka estävät kotitalouksien toisten tulon</w:t>
      </w:r>
      <w:r>
        <w:rPr>
          <w:noProof/>
        </w:rPr>
        <w:t xml:space="preserve">saajien (pääasiassa naisten) työnteon tai työnteon lisäämisen. </w:t>
      </w:r>
    </w:p>
    <w:p w:rsidR="00A45AA2" w:rsidRDefault="004450FC">
      <w:pPr>
        <w:pStyle w:val="Text3"/>
        <w:tabs>
          <w:tab w:val="clear" w:pos="2302"/>
          <w:tab w:val="left" w:pos="0"/>
        </w:tabs>
        <w:ind w:left="0"/>
        <w:rPr>
          <w:noProof/>
        </w:rPr>
      </w:pPr>
      <w:r>
        <w:rPr>
          <w:noProof/>
        </w:rPr>
        <w:t>Sukupuolten välistä palkkakuilua käsiteltiin vuonna 2017 yhdeksän jäsenvaltion</w:t>
      </w:r>
      <w:r>
        <w:rPr>
          <w:rStyle w:val="FootnoteReference"/>
          <w:noProof/>
        </w:rPr>
        <w:footnoteReference w:id="51"/>
      </w:r>
      <w:r>
        <w:rPr>
          <w:noProof/>
        </w:rPr>
        <w:t xml:space="preserve"> maaraporteissa. Komissio esitti toukokuussa 2017 maakohtaisia suosituksia, joissa käsiteltiin lastenhoitopalvelu</w:t>
      </w:r>
      <w:r>
        <w:rPr>
          <w:noProof/>
        </w:rPr>
        <w:t>ihin tehtäviä investointeja, verotuksellisia pidäkkeitä ja muita sukupuolten väliseen palkkakuiluun vaikuttavia toimenpiteitä</w:t>
      </w:r>
      <w:r>
        <w:rPr>
          <w:rStyle w:val="FootnoteReference"/>
          <w:noProof/>
          <w:sz w:val="22"/>
        </w:rPr>
        <w:footnoteReference w:id="52"/>
      </w:r>
      <w:r>
        <w:rPr>
          <w:noProof/>
        </w:rPr>
        <w:t>.</w:t>
      </w:r>
    </w:p>
    <w:p w:rsidR="00A45AA2" w:rsidRDefault="004450FC">
      <w:pPr>
        <w:pStyle w:val="Text3"/>
        <w:ind w:left="0"/>
        <w:rPr>
          <w:noProof/>
        </w:rPr>
      </w:pPr>
      <w:r>
        <w:rPr>
          <w:i/>
          <w:noProof/>
        </w:rPr>
        <w:t>Komissio aikoo erityisesti toteuttaa seuraavia toimia</w:t>
      </w:r>
      <w:r>
        <w:rPr>
          <w:noProof/>
        </w:rPr>
        <w:t>:</w:t>
      </w:r>
    </w:p>
    <w:p w:rsidR="00A45AA2" w:rsidRDefault="004450FC">
      <w:pPr>
        <w:pStyle w:val="Text2"/>
        <w:numPr>
          <w:ilvl w:val="0"/>
          <w:numId w:val="32"/>
        </w:numPr>
        <w:tabs>
          <w:tab w:val="clear" w:pos="2160"/>
          <w:tab w:val="left" w:pos="709"/>
        </w:tabs>
        <w:rPr>
          <w:noProof/>
        </w:rPr>
      </w:pPr>
      <w:r>
        <w:rPr>
          <w:noProof/>
        </w:rPr>
        <w:t>Komissio järjestää keskinäisen oppimisen seminaareja valtioiden edustajille sukupuolten palkka-, ansio- ja eläke-eroista ja niiden perimmäisistä syistä. Niissä keskitytään konkreettisiin välineisiin ja oikeudellisiin välineisiin sekä toteutukseen liittyvii</w:t>
      </w:r>
      <w:r>
        <w:rPr>
          <w:noProof/>
        </w:rPr>
        <w:t xml:space="preserve">n haasteisiin.  </w:t>
      </w:r>
    </w:p>
    <w:p w:rsidR="00A45AA2" w:rsidRDefault="004450FC">
      <w:pPr>
        <w:pStyle w:val="Text2"/>
        <w:numPr>
          <w:ilvl w:val="0"/>
          <w:numId w:val="32"/>
        </w:numPr>
        <w:tabs>
          <w:tab w:val="clear" w:pos="2160"/>
          <w:tab w:val="left" w:pos="709"/>
        </w:tabs>
        <w:rPr>
          <w:noProof/>
        </w:rPr>
      </w:pPr>
      <w:r>
        <w:rPr>
          <w:noProof/>
        </w:rPr>
        <w:t>Komissio tukee keskinäistä oppimista ja valmiuksien kehittämistä työmarkkinaosapuolten, yritysten ja muiden sidosryhmien keskuudessa sukupuolten palkkaerojen kaventamiseksi.</w:t>
      </w:r>
    </w:p>
    <w:p w:rsidR="00A45AA2" w:rsidRDefault="004450FC">
      <w:pPr>
        <w:pStyle w:val="ListBullet"/>
        <w:numPr>
          <w:ilvl w:val="0"/>
          <w:numId w:val="33"/>
        </w:numPr>
        <w:rPr>
          <w:noProof/>
        </w:rPr>
      </w:pPr>
      <w:r>
        <w:rPr>
          <w:noProof/>
        </w:rPr>
        <w:t>Komissio tarjoaa rahoitusta jäsenvaltioille, jotka ovat halukkait</w:t>
      </w:r>
      <w:r>
        <w:rPr>
          <w:noProof/>
        </w:rPr>
        <w:t xml:space="preserve">a vähentämään sukupuolten palkkaeroja, vuosien 2014–2020 perusoikeus-, tasa-arvo- ja kansalaisuusohjelman rajoitetuilla ehdotuspyynnöillä. </w:t>
      </w:r>
    </w:p>
    <w:p w:rsidR="00A45AA2" w:rsidRDefault="004450FC">
      <w:pPr>
        <w:pStyle w:val="ListBullet"/>
        <w:numPr>
          <w:ilvl w:val="0"/>
          <w:numId w:val="33"/>
        </w:numPr>
        <w:rPr>
          <w:noProof/>
        </w:rPr>
      </w:pPr>
      <w:r>
        <w:rPr>
          <w:noProof/>
        </w:rPr>
        <w:t>Komissio jatkaa sukupuolten palkkaerojen seurantaa talouspolitiikan eurooppalaisen ohjausjakson puitteissa ja käy jä</w:t>
      </w:r>
      <w:r>
        <w:rPr>
          <w:noProof/>
        </w:rPr>
        <w:t>senvaltioiden kanssa vuoropuhelua toimenpiteistä, joita tarvitaan sukupuolten palkkaerojen poistamiseksi.</w:t>
      </w:r>
    </w:p>
    <w:sectPr w:rsidR="00A45AA2">
      <w:headerReference w:type="even" r:id="rId20"/>
      <w:headerReference w:type="default" r:id="rId21"/>
      <w:footerReference w:type="even" r:id="rId22"/>
      <w:footerReference w:type="default" r:id="rId23"/>
      <w:headerReference w:type="first" r:id="rId24"/>
      <w:footerReference w:type="first" r:id="rId25"/>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A2" w:rsidRDefault="004450FC">
      <w:pPr>
        <w:spacing w:after="0"/>
      </w:pPr>
      <w:r>
        <w:separator/>
      </w:r>
    </w:p>
  </w:endnote>
  <w:endnote w:type="continuationSeparator" w:id="0">
    <w:p w:rsidR="00A45AA2" w:rsidRDefault="00445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C Square Sans Pro">
    <w:panose1 w:val="020B0506040000020004"/>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4450FC">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4450FC">
    <w:pPr>
      <w:pStyle w:val="Footer"/>
      <w:jc w:val="center"/>
    </w:pPr>
    <w:r>
      <w:fldChar w:fldCharType="begin"/>
    </w:r>
    <w:r>
      <w:instrText>PAGE</w:instrText>
    </w:r>
    <w:r>
      <w:fldChar w:fldCharType="separate"/>
    </w:r>
    <w:r>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332107"/>
      <w:docPartObj>
        <w:docPartGallery w:val="Page Numbers (Bottom of Page)"/>
        <w:docPartUnique/>
      </w:docPartObj>
    </w:sdtPr>
    <w:sdtEndPr>
      <w:rPr>
        <w:noProof/>
      </w:rPr>
    </w:sdtEndPr>
    <w:sdtContent>
      <w:p w:rsidR="00A45AA2" w:rsidRDefault="004450F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45AA2" w:rsidRDefault="00A4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A2" w:rsidRDefault="004450FC">
      <w:pPr>
        <w:spacing w:after="0"/>
      </w:pPr>
      <w:r>
        <w:separator/>
      </w:r>
    </w:p>
  </w:footnote>
  <w:footnote w:type="continuationSeparator" w:id="0">
    <w:p w:rsidR="00A45AA2" w:rsidRDefault="004450FC">
      <w:pPr>
        <w:spacing w:after="0"/>
      </w:pPr>
      <w:r>
        <w:continuationSeparator/>
      </w:r>
    </w:p>
  </w:footnote>
  <w:footnote w:id="1">
    <w:p w:rsidR="00A45AA2" w:rsidRDefault="004450FC">
      <w:pPr>
        <w:pStyle w:val="FootnoteText"/>
        <w:spacing w:after="0"/>
        <w:ind w:left="0" w:firstLine="0"/>
        <w:rPr>
          <w:sz w:val="16"/>
          <w:szCs w:val="16"/>
          <w:lang w:val="en"/>
        </w:rPr>
      </w:pPr>
      <w:r>
        <w:rPr>
          <w:rStyle w:val="FootnoteReference"/>
          <w:sz w:val="16"/>
        </w:rPr>
        <w:footnoteRef/>
      </w:r>
      <w:r>
        <w:rPr>
          <w:sz w:val="16"/>
        </w:rPr>
        <w:t xml:space="preserve">  Tiedoista käy erityisesti ilmi, että sukupuolten palkkaero voi kasvaa, koska työmarkkinoille siirt</w:t>
      </w:r>
      <w:r>
        <w:rPr>
          <w:sz w:val="16"/>
        </w:rPr>
        <w:t>yy enemmän naisia. Ks. Boll, C., Leppin, J., Rossen, A. ja Wolf, A. (2016),</w:t>
      </w:r>
      <w:r>
        <w:t xml:space="preserve"> </w:t>
      </w:r>
      <w:hyperlink r:id="rId1">
        <w:r>
          <w:rPr>
            <w:sz w:val="16"/>
          </w:rPr>
          <w:t xml:space="preserve">”Magnitude and Impact Factors of the Gender Pay Gap in </w:t>
        </w:r>
        <w:r>
          <w:rPr>
            <w:sz w:val="16"/>
          </w:rPr>
          <w:t>EU Countries”</w:t>
        </w:r>
      </w:hyperlink>
      <w:r>
        <w:t>,</w:t>
      </w:r>
      <w:r>
        <w:rPr>
          <w:sz w:val="16"/>
        </w:rPr>
        <w:t xml:space="preserve"> Euroopan komissiota varten laadittu ja sen rahoittama raportti, oikeus- ja kuluttaja-asioiden pääosasto. Lisäksi työmarkkinoiden kehitys on ollut yleisesti epäedullista matalapalkkaisille työntekijöille. Naiset ovat joutuneet siksi pyrkimään</w:t>
      </w:r>
      <w:r>
        <w:rPr>
          <w:sz w:val="16"/>
        </w:rPr>
        <w:t xml:space="preserve"> ylöspäin epäsuotuisan kehityssuuntauksen aikana. </w:t>
      </w:r>
      <w:r>
        <w:rPr>
          <w:sz w:val="16"/>
          <w:lang w:val="en-US"/>
        </w:rPr>
        <w:t xml:space="preserve">Ks. Blau, F. ja Kahn, L. (1997), ”Swimming Upstream: Trends in the Gender Wage Differential in the 1980s”, Journal of Labor Economics, Vol. 15, No. 1, Part 1 (Jan., 1997), s. 1–42. </w:t>
      </w:r>
    </w:p>
  </w:footnote>
  <w:footnote w:id="2">
    <w:p w:rsidR="00A45AA2" w:rsidRDefault="004450FC">
      <w:pPr>
        <w:pStyle w:val="FootnoteText"/>
        <w:spacing w:after="0"/>
        <w:ind w:left="0" w:firstLine="0"/>
        <w:rPr>
          <w:sz w:val="16"/>
          <w:szCs w:val="16"/>
        </w:rPr>
      </w:pPr>
      <w:r>
        <w:rPr>
          <w:rStyle w:val="FootnoteReference"/>
          <w:sz w:val="16"/>
        </w:rPr>
        <w:footnoteRef/>
      </w:r>
      <w:r>
        <w:rPr>
          <w:sz w:val="16"/>
          <w:lang w:val="en"/>
        </w:rPr>
        <w:t xml:space="preserve">  Ks. Burchell, B., Har</w:t>
      </w:r>
      <w:r>
        <w:rPr>
          <w:sz w:val="16"/>
          <w:lang w:val="en"/>
        </w:rPr>
        <w:t xml:space="preserve">dy, V., Rubery, J. ja Smith, M. (2015), ”A new method to understand labour market segregation”, Euroopan komissiota varten laadittu ja sen rahoittama raportti, oikeus- ja kuluttaja-asioiden pääosasto. </w:t>
      </w:r>
      <w:r>
        <w:rPr>
          <w:sz w:val="16"/>
        </w:rPr>
        <w:t xml:space="preserve">Ainoastaan 18 prosenttia naisista ja 15 prosenttia </w:t>
      </w:r>
      <w:r>
        <w:rPr>
          <w:sz w:val="16"/>
        </w:rPr>
        <w:t>miehistä työskentelee ammatissa, jossa sukupuolijakauma on tasaisempi (60–40 prosenttia miehiä ja naisia).</w:t>
      </w:r>
    </w:p>
  </w:footnote>
  <w:footnote w:id="3">
    <w:p w:rsidR="00A45AA2" w:rsidRDefault="004450FC">
      <w:pPr>
        <w:pStyle w:val="FootnoteText"/>
        <w:spacing w:after="0"/>
        <w:ind w:left="0" w:firstLine="0"/>
        <w:rPr>
          <w:sz w:val="16"/>
          <w:szCs w:val="16"/>
        </w:rPr>
      </w:pPr>
      <w:r>
        <w:rPr>
          <w:rStyle w:val="FootnoteReference"/>
          <w:sz w:val="16"/>
        </w:rPr>
        <w:footnoteRef/>
      </w:r>
      <w:r>
        <w:rPr>
          <w:sz w:val="16"/>
        </w:rPr>
        <w:t xml:space="preserve">  Boll ym. (2016). Tällainen eriytyminen toimialoilla lisää osaltaan sukupuolten palkkaeroja kaikissa maissa. Ammattien eriytymisen vaikutus vaihtel</w:t>
      </w:r>
      <w:r>
        <w:rPr>
          <w:sz w:val="16"/>
        </w:rPr>
        <w:t xml:space="preserve">ee maittain: joissakin maissa se voi jopa suojella naisia. </w:t>
      </w:r>
    </w:p>
  </w:footnote>
  <w:footnote w:id="4">
    <w:p w:rsidR="00A45AA2" w:rsidRDefault="004450FC">
      <w:pPr>
        <w:pStyle w:val="FootnoteText"/>
        <w:spacing w:after="0"/>
        <w:ind w:left="0" w:firstLine="0"/>
        <w:rPr>
          <w:sz w:val="16"/>
          <w:szCs w:val="16"/>
        </w:rPr>
      </w:pPr>
      <w:r>
        <w:rPr>
          <w:rStyle w:val="FootnoteReference"/>
          <w:sz w:val="16"/>
        </w:rPr>
        <w:footnoteRef/>
      </w:r>
      <w:r>
        <w:rPr>
          <w:sz w:val="16"/>
        </w:rPr>
        <w:t xml:space="preserve">   Lisätietoja on ammattien eriytymistä sukupuolen mukaan koskevassa selvityksessä, joka julkaistaan vuosittain Euroopan komission kertomuksessa naisten ja miesten tasa-arvosta. </w:t>
      </w:r>
    </w:p>
  </w:footnote>
  <w:footnote w:id="5">
    <w:p w:rsidR="00A45AA2" w:rsidRDefault="004450FC">
      <w:pPr>
        <w:pStyle w:val="FootnoteText"/>
        <w:spacing w:after="0"/>
        <w:ind w:left="0" w:firstLine="0"/>
        <w:rPr>
          <w:sz w:val="16"/>
          <w:szCs w:val="16"/>
          <w:lang w:val="en-GB"/>
        </w:rPr>
      </w:pPr>
      <w:r>
        <w:rPr>
          <w:rStyle w:val="FootnoteReference"/>
          <w:sz w:val="16"/>
        </w:rPr>
        <w:footnoteRef/>
      </w:r>
      <w:r>
        <w:rPr>
          <w:sz w:val="16"/>
          <w:lang w:val="en-US"/>
        </w:rPr>
        <w:t xml:space="preserve">    Ks. Boll ym</w:t>
      </w:r>
      <w:r>
        <w:rPr>
          <w:sz w:val="16"/>
          <w:lang w:val="en-US"/>
        </w:rPr>
        <w:t>. (2016).</w:t>
      </w:r>
    </w:p>
  </w:footnote>
  <w:footnote w:id="6">
    <w:p w:rsidR="00A45AA2" w:rsidRDefault="004450FC">
      <w:pPr>
        <w:pStyle w:val="FootnoteText"/>
        <w:rPr>
          <w:sz w:val="16"/>
          <w:lang w:val="en-GB"/>
        </w:rPr>
      </w:pPr>
      <w:r>
        <w:rPr>
          <w:rStyle w:val="FootnoteReference"/>
        </w:rPr>
        <w:footnoteRef/>
      </w:r>
      <w:r>
        <w:rPr>
          <w:lang w:val="en-US"/>
        </w:rPr>
        <w:t xml:space="preserve">  </w:t>
      </w:r>
      <w:r>
        <w:rPr>
          <w:sz w:val="16"/>
          <w:lang w:val="en-US"/>
        </w:rPr>
        <w:t>Euroopan komissio (2015), ”An ever closer union among the peoples of Europe? Rising inequalities in the EU and their social, economic and political impacts. Outcomes of EU-funded research.”, tutkimuksen ja innovoinnin pääosasto, Bryssel, s. 54</w:t>
      </w:r>
      <w:r>
        <w:rPr>
          <w:sz w:val="16"/>
          <w:lang w:val="en-US"/>
        </w:rPr>
        <w:t>–55.</w:t>
      </w:r>
    </w:p>
  </w:footnote>
  <w:footnote w:id="7">
    <w:p w:rsidR="00A45AA2" w:rsidRDefault="004450FC">
      <w:pPr>
        <w:pStyle w:val="FootnoteText"/>
        <w:spacing w:after="0"/>
        <w:ind w:left="0" w:firstLine="0"/>
        <w:rPr>
          <w:i/>
          <w:sz w:val="16"/>
          <w:szCs w:val="16"/>
          <w:lang w:val="en-GB"/>
        </w:rPr>
      </w:pPr>
      <w:r>
        <w:rPr>
          <w:rStyle w:val="FootnoteReference"/>
          <w:sz w:val="16"/>
        </w:rPr>
        <w:footnoteRef/>
      </w:r>
      <w:r>
        <w:rPr>
          <w:sz w:val="16"/>
          <w:lang w:val="en-US"/>
        </w:rPr>
        <w:t xml:space="preserve">   Goldin, C. (2014), ”A Grand Gender Convergence: Its Last Chapter”, </w:t>
      </w:r>
      <w:r>
        <w:rPr>
          <w:i/>
          <w:sz w:val="16"/>
          <w:lang w:val="en-US"/>
        </w:rPr>
        <w:t>American Economic Review, 104 (4): s. 1091–1119.</w:t>
      </w:r>
    </w:p>
  </w:footnote>
  <w:footnote w:id="8">
    <w:p w:rsidR="00A45AA2" w:rsidRDefault="004450FC">
      <w:pPr>
        <w:pStyle w:val="FootnoteText"/>
        <w:spacing w:after="0"/>
      </w:pPr>
      <w:r>
        <w:rPr>
          <w:rStyle w:val="FootnoteReference"/>
        </w:rPr>
        <w:footnoteRef/>
      </w:r>
      <w:r>
        <w:t xml:space="preserve">  </w:t>
      </w:r>
      <w:r>
        <w:rPr>
          <w:sz w:val="16"/>
        </w:rPr>
        <w:t>Eurobarometri-kysely</w:t>
      </w:r>
      <w:r>
        <w:t xml:space="preserve"> 465.</w:t>
      </w:r>
    </w:p>
  </w:footnote>
  <w:footnote w:id="9">
    <w:p w:rsidR="00A45AA2" w:rsidRDefault="004450FC">
      <w:pPr>
        <w:pStyle w:val="FootnoteText"/>
        <w:spacing w:after="0"/>
        <w:ind w:left="0" w:firstLine="0"/>
        <w:rPr>
          <w:sz w:val="16"/>
          <w:szCs w:val="16"/>
        </w:rPr>
      </w:pPr>
      <w:r>
        <w:rPr>
          <w:rStyle w:val="FootnoteReference"/>
          <w:sz w:val="16"/>
        </w:rPr>
        <w:footnoteRef/>
      </w:r>
      <w:r>
        <w:rPr>
          <w:sz w:val="16"/>
        </w:rPr>
        <w:t xml:space="preserve">  Esimerkiksi vähimmäispalkan käyttöönoton Saksassa arvioidaan vähentävän sukupuolten palkkaeroa 2,5 </w:t>
      </w:r>
      <w:r>
        <w:rPr>
          <w:sz w:val="16"/>
        </w:rPr>
        <w:t>prosenttiyksiköllä. Naisten odotetaan myös hyötyvän viimeaikaisista vähimmäispalkan korotuksista joissakin maissa, joissa sukupuolten palkkaerot ovat suurimmat (Slovakia, Tšekki ja Yhdistynyt kuningaskunta).</w:t>
      </w:r>
    </w:p>
  </w:footnote>
  <w:footnote w:id="10">
    <w:p w:rsidR="00A45AA2" w:rsidRDefault="004450FC">
      <w:pPr>
        <w:pStyle w:val="FootnoteText"/>
        <w:spacing w:after="0"/>
        <w:ind w:left="0" w:firstLine="0"/>
        <w:rPr>
          <w:sz w:val="16"/>
          <w:szCs w:val="16"/>
        </w:rPr>
      </w:pPr>
      <w:r>
        <w:rPr>
          <w:rStyle w:val="FootnoteReference"/>
        </w:rPr>
        <w:footnoteRef/>
      </w:r>
      <w:r>
        <w:t xml:space="preserve">  </w:t>
      </w:r>
      <w:r>
        <w:rPr>
          <w:sz w:val="16"/>
        </w:rPr>
        <w:t>Sukupuolten palkkaero muodostaa kolmasosan työelämän aikana syntyvästä naisten ja miesten välisestä tuloerosta. Ks. komission vuoden 2017 kertomus naisten ja miesten tasa-arvosta ja Eurostatin tilastot: http://ec.europa.eu/eurostat/statistics-explained/ind</w:t>
      </w:r>
      <w:r>
        <w:rPr>
          <w:sz w:val="16"/>
        </w:rPr>
        <w:t xml:space="preserve">ex.php/Gender_statistics </w:t>
      </w:r>
    </w:p>
  </w:footnote>
  <w:footnote w:id="11">
    <w:p w:rsidR="00A45AA2" w:rsidRDefault="004450FC">
      <w:pPr>
        <w:pStyle w:val="FootnoteText"/>
        <w:spacing w:after="0"/>
      </w:pPr>
      <w:r>
        <w:rPr>
          <w:rStyle w:val="FootnoteReference"/>
          <w:sz w:val="16"/>
        </w:rPr>
        <w:footnoteRef/>
      </w:r>
      <w:r>
        <w:rPr>
          <w:sz w:val="16"/>
        </w:rPr>
        <w:t xml:space="preserve">   Sukupuolten välisen palkkakuilun kurominen umpeen on yksi sukupuolten tasa-arvoa koskevan komission strategisen sitoumuksen (2016–2019) tavoitteista – </w:t>
      </w:r>
      <w:hyperlink r:id="rId2">
        <w:r>
          <w:rPr>
            <w:rStyle w:val="Hyperlink"/>
            <w:sz w:val="16"/>
          </w:rPr>
          <w:t>http://ec.europa.eu/justice/gender-equality/files/documents/151203_strategic_engagement_en.pdf</w:t>
        </w:r>
      </w:hyperlink>
      <w:r>
        <w:t xml:space="preserve"> </w:t>
      </w:r>
    </w:p>
  </w:footnote>
  <w:footnote w:id="12">
    <w:p w:rsidR="00A45AA2" w:rsidRDefault="004450FC">
      <w:pPr>
        <w:pStyle w:val="FootnoteText"/>
        <w:spacing w:after="0"/>
        <w:rPr>
          <w:sz w:val="16"/>
        </w:rPr>
      </w:pPr>
      <w:r>
        <w:rPr>
          <w:rStyle w:val="FootnoteReference"/>
        </w:rPr>
        <w:footnoteRef/>
      </w:r>
      <w:r>
        <w:t xml:space="preserve"> </w:t>
      </w:r>
      <w:r>
        <w:tab/>
      </w:r>
      <w:r>
        <w:rPr>
          <w:sz w:val="16"/>
        </w:rPr>
        <w:t>Kertomus miesten ja naisten yhtäläisten mahdollisuuksien ja yhdenvertaisen kohtelun periaatteen täytäntöönpanosta työh</w:t>
      </w:r>
      <w:r>
        <w:rPr>
          <w:sz w:val="16"/>
        </w:rPr>
        <w:t xml:space="preserve">ön ja ammattiin liittyvissä asioissa 5 päivänä heinäkuuta 2006 annetun Euroopan parlamentin ja neuvoston direktiivin 2006/54/EY (uudelleenlaadittu toisinto) soveltamisesta, COM(2013) 861 final – </w:t>
      </w:r>
      <w:hyperlink r:id="rId3">
        <w:r>
          <w:rPr>
            <w:rStyle w:val="Hyperlink"/>
            <w:sz w:val="16"/>
          </w:rPr>
          <w:t>https://ec.europa.eu/transparency/regdoc/rep/1/2013/FI/1-2013-861-FI-F1-1.Pdf</w:t>
        </w:r>
      </w:hyperlink>
    </w:p>
  </w:footnote>
  <w:footnote w:id="13">
    <w:p w:rsidR="00A45AA2" w:rsidRDefault="004450FC">
      <w:pPr>
        <w:pStyle w:val="FootnoteText"/>
        <w:spacing w:after="0"/>
        <w:rPr>
          <w:sz w:val="16"/>
        </w:rPr>
      </w:pPr>
      <w:r>
        <w:rPr>
          <w:rStyle w:val="FootnoteReference"/>
          <w:sz w:val="16"/>
        </w:rPr>
        <w:footnoteRef/>
      </w:r>
      <w:r>
        <w:rPr>
          <w:sz w:val="16"/>
        </w:rPr>
        <w:t xml:space="preserve"> </w:t>
      </w:r>
      <w:r>
        <w:tab/>
      </w:r>
      <w:r>
        <w:rPr>
          <w:sz w:val="16"/>
        </w:rPr>
        <w:t>Komission suositus, annettu 7.3.2014, miesten ja naisten samapalkkaisuuden periaatteen lujittamisesta läpinäkyvyyden avulla, COM(2014) 1405</w:t>
      </w:r>
      <w:r>
        <w:rPr>
          <w:sz w:val="16"/>
        </w:rPr>
        <w:t xml:space="preserve"> final – </w:t>
      </w:r>
      <w:hyperlink r:id="rId4">
        <w:r>
          <w:rPr>
            <w:rStyle w:val="Hyperlink"/>
            <w:sz w:val="16"/>
          </w:rPr>
          <w:t>http://ec.europa.eu/justice/gender-equality/files/gender_pay_gap/c_2014_1405_fi.pdf</w:t>
        </w:r>
      </w:hyperlink>
    </w:p>
  </w:footnote>
  <w:footnote w:id="14">
    <w:p w:rsidR="00A45AA2" w:rsidRDefault="004450FC">
      <w:pPr>
        <w:pStyle w:val="FootnoteText"/>
        <w:spacing w:after="0"/>
        <w:rPr>
          <w:sz w:val="16"/>
          <w:lang w:val="cs-CZ"/>
        </w:rPr>
      </w:pPr>
      <w:r>
        <w:rPr>
          <w:rStyle w:val="FootnoteReference"/>
          <w:sz w:val="16"/>
        </w:rPr>
        <w:footnoteRef/>
      </w:r>
      <w:r>
        <w:rPr>
          <w:sz w:val="16"/>
        </w:rPr>
        <w:t xml:space="preserve"> </w:t>
      </w:r>
      <w:r>
        <w:tab/>
      </w:r>
      <w:r>
        <w:rPr>
          <w:sz w:val="16"/>
        </w:rPr>
        <w:t>Näihin sisältyvät i) työntekijöiden oikeus pyytää tietoja</w:t>
      </w:r>
      <w:r>
        <w:rPr>
          <w:sz w:val="16"/>
        </w:rPr>
        <w:t xml:space="preserve"> samaa tai samanarvoista työtä tekevien työntekijäryhmien palkkatasosta jaoteltuna sukupuolen mukaan, ii) työnantajien säännöllinen tiedottaminen työntekijäryhmä- tai tehtäväkohtaisesta keskimääräisestä palkkatasosta jaoteltuna sukupuolen mukaan (koskee va</w:t>
      </w:r>
      <w:r>
        <w:rPr>
          <w:sz w:val="16"/>
        </w:rPr>
        <w:t>in pieniä ja keskisuuria yrityksiä), iii) palkkakartoitukset suurissa yrityksissä ja iv) samapalkkaisuutta koskevista kysymyksistä neuvottelu asiaankuuluvalla tasolla työehtosopimusneuvotteluissa.</w:t>
      </w:r>
    </w:p>
  </w:footnote>
  <w:footnote w:id="15">
    <w:p w:rsidR="00A45AA2" w:rsidRDefault="004450FC">
      <w:pPr>
        <w:pStyle w:val="FootnoteText"/>
        <w:spacing w:after="0"/>
        <w:rPr>
          <w:sz w:val="16"/>
          <w:szCs w:val="16"/>
          <w:lang w:val="cs-CZ"/>
        </w:rPr>
      </w:pPr>
      <w:r>
        <w:rPr>
          <w:rStyle w:val="FootnoteReference"/>
        </w:rPr>
        <w:footnoteRef/>
      </w:r>
      <w:r>
        <w:t xml:space="preserve">   </w:t>
      </w:r>
      <w:r>
        <w:rPr>
          <w:sz w:val="16"/>
          <w:szCs w:val="16"/>
        </w:rPr>
        <w:t>COM(2017) 671.</w:t>
      </w:r>
    </w:p>
  </w:footnote>
  <w:footnote w:id="16">
    <w:p w:rsidR="00A45AA2" w:rsidRDefault="004450FC">
      <w:pPr>
        <w:pStyle w:val="FootnoteText"/>
        <w:spacing w:after="0"/>
        <w:rPr>
          <w:sz w:val="16"/>
          <w:lang w:val="cs-CZ"/>
        </w:rPr>
      </w:pPr>
      <w:r>
        <w:rPr>
          <w:rStyle w:val="FootnoteReference"/>
          <w:sz w:val="16"/>
        </w:rPr>
        <w:footnoteRef/>
      </w:r>
      <w:r>
        <w:rPr>
          <w:sz w:val="16"/>
        </w:rPr>
        <w:t xml:space="preserve"> </w:t>
      </w:r>
      <w:r>
        <w:tab/>
      </w:r>
      <w:r>
        <w:rPr>
          <w:sz w:val="16"/>
        </w:rPr>
        <w:t>Sukupuolten yhdenvertaisuutta koskeva</w:t>
      </w:r>
      <w:r>
        <w:rPr>
          <w:sz w:val="16"/>
        </w:rPr>
        <w:t>n direktiivin uudelleenlaaditussa toisinnossa jäsenvaltiot velvoitetaan ottamaan käyttöön tehokkaita, oikeasuhteisia ja varoittavia seuraamuksia. Jäsenvaltioiden kansallisissa lainsäädännöissä säädetyt seuraamukset vaihtelevat kuitenkin huomattavasti, mikä</w:t>
      </w:r>
      <w:r>
        <w:rPr>
          <w:sz w:val="16"/>
        </w:rPr>
        <w:t xml:space="preserve"> johtaa direktiiviin perustuvien oikeuksien epätasaiseen täytäntöönpanoon.</w:t>
      </w:r>
    </w:p>
  </w:footnote>
  <w:footnote w:id="17">
    <w:p w:rsidR="00A45AA2" w:rsidRDefault="004450FC">
      <w:pPr>
        <w:pStyle w:val="FootnoteText"/>
        <w:spacing w:after="0"/>
        <w:rPr>
          <w:sz w:val="16"/>
        </w:rPr>
      </w:pPr>
      <w:r>
        <w:rPr>
          <w:rStyle w:val="FootnoteReference"/>
        </w:rPr>
        <w:footnoteRef/>
      </w:r>
      <w:r>
        <w:t xml:space="preserve"> </w:t>
      </w:r>
      <w:r>
        <w:tab/>
      </w:r>
      <w:r>
        <w:rPr>
          <w:sz w:val="16"/>
        </w:rPr>
        <w:t>Asiassa C-318/13, jonka X oli pannut vireille 3 päivänä syyskuuta 2014, unionin tuomioistuin katsoi, ettei sukupuolten välisten vakuutusmatemaattisten tietojen perusteella eriyte</w:t>
      </w:r>
      <w:r>
        <w:rPr>
          <w:sz w:val="16"/>
        </w:rPr>
        <w:t>ttyjä etuja voida hyväksyä lakisääteisissä kansaneläkkeissä direktiivin 79/7/ETY mukaisesti.</w:t>
      </w:r>
    </w:p>
  </w:footnote>
  <w:footnote w:id="18">
    <w:p w:rsidR="00A45AA2" w:rsidRDefault="004450FC">
      <w:pPr>
        <w:pStyle w:val="FootnoteText"/>
        <w:spacing w:after="0"/>
        <w:rPr>
          <w:sz w:val="16"/>
        </w:rPr>
      </w:pPr>
      <w:r>
        <w:rPr>
          <w:rStyle w:val="FootnoteReference"/>
          <w:sz w:val="16"/>
        </w:rPr>
        <w:footnoteRef/>
      </w:r>
      <w:r>
        <w:rPr>
          <w:sz w:val="16"/>
        </w:rPr>
        <w:t xml:space="preserve">  </w:t>
      </w:r>
      <w:r>
        <w:tab/>
      </w:r>
      <w:r>
        <w:rPr>
          <w:sz w:val="16"/>
        </w:rPr>
        <w:t>Asiassa C-236/09, Test Achats, 1 päivänä maaliskuuta 2011 annetussa tuomiossa unionin tuomioistuin kumosi direktiivin 2004/113/EY 5 artiklan 2 kohdan, jonka pe</w:t>
      </w:r>
      <w:r>
        <w:rPr>
          <w:sz w:val="16"/>
        </w:rPr>
        <w:t>rusteella vakuutussopimuksissa voitiin käyttää sukupuoleen perustuvia vakuutusmatemaattisia tekijöitä. Tuomiossa velvoitettiin jäsenvaltiot mukauttamaan lainsäädäntöään 21 päivään joulukuuta 2012 mennessä niin, että molempien sukupuolten vakuutusmaksujen j</w:t>
      </w:r>
      <w:r>
        <w:rPr>
          <w:sz w:val="16"/>
        </w:rPr>
        <w:t xml:space="preserve">a </w:t>
      </w:r>
      <w:r>
        <w:noBreakHyphen/>
      </w:r>
      <w:r>
        <w:rPr>
          <w:sz w:val="16"/>
        </w:rPr>
        <w:t xml:space="preserve">etuuksien on oltava samat. </w:t>
      </w:r>
    </w:p>
  </w:footnote>
  <w:footnote w:id="19">
    <w:p w:rsidR="00A45AA2" w:rsidRDefault="004450FC">
      <w:pPr>
        <w:pStyle w:val="FootnoteText"/>
        <w:spacing w:after="0"/>
        <w:rPr>
          <w:sz w:val="16"/>
        </w:rPr>
      </w:pPr>
      <w:r>
        <w:rPr>
          <w:rStyle w:val="FootnoteReference"/>
        </w:rPr>
        <w:footnoteRef/>
      </w:r>
      <w:r>
        <w:t xml:space="preserve"> </w:t>
      </w:r>
      <w:r>
        <w:tab/>
      </w:r>
      <w:r>
        <w:rPr>
          <w:sz w:val="16"/>
        </w:rPr>
        <w:t>Kuten vuoden 2014 suositusta koskevassa arviointikertomuksessa ilmoitettiin.</w:t>
      </w:r>
    </w:p>
  </w:footnote>
  <w:footnote w:id="20">
    <w:p w:rsidR="00A45AA2" w:rsidRDefault="004450FC">
      <w:pPr>
        <w:pStyle w:val="FootnoteText"/>
        <w:spacing w:after="0"/>
        <w:rPr>
          <w:sz w:val="16"/>
        </w:rPr>
      </w:pPr>
      <w:r>
        <w:rPr>
          <w:rStyle w:val="FootnoteReference"/>
          <w:sz w:val="16"/>
        </w:rPr>
        <w:footnoteRef/>
      </w:r>
      <w:r>
        <w:rPr>
          <w:sz w:val="16"/>
        </w:rPr>
        <w:t xml:space="preserve">     Naisten osuus rakennusalalla on vain 10 prosenttia, liikenteen alalla 22 prosenttia ja teollisuudessa 30 prosenttia (verrattuna 46 prosentt</w:t>
      </w:r>
      <w:r>
        <w:rPr>
          <w:sz w:val="16"/>
        </w:rPr>
        <w:t>iin koko taloudessa).</w:t>
      </w:r>
    </w:p>
  </w:footnote>
  <w:footnote w:id="21">
    <w:p w:rsidR="00A45AA2" w:rsidRDefault="004450FC">
      <w:pPr>
        <w:pStyle w:val="FootnoteText"/>
      </w:pPr>
      <w:r>
        <w:rPr>
          <w:rStyle w:val="FootnoteReference"/>
        </w:rPr>
        <w:footnoteRef/>
      </w:r>
      <w:r>
        <w:t xml:space="preserve"> </w:t>
      </w:r>
      <w:r>
        <w:tab/>
      </w:r>
      <w:r>
        <w:rPr>
          <w:sz w:val="16"/>
        </w:rPr>
        <w:t xml:space="preserve">Ks. Euroopan tasa-arvoinstituutin (EIGE) tutkimus sukupuolten palkkaerojen vähentämisestä luonnontieteiden, teknologian, insinööritieteiden ja matematiikan aloilla (STEM-tieteet) – </w:t>
      </w:r>
      <w:hyperlink r:id="rId5">
        <w:r>
          <w:rPr>
            <w:rStyle w:val="Hyperlink"/>
            <w:sz w:val="16"/>
          </w:rPr>
          <w:t>http://eige.europa.eu/gender-mainstreaming/policy-areas/economic-and-financial-affairs/economic-benefits-gender-equality/stem</w:t>
        </w:r>
      </w:hyperlink>
    </w:p>
  </w:footnote>
  <w:footnote w:id="22">
    <w:p w:rsidR="00A45AA2" w:rsidRDefault="004450FC">
      <w:pPr>
        <w:pStyle w:val="FootnoteText"/>
        <w:spacing w:after="0"/>
        <w:rPr>
          <w:sz w:val="16"/>
        </w:rPr>
      </w:pPr>
      <w:r>
        <w:rPr>
          <w:rStyle w:val="FootnoteReference"/>
        </w:rPr>
        <w:footnoteRef/>
      </w:r>
      <w:r>
        <w:t xml:space="preserve"> </w:t>
      </w:r>
      <w:r>
        <w:tab/>
      </w:r>
      <w:r>
        <w:rPr>
          <w:sz w:val="16"/>
        </w:rPr>
        <w:t>OECD vastaa kansainvälisen oppim</w:t>
      </w:r>
      <w:r>
        <w:rPr>
          <w:sz w:val="16"/>
        </w:rPr>
        <w:t xml:space="preserve">istulosten arviointiohjelmasta (PISA), jossa arvioidaan kolmen vuoden välein 15-vuotiaita opiskelijoita eri puolilla maailmaa. Vuoden 2015 tutkimus. </w:t>
      </w:r>
    </w:p>
  </w:footnote>
  <w:footnote w:id="23">
    <w:p w:rsidR="00A45AA2" w:rsidRDefault="004450FC">
      <w:pPr>
        <w:pStyle w:val="FootnoteText"/>
        <w:spacing w:after="0"/>
        <w:rPr>
          <w:sz w:val="16"/>
        </w:rPr>
      </w:pPr>
      <w:r>
        <w:rPr>
          <w:rStyle w:val="FootnoteReference"/>
          <w:sz w:val="16"/>
        </w:rPr>
        <w:footnoteRef/>
      </w:r>
      <w:r>
        <w:rPr>
          <w:sz w:val="16"/>
        </w:rPr>
        <w:t xml:space="preserve">  </w:t>
      </w:r>
      <w:r>
        <w:tab/>
      </w:r>
      <w:r>
        <w:rPr>
          <w:sz w:val="16"/>
        </w:rPr>
        <w:t>Hankeavustukset sellaisten monikansallisten hankkeiden tukemiseksi, joilla edistetään sukupuolirooleih</w:t>
      </w:r>
      <w:r>
        <w:rPr>
          <w:sz w:val="16"/>
        </w:rPr>
        <w:t xml:space="preserve">in liittyviä hyviä toimintamalleja ja poistetaan sukupuolistereotypioita koulutuksessa ja työpaikoilla, JUST/2015/RGEN/AG/ROLE. Ks. </w:t>
      </w:r>
      <w:hyperlink r:id="rId6">
        <w:r>
          <w:rPr>
            <w:rStyle w:val="Hyperlink"/>
            <w:sz w:val="16"/>
          </w:rPr>
          <w:t>http://ec.euro</w:t>
        </w:r>
        <w:r>
          <w:rPr>
            <w:rStyle w:val="Hyperlink"/>
            <w:sz w:val="16"/>
          </w:rPr>
          <w:t>pa.eu/justice/grants1/calls/2015_action_grants/just_2015_rgen_ag_role_en.htm</w:t>
        </w:r>
      </w:hyperlink>
    </w:p>
  </w:footnote>
  <w:footnote w:id="24">
    <w:p w:rsidR="00A45AA2" w:rsidRDefault="004450FC">
      <w:pPr>
        <w:pStyle w:val="FootnoteText"/>
        <w:spacing w:after="0"/>
        <w:rPr>
          <w:rFonts w:cs="Arial"/>
          <w:sz w:val="16"/>
        </w:rPr>
      </w:pPr>
      <w:r>
        <w:rPr>
          <w:rStyle w:val="FootnoteReference"/>
          <w:sz w:val="16"/>
        </w:rPr>
        <w:footnoteRef/>
      </w:r>
      <w:r>
        <w:rPr>
          <w:sz w:val="16"/>
        </w:rPr>
        <w:t xml:space="preserve"> </w:t>
      </w:r>
      <w:r>
        <w:tab/>
      </w:r>
      <w:r>
        <w:rPr>
          <w:sz w:val="16"/>
        </w:rPr>
        <w:t xml:space="preserve">EU:n monimuotoisuusverkosto eli monimuotoisuussitoumusten allekirjoittajien EU:n tason verkosto (EU Platform of Diversity Charters) perustettiin vuonna 2010, ja sitä rahoittaa </w:t>
      </w:r>
      <w:r>
        <w:rPr>
          <w:sz w:val="16"/>
        </w:rPr>
        <w:t xml:space="preserve">komissio. Se koostuu nykyisin 18 monimuotoisuussitoumuksesta, joita ovat antaneet seuraavat maat: Alankomaat, Belgia, Espanja, Irlanti, Italia, Itävalta, Luxemburg, Portugali, Puola, Ranska, Ruotsi, Saksa, Slovakia, Suomi, Tanska, Tšekki, Unkari ja Viro. </w:t>
      </w:r>
    </w:p>
    <w:p w:rsidR="00A45AA2" w:rsidRDefault="004450FC">
      <w:pPr>
        <w:pStyle w:val="FootnoteText"/>
        <w:spacing w:after="0"/>
        <w:ind w:firstLine="0"/>
        <w:rPr>
          <w:sz w:val="16"/>
          <w:lang w:val="pl-PL"/>
        </w:rPr>
      </w:pPr>
      <w:r>
        <w:rPr>
          <w:sz w:val="16"/>
          <w:lang w:val="pl-PL"/>
        </w:rPr>
        <w:t xml:space="preserve">Ks. </w:t>
      </w:r>
      <w:hyperlink r:id="rId7">
        <w:r>
          <w:rPr>
            <w:rStyle w:val="Hyperlink"/>
            <w:sz w:val="16"/>
            <w:lang w:val="pl-PL"/>
          </w:rPr>
          <w:t>http://ec.europa.eu/justice/discrimination/diversity/charters/index_en.htm</w:t>
        </w:r>
      </w:hyperlink>
    </w:p>
  </w:footnote>
  <w:footnote w:id="25">
    <w:p w:rsidR="00A45AA2" w:rsidRDefault="004450FC">
      <w:pPr>
        <w:pStyle w:val="ListBullet1"/>
        <w:spacing w:after="0"/>
        <w:ind w:left="426" w:hanging="426"/>
        <w:rPr>
          <w:sz w:val="16"/>
        </w:rPr>
      </w:pPr>
      <w:r>
        <w:rPr>
          <w:rStyle w:val="FootnoteReference"/>
          <w:sz w:val="16"/>
        </w:rPr>
        <w:footnoteRef/>
      </w:r>
      <w:r>
        <w:rPr>
          <w:sz w:val="16"/>
        </w:rPr>
        <w:t xml:space="preserve">    Digitaalitaitoja ja työllisyyttä edistävä koalitio tuo yhteen jäsenvaltiot, yr</w:t>
      </w:r>
      <w:r>
        <w:rPr>
          <w:sz w:val="16"/>
        </w:rPr>
        <w:t>itykset, työmarkkinaosapuolet, voittoa tavoittelemattomat järjestöt ja koulutuksen tarjoajat, jotka toimivat digitaalisten taitojen kehittämiseksi Euroopassa</w:t>
      </w:r>
      <w:r>
        <w:rPr>
          <w:rStyle w:val="Hyperlink"/>
          <w:sz w:val="16"/>
          <w:u w:val="none"/>
        </w:rPr>
        <w:t>.</w:t>
      </w:r>
    </w:p>
  </w:footnote>
  <w:footnote w:id="26">
    <w:p w:rsidR="00A45AA2" w:rsidRDefault="004450FC">
      <w:pPr>
        <w:pStyle w:val="FootnoteText"/>
        <w:spacing w:after="0"/>
        <w:rPr>
          <w:sz w:val="16"/>
        </w:rPr>
      </w:pPr>
      <w:r>
        <w:rPr>
          <w:rStyle w:val="FootnoteReference"/>
          <w:sz w:val="16"/>
        </w:rPr>
        <w:footnoteRef/>
      </w:r>
      <w:r>
        <w:rPr>
          <w:sz w:val="16"/>
        </w:rPr>
        <w:t xml:space="preserve"> </w:t>
      </w:r>
      <w:r>
        <w:tab/>
      </w:r>
      <w:r>
        <w:rPr>
          <w:sz w:val="16"/>
        </w:rPr>
        <w:t xml:space="preserve">Joulukuusta 2017 alkaen kaikki liikennealan sidosryhmät voivat esitellä konkreettisia </w:t>
      </w:r>
      <w:r>
        <w:rPr>
          <w:sz w:val="16"/>
        </w:rPr>
        <w:t>toimiaan, joilla edistetään naisten työllisyyttä, ja vaihtaa hyviä käytäntöjä.</w:t>
      </w:r>
    </w:p>
  </w:footnote>
  <w:footnote w:id="27">
    <w:p w:rsidR="00A45AA2" w:rsidRDefault="004450FC">
      <w:pPr>
        <w:pStyle w:val="FootnoteText"/>
        <w:spacing w:after="0"/>
        <w:rPr>
          <w:sz w:val="16"/>
          <w:lang w:val="en-GB"/>
        </w:rPr>
      </w:pPr>
      <w:r>
        <w:rPr>
          <w:rStyle w:val="FootnoteReference"/>
          <w:sz w:val="16"/>
        </w:rPr>
        <w:footnoteRef/>
      </w:r>
      <w:r>
        <w:rPr>
          <w:sz w:val="16"/>
          <w:lang w:val="en-US"/>
        </w:rPr>
        <w:t xml:space="preserve"> </w:t>
      </w:r>
      <w:r>
        <w:rPr>
          <w:lang w:val="en-US"/>
        </w:rPr>
        <w:tab/>
      </w:r>
      <w:r>
        <w:rPr>
          <w:sz w:val="16"/>
          <w:lang w:val="en-US"/>
        </w:rPr>
        <w:t xml:space="preserve">Strengthening teaching in Europe, New evidence from teachers compiled by Eurydice and CRELL, kesäkuu 2015 – </w:t>
      </w:r>
      <w:hyperlink r:id="rId8">
        <w:r>
          <w:rPr>
            <w:rStyle w:val="Hyperlink"/>
            <w:sz w:val="16"/>
            <w:lang w:val="en-US"/>
          </w:rPr>
          <w:t>http://ec.europa.eu/dgs/education_culture/repository/education/library/policy/teaching-profession-practices_en.pdf</w:t>
        </w:r>
      </w:hyperlink>
    </w:p>
  </w:footnote>
  <w:footnote w:id="28">
    <w:p w:rsidR="00A45AA2" w:rsidRDefault="004450FC">
      <w:pPr>
        <w:pStyle w:val="FootnoteText"/>
        <w:spacing w:after="0"/>
        <w:rPr>
          <w:sz w:val="16"/>
        </w:rPr>
      </w:pPr>
      <w:r>
        <w:rPr>
          <w:rStyle w:val="FootnoteReference"/>
          <w:sz w:val="16"/>
        </w:rPr>
        <w:footnoteRef/>
      </w:r>
      <w:r>
        <w:rPr>
          <w:sz w:val="16"/>
        </w:rPr>
        <w:t xml:space="preserve">   Opettajien ja rehtorien tukeminen huipputason opetukseen ja oppimisee</w:t>
      </w:r>
      <w:r>
        <w:rPr>
          <w:sz w:val="16"/>
        </w:rPr>
        <w:t>n pyrittäessä, osa komission tiedonantoa ”Koulujen kehittämisellä ja huipputason opetuksella hyvät lähtökohdat elämälle” (COM(2017) 248).</w:t>
      </w:r>
    </w:p>
  </w:footnote>
  <w:footnote w:id="29">
    <w:p w:rsidR="00A45AA2" w:rsidRDefault="004450FC">
      <w:pPr>
        <w:pStyle w:val="FootnoteText"/>
        <w:spacing w:after="0"/>
        <w:rPr>
          <w:sz w:val="16"/>
        </w:rPr>
      </w:pPr>
      <w:r>
        <w:rPr>
          <w:rStyle w:val="FootnoteReference"/>
          <w:sz w:val="16"/>
        </w:rPr>
        <w:footnoteRef/>
      </w:r>
      <w:r>
        <w:rPr>
          <w:sz w:val="16"/>
        </w:rPr>
        <w:t xml:space="preserve"> </w:t>
      </w:r>
      <w:r>
        <w:tab/>
      </w:r>
      <w:hyperlink r:id="rId9">
        <w:r>
          <w:rPr>
            <w:rStyle w:val="Hyperlink"/>
            <w:sz w:val="16"/>
          </w:rPr>
          <w:t>http://eacea.ec.europa.eu/education/eu</w:t>
        </w:r>
        <w:r>
          <w:rPr>
            <w:rStyle w:val="Hyperlink"/>
            <w:sz w:val="16"/>
          </w:rPr>
          <w:t>rydice/index_en.php</w:t>
        </w:r>
      </w:hyperlink>
    </w:p>
  </w:footnote>
  <w:footnote w:id="30">
    <w:p w:rsidR="00A45AA2" w:rsidRDefault="004450FC">
      <w:pPr>
        <w:pStyle w:val="FootnoteText"/>
        <w:spacing w:after="0"/>
        <w:rPr>
          <w:sz w:val="16"/>
        </w:rPr>
      </w:pPr>
      <w:r>
        <w:rPr>
          <w:rStyle w:val="FootnoteReference"/>
        </w:rPr>
        <w:footnoteRef/>
      </w:r>
      <w:r>
        <w:t xml:space="preserve"> </w:t>
      </w:r>
      <w:r>
        <w:tab/>
      </w:r>
      <w:r>
        <w:rPr>
          <w:sz w:val="16"/>
        </w:rPr>
        <w:t>Esimerkiksi lokakuun 2016 tiedot osoittavat, että naisten osuus EU:n jäsenvaltioissa rekisteröityjen suurimpien julkisesti noteerattujen yhtiöiden johtokunnan jäsenistä on edelleen alle neljäsosa (23,9 prosenttia). Paikallispolitiika</w:t>
      </w:r>
      <w:r>
        <w:rPr>
          <w:sz w:val="16"/>
        </w:rPr>
        <w:t>ssa naisten osuus kaupunginjohtajista tai muista kunnanjohtajista oli vuonna 2015 ainoastaan hieman yli yksi seitsemästä (15,1 prosenttia) (Vuoden 2017 kertomus naisten ja miesten tasa-arvosta).</w:t>
      </w:r>
    </w:p>
  </w:footnote>
  <w:footnote w:id="31">
    <w:p w:rsidR="00A45AA2" w:rsidRDefault="004450FC">
      <w:pPr>
        <w:pStyle w:val="FootnoteText"/>
        <w:spacing w:after="0"/>
        <w:rPr>
          <w:sz w:val="16"/>
        </w:rPr>
      </w:pPr>
      <w:r>
        <w:rPr>
          <w:rStyle w:val="FootnoteReference"/>
          <w:sz w:val="16"/>
        </w:rPr>
        <w:footnoteRef/>
      </w:r>
      <w:r>
        <w:rPr>
          <w:sz w:val="16"/>
        </w:rPr>
        <w:t xml:space="preserve">     </w:t>
      </w:r>
      <w:hyperlink r:id="rId10">
        <w:r>
          <w:rPr>
            <w:rStyle w:val="Hyperlink"/>
            <w:sz w:val="16"/>
          </w:rPr>
          <w:t>http://eur-lex.europa.eu/legal-content/FI/TXT/?uri=CELEX:32008D0768&amp;locale=fi</w:t>
        </w:r>
      </w:hyperlink>
      <w:r>
        <w:rPr>
          <w:sz w:val="16"/>
        </w:rPr>
        <w:t xml:space="preserve"> </w:t>
      </w:r>
    </w:p>
  </w:footnote>
  <w:footnote w:id="32">
    <w:p w:rsidR="00A45AA2" w:rsidRDefault="004450FC">
      <w:pPr>
        <w:pStyle w:val="Default"/>
        <w:rPr>
          <w:color w:val="auto"/>
          <w:sz w:val="16"/>
          <w:szCs w:val="20"/>
          <w:lang w:eastAsia="en-US"/>
        </w:rPr>
      </w:pPr>
      <w:r>
        <w:rPr>
          <w:rStyle w:val="FootnoteReference"/>
          <w:sz w:val="16"/>
        </w:rPr>
        <w:footnoteRef/>
      </w:r>
      <w:r>
        <w:rPr>
          <w:sz w:val="16"/>
        </w:rPr>
        <w:t xml:space="preserve">     </w:t>
      </w:r>
      <w:r>
        <w:rPr>
          <w:color w:val="auto"/>
          <w:sz w:val="16"/>
        </w:rPr>
        <w:t>Vuosina 2014–2016 myönnettiin 5 miljoonaa euroa 23:lle tämän aihealueen hankkeelle.</w:t>
      </w:r>
    </w:p>
  </w:footnote>
  <w:footnote w:id="33">
    <w:p w:rsidR="00A45AA2" w:rsidRDefault="004450FC">
      <w:pPr>
        <w:pStyle w:val="FootnoteText"/>
        <w:spacing w:after="0"/>
        <w:rPr>
          <w:sz w:val="16"/>
        </w:rPr>
      </w:pPr>
      <w:r>
        <w:rPr>
          <w:rStyle w:val="FootnoteReference"/>
          <w:sz w:val="16"/>
        </w:rPr>
        <w:footnoteRef/>
      </w:r>
      <w:r>
        <w:rPr>
          <w:sz w:val="16"/>
        </w:rPr>
        <w:t xml:space="preserve">     Eurostat, ansiorakennetutkimus.</w:t>
      </w:r>
    </w:p>
  </w:footnote>
  <w:footnote w:id="34">
    <w:p w:rsidR="00A45AA2" w:rsidRDefault="004450FC">
      <w:pPr>
        <w:pStyle w:val="FootnoteText"/>
        <w:ind w:left="0" w:firstLine="0"/>
        <w:rPr>
          <w:sz w:val="16"/>
          <w:szCs w:val="16"/>
        </w:rPr>
      </w:pPr>
      <w:r>
        <w:rPr>
          <w:rStyle w:val="FootnoteReference"/>
          <w:sz w:val="16"/>
        </w:rPr>
        <w:footnoteRef/>
      </w:r>
      <w:r>
        <w:rPr>
          <w:sz w:val="16"/>
        </w:rPr>
        <w:t xml:space="preserve">   Koska naisten tulot ovat alhaisemmat ja he tekevät miehiä useammin osa-aikatyötä ja keskeyttävät työuransa hoitovelvollisuuksien vuoksi, he ovat taloudellisesti riippuvaisempia kumppaneistaan tai valtiosta. Tämä vaikuttaa merkittävästi sukupuolten välis</w:t>
      </w:r>
      <w:r>
        <w:rPr>
          <w:sz w:val="16"/>
        </w:rPr>
        <w:t>ten palkkojen ja eläkkeiden eroihin. Tämän vuoksi naisilla on suurempi köyhyysriski ja sosiaaliseen syrjäytymisen riski, mikä vaikuttaa kielteisesti myös heidän lapsiinsa ja perheisiinsä (ks. komission tiedonanto COM(2017) 252 final, ”Työssäkäyvien vanhemp</w:t>
      </w:r>
      <w:r>
        <w:rPr>
          <w:sz w:val="16"/>
        </w:rPr>
        <w:t>ien ja omaisiaan hoitavien työ- ja yksityiselämän tasapainottamisen tukemista koskeva aloite”).</w:t>
      </w:r>
    </w:p>
  </w:footnote>
  <w:footnote w:id="35">
    <w:p w:rsidR="00A45AA2" w:rsidRDefault="004450FC">
      <w:pPr>
        <w:pStyle w:val="FootnoteText"/>
        <w:spacing w:after="0"/>
        <w:rPr>
          <w:sz w:val="16"/>
          <w:szCs w:val="16"/>
          <w:lang w:val="en-GB"/>
        </w:rPr>
      </w:pPr>
      <w:r>
        <w:rPr>
          <w:rStyle w:val="FootnoteReference"/>
        </w:rPr>
        <w:footnoteRef/>
      </w:r>
      <w:r>
        <w:rPr>
          <w:lang w:val="en-US"/>
        </w:rPr>
        <w:t xml:space="preserve"> </w:t>
      </w:r>
      <w:r>
        <w:rPr>
          <w:lang w:val="en-US"/>
        </w:rPr>
        <w:tab/>
      </w:r>
      <w:r>
        <w:rPr>
          <w:sz w:val="16"/>
          <w:lang w:val="en-US"/>
        </w:rPr>
        <w:t>Oláh, S., Hobson, B. ja Carlson, L. (2017), ”Changing families and sustainable societies: Policy contexts and diversity over the life course and across gener</w:t>
      </w:r>
      <w:r>
        <w:rPr>
          <w:sz w:val="16"/>
          <w:lang w:val="en-US"/>
        </w:rPr>
        <w:t>ations”, FP7 Project FamiliesAndSocieties (GA 320116).</w:t>
      </w:r>
    </w:p>
  </w:footnote>
  <w:footnote w:id="36">
    <w:p w:rsidR="00A45AA2" w:rsidRDefault="004450FC">
      <w:pPr>
        <w:pStyle w:val="FootnoteText"/>
        <w:spacing w:after="0"/>
        <w:rPr>
          <w:sz w:val="16"/>
          <w:szCs w:val="16"/>
        </w:rPr>
      </w:pPr>
      <w:r>
        <w:rPr>
          <w:rStyle w:val="FootnoteReference"/>
          <w:sz w:val="16"/>
        </w:rPr>
        <w:footnoteRef/>
      </w:r>
      <w:r>
        <w:rPr>
          <w:sz w:val="16"/>
        </w:rPr>
        <w:t xml:space="preserve"> </w:t>
      </w:r>
      <w:r>
        <w:tab/>
      </w:r>
      <w:r>
        <w:rPr>
          <w:sz w:val="16"/>
        </w:rPr>
        <w:t>Ehdotus direktiiviksi vanhempien ja omaistaan hoitavien työ- ja yksityiselämän tasapainottamisesta ja neuvoston direktiivin 2010/18/EU kumoamisesta, COM(2017) 253 final.</w:t>
      </w:r>
    </w:p>
  </w:footnote>
  <w:footnote w:id="37">
    <w:p w:rsidR="00A45AA2" w:rsidRDefault="004450FC">
      <w:pPr>
        <w:pStyle w:val="FootnoteText"/>
        <w:spacing w:after="0"/>
        <w:rPr>
          <w:sz w:val="16"/>
          <w:szCs w:val="16"/>
        </w:rPr>
      </w:pPr>
      <w:r>
        <w:rPr>
          <w:rStyle w:val="FootnoteReference"/>
          <w:sz w:val="16"/>
        </w:rPr>
        <w:footnoteRef/>
      </w:r>
      <w:r>
        <w:rPr>
          <w:sz w:val="16"/>
        </w:rPr>
        <w:t xml:space="preserve">      COM(2017) 252. </w:t>
      </w:r>
    </w:p>
  </w:footnote>
  <w:footnote w:id="38">
    <w:p w:rsidR="00A45AA2" w:rsidRDefault="004450FC">
      <w:pPr>
        <w:pStyle w:val="FootnoteText"/>
        <w:spacing w:after="0"/>
        <w:ind w:left="0" w:firstLine="0"/>
      </w:pPr>
      <w:r>
        <w:rPr>
          <w:rStyle w:val="FootnoteReference"/>
          <w:sz w:val="16"/>
        </w:rPr>
        <w:footnoteRef/>
      </w:r>
      <w:r>
        <w:rPr>
          <w:sz w:val="16"/>
        </w:rPr>
        <w:t xml:space="preserve">     Viimeaikaisista tutkimuksista käy ilmi, että toimialakohtainen eriytyminen työmarkkinoilla aiheuttaa huomattavan osuuden sukupuolten palkkaeroista kaikissa EU:n jäsenvaltioissa. Naiset hakeutuvat töihin suhteellisen matalapalkkaisille aloille. Toimial</w:t>
      </w:r>
      <w:r>
        <w:rPr>
          <w:sz w:val="16"/>
        </w:rPr>
        <w:t>akohtaisen eriytymisen muutos on ollut erittäin hidasta (vuoden 2017 kertomus naisten ja miesten tasa-arvosta).</w:t>
      </w:r>
    </w:p>
  </w:footnote>
  <w:footnote w:id="39">
    <w:p w:rsidR="00A45AA2" w:rsidRDefault="004450FC">
      <w:pPr>
        <w:pStyle w:val="FootnoteText"/>
        <w:spacing w:after="0"/>
        <w:rPr>
          <w:sz w:val="16"/>
        </w:rPr>
      </w:pPr>
      <w:r>
        <w:rPr>
          <w:rStyle w:val="FootnoteReference"/>
        </w:rPr>
        <w:footnoteRef/>
      </w:r>
      <w:r>
        <w:t xml:space="preserve">    </w:t>
      </w:r>
      <w:r>
        <w:rPr>
          <w:sz w:val="16"/>
        </w:rPr>
        <w:t>Uusi osaamisohjelma Euroopalle – Vahvistetaan yhdessä inhimillistä pääomaa, työllistettävyyttä ja kilpailukykyä, COM(2016) 381.</w:t>
      </w:r>
    </w:p>
  </w:footnote>
  <w:footnote w:id="40">
    <w:p w:rsidR="00A45AA2" w:rsidRDefault="004450FC">
      <w:pPr>
        <w:pStyle w:val="FootnoteText"/>
        <w:spacing w:after="0"/>
        <w:rPr>
          <w:sz w:val="16"/>
        </w:rPr>
      </w:pPr>
      <w:r>
        <w:rPr>
          <w:rStyle w:val="FootnoteReference"/>
          <w:sz w:val="16"/>
        </w:rPr>
        <w:footnoteRef/>
      </w:r>
      <w:r>
        <w:rPr>
          <w:sz w:val="16"/>
        </w:rPr>
        <w:t xml:space="preserve"> </w:t>
      </w:r>
      <w:r>
        <w:tab/>
      </w:r>
      <w:r>
        <w:rPr>
          <w:sz w:val="16"/>
        </w:rPr>
        <w:t>Viimeist</w:t>
      </w:r>
      <w:r>
        <w:rPr>
          <w:sz w:val="16"/>
        </w:rPr>
        <w:t>en 10 vuoden aikana on kehitetty eurooppalaista yhteistyötä ja välineitä, joilla edistetään pätevyysvaatimusten läpinäkyvyyttä: i) eurooppalainen tutkintojen viitekehys, ii) monikielinen eurooppalainen taito-, osaamis-, tutkinto- ja ammattiluokittelu (ESCO</w:t>
      </w:r>
      <w:r>
        <w:rPr>
          <w:sz w:val="16"/>
        </w:rPr>
        <w:t>) ja iii) neuvoston suositus epävirallisen ja arkioppimisen validoinnista.</w:t>
      </w:r>
    </w:p>
  </w:footnote>
  <w:footnote w:id="41">
    <w:p w:rsidR="00A45AA2" w:rsidRDefault="004450FC">
      <w:pPr>
        <w:pStyle w:val="FootnoteText"/>
        <w:spacing w:after="0"/>
        <w:rPr>
          <w:sz w:val="16"/>
        </w:rPr>
      </w:pPr>
      <w:r>
        <w:rPr>
          <w:rStyle w:val="FootnoteReference"/>
        </w:rPr>
        <w:footnoteRef/>
      </w:r>
      <w:r>
        <w:t xml:space="preserve"> </w:t>
      </w:r>
      <w:r>
        <w:tab/>
      </w:r>
      <w:r>
        <w:rPr>
          <w:sz w:val="16"/>
        </w:rPr>
        <w:t>Keskeiset sidosryhmät ovat kansalliset tutkintoviranomaiset, tiedotus- ja neuvontapalvelut sekä epävirallisen ja arkioppimisen validoinnista vastaavat viranomaiset.</w:t>
      </w:r>
    </w:p>
  </w:footnote>
  <w:footnote w:id="42">
    <w:p w:rsidR="00A45AA2" w:rsidRDefault="004450FC">
      <w:pPr>
        <w:pStyle w:val="FootnoteText"/>
        <w:spacing w:after="0"/>
        <w:ind w:left="0" w:firstLine="0"/>
        <w:rPr>
          <w:sz w:val="16"/>
        </w:rPr>
      </w:pPr>
      <w:r>
        <w:rPr>
          <w:rStyle w:val="FootnoteReference"/>
          <w:sz w:val="16"/>
        </w:rPr>
        <w:footnoteRef/>
      </w:r>
      <w:r>
        <w:rPr>
          <w:sz w:val="16"/>
        </w:rPr>
        <w:t xml:space="preserve">  Direktiivi</w:t>
      </w:r>
      <w:r>
        <w:rPr>
          <w:sz w:val="16"/>
        </w:rPr>
        <w:t>n 2006/54/EY (COM(2013) 861 final, 6.12.2013) täytäntöönpanokertomuksen liitteeseen sisältyy opas sukupuolineutraaleista työn arviointi- ja luokitusjärjestelmistä (SWD(2013) 512 final, 6.12.2013).</w:t>
      </w:r>
    </w:p>
  </w:footnote>
  <w:footnote w:id="43">
    <w:p w:rsidR="00A45AA2" w:rsidRDefault="004450FC">
      <w:pPr>
        <w:pStyle w:val="FootnoteText"/>
        <w:spacing w:after="0"/>
        <w:rPr>
          <w:sz w:val="16"/>
          <w:lang w:val="en-US"/>
        </w:rPr>
      </w:pPr>
      <w:r>
        <w:rPr>
          <w:rStyle w:val="FootnoteReference"/>
          <w:sz w:val="16"/>
        </w:rPr>
        <w:footnoteRef/>
      </w:r>
      <w:r>
        <w:rPr>
          <w:sz w:val="16"/>
          <w:lang w:val="en-US"/>
        </w:rPr>
        <w:t xml:space="preserve"> </w:t>
      </w:r>
      <w:r>
        <w:rPr>
          <w:lang w:val="en-US"/>
        </w:rPr>
        <w:tab/>
      </w:r>
      <w:r>
        <w:rPr>
          <w:sz w:val="16"/>
          <w:lang w:val="en-US"/>
        </w:rPr>
        <w:t>Ks. Bettio, F. ja Ticci, E. (2017), ”Violence against wo</w:t>
      </w:r>
      <w:r>
        <w:rPr>
          <w:sz w:val="16"/>
          <w:lang w:val="en-US"/>
        </w:rPr>
        <w:t>men and economic independence”.</w:t>
      </w:r>
    </w:p>
  </w:footnote>
  <w:footnote w:id="44">
    <w:p w:rsidR="00A45AA2" w:rsidRDefault="004450FC">
      <w:pPr>
        <w:pStyle w:val="FootnoteText"/>
        <w:spacing w:after="0"/>
        <w:rPr>
          <w:sz w:val="16"/>
        </w:rPr>
      </w:pPr>
      <w:r>
        <w:rPr>
          <w:sz w:val="16"/>
        </w:rPr>
        <w:footnoteRef/>
      </w:r>
      <w:r>
        <w:rPr>
          <w:sz w:val="16"/>
        </w:rPr>
        <w:t xml:space="preserve"> </w:t>
      </w:r>
      <w:r>
        <w:rPr>
          <w:sz w:val="16"/>
        </w:rPr>
        <w:tab/>
        <w:t>Kuten sukupuolten tasa-arvon alalla toimivien oikeudellisten asiantuntijoiden verkoston toukokuussa 2017 julkaistua selvitystä palkkauksen läpinäkyvyydestä ja oikeus- ja kuluttaja-asioiden pääosaston tutkimusta, jossa kar</w:t>
      </w:r>
      <w:r>
        <w:rPr>
          <w:sz w:val="16"/>
        </w:rPr>
        <w:t>toitetaan sukupuolten palkkaerojen suuruutta ja siihen vaikuttavia EU:n jäsenvaltioissa.</w:t>
      </w:r>
    </w:p>
  </w:footnote>
  <w:footnote w:id="45">
    <w:p w:rsidR="00A45AA2" w:rsidRDefault="004450FC">
      <w:pPr>
        <w:pStyle w:val="FootnoteText"/>
        <w:spacing w:after="0"/>
        <w:rPr>
          <w:sz w:val="16"/>
        </w:rPr>
      </w:pPr>
      <w:r>
        <w:rPr>
          <w:rStyle w:val="FootnoteReference"/>
          <w:sz w:val="16"/>
        </w:rPr>
        <w:footnoteRef/>
      </w:r>
      <w:r>
        <w:rPr>
          <w:sz w:val="16"/>
        </w:rPr>
        <w:t xml:space="preserve">    Sukupuolten palkkaeroja voidaan selittää useilla eri tekijöillä, kuten eriytymisellä ja koulunkäyntiin liittyvillä eroilla. Muut sukupuolten palkkaeroon liittyvät</w:t>
      </w:r>
      <w:r>
        <w:rPr>
          <w:sz w:val="16"/>
        </w:rPr>
        <w:t xml:space="preserve"> selittämättömät tekijät sisältyvät käsitteeseen ”tasoitettu” palkkaero. Sukupuolten palkkaeron jakaminen tasoitettuun ja tasoittamattomaan osaan voi tarjota lisätietoja poliittisille päätöksentekijöille. </w:t>
      </w:r>
    </w:p>
  </w:footnote>
  <w:footnote w:id="46">
    <w:p w:rsidR="00A45AA2" w:rsidRDefault="004450FC">
      <w:pPr>
        <w:pStyle w:val="FootnoteText"/>
        <w:spacing w:after="0"/>
        <w:rPr>
          <w:sz w:val="16"/>
        </w:rPr>
      </w:pPr>
      <w:r>
        <w:rPr>
          <w:rStyle w:val="FootnoteReference"/>
          <w:sz w:val="16"/>
        </w:rPr>
        <w:footnoteRef/>
      </w:r>
      <w:r>
        <w:rPr>
          <w:sz w:val="16"/>
        </w:rPr>
        <w:t xml:space="preserve"> </w:t>
      </w:r>
      <w:r>
        <w:tab/>
      </w:r>
      <w:r>
        <w:rPr>
          <w:sz w:val="16"/>
        </w:rPr>
        <w:t>Sosiaali-indikaattoreiden tulostaulu on saatavi</w:t>
      </w:r>
      <w:r>
        <w:rPr>
          <w:sz w:val="16"/>
        </w:rPr>
        <w:t>lla osoitteessa</w:t>
      </w:r>
    </w:p>
    <w:p w:rsidR="00A45AA2" w:rsidRDefault="004450FC">
      <w:pPr>
        <w:pStyle w:val="FootnoteText"/>
        <w:spacing w:after="0"/>
        <w:rPr>
          <w:sz w:val="16"/>
        </w:rPr>
      </w:pPr>
      <w:r>
        <w:tab/>
      </w:r>
      <w:r>
        <w:rPr>
          <w:sz w:val="16"/>
        </w:rPr>
        <w:t>https://composite-indicators.jrc.ec.europa.eu/social-scoreboard/#</w:t>
      </w:r>
    </w:p>
  </w:footnote>
  <w:footnote w:id="47">
    <w:p w:rsidR="00A45AA2" w:rsidRDefault="004450FC">
      <w:pPr>
        <w:pStyle w:val="FootnoteText"/>
        <w:spacing w:after="0"/>
        <w:rPr>
          <w:sz w:val="16"/>
          <w:szCs w:val="16"/>
        </w:rPr>
      </w:pPr>
      <w:r>
        <w:rPr>
          <w:rStyle w:val="FootnoteReference"/>
        </w:rPr>
        <w:footnoteRef/>
      </w:r>
      <w:r>
        <w:rPr>
          <w:lang w:val="en-US"/>
        </w:rPr>
        <w:t xml:space="preserve"> </w:t>
      </w:r>
      <w:r>
        <w:rPr>
          <w:lang w:val="en-US"/>
        </w:rPr>
        <w:tab/>
      </w:r>
      <w:r>
        <w:rPr>
          <w:sz w:val="16"/>
          <w:lang w:val="en-US"/>
        </w:rPr>
        <w:t xml:space="preserve">Ks. Krueger ja Katz (2016), ”The Rise and Nature of Alternative Work Arrangements in the United States, 1995-2015”. </w:t>
      </w:r>
      <w:r>
        <w:rPr>
          <w:sz w:val="16"/>
        </w:rPr>
        <w:t>Yhdysvaltojen tiedot osoittavat, että todennäköisyys s</w:t>
      </w:r>
      <w:r>
        <w:rPr>
          <w:sz w:val="16"/>
        </w:rPr>
        <w:t>iitä, että naiset työskentelevät vaihtoehtoisessa työjärjestelyssä, on lisääntynyt huomattavasti. Vuosina 2005–2015 vaihtoehtoisessa työjärjestelyssä olevien naisten prosenttiosuus kasvoi yli kaksinkertaiseksi, eli 8,3 prosentista 17,0 prosenttiin. Miesten</w:t>
      </w:r>
      <w:r>
        <w:rPr>
          <w:sz w:val="16"/>
        </w:rPr>
        <w:t xml:space="preserve"> vastaava osuus kasvoi vähemmän, eli 11,6 prosentista 14,7 prosenttiin. Ks. myös ”The situation of workers in the collaborative economy”, perusteellinen tarkastelu, Euroopan parlamentin tiedot EU:ta koskevien tietojen osalta.  </w:t>
      </w:r>
    </w:p>
  </w:footnote>
  <w:footnote w:id="48">
    <w:p w:rsidR="00A45AA2" w:rsidRDefault="004450FC">
      <w:pPr>
        <w:pStyle w:val="FootnoteText"/>
        <w:spacing w:after="0"/>
        <w:ind w:left="0" w:firstLine="0"/>
        <w:rPr>
          <w:sz w:val="16"/>
          <w:szCs w:val="16"/>
        </w:rPr>
      </w:pPr>
      <w:r>
        <w:rPr>
          <w:rStyle w:val="FootnoteReference"/>
          <w:sz w:val="16"/>
        </w:rPr>
        <w:footnoteRef/>
      </w:r>
      <w:r>
        <w:rPr>
          <w:sz w:val="16"/>
        </w:rPr>
        <w:t xml:space="preserve"> COM(2013) 861 final, 6.12.</w:t>
      </w:r>
      <w:r>
        <w:rPr>
          <w:sz w:val="16"/>
        </w:rPr>
        <w:t>2013.</w:t>
      </w:r>
    </w:p>
  </w:footnote>
  <w:footnote w:id="49">
    <w:p w:rsidR="00A45AA2" w:rsidRDefault="004450FC">
      <w:pPr>
        <w:pStyle w:val="FootnoteText"/>
        <w:spacing w:after="0"/>
        <w:ind w:left="0" w:firstLine="0"/>
        <w:rPr>
          <w:sz w:val="16"/>
          <w:szCs w:val="16"/>
        </w:rPr>
      </w:pPr>
      <w:r>
        <w:rPr>
          <w:rStyle w:val="FootnoteReference"/>
          <w:sz w:val="16"/>
        </w:rPr>
        <w:footnoteRef/>
      </w:r>
      <w:r>
        <w:rPr>
          <w:sz w:val="16"/>
        </w:rPr>
        <w:t xml:space="preserve"> SWD(2013) 512 final, 6.12.2013.</w:t>
      </w:r>
    </w:p>
  </w:footnote>
  <w:footnote w:id="50">
    <w:p w:rsidR="00A45AA2" w:rsidRDefault="004450FC">
      <w:pPr>
        <w:pStyle w:val="FootnoteText"/>
        <w:spacing w:after="0"/>
        <w:ind w:left="0" w:firstLine="0"/>
      </w:pPr>
      <w:r>
        <w:rPr>
          <w:sz w:val="16"/>
        </w:rPr>
        <w:footnoteRef/>
      </w:r>
      <w:r>
        <w:rPr>
          <w:sz w:val="16"/>
        </w:rPr>
        <w:t xml:space="preserve"> Tiedot ovat peräisin asiakirjasta SWD(2013) 512 final, 6.12.2013.</w:t>
      </w:r>
    </w:p>
  </w:footnote>
  <w:footnote w:id="51">
    <w:p w:rsidR="00A45AA2" w:rsidRDefault="004450FC">
      <w:pPr>
        <w:pStyle w:val="FootnoteText"/>
        <w:spacing w:after="0"/>
        <w:rPr>
          <w:sz w:val="16"/>
          <w:szCs w:val="16"/>
          <w:lang w:val="es-ES"/>
        </w:rPr>
      </w:pPr>
      <w:r>
        <w:rPr>
          <w:rStyle w:val="FootnoteReference"/>
        </w:rPr>
        <w:footnoteRef/>
      </w:r>
      <w:r>
        <w:rPr>
          <w:lang w:val="es-ES"/>
        </w:rPr>
        <w:t xml:space="preserve"> </w:t>
      </w:r>
      <w:r>
        <w:rPr>
          <w:lang w:val="es-ES"/>
        </w:rPr>
        <w:tab/>
      </w:r>
      <w:r>
        <w:rPr>
          <w:sz w:val="16"/>
          <w:lang w:val="es-ES"/>
        </w:rPr>
        <w:t>DE, EE, IE, ES, IT, AT, PL, RO ja SK.</w:t>
      </w:r>
    </w:p>
  </w:footnote>
  <w:footnote w:id="52">
    <w:p w:rsidR="00A45AA2" w:rsidRDefault="004450FC">
      <w:pPr>
        <w:pStyle w:val="FootnoteText"/>
        <w:spacing w:after="0"/>
        <w:rPr>
          <w:sz w:val="16"/>
          <w:szCs w:val="16"/>
          <w:lang w:val="en-GB"/>
        </w:rPr>
      </w:pPr>
      <w:r>
        <w:rPr>
          <w:rStyle w:val="FootnoteReference"/>
          <w:sz w:val="16"/>
        </w:rPr>
        <w:footnoteRef/>
      </w:r>
      <w:r>
        <w:rPr>
          <w:sz w:val="16"/>
        </w:rPr>
        <w:t xml:space="preserve"> Erityisesti 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2" w:rsidRDefault="00A45AA2">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277C0C1A"/>
    <w:lvl w:ilvl="0">
      <w:start w:val="1"/>
      <w:numFmt w:val="bullet"/>
      <w:lvlText w:val=""/>
      <w:lvlJc w:val="left"/>
      <w:pPr>
        <w:tabs>
          <w:tab w:val="num" w:pos="360"/>
        </w:tabs>
        <w:ind w:left="360" w:hanging="360"/>
      </w:pPr>
      <w:rPr>
        <w:rFonts w:ascii="Symbol" w:hAnsi="Symbol" w:hint="default"/>
      </w:rPr>
    </w:lvl>
  </w:abstractNum>
  <w:abstractNum w:abstractNumId="3">
    <w:nsid w:val="03D4788B"/>
    <w:multiLevelType w:val="hybridMultilevel"/>
    <w:tmpl w:val="BBCC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7E703B"/>
    <w:multiLevelType w:val="hybridMultilevel"/>
    <w:tmpl w:val="3CFE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B329EF"/>
    <w:multiLevelType w:val="hybridMultilevel"/>
    <w:tmpl w:val="91224606"/>
    <w:lvl w:ilvl="0" w:tplc="08090003">
      <w:start w:val="1"/>
      <w:numFmt w:val="bullet"/>
      <w:lvlText w:val="o"/>
      <w:lvlJc w:val="left"/>
      <w:pPr>
        <w:ind w:left="1742" w:hanging="360"/>
      </w:pPr>
      <w:rPr>
        <w:rFonts w:ascii="Courier New" w:hAnsi="Courier New" w:cs="Courier New" w:hint="default"/>
      </w:rPr>
    </w:lvl>
    <w:lvl w:ilvl="1" w:tplc="08090003" w:tentative="1">
      <w:start w:val="1"/>
      <w:numFmt w:val="bullet"/>
      <w:lvlText w:val="o"/>
      <w:lvlJc w:val="left"/>
      <w:pPr>
        <w:ind w:left="2462" w:hanging="360"/>
      </w:pPr>
      <w:rPr>
        <w:rFonts w:ascii="Courier New" w:hAnsi="Courier New" w:cs="Courier New" w:hint="default"/>
      </w:rPr>
    </w:lvl>
    <w:lvl w:ilvl="2" w:tplc="08090005" w:tentative="1">
      <w:start w:val="1"/>
      <w:numFmt w:val="bullet"/>
      <w:lvlText w:val=""/>
      <w:lvlJc w:val="left"/>
      <w:pPr>
        <w:ind w:left="3182" w:hanging="360"/>
      </w:pPr>
      <w:rPr>
        <w:rFonts w:ascii="Wingdings" w:hAnsi="Wingdings" w:hint="default"/>
      </w:rPr>
    </w:lvl>
    <w:lvl w:ilvl="3" w:tplc="08090001" w:tentative="1">
      <w:start w:val="1"/>
      <w:numFmt w:val="bullet"/>
      <w:lvlText w:val=""/>
      <w:lvlJc w:val="left"/>
      <w:pPr>
        <w:ind w:left="3902" w:hanging="360"/>
      </w:pPr>
      <w:rPr>
        <w:rFonts w:ascii="Symbol" w:hAnsi="Symbol" w:hint="default"/>
      </w:rPr>
    </w:lvl>
    <w:lvl w:ilvl="4" w:tplc="08090003" w:tentative="1">
      <w:start w:val="1"/>
      <w:numFmt w:val="bullet"/>
      <w:lvlText w:val="o"/>
      <w:lvlJc w:val="left"/>
      <w:pPr>
        <w:ind w:left="4622" w:hanging="360"/>
      </w:pPr>
      <w:rPr>
        <w:rFonts w:ascii="Courier New" w:hAnsi="Courier New" w:cs="Courier New" w:hint="default"/>
      </w:rPr>
    </w:lvl>
    <w:lvl w:ilvl="5" w:tplc="08090005" w:tentative="1">
      <w:start w:val="1"/>
      <w:numFmt w:val="bullet"/>
      <w:lvlText w:val=""/>
      <w:lvlJc w:val="left"/>
      <w:pPr>
        <w:ind w:left="5342" w:hanging="360"/>
      </w:pPr>
      <w:rPr>
        <w:rFonts w:ascii="Wingdings" w:hAnsi="Wingdings" w:hint="default"/>
      </w:rPr>
    </w:lvl>
    <w:lvl w:ilvl="6" w:tplc="08090001" w:tentative="1">
      <w:start w:val="1"/>
      <w:numFmt w:val="bullet"/>
      <w:lvlText w:val=""/>
      <w:lvlJc w:val="left"/>
      <w:pPr>
        <w:ind w:left="6062" w:hanging="360"/>
      </w:pPr>
      <w:rPr>
        <w:rFonts w:ascii="Symbol" w:hAnsi="Symbol" w:hint="default"/>
      </w:rPr>
    </w:lvl>
    <w:lvl w:ilvl="7" w:tplc="08090003" w:tentative="1">
      <w:start w:val="1"/>
      <w:numFmt w:val="bullet"/>
      <w:lvlText w:val="o"/>
      <w:lvlJc w:val="left"/>
      <w:pPr>
        <w:ind w:left="6782" w:hanging="360"/>
      </w:pPr>
      <w:rPr>
        <w:rFonts w:ascii="Courier New" w:hAnsi="Courier New" w:cs="Courier New" w:hint="default"/>
      </w:rPr>
    </w:lvl>
    <w:lvl w:ilvl="8" w:tplc="08090005" w:tentative="1">
      <w:start w:val="1"/>
      <w:numFmt w:val="bullet"/>
      <w:lvlText w:val=""/>
      <w:lvlJc w:val="left"/>
      <w:pPr>
        <w:ind w:left="7502" w:hanging="360"/>
      </w:pPr>
      <w:rPr>
        <w:rFonts w:ascii="Wingdings" w:hAnsi="Wingdings" w:hint="default"/>
      </w:rPr>
    </w:lvl>
  </w:abstractNum>
  <w:abstractNum w:abstractNumId="7">
    <w:nsid w:val="0741089F"/>
    <w:multiLevelType w:val="hybridMultilevel"/>
    <w:tmpl w:val="F8C07FB8"/>
    <w:lvl w:ilvl="0" w:tplc="9CC84460">
      <w:numFmt w:val="bullet"/>
      <w:lvlText w:val="-"/>
      <w:lvlJc w:val="left"/>
      <w:pPr>
        <w:ind w:left="1562" w:hanging="360"/>
      </w:pPr>
      <w:rPr>
        <w:rFonts w:ascii="Times New Roman" w:eastAsia="Times New Roman" w:hAnsi="Times New Roman" w:hint="default"/>
      </w:rPr>
    </w:lvl>
    <w:lvl w:ilvl="1" w:tplc="08090003" w:tentative="1">
      <w:start w:val="1"/>
      <w:numFmt w:val="bullet"/>
      <w:lvlText w:val="o"/>
      <w:lvlJc w:val="left"/>
      <w:pPr>
        <w:ind w:left="2282" w:hanging="360"/>
      </w:pPr>
      <w:rPr>
        <w:rFonts w:ascii="Courier New" w:hAnsi="Courier New" w:cs="Courier New" w:hint="default"/>
      </w:rPr>
    </w:lvl>
    <w:lvl w:ilvl="2" w:tplc="08090005" w:tentative="1">
      <w:start w:val="1"/>
      <w:numFmt w:val="bullet"/>
      <w:lvlText w:val=""/>
      <w:lvlJc w:val="left"/>
      <w:pPr>
        <w:ind w:left="3002" w:hanging="360"/>
      </w:pPr>
      <w:rPr>
        <w:rFonts w:ascii="Wingdings" w:hAnsi="Wingdings" w:hint="default"/>
      </w:rPr>
    </w:lvl>
    <w:lvl w:ilvl="3" w:tplc="08090001" w:tentative="1">
      <w:start w:val="1"/>
      <w:numFmt w:val="bullet"/>
      <w:lvlText w:val=""/>
      <w:lvlJc w:val="left"/>
      <w:pPr>
        <w:ind w:left="3722" w:hanging="360"/>
      </w:pPr>
      <w:rPr>
        <w:rFonts w:ascii="Symbol" w:hAnsi="Symbol" w:hint="default"/>
      </w:rPr>
    </w:lvl>
    <w:lvl w:ilvl="4" w:tplc="08090003" w:tentative="1">
      <w:start w:val="1"/>
      <w:numFmt w:val="bullet"/>
      <w:lvlText w:val="o"/>
      <w:lvlJc w:val="left"/>
      <w:pPr>
        <w:ind w:left="4442" w:hanging="360"/>
      </w:pPr>
      <w:rPr>
        <w:rFonts w:ascii="Courier New" w:hAnsi="Courier New" w:cs="Courier New" w:hint="default"/>
      </w:rPr>
    </w:lvl>
    <w:lvl w:ilvl="5" w:tplc="08090005" w:tentative="1">
      <w:start w:val="1"/>
      <w:numFmt w:val="bullet"/>
      <w:lvlText w:val=""/>
      <w:lvlJc w:val="left"/>
      <w:pPr>
        <w:ind w:left="5162" w:hanging="360"/>
      </w:pPr>
      <w:rPr>
        <w:rFonts w:ascii="Wingdings" w:hAnsi="Wingdings" w:hint="default"/>
      </w:rPr>
    </w:lvl>
    <w:lvl w:ilvl="6" w:tplc="08090001" w:tentative="1">
      <w:start w:val="1"/>
      <w:numFmt w:val="bullet"/>
      <w:lvlText w:val=""/>
      <w:lvlJc w:val="left"/>
      <w:pPr>
        <w:ind w:left="5882" w:hanging="360"/>
      </w:pPr>
      <w:rPr>
        <w:rFonts w:ascii="Symbol" w:hAnsi="Symbol" w:hint="default"/>
      </w:rPr>
    </w:lvl>
    <w:lvl w:ilvl="7" w:tplc="08090003" w:tentative="1">
      <w:start w:val="1"/>
      <w:numFmt w:val="bullet"/>
      <w:lvlText w:val="o"/>
      <w:lvlJc w:val="left"/>
      <w:pPr>
        <w:ind w:left="6602" w:hanging="360"/>
      </w:pPr>
      <w:rPr>
        <w:rFonts w:ascii="Courier New" w:hAnsi="Courier New" w:cs="Courier New" w:hint="default"/>
      </w:rPr>
    </w:lvl>
    <w:lvl w:ilvl="8" w:tplc="08090005" w:tentative="1">
      <w:start w:val="1"/>
      <w:numFmt w:val="bullet"/>
      <w:lvlText w:val=""/>
      <w:lvlJc w:val="left"/>
      <w:pPr>
        <w:ind w:left="7322" w:hanging="360"/>
      </w:pPr>
      <w:rPr>
        <w:rFonts w:ascii="Wingdings" w:hAnsi="Wingdings" w:hint="default"/>
      </w:rPr>
    </w:lvl>
  </w:abstractNum>
  <w:abstractNum w:abstractNumId="8">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nsid w:val="15F21E8D"/>
    <w:multiLevelType w:val="hybridMultilevel"/>
    <w:tmpl w:val="8D64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66F253D"/>
    <w:multiLevelType w:val="hybridMultilevel"/>
    <w:tmpl w:val="909AE3FE"/>
    <w:lvl w:ilvl="0" w:tplc="9CC84460">
      <w:numFmt w:val="bullet"/>
      <w:lvlText w:val="-"/>
      <w:lvlJc w:val="left"/>
      <w:pPr>
        <w:ind w:left="1800" w:hanging="360"/>
      </w:pPr>
      <w:rPr>
        <w:rFonts w:ascii="Times New Roman" w:eastAsia="Times New Roman" w:hAnsi="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2A6D4E03"/>
    <w:multiLevelType w:val="hybridMultilevel"/>
    <w:tmpl w:val="6D7EEF6C"/>
    <w:lvl w:ilvl="0" w:tplc="9CC84460">
      <w:numFmt w:val="bullet"/>
      <w:lvlText w:val="-"/>
      <w:lvlJc w:val="left"/>
      <w:pPr>
        <w:ind w:left="3903" w:hanging="360"/>
      </w:pPr>
      <w:rPr>
        <w:rFonts w:ascii="Times New Roman" w:eastAsia="Times New Roman" w:hAnsi="Times New Roman" w:hint="default"/>
      </w:rPr>
    </w:lvl>
    <w:lvl w:ilvl="1" w:tplc="08090003" w:tentative="1">
      <w:start w:val="1"/>
      <w:numFmt w:val="bullet"/>
      <w:lvlText w:val="o"/>
      <w:lvlJc w:val="left"/>
      <w:pPr>
        <w:ind w:left="4623" w:hanging="360"/>
      </w:pPr>
      <w:rPr>
        <w:rFonts w:ascii="Courier New" w:hAnsi="Courier New" w:cs="Courier New" w:hint="default"/>
      </w:rPr>
    </w:lvl>
    <w:lvl w:ilvl="2" w:tplc="08090005" w:tentative="1">
      <w:start w:val="1"/>
      <w:numFmt w:val="bullet"/>
      <w:lvlText w:val=""/>
      <w:lvlJc w:val="left"/>
      <w:pPr>
        <w:ind w:left="5343" w:hanging="360"/>
      </w:pPr>
      <w:rPr>
        <w:rFonts w:ascii="Wingdings" w:hAnsi="Wingdings" w:hint="default"/>
      </w:rPr>
    </w:lvl>
    <w:lvl w:ilvl="3" w:tplc="08090001" w:tentative="1">
      <w:start w:val="1"/>
      <w:numFmt w:val="bullet"/>
      <w:lvlText w:val=""/>
      <w:lvlJc w:val="left"/>
      <w:pPr>
        <w:ind w:left="6063" w:hanging="360"/>
      </w:pPr>
      <w:rPr>
        <w:rFonts w:ascii="Symbol" w:hAnsi="Symbol" w:hint="default"/>
      </w:rPr>
    </w:lvl>
    <w:lvl w:ilvl="4" w:tplc="08090003" w:tentative="1">
      <w:start w:val="1"/>
      <w:numFmt w:val="bullet"/>
      <w:lvlText w:val="o"/>
      <w:lvlJc w:val="left"/>
      <w:pPr>
        <w:ind w:left="6783" w:hanging="360"/>
      </w:pPr>
      <w:rPr>
        <w:rFonts w:ascii="Courier New" w:hAnsi="Courier New" w:cs="Courier New" w:hint="default"/>
      </w:rPr>
    </w:lvl>
    <w:lvl w:ilvl="5" w:tplc="08090005" w:tentative="1">
      <w:start w:val="1"/>
      <w:numFmt w:val="bullet"/>
      <w:lvlText w:val=""/>
      <w:lvlJc w:val="left"/>
      <w:pPr>
        <w:ind w:left="7503" w:hanging="360"/>
      </w:pPr>
      <w:rPr>
        <w:rFonts w:ascii="Wingdings" w:hAnsi="Wingdings" w:hint="default"/>
      </w:rPr>
    </w:lvl>
    <w:lvl w:ilvl="6" w:tplc="08090001" w:tentative="1">
      <w:start w:val="1"/>
      <w:numFmt w:val="bullet"/>
      <w:lvlText w:val=""/>
      <w:lvlJc w:val="left"/>
      <w:pPr>
        <w:ind w:left="8223" w:hanging="360"/>
      </w:pPr>
      <w:rPr>
        <w:rFonts w:ascii="Symbol" w:hAnsi="Symbol" w:hint="default"/>
      </w:rPr>
    </w:lvl>
    <w:lvl w:ilvl="7" w:tplc="08090003" w:tentative="1">
      <w:start w:val="1"/>
      <w:numFmt w:val="bullet"/>
      <w:lvlText w:val="o"/>
      <w:lvlJc w:val="left"/>
      <w:pPr>
        <w:ind w:left="8943" w:hanging="360"/>
      </w:pPr>
      <w:rPr>
        <w:rFonts w:ascii="Courier New" w:hAnsi="Courier New" w:cs="Courier New" w:hint="default"/>
      </w:rPr>
    </w:lvl>
    <w:lvl w:ilvl="8" w:tplc="08090005" w:tentative="1">
      <w:start w:val="1"/>
      <w:numFmt w:val="bullet"/>
      <w:lvlText w:val=""/>
      <w:lvlJc w:val="left"/>
      <w:pPr>
        <w:ind w:left="9663" w:hanging="360"/>
      </w:pPr>
      <w:rPr>
        <w:rFonts w:ascii="Wingdings" w:hAnsi="Wingdings" w:hint="default"/>
      </w:r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51465B"/>
    <w:multiLevelType w:val="hybridMultilevel"/>
    <w:tmpl w:val="781E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EC3EC5"/>
    <w:multiLevelType w:val="hybridMultilevel"/>
    <w:tmpl w:val="7AE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6F5525"/>
    <w:multiLevelType w:val="hybridMultilevel"/>
    <w:tmpl w:val="716CDA50"/>
    <w:lvl w:ilvl="0" w:tplc="08090003">
      <w:start w:val="1"/>
      <w:numFmt w:val="bullet"/>
      <w:lvlText w:val="o"/>
      <w:lvlJc w:val="left"/>
      <w:pPr>
        <w:ind w:left="1202" w:hanging="360"/>
      </w:pPr>
      <w:rPr>
        <w:rFonts w:ascii="Courier New" w:hAnsi="Courier New" w:cs="Courier New"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3">
    <w:nsid w:val="47012720"/>
    <w:multiLevelType w:val="hybridMultilevel"/>
    <w:tmpl w:val="5302FB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6">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24FDE"/>
    <w:multiLevelType w:val="hybridMultilevel"/>
    <w:tmpl w:val="C174362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8">
    <w:nsid w:val="53F41166"/>
    <w:multiLevelType w:val="hybridMultilevel"/>
    <w:tmpl w:val="6DC8E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BD0BEC"/>
    <w:multiLevelType w:val="singleLevel"/>
    <w:tmpl w:val="9CC84460"/>
    <w:lvl w:ilvl="0">
      <w:numFmt w:val="bullet"/>
      <w:lvlText w:val="-"/>
      <w:lvlJc w:val="left"/>
      <w:pPr>
        <w:ind w:left="720" w:hanging="360"/>
      </w:pPr>
      <w:rPr>
        <w:rFonts w:ascii="Times New Roman" w:eastAsia="Times New Roman" w:hAnsi="Times New Roman" w:hint="default"/>
      </w:rPr>
    </w:lvl>
  </w:abstractNum>
  <w:abstractNum w:abstractNumId="30">
    <w:nsid w:val="54CD7649"/>
    <w:multiLevelType w:val="hybridMultilevel"/>
    <w:tmpl w:val="1B6C6FB0"/>
    <w:lvl w:ilvl="0" w:tplc="08090003">
      <w:start w:val="1"/>
      <w:numFmt w:val="bullet"/>
      <w:lvlText w:val="o"/>
      <w:lvlJc w:val="left"/>
      <w:pPr>
        <w:ind w:left="1283" w:hanging="360"/>
      </w:pPr>
      <w:rPr>
        <w:rFonts w:ascii="Courier New" w:hAnsi="Courier New" w:cs="Courier New"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31">
    <w:nsid w:val="54F50D18"/>
    <w:multiLevelType w:val="hybridMultilevel"/>
    <w:tmpl w:val="BD72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734654"/>
    <w:multiLevelType w:val="hybridMultilevel"/>
    <w:tmpl w:val="6DB8AE3E"/>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08090001"/>
    <w:lvl w:ilvl="0">
      <w:start w:val="1"/>
      <w:numFmt w:val="bullet"/>
      <w:lvlText w:val=""/>
      <w:lvlJc w:val="left"/>
      <w:pPr>
        <w:ind w:left="720" w:hanging="360"/>
      </w:pPr>
      <w:rPr>
        <w:rFonts w:ascii="Symbol" w:hAnsi="Symbol" w:hint="default"/>
      </w:rPr>
    </w:lvl>
  </w:abstractNum>
  <w:abstractNum w:abstractNumId="36">
    <w:nsid w:val="6A213202"/>
    <w:multiLevelType w:val="hybridMultilevel"/>
    <w:tmpl w:val="4E6034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DF4C74"/>
    <w:multiLevelType w:val="hybridMultilevel"/>
    <w:tmpl w:val="9044E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39714E"/>
    <w:multiLevelType w:val="hybridMultilevel"/>
    <w:tmpl w:val="36C2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620759F"/>
    <w:multiLevelType w:val="hybridMultilevel"/>
    <w:tmpl w:val="6FC6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4501D9"/>
    <w:multiLevelType w:val="hybridMultilevel"/>
    <w:tmpl w:val="32069694"/>
    <w:lvl w:ilvl="0" w:tplc="9CC84460">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E846E1A"/>
    <w:multiLevelType w:val="hybridMultilevel"/>
    <w:tmpl w:val="45F67942"/>
    <w:lvl w:ilvl="0" w:tplc="9CC84460">
      <w:numFmt w:val="bullet"/>
      <w:lvlText w:val="-"/>
      <w:lvlJc w:val="left"/>
      <w:pPr>
        <w:ind w:left="1286" w:hanging="360"/>
      </w:pPr>
      <w:rPr>
        <w:rFonts w:ascii="Times New Roman" w:eastAsia="Times New Roman" w:hAnsi="Times New Roman"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num w:numId="1">
    <w:abstractNumId w:val="1"/>
  </w:num>
  <w:num w:numId="2">
    <w:abstractNumId w:val="0"/>
  </w:num>
  <w:num w:numId="3">
    <w:abstractNumId w:val="26"/>
  </w:num>
  <w:num w:numId="4">
    <w:abstractNumId w:val="29"/>
  </w:num>
  <w:num w:numId="5">
    <w:abstractNumId w:val="14"/>
  </w:num>
  <w:num w:numId="6">
    <w:abstractNumId w:val="9"/>
  </w:num>
  <w:num w:numId="7">
    <w:abstractNumId w:val="8"/>
  </w:num>
  <w:num w:numId="8">
    <w:abstractNumId w:val="33"/>
  </w:num>
  <w:num w:numId="9">
    <w:abstractNumId w:val="35"/>
  </w:num>
  <w:num w:numId="10">
    <w:abstractNumId w:val="34"/>
  </w:num>
  <w:num w:numId="11">
    <w:abstractNumId w:val="39"/>
  </w:num>
  <w:num w:numId="12">
    <w:abstractNumId w:val="11"/>
  </w:num>
  <w:num w:numId="13">
    <w:abstractNumId w:val="18"/>
  </w:num>
  <w:num w:numId="14">
    <w:abstractNumId w:val="21"/>
  </w:num>
  <w:num w:numId="15">
    <w:abstractNumId w:val="19"/>
  </w:num>
  <w:num w:numId="16">
    <w:abstractNumId w:val="4"/>
  </w:num>
  <w:num w:numId="17">
    <w:abstractNumId w:val="24"/>
  </w:num>
  <w:num w:numId="18">
    <w:abstractNumId w:val="15"/>
  </w:num>
  <w:num w:numId="19">
    <w:abstractNumId w:val="36"/>
  </w:num>
  <w:num w:numId="20">
    <w:abstractNumId w:val="31"/>
  </w:num>
  <w:num w:numId="21">
    <w:abstractNumId w:val="12"/>
  </w:num>
  <w:num w:numId="22">
    <w:abstractNumId w:val="7"/>
  </w:num>
  <w:num w:numId="23">
    <w:abstractNumId w:val="6"/>
  </w:num>
  <w:num w:numId="24">
    <w:abstractNumId w:val="5"/>
  </w:num>
  <w:num w:numId="25">
    <w:abstractNumId w:val="38"/>
  </w:num>
  <w:num w:numId="26">
    <w:abstractNumId w:val="27"/>
  </w:num>
  <w:num w:numId="27">
    <w:abstractNumId w:val="41"/>
  </w:num>
  <w:num w:numId="28">
    <w:abstractNumId w:val="40"/>
  </w:num>
  <w:num w:numId="29">
    <w:abstractNumId w:val="13"/>
  </w:num>
  <w:num w:numId="30">
    <w:abstractNumId w:val="42"/>
  </w:num>
  <w:num w:numId="31">
    <w:abstractNumId w:val="20"/>
  </w:num>
  <w:num w:numId="32">
    <w:abstractNumId w:val="17"/>
  </w:num>
  <w:num w:numId="33">
    <w:abstractNumId w:val="10"/>
  </w:num>
  <w:num w:numId="34">
    <w:abstractNumId w:val="28"/>
  </w:num>
  <w:num w:numId="35">
    <w:abstractNumId w:val="22"/>
  </w:num>
  <w:num w:numId="36">
    <w:abstractNumId w:val="30"/>
  </w:num>
  <w:num w:numId="37">
    <w:abstractNumId w:val="16"/>
  </w:num>
  <w:num w:numId="38">
    <w:abstractNumId w:val="2"/>
  </w:num>
  <w:num w:numId="39">
    <w:abstractNumId w:val="32"/>
  </w:num>
  <w:num w:numId="40">
    <w:abstractNumId w:val="26"/>
  </w:num>
  <w:num w:numId="41">
    <w:abstractNumId w:val="3"/>
  </w:num>
  <w:num w:numId="42">
    <w:abstractNumId w:val="37"/>
  </w:num>
  <w:num w:numId="43">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A3C25D0-489E-400F-909E-881C46776119"/>
    <w:docVar w:name="LW_COVERPAGE_TYPE" w:val="1"/>
    <w:docVar w:name="LW_CROSSREFERENCE" w:val="&lt;UNUSED&gt;"/>
    <w:docVar w:name="LW_DocType" w:val="NOT"/>
    <w:docVar w:name="LW_EMISSION" w:val="20.11.2017"/>
    <w:docVar w:name="LW_EMISSION_ISODATE" w:val="2017-11-20"/>
    <w:docVar w:name="LW_EMISSION_LOCATION" w:val="BRX"/>
    <w:docVar w:name="LW_EMISSION_PREFIX" w:val="Bryssel "/>
    <w:docVar w:name="LW_EMISSION_SUFFIX" w:val="&lt;EMPTY&gt;"/>
    <w:docVar w:name="LW_ID_DOCTYPE_NONLW" w:val="CP-013"/>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7) 6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EU:n toimintasuunnitelma vuosiksi 2017\u8211?2019_x000b_\u8211? Sukupuolten palkkaeron kaventaminen"/>
    <w:docVar w:name="LW_TYPE.DOC.CP" w:val="KOMISSION TIEDONANTO EUROOPAN PARLAMENTILLE, NEUVOSTOLLE JA EUROOPAN TALOUS- JA SOSIAALIKOMITEALLE"/>
    <w:docVar w:name="LW_TYPE.DOC.CP.USERTEXT" w:val="&lt;EMPTY&gt;"/>
  </w:docVars>
  <w:rsids>
    <w:rsidRoot w:val="00A45AA2"/>
    <w:rsid w:val="004450FC"/>
    <w:rsid w:val="00A45A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35" w:unhideWhenUsed="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link w:val="AddressTRChar"/>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aliases w:val="Char1,Footnote Text Char Char Char Char,Footnote Text Char Char,Footnote Text Char Char Char Char Char,Footnote Text Char Char Char Char Char Char Char Char,Footnote Text Char Char Char,Footnote Text Char1,Footnote Text Char Char1,Fussnote"/>
    <w:basedOn w:val="Normal"/>
    <w:link w:val="FootnoteTextChar"/>
    <w:uiPriority w:val="99"/>
    <w:qFormat/>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ind w:left="0"/>
    </w:pPr>
  </w:style>
  <w:style w:type="paragraph" w:customStyle="1" w:styleId="ListDash">
    <w:name w:val="List Dash"/>
    <w:basedOn w:val="Normal"/>
    <w:pPr>
      <w:numPr>
        <w:numId w:val="8"/>
      </w:numPr>
    </w:pPr>
  </w:style>
  <w:style w:type="paragraph" w:customStyle="1" w:styleId="ListDash1">
    <w:name w:val="List Dash 1"/>
    <w:basedOn w:val="Text1"/>
    <w:pPr>
      <w:ind w:left="0"/>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eastAsiaTheme="minorHAnsi"/>
      <w:sz w:val="24"/>
      <w:szCs w:val="22"/>
      <w:lang w:val="fi-FI" w:eastAsia="fi-FI"/>
    </w:rPr>
  </w:style>
  <w:style w:type="character" w:customStyle="1" w:styleId="DateChar">
    <w:name w:val="Date Char"/>
    <w:basedOn w:val="DefaultParagraphFont"/>
    <w:link w:val="Date"/>
    <w:uiPriority w:val="99"/>
    <w:locked/>
    <w:rPr>
      <w:sz w:val="24"/>
      <w:lang w:val="fi-FI" w:eastAsia="fi-FI"/>
    </w:rPr>
  </w:style>
  <w:style w:type="character" w:customStyle="1" w:styleId="HeaderChar">
    <w:name w:val="Header Char"/>
    <w:basedOn w:val="DefaultParagraphFont"/>
    <w:link w:val="Header"/>
    <w:uiPriority w:val="99"/>
    <w:locked/>
    <w:rPr>
      <w:rFonts w:eastAsiaTheme="minorHAnsi"/>
      <w:sz w:val="24"/>
      <w:szCs w:val="22"/>
      <w:lang w:val="fi-FI" w:eastAsia="fi-FI"/>
    </w:rPr>
  </w:style>
  <w:style w:type="character" w:customStyle="1" w:styleId="FootnoteTextChar">
    <w:name w:val="Footnote Text Char"/>
    <w:aliases w:val="Char1 Char,Footnote Text Char Char Char Char Char1,Footnote Text Char Char Char1,Footnote Text Char Char Char Char Char Char,Footnote Text Char Char Char Char Char Char Char Char Char,Footnote Text Char Char Char Char1,Fussnote Char"/>
    <w:basedOn w:val="DefaultParagraphFont"/>
    <w:link w:val="FootnoteText"/>
    <w:uiPriority w:val="99"/>
    <w:rPr>
      <w:lang w:val="fi-FI" w:eastAsia="fi-FI"/>
    </w:rPr>
  </w:style>
  <w:style w:type="character" w:styleId="FootnoteReference">
    <w:name w:val="footnote reference"/>
    <w:aliases w:val="Odwołanie przypisu,Footnote symbol, BVI fnr,Footnote,Footnotes refss,BVI fnr,SUPERS,Footnote Reference Superscript,Ref,de nota al pie,-E Fußnotenzeichen,Footnote reference number,Times 10 Point,Exposant 3 Point,E,E FNZ,footnote r,F,fr"/>
    <w:link w:val="BVIfnr"/>
    <w:uiPriority w:val="99"/>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jc w:val="left"/>
    </w:pPr>
    <w:rPr>
      <w:sz w:val="20"/>
      <w:vertAlign w:val="superscript"/>
    </w:rPr>
  </w:style>
  <w:style w:type="character" w:customStyle="1" w:styleId="Heading1Char">
    <w:name w:val="Heading 1 Char"/>
    <w:basedOn w:val="DefaultParagraphFont"/>
    <w:link w:val="Heading1"/>
    <w:uiPriority w:val="9"/>
    <w:rPr>
      <w:b/>
      <w:smallCaps/>
      <w:sz w:val="24"/>
      <w:lang w:val="fi-FI" w:eastAsia="fi-FI"/>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val="fi-FI" w:eastAsia="fi-FI"/>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eastAsia="fi-FI"/>
    </w:rPr>
  </w:style>
  <w:style w:type="character" w:styleId="Hyperlink">
    <w:name w:val="Hyperlink"/>
    <w:uiPriority w:val="99"/>
    <w:unhideWhenUsed/>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sz w:val="20"/>
      <w:vertAlign w:val="superscript"/>
    </w:rPr>
  </w:style>
  <w:style w:type="paragraph" w:styleId="ListParagraph">
    <w:name w:val="List Paragraph"/>
    <w:basedOn w:val="Normal"/>
    <w:uiPriority w:val="99"/>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fi-FI" w:eastAsia="fi-FI"/>
    </w:rPr>
  </w:style>
  <w:style w:type="character" w:customStyle="1" w:styleId="Heading2Char">
    <w:name w:val="Heading 2 Char"/>
    <w:basedOn w:val="DefaultParagraphFont"/>
    <w:link w:val="Heading2"/>
    <w:rPr>
      <w:b/>
      <w:sz w:val="24"/>
      <w:lang w:val="fi-FI" w:eastAsia="fi-FI"/>
    </w:rPr>
  </w:style>
  <w:style w:type="paragraph" w:customStyle="1" w:styleId="Pa5">
    <w:name w:val="Pa5"/>
    <w:basedOn w:val="Normal"/>
    <w:next w:val="Normal"/>
    <w:uiPriority w:val="99"/>
    <w:pPr>
      <w:autoSpaceDE w:val="0"/>
      <w:autoSpaceDN w:val="0"/>
      <w:adjustRightInd w:val="0"/>
      <w:spacing w:after="0" w:line="181" w:lineRule="atLeast"/>
      <w:jc w:val="left"/>
    </w:pPr>
    <w:rPr>
      <w:rFonts w:ascii="EC Square Sans Pro" w:hAnsi="EC Square Sans Pro"/>
      <w:szCs w:val="24"/>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year">
    <w:name w:val="year"/>
    <w:basedOn w:val="DefaultParagraphFont"/>
  </w:style>
  <w:style w:type="character" w:customStyle="1" w:styleId="title2">
    <w:name w:val="title2"/>
    <w:basedOn w:val="DefaultParagraphFont"/>
  </w:style>
  <w:style w:type="character" w:customStyle="1" w:styleId="journal-title">
    <w:name w:val="journal-title"/>
    <w:basedOn w:val="DefaultParagraphFont"/>
  </w:style>
  <w:style w:type="paragraph" w:customStyle="1" w:styleId="Default">
    <w:name w:val="Default"/>
    <w:pPr>
      <w:autoSpaceDE w:val="0"/>
      <w:autoSpaceDN w:val="0"/>
      <w:adjustRightInd w:val="0"/>
    </w:pPr>
    <w:rPr>
      <w:color w:val="000000"/>
      <w:sz w:val="24"/>
      <w:szCs w:val="24"/>
    </w:rPr>
  </w:style>
  <w:style w:type="paragraph" w:customStyle="1" w:styleId="EBfootnote">
    <w:name w:val="EB footnote"/>
    <w:basedOn w:val="FootnoteText"/>
    <w:link w:val="EBfootnoteChar"/>
    <w:qFormat/>
    <w:pPr>
      <w:suppressAutoHyphens/>
      <w:autoSpaceDN w:val="0"/>
      <w:spacing w:after="0"/>
      <w:ind w:left="0" w:firstLine="0"/>
      <w:jc w:val="left"/>
      <w:textAlignment w:val="baseline"/>
    </w:pPr>
    <w:rPr>
      <w:rFonts w:ascii="EC Square Sans Pro" w:hAnsi="EC Square Sans Pro"/>
      <w:sz w:val="16"/>
      <w:szCs w:val="16"/>
    </w:rPr>
  </w:style>
  <w:style w:type="character" w:customStyle="1" w:styleId="EBfootnoteChar">
    <w:name w:val="EB footnote Char"/>
    <w:link w:val="EBfootnote"/>
    <w:rPr>
      <w:rFonts w:ascii="EC Square Sans Pro" w:hAnsi="EC Square Sans Pro"/>
      <w:sz w:val="16"/>
      <w:szCs w:val="16"/>
      <w:lang w:eastAsia="fi-FI"/>
    </w:rPr>
  </w:style>
  <w:style w:type="table" w:styleId="MediumGrid3-Accent1">
    <w:name w:val="Medium Grid 3 Accent 1"/>
    <w:basedOn w:val="TableNormal"/>
    <w:uiPriority w:val="69"/>
    <w:tblPr>
      <w:tblStyleRowBandSize w:val="1"/>
      <w:tblStyleColBandSize w:val="1"/>
      <w:tbl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6" w:space="0" w:color="EBEBEB" w:themeColor="background1"/>
        <w:insideV w:val="single" w:sz="6" w:space="0" w:color="EBEBEB" w:themeColor="background1"/>
      </w:tblBorders>
    </w:tblPr>
    <w:tcPr>
      <w:shd w:val="clear" w:color="auto" w:fill="D3DFEE" w:themeFill="accent1" w:themeFillTint="3F"/>
    </w:tcPr>
    <w:tblStylePr w:type="firstRow">
      <w:rPr>
        <w:b/>
        <w:bCs/>
        <w:i w:val="0"/>
        <w:iCs w:val="0"/>
        <w:color w:val="EBEBEB" w:themeColor="background1"/>
      </w:rPr>
      <w:tblPr/>
      <w:tcPr>
        <w:tcBorders>
          <w:top w:val="single" w:sz="8" w:space="0" w:color="EBEBEB" w:themeColor="background1"/>
          <w:left w:val="single" w:sz="8" w:space="0" w:color="EBEBEB" w:themeColor="background1"/>
          <w:bottom w:val="single" w:sz="24" w:space="0" w:color="EBEBEB" w:themeColor="background1"/>
          <w:right w:val="single" w:sz="8" w:space="0" w:color="EBEBEB" w:themeColor="background1"/>
          <w:insideH w:val="nil"/>
          <w:insideV w:val="single" w:sz="8" w:space="0" w:color="EBEBEB" w:themeColor="background1"/>
        </w:tcBorders>
        <w:shd w:val="clear" w:color="auto" w:fill="4F81BD" w:themeFill="accent1"/>
      </w:tcPr>
    </w:tblStylePr>
    <w:tblStylePr w:type="lastRow">
      <w:rPr>
        <w:b/>
        <w:bCs/>
        <w:i w:val="0"/>
        <w:iCs w:val="0"/>
        <w:color w:val="EBEBEB" w:themeColor="background1"/>
      </w:rPr>
      <w:tblPr/>
      <w:tcPr>
        <w:tcBorders>
          <w:top w:val="single" w:sz="24" w:space="0" w:color="EBEBEB" w:themeColor="background1"/>
          <w:left w:val="single" w:sz="8" w:space="0" w:color="EBEBEB" w:themeColor="background1"/>
          <w:bottom w:val="single" w:sz="8" w:space="0" w:color="EBEBEB" w:themeColor="background1"/>
          <w:right w:val="single" w:sz="8" w:space="0" w:color="EBEBEB" w:themeColor="background1"/>
          <w:insideH w:val="nil"/>
          <w:insideV w:val="single" w:sz="8" w:space="0" w:color="EBEBEB" w:themeColor="background1"/>
        </w:tcBorders>
        <w:shd w:val="clear" w:color="auto" w:fill="4F81BD" w:themeFill="accent1"/>
      </w:tcPr>
    </w:tblStylePr>
    <w:tblStylePr w:type="firstCol">
      <w:rPr>
        <w:b/>
        <w:bCs/>
        <w:i w:val="0"/>
        <w:iCs w:val="0"/>
        <w:color w:val="EBEBEB" w:themeColor="background1"/>
      </w:rPr>
      <w:tblPr/>
      <w:tcPr>
        <w:tcBorders>
          <w:left w:val="single" w:sz="8" w:space="0" w:color="EBEBEB" w:themeColor="background1"/>
          <w:right w:val="single" w:sz="24" w:space="0" w:color="EBEBEB" w:themeColor="background1"/>
          <w:insideH w:val="nil"/>
          <w:insideV w:val="nil"/>
        </w:tcBorders>
        <w:shd w:val="clear" w:color="auto" w:fill="4F81BD" w:themeFill="accent1"/>
      </w:tcPr>
    </w:tblStylePr>
    <w:tblStylePr w:type="lastCol">
      <w:rPr>
        <w:b/>
        <w:bCs/>
        <w:i w:val="0"/>
        <w:iCs w:val="0"/>
        <w:color w:val="EBEBEB" w:themeColor="background1"/>
      </w:rPr>
      <w:tblPr/>
      <w:tcPr>
        <w:tcBorders>
          <w:top w:val="nil"/>
          <w:left w:val="single" w:sz="24" w:space="0" w:color="EBEBEB" w:themeColor="background1"/>
          <w:bottom w:val="nil"/>
          <w:right w:val="nil"/>
          <w:insideH w:val="nil"/>
          <w:insideV w:val="nil"/>
        </w:tcBorders>
        <w:shd w:val="clear" w:color="auto" w:fill="4F81BD" w:themeFill="accent1"/>
      </w:tcPr>
    </w:tblStylePr>
    <w:tblStylePr w:type="band1Vert">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nil"/>
          <w:insideV w:val="nil"/>
        </w:tcBorders>
        <w:shd w:val="clear" w:color="auto" w:fill="A7BFDE" w:themeFill="accent1" w:themeFillTint="7F"/>
      </w:tcPr>
    </w:tblStylePr>
    <w:tblStylePr w:type="band1Horz">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8" w:space="0" w:color="EBEBEB" w:themeColor="background1"/>
          <w:insideV w:val="single" w:sz="8" w:space="0" w:color="EBEBEB" w:themeColor="background1"/>
        </w:tcBorders>
        <w:shd w:val="clear" w:color="auto" w:fill="A7BFDE" w:themeFill="accent1" w:themeFillTint="7F"/>
      </w:tcPr>
    </w:tblStylePr>
  </w:style>
  <w:style w:type="character" w:customStyle="1" w:styleId="Heading3Char">
    <w:name w:val="Heading 3 Char"/>
    <w:basedOn w:val="DefaultParagraphFont"/>
    <w:link w:val="Heading3"/>
    <w:rPr>
      <w:i/>
      <w:sz w:val="24"/>
      <w:lang w:val="fi-FI" w:eastAsia="fi-FI"/>
    </w:rPr>
  </w:style>
  <w:style w:type="paragraph" w:styleId="Revision">
    <w:name w:val="Revision"/>
    <w:hidden/>
    <w:uiPriority w:val="99"/>
    <w:semiHidden/>
    <w:rPr>
      <w:sz w:val="24"/>
    </w:rPr>
  </w:style>
  <w:style w:type="table" w:styleId="MediumGrid3-Accent5">
    <w:name w:val="Medium Grid 3 Accent 5"/>
    <w:basedOn w:val="TableNormal"/>
    <w:uiPriority w:val="69"/>
    <w:tblPr>
      <w:tblStyleRowBandSize w:val="1"/>
      <w:tblStyleColBandSize w:val="1"/>
      <w:tbl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6" w:space="0" w:color="EBEBEB" w:themeColor="background1"/>
        <w:insideV w:val="single" w:sz="6" w:space="0" w:color="EBEBEB" w:themeColor="background1"/>
      </w:tblBorders>
    </w:tblPr>
    <w:tcPr>
      <w:shd w:val="clear" w:color="auto" w:fill="D2EAF1" w:themeFill="accent5" w:themeFillTint="3F"/>
    </w:tcPr>
    <w:tblStylePr w:type="firstRow">
      <w:rPr>
        <w:b/>
        <w:bCs/>
        <w:i w:val="0"/>
        <w:iCs w:val="0"/>
        <w:color w:val="EBEBEB" w:themeColor="background1"/>
      </w:rPr>
      <w:tblPr/>
      <w:tcPr>
        <w:tcBorders>
          <w:top w:val="single" w:sz="8" w:space="0" w:color="EBEBEB" w:themeColor="background1"/>
          <w:left w:val="single" w:sz="8" w:space="0" w:color="EBEBEB" w:themeColor="background1"/>
          <w:bottom w:val="single" w:sz="24" w:space="0" w:color="EBEBEB" w:themeColor="background1"/>
          <w:right w:val="single" w:sz="8" w:space="0" w:color="EBEBEB" w:themeColor="background1"/>
          <w:insideH w:val="nil"/>
          <w:insideV w:val="single" w:sz="8" w:space="0" w:color="EBEBEB" w:themeColor="background1"/>
        </w:tcBorders>
        <w:shd w:val="clear" w:color="auto" w:fill="4BACC6" w:themeFill="accent5"/>
      </w:tcPr>
    </w:tblStylePr>
    <w:tblStylePr w:type="lastRow">
      <w:rPr>
        <w:b/>
        <w:bCs/>
        <w:i w:val="0"/>
        <w:iCs w:val="0"/>
        <w:color w:val="EBEBEB" w:themeColor="background1"/>
      </w:rPr>
      <w:tblPr/>
      <w:tcPr>
        <w:tcBorders>
          <w:top w:val="single" w:sz="24" w:space="0" w:color="EBEBEB" w:themeColor="background1"/>
          <w:left w:val="single" w:sz="8" w:space="0" w:color="EBEBEB" w:themeColor="background1"/>
          <w:bottom w:val="single" w:sz="8" w:space="0" w:color="EBEBEB" w:themeColor="background1"/>
          <w:right w:val="single" w:sz="8" w:space="0" w:color="EBEBEB" w:themeColor="background1"/>
          <w:insideH w:val="nil"/>
          <w:insideV w:val="single" w:sz="8" w:space="0" w:color="EBEBEB" w:themeColor="background1"/>
        </w:tcBorders>
        <w:shd w:val="clear" w:color="auto" w:fill="4BACC6" w:themeFill="accent5"/>
      </w:tcPr>
    </w:tblStylePr>
    <w:tblStylePr w:type="firstCol">
      <w:rPr>
        <w:b/>
        <w:bCs/>
        <w:i w:val="0"/>
        <w:iCs w:val="0"/>
        <w:color w:val="EBEBEB" w:themeColor="background1"/>
      </w:rPr>
      <w:tblPr/>
      <w:tcPr>
        <w:tcBorders>
          <w:left w:val="single" w:sz="8" w:space="0" w:color="EBEBEB" w:themeColor="background1"/>
          <w:right w:val="single" w:sz="24" w:space="0" w:color="EBEBEB" w:themeColor="background1"/>
          <w:insideH w:val="nil"/>
          <w:insideV w:val="nil"/>
        </w:tcBorders>
        <w:shd w:val="clear" w:color="auto" w:fill="4BACC6" w:themeFill="accent5"/>
      </w:tcPr>
    </w:tblStylePr>
    <w:tblStylePr w:type="lastCol">
      <w:rPr>
        <w:b/>
        <w:bCs/>
        <w:i w:val="0"/>
        <w:iCs w:val="0"/>
        <w:color w:val="EBEBEB" w:themeColor="background1"/>
      </w:rPr>
      <w:tblPr/>
      <w:tcPr>
        <w:tcBorders>
          <w:top w:val="nil"/>
          <w:left w:val="single" w:sz="24" w:space="0" w:color="EBEBEB" w:themeColor="background1"/>
          <w:bottom w:val="nil"/>
          <w:right w:val="nil"/>
          <w:insideH w:val="nil"/>
          <w:insideV w:val="nil"/>
        </w:tcBorders>
        <w:shd w:val="clear" w:color="auto" w:fill="4BACC6" w:themeFill="accent5"/>
      </w:tcPr>
    </w:tblStylePr>
    <w:tblStylePr w:type="band1Vert">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nil"/>
          <w:insideV w:val="nil"/>
        </w:tcBorders>
        <w:shd w:val="clear" w:color="auto" w:fill="A5D5E2" w:themeFill="accent5" w:themeFillTint="7F"/>
      </w:tcPr>
    </w:tblStylePr>
    <w:tblStylePr w:type="band1Horz">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8" w:space="0" w:color="EBEBEB" w:themeColor="background1"/>
          <w:insideV w:val="single" w:sz="8" w:space="0" w:color="EBEBEB" w:themeColor="background1"/>
        </w:tcBorders>
        <w:shd w:val="clear" w:color="auto" w:fill="A5D5E2" w:themeFill="accent5" w:themeFillTint="7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AddressTRChar">
    <w:name w:val="AddressTR Char"/>
    <w:basedOn w:val="DefaultParagraphFont"/>
    <w:link w:val="AddressTR"/>
    <w:rPr>
      <w:sz w:val="24"/>
      <w:lang w:val="fi-FI" w:eastAsia="fi-FI"/>
    </w:rPr>
  </w:style>
  <w:style w:type="character" w:customStyle="1" w:styleId="FooterCoverPageChar">
    <w:name w:val="Footer Cover Page Char"/>
    <w:basedOn w:val="AddressTRChar"/>
    <w:link w:val="FooterCoverPage"/>
    <w:rPr>
      <w:sz w:val="24"/>
      <w:lang w:val="fi-FI" w:eastAsia="fi-FI"/>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AddressTRChar"/>
    <w:link w:val="HeaderCoverPage"/>
    <w:rPr>
      <w:sz w:val="24"/>
      <w:lang w:val="fi-FI" w:eastAsia="fi-FI"/>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35" w:unhideWhenUsed="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link w:val="AddressTRChar"/>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aliases w:val="Char1,Footnote Text Char Char Char Char,Footnote Text Char Char,Footnote Text Char Char Char Char Char,Footnote Text Char Char Char Char Char Char Char Char,Footnote Text Char Char Char,Footnote Text Char1,Footnote Text Char Char1,Fussnote"/>
    <w:basedOn w:val="Normal"/>
    <w:link w:val="FootnoteTextChar"/>
    <w:uiPriority w:val="99"/>
    <w:qFormat/>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ind w:left="0"/>
    </w:pPr>
  </w:style>
  <w:style w:type="paragraph" w:customStyle="1" w:styleId="ListDash">
    <w:name w:val="List Dash"/>
    <w:basedOn w:val="Normal"/>
    <w:pPr>
      <w:numPr>
        <w:numId w:val="8"/>
      </w:numPr>
    </w:pPr>
  </w:style>
  <w:style w:type="paragraph" w:customStyle="1" w:styleId="ListDash1">
    <w:name w:val="List Dash 1"/>
    <w:basedOn w:val="Text1"/>
    <w:pPr>
      <w:ind w:left="0"/>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eastAsiaTheme="minorHAnsi"/>
      <w:sz w:val="24"/>
      <w:szCs w:val="22"/>
      <w:lang w:val="fi-FI" w:eastAsia="fi-FI"/>
    </w:rPr>
  </w:style>
  <w:style w:type="character" w:customStyle="1" w:styleId="DateChar">
    <w:name w:val="Date Char"/>
    <w:basedOn w:val="DefaultParagraphFont"/>
    <w:link w:val="Date"/>
    <w:uiPriority w:val="99"/>
    <w:locked/>
    <w:rPr>
      <w:sz w:val="24"/>
      <w:lang w:val="fi-FI" w:eastAsia="fi-FI"/>
    </w:rPr>
  </w:style>
  <w:style w:type="character" w:customStyle="1" w:styleId="HeaderChar">
    <w:name w:val="Header Char"/>
    <w:basedOn w:val="DefaultParagraphFont"/>
    <w:link w:val="Header"/>
    <w:uiPriority w:val="99"/>
    <w:locked/>
    <w:rPr>
      <w:rFonts w:eastAsiaTheme="minorHAnsi"/>
      <w:sz w:val="24"/>
      <w:szCs w:val="22"/>
      <w:lang w:val="fi-FI" w:eastAsia="fi-FI"/>
    </w:rPr>
  </w:style>
  <w:style w:type="character" w:customStyle="1" w:styleId="FootnoteTextChar">
    <w:name w:val="Footnote Text Char"/>
    <w:aliases w:val="Char1 Char,Footnote Text Char Char Char Char Char1,Footnote Text Char Char Char1,Footnote Text Char Char Char Char Char Char,Footnote Text Char Char Char Char Char Char Char Char Char,Footnote Text Char Char Char Char1,Fussnote Char"/>
    <w:basedOn w:val="DefaultParagraphFont"/>
    <w:link w:val="FootnoteText"/>
    <w:uiPriority w:val="99"/>
    <w:rPr>
      <w:lang w:val="fi-FI" w:eastAsia="fi-FI"/>
    </w:rPr>
  </w:style>
  <w:style w:type="character" w:styleId="FootnoteReference">
    <w:name w:val="footnote reference"/>
    <w:aliases w:val="Odwołanie przypisu,Footnote symbol, BVI fnr,Footnote,Footnotes refss,BVI fnr,SUPERS,Footnote Reference Superscript,Ref,de nota al pie,-E Fußnotenzeichen,Footnote reference number,Times 10 Point,Exposant 3 Point,E,E FNZ,footnote r,F,fr"/>
    <w:link w:val="BVIfnr"/>
    <w:uiPriority w:val="99"/>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jc w:val="left"/>
    </w:pPr>
    <w:rPr>
      <w:sz w:val="20"/>
      <w:vertAlign w:val="superscript"/>
    </w:rPr>
  </w:style>
  <w:style w:type="character" w:customStyle="1" w:styleId="Heading1Char">
    <w:name w:val="Heading 1 Char"/>
    <w:basedOn w:val="DefaultParagraphFont"/>
    <w:link w:val="Heading1"/>
    <w:uiPriority w:val="9"/>
    <w:rPr>
      <w:b/>
      <w:smallCaps/>
      <w:sz w:val="24"/>
      <w:lang w:val="fi-FI" w:eastAsia="fi-FI"/>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val="fi-FI" w:eastAsia="fi-FI"/>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eastAsia="fi-FI"/>
    </w:rPr>
  </w:style>
  <w:style w:type="character" w:styleId="Hyperlink">
    <w:name w:val="Hyperlink"/>
    <w:uiPriority w:val="99"/>
    <w:unhideWhenUsed/>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sz w:val="20"/>
      <w:vertAlign w:val="superscript"/>
    </w:rPr>
  </w:style>
  <w:style w:type="paragraph" w:styleId="ListParagraph">
    <w:name w:val="List Paragraph"/>
    <w:basedOn w:val="Normal"/>
    <w:uiPriority w:val="99"/>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fi-FI" w:eastAsia="fi-FI"/>
    </w:rPr>
  </w:style>
  <w:style w:type="character" w:customStyle="1" w:styleId="Heading2Char">
    <w:name w:val="Heading 2 Char"/>
    <w:basedOn w:val="DefaultParagraphFont"/>
    <w:link w:val="Heading2"/>
    <w:rPr>
      <w:b/>
      <w:sz w:val="24"/>
      <w:lang w:val="fi-FI" w:eastAsia="fi-FI"/>
    </w:rPr>
  </w:style>
  <w:style w:type="paragraph" w:customStyle="1" w:styleId="Pa5">
    <w:name w:val="Pa5"/>
    <w:basedOn w:val="Normal"/>
    <w:next w:val="Normal"/>
    <w:uiPriority w:val="99"/>
    <w:pPr>
      <w:autoSpaceDE w:val="0"/>
      <w:autoSpaceDN w:val="0"/>
      <w:adjustRightInd w:val="0"/>
      <w:spacing w:after="0" w:line="181" w:lineRule="atLeast"/>
      <w:jc w:val="left"/>
    </w:pPr>
    <w:rPr>
      <w:rFonts w:ascii="EC Square Sans Pro" w:hAnsi="EC Square Sans Pro"/>
      <w:szCs w:val="24"/>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year">
    <w:name w:val="year"/>
    <w:basedOn w:val="DefaultParagraphFont"/>
  </w:style>
  <w:style w:type="character" w:customStyle="1" w:styleId="title2">
    <w:name w:val="title2"/>
    <w:basedOn w:val="DefaultParagraphFont"/>
  </w:style>
  <w:style w:type="character" w:customStyle="1" w:styleId="journal-title">
    <w:name w:val="journal-title"/>
    <w:basedOn w:val="DefaultParagraphFont"/>
  </w:style>
  <w:style w:type="paragraph" w:customStyle="1" w:styleId="Default">
    <w:name w:val="Default"/>
    <w:pPr>
      <w:autoSpaceDE w:val="0"/>
      <w:autoSpaceDN w:val="0"/>
      <w:adjustRightInd w:val="0"/>
    </w:pPr>
    <w:rPr>
      <w:color w:val="000000"/>
      <w:sz w:val="24"/>
      <w:szCs w:val="24"/>
    </w:rPr>
  </w:style>
  <w:style w:type="paragraph" w:customStyle="1" w:styleId="EBfootnote">
    <w:name w:val="EB footnote"/>
    <w:basedOn w:val="FootnoteText"/>
    <w:link w:val="EBfootnoteChar"/>
    <w:qFormat/>
    <w:pPr>
      <w:suppressAutoHyphens/>
      <w:autoSpaceDN w:val="0"/>
      <w:spacing w:after="0"/>
      <w:ind w:left="0" w:firstLine="0"/>
      <w:jc w:val="left"/>
      <w:textAlignment w:val="baseline"/>
    </w:pPr>
    <w:rPr>
      <w:rFonts w:ascii="EC Square Sans Pro" w:hAnsi="EC Square Sans Pro"/>
      <w:sz w:val="16"/>
      <w:szCs w:val="16"/>
    </w:rPr>
  </w:style>
  <w:style w:type="character" w:customStyle="1" w:styleId="EBfootnoteChar">
    <w:name w:val="EB footnote Char"/>
    <w:link w:val="EBfootnote"/>
    <w:rPr>
      <w:rFonts w:ascii="EC Square Sans Pro" w:hAnsi="EC Square Sans Pro"/>
      <w:sz w:val="16"/>
      <w:szCs w:val="16"/>
      <w:lang w:eastAsia="fi-FI"/>
    </w:rPr>
  </w:style>
  <w:style w:type="table" w:styleId="MediumGrid3-Accent1">
    <w:name w:val="Medium Grid 3 Accent 1"/>
    <w:basedOn w:val="TableNormal"/>
    <w:uiPriority w:val="69"/>
    <w:tblPr>
      <w:tblStyleRowBandSize w:val="1"/>
      <w:tblStyleColBandSize w:val="1"/>
      <w:tbl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6" w:space="0" w:color="EBEBEB" w:themeColor="background1"/>
        <w:insideV w:val="single" w:sz="6" w:space="0" w:color="EBEBEB" w:themeColor="background1"/>
      </w:tblBorders>
    </w:tblPr>
    <w:tcPr>
      <w:shd w:val="clear" w:color="auto" w:fill="D3DFEE" w:themeFill="accent1" w:themeFillTint="3F"/>
    </w:tcPr>
    <w:tblStylePr w:type="firstRow">
      <w:rPr>
        <w:b/>
        <w:bCs/>
        <w:i w:val="0"/>
        <w:iCs w:val="0"/>
        <w:color w:val="EBEBEB" w:themeColor="background1"/>
      </w:rPr>
      <w:tblPr/>
      <w:tcPr>
        <w:tcBorders>
          <w:top w:val="single" w:sz="8" w:space="0" w:color="EBEBEB" w:themeColor="background1"/>
          <w:left w:val="single" w:sz="8" w:space="0" w:color="EBEBEB" w:themeColor="background1"/>
          <w:bottom w:val="single" w:sz="24" w:space="0" w:color="EBEBEB" w:themeColor="background1"/>
          <w:right w:val="single" w:sz="8" w:space="0" w:color="EBEBEB" w:themeColor="background1"/>
          <w:insideH w:val="nil"/>
          <w:insideV w:val="single" w:sz="8" w:space="0" w:color="EBEBEB" w:themeColor="background1"/>
        </w:tcBorders>
        <w:shd w:val="clear" w:color="auto" w:fill="4F81BD" w:themeFill="accent1"/>
      </w:tcPr>
    </w:tblStylePr>
    <w:tblStylePr w:type="lastRow">
      <w:rPr>
        <w:b/>
        <w:bCs/>
        <w:i w:val="0"/>
        <w:iCs w:val="0"/>
        <w:color w:val="EBEBEB" w:themeColor="background1"/>
      </w:rPr>
      <w:tblPr/>
      <w:tcPr>
        <w:tcBorders>
          <w:top w:val="single" w:sz="24" w:space="0" w:color="EBEBEB" w:themeColor="background1"/>
          <w:left w:val="single" w:sz="8" w:space="0" w:color="EBEBEB" w:themeColor="background1"/>
          <w:bottom w:val="single" w:sz="8" w:space="0" w:color="EBEBEB" w:themeColor="background1"/>
          <w:right w:val="single" w:sz="8" w:space="0" w:color="EBEBEB" w:themeColor="background1"/>
          <w:insideH w:val="nil"/>
          <w:insideV w:val="single" w:sz="8" w:space="0" w:color="EBEBEB" w:themeColor="background1"/>
        </w:tcBorders>
        <w:shd w:val="clear" w:color="auto" w:fill="4F81BD" w:themeFill="accent1"/>
      </w:tcPr>
    </w:tblStylePr>
    <w:tblStylePr w:type="firstCol">
      <w:rPr>
        <w:b/>
        <w:bCs/>
        <w:i w:val="0"/>
        <w:iCs w:val="0"/>
        <w:color w:val="EBEBEB" w:themeColor="background1"/>
      </w:rPr>
      <w:tblPr/>
      <w:tcPr>
        <w:tcBorders>
          <w:left w:val="single" w:sz="8" w:space="0" w:color="EBEBEB" w:themeColor="background1"/>
          <w:right w:val="single" w:sz="24" w:space="0" w:color="EBEBEB" w:themeColor="background1"/>
          <w:insideH w:val="nil"/>
          <w:insideV w:val="nil"/>
        </w:tcBorders>
        <w:shd w:val="clear" w:color="auto" w:fill="4F81BD" w:themeFill="accent1"/>
      </w:tcPr>
    </w:tblStylePr>
    <w:tblStylePr w:type="lastCol">
      <w:rPr>
        <w:b/>
        <w:bCs/>
        <w:i w:val="0"/>
        <w:iCs w:val="0"/>
        <w:color w:val="EBEBEB" w:themeColor="background1"/>
      </w:rPr>
      <w:tblPr/>
      <w:tcPr>
        <w:tcBorders>
          <w:top w:val="nil"/>
          <w:left w:val="single" w:sz="24" w:space="0" w:color="EBEBEB" w:themeColor="background1"/>
          <w:bottom w:val="nil"/>
          <w:right w:val="nil"/>
          <w:insideH w:val="nil"/>
          <w:insideV w:val="nil"/>
        </w:tcBorders>
        <w:shd w:val="clear" w:color="auto" w:fill="4F81BD" w:themeFill="accent1"/>
      </w:tcPr>
    </w:tblStylePr>
    <w:tblStylePr w:type="band1Vert">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nil"/>
          <w:insideV w:val="nil"/>
        </w:tcBorders>
        <w:shd w:val="clear" w:color="auto" w:fill="A7BFDE" w:themeFill="accent1" w:themeFillTint="7F"/>
      </w:tcPr>
    </w:tblStylePr>
    <w:tblStylePr w:type="band1Horz">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8" w:space="0" w:color="EBEBEB" w:themeColor="background1"/>
          <w:insideV w:val="single" w:sz="8" w:space="0" w:color="EBEBEB" w:themeColor="background1"/>
        </w:tcBorders>
        <w:shd w:val="clear" w:color="auto" w:fill="A7BFDE" w:themeFill="accent1" w:themeFillTint="7F"/>
      </w:tcPr>
    </w:tblStylePr>
  </w:style>
  <w:style w:type="character" w:customStyle="1" w:styleId="Heading3Char">
    <w:name w:val="Heading 3 Char"/>
    <w:basedOn w:val="DefaultParagraphFont"/>
    <w:link w:val="Heading3"/>
    <w:rPr>
      <w:i/>
      <w:sz w:val="24"/>
      <w:lang w:val="fi-FI" w:eastAsia="fi-FI"/>
    </w:rPr>
  </w:style>
  <w:style w:type="paragraph" w:styleId="Revision">
    <w:name w:val="Revision"/>
    <w:hidden/>
    <w:uiPriority w:val="99"/>
    <w:semiHidden/>
    <w:rPr>
      <w:sz w:val="24"/>
    </w:rPr>
  </w:style>
  <w:style w:type="table" w:styleId="MediumGrid3-Accent5">
    <w:name w:val="Medium Grid 3 Accent 5"/>
    <w:basedOn w:val="TableNormal"/>
    <w:uiPriority w:val="69"/>
    <w:tblPr>
      <w:tblStyleRowBandSize w:val="1"/>
      <w:tblStyleColBandSize w:val="1"/>
      <w:tbl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6" w:space="0" w:color="EBEBEB" w:themeColor="background1"/>
        <w:insideV w:val="single" w:sz="6" w:space="0" w:color="EBEBEB" w:themeColor="background1"/>
      </w:tblBorders>
    </w:tblPr>
    <w:tcPr>
      <w:shd w:val="clear" w:color="auto" w:fill="D2EAF1" w:themeFill="accent5" w:themeFillTint="3F"/>
    </w:tcPr>
    <w:tblStylePr w:type="firstRow">
      <w:rPr>
        <w:b/>
        <w:bCs/>
        <w:i w:val="0"/>
        <w:iCs w:val="0"/>
        <w:color w:val="EBEBEB" w:themeColor="background1"/>
      </w:rPr>
      <w:tblPr/>
      <w:tcPr>
        <w:tcBorders>
          <w:top w:val="single" w:sz="8" w:space="0" w:color="EBEBEB" w:themeColor="background1"/>
          <w:left w:val="single" w:sz="8" w:space="0" w:color="EBEBEB" w:themeColor="background1"/>
          <w:bottom w:val="single" w:sz="24" w:space="0" w:color="EBEBEB" w:themeColor="background1"/>
          <w:right w:val="single" w:sz="8" w:space="0" w:color="EBEBEB" w:themeColor="background1"/>
          <w:insideH w:val="nil"/>
          <w:insideV w:val="single" w:sz="8" w:space="0" w:color="EBEBEB" w:themeColor="background1"/>
        </w:tcBorders>
        <w:shd w:val="clear" w:color="auto" w:fill="4BACC6" w:themeFill="accent5"/>
      </w:tcPr>
    </w:tblStylePr>
    <w:tblStylePr w:type="lastRow">
      <w:rPr>
        <w:b/>
        <w:bCs/>
        <w:i w:val="0"/>
        <w:iCs w:val="0"/>
        <w:color w:val="EBEBEB" w:themeColor="background1"/>
      </w:rPr>
      <w:tblPr/>
      <w:tcPr>
        <w:tcBorders>
          <w:top w:val="single" w:sz="24" w:space="0" w:color="EBEBEB" w:themeColor="background1"/>
          <w:left w:val="single" w:sz="8" w:space="0" w:color="EBEBEB" w:themeColor="background1"/>
          <w:bottom w:val="single" w:sz="8" w:space="0" w:color="EBEBEB" w:themeColor="background1"/>
          <w:right w:val="single" w:sz="8" w:space="0" w:color="EBEBEB" w:themeColor="background1"/>
          <w:insideH w:val="nil"/>
          <w:insideV w:val="single" w:sz="8" w:space="0" w:color="EBEBEB" w:themeColor="background1"/>
        </w:tcBorders>
        <w:shd w:val="clear" w:color="auto" w:fill="4BACC6" w:themeFill="accent5"/>
      </w:tcPr>
    </w:tblStylePr>
    <w:tblStylePr w:type="firstCol">
      <w:rPr>
        <w:b/>
        <w:bCs/>
        <w:i w:val="0"/>
        <w:iCs w:val="0"/>
        <w:color w:val="EBEBEB" w:themeColor="background1"/>
      </w:rPr>
      <w:tblPr/>
      <w:tcPr>
        <w:tcBorders>
          <w:left w:val="single" w:sz="8" w:space="0" w:color="EBEBEB" w:themeColor="background1"/>
          <w:right w:val="single" w:sz="24" w:space="0" w:color="EBEBEB" w:themeColor="background1"/>
          <w:insideH w:val="nil"/>
          <w:insideV w:val="nil"/>
        </w:tcBorders>
        <w:shd w:val="clear" w:color="auto" w:fill="4BACC6" w:themeFill="accent5"/>
      </w:tcPr>
    </w:tblStylePr>
    <w:tblStylePr w:type="lastCol">
      <w:rPr>
        <w:b/>
        <w:bCs/>
        <w:i w:val="0"/>
        <w:iCs w:val="0"/>
        <w:color w:val="EBEBEB" w:themeColor="background1"/>
      </w:rPr>
      <w:tblPr/>
      <w:tcPr>
        <w:tcBorders>
          <w:top w:val="nil"/>
          <w:left w:val="single" w:sz="24" w:space="0" w:color="EBEBEB" w:themeColor="background1"/>
          <w:bottom w:val="nil"/>
          <w:right w:val="nil"/>
          <w:insideH w:val="nil"/>
          <w:insideV w:val="nil"/>
        </w:tcBorders>
        <w:shd w:val="clear" w:color="auto" w:fill="4BACC6" w:themeFill="accent5"/>
      </w:tcPr>
    </w:tblStylePr>
    <w:tblStylePr w:type="band1Vert">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nil"/>
          <w:insideV w:val="nil"/>
        </w:tcBorders>
        <w:shd w:val="clear" w:color="auto" w:fill="A5D5E2" w:themeFill="accent5" w:themeFillTint="7F"/>
      </w:tcPr>
    </w:tblStylePr>
    <w:tblStylePr w:type="band1Horz">
      <w:tblPr/>
      <w:tcPr>
        <w:tcBorders>
          <w:top w:val="single" w:sz="8" w:space="0" w:color="EBEBEB" w:themeColor="background1"/>
          <w:left w:val="single" w:sz="8" w:space="0" w:color="EBEBEB" w:themeColor="background1"/>
          <w:bottom w:val="single" w:sz="8" w:space="0" w:color="EBEBEB" w:themeColor="background1"/>
          <w:right w:val="single" w:sz="8" w:space="0" w:color="EBEBEB" w:themeColor="background1"/>
          <w:insideH w:val="single" w:sz="8" w:space="0" w:color="EBEBEB" w:themeColor="background1"/>
          <w:insideV w:val="single" w:sz="8" w:space="0" w:color="EBEBEB" w:themeColor="background1"/>
        </w:tcBorders>
        <w:shd w:val="clear" w:color="auto" w:fill="A5D5E2" w:themeFill="accent5" w:themeFillTint="7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AddressTRChar">
    <w:name w:val="AddressTR Char"/>
    <w:basedOn w:val="DefaultParagraphFont"/>
    <w:link w:val="AddressTR"/>
    <w:rPr>
      <w:sz w:val="24"/>
      <w:lang w:val="fi-FI" w:eastAsia="fi-FI"/>
    </w:rPr>
  </w:style>
  <w:style w:type="character" w:customStyle="1" w:styleId="FooterCoverPageChar">
    <w:name w:val="Footer Cover Page Char"/>
    <w:basedOn w:val="AddressTRChar"/>
    <w:link w:val="FooterCoverPage"/>
    <w:rPr>
      <w:sz w:val="24"/>
      <w:lang w:val="fi-FI" w:eastAsia="fi-FI"/>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AddressTRChar"/>
    <w:link w:val="HeaderCoverPage"/>
    <w:rPr>
      <w:sz w:val="24"/>
      <w:lang w:val="fi-FI" w:eastAsia="fi-FI"/>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4147">
      <w:bodyDiv w:val="1"/>
      <w:marLeft w:val="0"/>
      <w:marRight w:val="0"/>
      <w:marTop w:val="0"/>
      <w:marBottom w:val="0"/>
      <w:divBdr>
        <w:top w:val="none" w:sz="0" w:space="0" w:color="auto"/>
        <w:left w:val="none" w:sz="0" w:space="0" w:color="auto"/>
        <w:bottom w:val="none" w:sz="0" w:space="0" w:color="auto"/>
        <w:right w:val="none" w:sz="0" w:space="0" w:color="auto"/>
      </w:divBdr>
      <w:divsChild>
        <w:div w:id="1017732777">
          <w:marLeft w:val="0"/>
          <w:marRight w:val="0"/>
          <w:marTop w:val="0"/>
          <w:marBottom w:val="0"/>
          <w:divBdr>
            <w:top w:val="none" w:sz="0" w:space="0" w:color="auto"/>
            <w:left w:val="none" w:sz="0" w:space="0" w:color="auto"/>
            <w:bottom w:val="none" w:sz="0" w:space="0" w:color="auto"/>
            <w:right w:val="none" w:sz="0" w:space="0" w:color="auto"/>
          </w:divBdr>
          <w:divsChild>
            <w:div w:id="1490438781">
              <w:marLeft w:val="-300"/>
              <w:marRight w:val="-300"/>
              <w:marTop w:val="0"/>
              <w:marBottom w:val="0"/>
              <w:divBdr>
                <w:top w:val="none" w:sz="0" w:space="0" w:color="auto"/>
                <w:left w:val="none" w:sz="0" w:space="0" w:color="auto"/>
                <w:bottom w:val="none" w:sz="0" w:space="0" w:color="auto"/>
                <w:right w:val="none" w:sz="0" w:space="0" w:color="auto"/>
              </w:divBdr>
              <w:divsChild>
                <w:div w:id="1447890363">
                  <w:marLeft w:val="0"/>
                  <w:marRight w:val="0"/>
                  <w:marTop w:val="0"/>
                  <w:marBottom w:val="0"/>
                  <w:divBdr>
                    <w:top w:val="none" w:sz="0" w:space="0" w:color="auto"/>
                    <w:left w:val="none" w:sz="0" w:space="0" w:color="auto"/>
                    <w:bottom w:val="none" w:sz="0" w:space="0" w:color="auto"/>
                    <w:right w:val="none" w:sz="0" w:space="0" w:color="auto"/>
                  </w:divBdr>
                  <w:divsChild>
                    <w:div w:id="826288006">
                      <w:marLeft w:val="0"/>
                      <w:marRight w:val="0"/>
                      <w:marTop w:val="0"/>
                      <w:marBottom w:val="0"/>
                      <w:divBdr>
                        <w:top w:val="none" w:sz="0" w:space="0" w:color="auto"/>
                        <w:left w:val="none" w:sz="0" w:space="0" w:color="auto"/>
                        <w:bottom w:val="none" w:sz="0" w:space="0" w:color="auto"/>
                        <w:right w:val="none" w:sz="0" w:space="0" w:color="auto"/>
                      </w:divBdr>
                      <w:divsChild>
                        <w:div w:id="982196704">
                          <w:marLeft w:val="0"/>
                          <w:marRight w:val="0"/>
                          <w:marTop w:val="0"/>
                          <w:marBottom w:val="0"/>
                          <w:divBdr>
                            <w:top w:val="none" w:sz="0" w:space="0" w:color="auto"/>
                            <w:left w:val="none" w:sz="0" w:space="0" w:color="auto"/>
                            <w:bottom w:val="none" w:sz="0" w:space="0" w:color="auto"/>
                            <w:right w:val="none" w:sz="0" w:space="0" w:color="auto"/>
                          </w:divBdr>
                          <w:divsChild>
                            <w:div w:id="1097673375">
                              <w:marLeft w:val="-300"/>
                              <w:marRight w:val="-300"/>
                              <w:marTop w:val="0"/>
                              <w:marBottom w:val="0"/>
                              <w:divBdr>
                                <w:top w:val="none" w:sz="0" w:space="0" w:color="auto"/>
                                <w:left w:val="none" w:sz="0" w:space="0" w:color="auto"/>
                                <w:bottom w:val="none" w:sz="0" w:space="0" w:color="auto"/>
                                <w:right w:val="none" w:sz="0" w:space="0" w:color="auto"/>
                              </w:divBdr>
                              <w:divsChild>
                                <w:div w:id="171263026">
                                  <w:marLeft w:val="0"/>
                                  <w:marRight w:val="0"/>
                                  <w:marTop w:val="0"/>
                                  <w:marBottom w:val="0"/>
                                  <w:divBdr>
                                    <w:top w:val="none" w:sz="0" w:space="0" w:color="auto"/>
                                    <w:left w:val="none" w:sz="0" w:space="0" w:color="auto"/>
                                    <w:bottom w:val="none" w:sz="0" w:space="0" w:color="auto"/>
                                    <w:right w:val="none" w:sz="0" w:space="0" w:color="auto"/>
                                  </w:divBdr>
                                  <w:divsChild>
                                    <w:div w:id="670958005">
                                      <w:marLeft w:val="0"/>
                                      <w:marRight w:val="0"/>
                                      <w:marTop w:val="0"/>
                                      <w:marBottom w:val="0"/>
                                      <w:divBdr>
                                        <w:top w:val="none" w:sz="0" w:space="0" w:color="auto"/>
                                        <w:left w:val="none" w:sz="0" w:space="0" w:color="auto"/>
                                        <w:bottom w:val="none" w:sz="0" w:space="0" w:color="auto"/>
                                        <w:right w:val="none" w:sz="0" w:space="0" w:color="auto"/>
                                      </w:divBdr>
                                      <w:divsChild>
                                        <w:div w:id="824128280">
                                          <w:marLeft w:val="0"/>
                                          <w:marRight w:val="0"/>
                                          <w:marTop w:val="0"/>
                                          <w:marBottom w:val="0"/>
                                          <w:divBdr>
                                            <w:top w:val="none" w:sz="0" w:space="0" w:color="auto"/>
                                            <w:left w:val="none" w:sz="0" w:space="0" w:color="auto"/>
                                            <w:bottom w:val="none" w:sz="0" w:space="0" w:color="auto"/>
                                            <w:right w:val="none" w:sz="0" w:space="0" w:color="auto"/>
                                          </w:divBdr>
                                          <w:divsChild>
                                            <w:div w:id="1052538292">
                                              <w:marLeft w:val="0"/>
                                              <w:marRight w:val="0"/>
                                              <w:marTop w:val="0"/>
                                              <w:marBottom w:val="0"/>
                                              <w:divBdr>
                                                <w:top w:val="none" w:sz="0" w:space="0" w:color="auto"/>
                                                <w:left w:val="none" w:sz="0" w:space="0" w:color="auto"/>
                                                <w:bottom w:val="none" w:sz="0" w:space="0" w:color="auto"/>
                                                <w:right w:val="none" w:sz="0" w:space="0" w:color="auto"/>
                                              </w:divBdr>
                                              <w:divsChild>
                                                <w:div w:id="937562512">
                                                  <w:marLeft w:val="0"/>
                                                  <w:marRight w:val="0"/>
                                                  <w:marTop w:val="240"/>
                                                  <w:marBottom w:val="240"/>
                                                  <w:divBdr>
                                                    <w:top w:val="none" w:sz="0" w:space="0" w:color="auto"/>
                                                    <w:left w:val="none" w:sz="0" w:space="0" w:color="auto"/>
                                                    <w:bottom w:val="none" w:sz="0" w:space="0" w:color="auto"/>
                                                    <w:right w:val="none" w:sz="0" w:space="0" w:color="auto"/>
                                                  </w:divBdr>
                                                  <w:divsChild>
                                                    <w:div w:id="899944901">
                                                      <w:marLeft w:val="0"/>
                                                      <w:marRight w:val="0"/>
                                                      <w:marTop w:val="0"/>
                                                      <w:marBottom w:val="0"/>
                                                      <w:divBdr>
                                                        <w:top w:val="none" w:sz="0" w:space="0" w:color="auto"/>
                                                        <w:left w:val="none" w:sz="0" w:space="0" w:color="auto"/>
                                                        <w:bottom w:val="none" w:sz="0" w:space="0" w:color="auto"/>
                                                        <w:right w:val="none" w:sz="0" w:space="0" w:color="auto"/>
                                                      </w:divBdr>
                                                      <w:divsChild>
                                                        <w:div w:id="1957172607">
                                                          <w:marLeft w:val="0"/>
                                                          <w:marRight w:val="0"/>
                                                          <w:marTop w:val="0"/>
                                                          <w:marBottom w:val="0"/>
                                                          <w:divBdr>
                                                            <w:top w:val="none" w:sz="0" w:space="0" w:color="auto"/>
                                                            <w:left w:val="none" w:sz="0" w:space="0" w:color="auto"/>
                                                            <w:bottom w:val="none" w:sz="0" w:space="0" w:color="auto"/>
                                                            <w:right w:val="none" w:sz="0" w:space="0" w:color="auto"/>
                                                          </w:divBdr>
                                                          <w:divsChild>
                                                            <w:div w:id="2062752432">
                                                              <w:marLeft w:val="0"/>
                                                              <w:marRight w:val="0"/>
                                                              <w:marTop w:val="0"/>
                                                              <w:marBottom w:val="0"/>
                                                              <w:divBdr>
                                                                <w:top w:val="none" w:sz="0" w:space="0" w:color="auto"/>
                                                                <w:left w:val="none" w:sz="0" w:space="0" w:color="auto"/>
                                                                <w:bottom w:val="none" w:sz="0" w:space="0" w:color="auto"/>
                                                                <w:right w:val="none" w:sz="0" w:space="0" w:color="auto"/>
                                                              </w:divBdr>
                                                              <w:divsChild>
                                                                <w:div w:id="1496532129">
                                                                  <w:marLeft w:val="0"/>
                                                                  <w:marRight w:val="0"/>
                                                                  <w:marTop w:val="0"/>
                                                                  <w:marBottom w:val="0"/>
                                                                  <w:divBdr>
                                                                    <w:top w:val="none" w:sz="0" w:space="0" w:color="auto"/>
                                                                    <w:left w:val="none" w:sz="0" w:space="0" w:color="auto"/>
                                                                    <w:bottom w:val="none" w:sz="0" w:space="0" w:color="auto"/>
                                                                    <w:right w:val="none" w:sz="0" w:space="0" w:color="auto"/>
                                                                  </w:divBdr>
                                                                  <w:divsChild>
                                                                    <w:div w:id="338385318">
                                                                      <w:marLeft w:val="0"/>
                                                                      <w:marRight w:val="0"/>
                                                                      <w:marTop w:val="0"/>
                                                                      <w:marBottom w:val="0"/>
                                                                      <w:divBdr>
                                                                        <w:top w:val="none" w:sz="0" w:space="0" w:color="auto"/>
                                                                        <w:left w:val="none" w:sz="0" w:space="0" w:color="auto"/>
                                                                        <w:bottom w:val="none" w:sz="0" w:space="0" w:color="auto"/>
                                                                        <w:right w:val="none" w:sz="0" w:space="0" w:color="auto"/>
                                                                      </w:divBdr>
                                                                      <w:divsChild>
                                                                        <w:div w:id="1643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967810">
      <w:bodyDiv w:val="1"/>
      <w:marLeft w:val="0"/>
      <w:marRight w:val="0"/>
      <w:marTop w:val="0"/>
      <w:marBottom w:val="0"/>
      <w:divBdr>
        <w:top w:val="none" w:sz="0" w:space="0" w:color="auto"/>
        <w:left w:val="none" w:sz="0" w:space="0" w:color="auto"/>
        <w:bottom w:val="none" w:sz="0" w:space="0" w:color="auto"/>
        <w:right w:val="none" w:sz="0" w:space="0" w:color="auto"/>
      </w:divBdr>
    </w:div>
    <w:div w:id="1177505407">
      <w:bodyDiv w:val="1"/>
      <w:marLeft w:val="0"/>
      <w:marRight w:val="0"/>
      <w:marTop w:val="0"/>
      <w:marBottom w:val="0"/>
      <w:divBdr>
        <w:top w:val="none" w:sz="0" w:space="0" w:color="auto"/>
        <w:left w:val="none" w:sz="0" w:space="0" w:color="auto"/>
        <w:bottom w:val="none" w:sz="0" w:space="0" w:color="auto"/>
        <w:right w:val="none" w:sz="0" w:space="0" w:color="auto"/>
      </w:divBdr>
      <w:divsChild>
        <w:div w:id="588320150">
          <w:marLeft w:val="0"/>
          <w:marRight w:val="0"/>
          <w:marTop w:val="0"/>
          <w:marBottom w:val="0"/>
          <w:divBdr>
            <w:top w:val="none" w:sz="0" w:space="0" w:color="auto"/>
            <w:left w:val="none" w:sz="0" w:space="0" w:color="auto"/>
            <w:bottom w:val="none" w:sz="0" w:space="0" w:color="auto"/>
            <w:right w:val="none" w:sz="0" w:space="0" w:color="auto"/>
          </w:divBdr>
          <w:divsChild>
            <w:div w:id="275334093">
              <w:marLeft w:val="0"/>
              <w:marRight w:val="0"/>
              <w:marTop w:val="0"/>
              <w:marBottom w:val="0"/>
              <w:divBdr>
                <w:top w:val="none" w:sz="0" w:space="0" w:color="auto"/>
                <w:left w:val="none" w:sz="0" w:space="0" w:color="auto"/>
                <w:bottom w:val="none" w:sz="0" w:space="0" w:color="auto"/>
                <w:right w:val="none" w:sz="0" w:space="0" w:color="auto"/>
              </w:divBdr>
              <w:divsChild>
                <w:div w:id="1709067743">
                  <w:marLeft w:val="0"/>
                  <w:marRight w:val="0"/>
                  <w:marTop w:val="0"/>
                  <w:marBottom w:val="0"/>
                  <w:divBdr>
                    <w:top w:val="none" w:sz="0" w:space="0" w:color="auto"/>
                    <w:left w:val="none" w:sz="0" w:space="0" w:color="auto"/>
                    <w:bottom w:val="none" w:sz="0" w:space="0" w:color="auto"/>
                    <w:right w:val="none" w:sz="0" w:space="0" w:color="auto"/>
                  </w:divBdr>
                  <w:divsChild>
                    <w:div w:id="175268840">
                      <w:marLeft w:val="0"/>
                      <w:marRight w:val="0"/>
                      <w:marTop w:val="0"/>
                      <w:marBottom w:val="0"/>
                      <w:divBdr>
                        <w:top w:val="none" w:sz="0" w:space="0" w:color="auto"/>
                        <w:left w:val="none" w:sz="0" w:space="0" w:color="auto"/>
                        <w:bottom w:val="none" w:sz="0" w:space="0" w:color="auto"/>
                        <w:right w:val="none" w:sz="0" w:space="0" w:color="auto"/>
                      </w:divBdr>
                      <w:divsChild>
                        <w:div w:id="474491383">
                          <w:marLeft w:val="0"/>
                          <w:marRight w:val="0"/>
                          <w:marTop w:val="0"/>
                          <w:marBottom w:val="0"/>
                          <w:divBdr>
                            <w:top w:val="none" w:sz="0" w:space="0" w:color="auto"/>
                            <w:left w:val="none" w:sz="0" w:space="0" w:color="auto"/>
                            <w:bottom w:val="none" w:sz="0" w:space="0" w:color="auto"/>
                            <w:right w:val="none" w:sz="0" w:space="0" w:color="auto"/>
                          </w:divBdr>
                          <w:divsChild>
                            <w:div w:id="176621316">
                              <w:marLeft w:val="0"/>
                              <w:marRight w:val="0"/>
                              <w:marTop w:val="0"/>
                              <w:marBottom w:val="0"/>
                              <w:divBdr>
                                <w:top w:val="none" w:sz="0" w:space="0" w:color="auto"/>
                                <w:left w:val="none" w:sz="0" w:space="0" w:color="auto"/>
                                <w:bottom w:val="none" w:sz="0" w:space="0" w:color="auto"/>
                                <w:right w:val="none" w:sz="0" w:space="0" w:color="auto"/>
                              </w:divBdr>
                              <w:divsChild>
                                <w:div w:id="947814226">
                                  <w:marLeft w:val="0"/>
                                  <w:marRight w:val="0"/>
                                  <w:marTop w:val="0"/>
                                  <w:marBottom w:val="0"/>
                                  <w:divBdr>
                                    <w:top w:val="none" w:sz="0" w:space="0" w:color="auto"/>
                                    <w:left w:val="none" w:sz="0" w:space="0" w:color="auto"/>
                                    <w:bottom w:val="none" w:sz="0" w:space="0" w:color="auto"/>
                                    <w:right w:val="none" w:sz="0" w:space="0" w:color="auto"/>
                                  </w:divBdr>
                                  <w:divsChild>
                                    <w:div w:id="1750302377">
                                      <w:marLeft w:val="0"/>
                                      <w:marRight w:val="0"/>
                                      <w:marTop w:val="0"/>
                                      <w:marBottom w:val="0"/>
                                      <w:divBdr>
                                        <w:top w:val="none" w:sz="0" w:space="0" w:color="auto"/>
                                        <w:left w:val="none" w:sz="0" w:space="0" w:color="auto"/>
                                        <w:bottom w:val="none" w:sz="0" w:space="0" w:color="auto"/>
                                        <w:right w:val="none" w:sz="0" w:space="0" w:color="auto"/>
                                      </w:divBdr>
                                      <w:divsChild>
                                        <w:div w:id="1137071847">
                                          <w:marLeft w:val="0"/>
                                          <w:marRight w:val="0"/>
                                          <w:marTop w:val="0"/>
                                          <w:marBottom w:val="0"/>
                                          <w:divBdr>
                                            <w:top w:val="none" w:sz="0" w:space="0" w:color="auto"/>
                                            <w:left w:val="none" w:sz="0" w:space="0" w:color="auto"/>
                                            <w:bottom w:val="none" w:sz="0" w:space="0" w:color="auto"/>
                                            <w:right w:val="none" w:sz="0" w:space="0" w:color="auto"/>
                                          </w:divBdr>
                                        </w:div>
                                        <w:div w:id="2084839790">
                                          <w:marLeft w:val="0"/>
                                          <w:marRight w:val="0"/>
                                          <w:marTop w:val="0"/>
                                          <w:marBottom w:val="0"/>
                                          <w:divBdr>
                                            <w:top w:val="none" w:sz="0" w:space="0" w:color="auto"/>
                                            <w:left w:val="none" w:sz="0" w:space="0" w:color="auto"/>
                                            <w:bottom w:val="none" w:sz="0" w:space="0" w:color="auto"/>
                                            <w:right w:val="none" w:sz="0" w:space="0" w:color="auto"/>
                                          </w:divBdr>
                                        </w:div>
                                        <w:div w:id="479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445708">
      <w:bodyDiv w:val="1"/>
      <w:marLeft w:val="0"/>
      <w:marRight w:val="0"/>
      <w:marTop w:val="0"/>
      <w:marBottom w:val="0"/>
      <w:divBdr>
        <w:top w:val="none" w:sz="0" w:space="0" w:color="auto"/>
        <w:left w:val="none" w:sz="0" w:space="0" w:color="auto"/>
        <w:bottom w:val="none" w:sz="0" w:space="0" w:color="auto"/>
        <w:right w:val="none" w:sz="0" w:space="0" w:color="auto"/>
      </w:divBdr>
      <w:divsChild>
        <w:div w:id="267933131">
          <w:marLeft w:val="0"/>
          <w:marRight w:val="0"/>
          <w:marTop w:val="0"/>
          <w:marBottom w:val="0"/>
          <w:divBdr>
            <w:top w:val="none" w:sz="0" w:space="0" w:color="auto"/>
            <w:left w:val="none" w:sz="0" w:space="0" w:color="auto"/>
            <w:bottom w:val="none" w:sz="0" w:space="0" w:color="auto"/>
            <w:right w:val="none" w:sz="0" w:space="0" w:color="auto"/>
          </w:divBdr>
          <w:divsChild>
            <w:div w:id="1062873151">
              <w:marLeft w:val="0"/>
              <w:marRight w:val="0"/>
              <w:marTop w:val="0"/>
              <w:marBottom w:val="0"/>
              <w:divBdr>
                <w:top w:val="none" w:sz="0" w:space="0" w:color="auto"/>
                <w:left w:val="single" w:sz="6" w:space="0" w:color="8F9193"/>
                <w:bottom w:val="none" w:sz="0" w:space="0" w:color="auto"/>
                <w:right w:val="single" w:sz="6" w:space="0" w:color="8F9193"/>
              </w:divBdr>
              <w:divsChild>
                <w:div w:id="990792814">
                  <w:marLeft w:val="0"/>
                  <w:marRight w:val="0"/>
                  <w:marTop w:val="0"/>
                  <w:marBottom w:val="0"/>
                  <w:divBdr>
                    <w:top w:val="none" w:sz="0" w:space="0" w:color="auto"/>
                    <w:left w:val="none" w:sz="0" w:space="0" w:color="auto"/>
                    <w:bottom w:val="none" w:sz="0" w:space="0" w:color="auto"/>
                    <w:right w:val="single" w:sz="6" w:space="11" w:color="8F9193"/>
                  </w:divBdr>
                  <w:divsChild>
                    <w:div w:id="144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programmes/erasmus-plus/projects/eplus-project-details-page/?nodeRef=workspace://SpacesStore/476855f6-a184-45c2-bbb6-42e0894f7d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programmes/erasmus-plus/projects/eplus-project-details-page/?nodeRef=workspace://SpacesStore/476855f6-a184-45c2-bbb6-42e0894f7d22"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socialsummit17.s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ec.europa.eu/justice/gender-equality/eu_funded-projects/transnational-project-summaries/index_en.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dgs/education_culture/repository/education/library/policy/teaching-profession-practices_en.pdf" TargetMode="External"/><Relationship Id="rId3" Type="http://schemas.openxmlformats.org/officeDocument/2006/relationships/hyperlink" Target="https://ec.europa.eu/transparency/regdoc/rep/1/2013/FI/1-2013-861-FI-F1-1.Pdf" TargetMode="External"/><Relationship Id="rId7" Type="http://schemas.openxmlformats.org/officeDocument/2006/relationships/hyperlink" Target="http://ec.europa.eu/justice/discrimination/diversity/charters/index_en.htm" TargetMode="External"/><Relationship Id="rId2" Type="http://schemas.openxmlformats.org/officeDocument/2006/relationships/hyperlink" Target="http://ec.europa.eu/justice/gender-equality/files/documents/151203_strategic_engagement_en.pdf" TargetMode="External"/><Relationship Id="rId1" Type="http://schemas.openxmlformats.org/officeDocument/2006/relationships/hyperlink" Target="http://hwwi.org/fileadmin/hwwi/Publikationen/Publikationen_PDFs_2016/Magnitude_And_Impact_Factors_All.pdf" TargetMode="External"/><Relationship Id="rId6" Type="http://schemas.openxmlformats.org/officeDocument/2006/relationships/hyperlink" Target="http://ec.europa.eu/justice/grants1/calls/2015_action_grants/just_2015_rgen_ag_role_en.htm" TargetMode="External"/><Relationship Id="rId5" Type="http://schemas.openxmlformats.org/officeDocument/2006/relationships/hyperlink" Target="http://eige.europa.eu/gender-mainstreaming/policy-areas/economic-and-financial-affairs/economic-benefits-gender-equality/stem" TargetMode="External"/><Relationship Id="rId10" Type="http://schemas.openxmlformats.org/officeDocument/2006/relationships/hyperlink" Target="http://eur-lex.europa.eu/legal-content/FI/TXT/?uri=CELEX:32008D0768&amp;locale=fi" TargetMode="External"/><Relationship Id="rId4" Type="http://schemas.openxmlformats.org/officeDocument/2006/relationships/hyperlink" Target="http://ec.europa.eu/justice/gender-equality/files/gender_pay_gap/c_2014_1405_fi.pdf" TargetMode="External"/><Relationship Id="rId9" Type="http://schemas.openxmlformats.org/officeDocument/2006/relationships/hyperlink" Target="http://eacea.ec.europa.eu/education/eurydice/index_en.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2835-ABD5-455F-8F5C-8C2A7B2A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140</TotalTime>
  <Pages>15</Pages>
  <Words>3156</Words>
  <Characters>28353</Characters>
  <Application>Microsoft Office Word</Application>
  <DocSecurity>0</DocSecurity>
  <PresentationFormat>Microsoft Word 14.0</PresentationFormat>
  <Lines>236</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LAGES CARVALHO Patrick (SG)</cp:lastModifiedBy>
  <cp:revision>28</cp:revision>
  <cp:lastPrinted>2017-11-09T10:56:00Z</cp:lastPrinted>
  <dcterms:created xsi:type="dcterms:W3CDTF">2017-11-13T09:46:00Z</dcterms:created>
  <dcterms:modified xsi:type="dcterms:W3CDTF">2017-11-20T10:23:00Z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Karen Vandeckerkhove</vt:lpwstr>
  </property>
  <property fmtid="{D5CDD505-2E9C-101B-9397-08002B2CF9AE}" pid="10" name="Type">
    <vt:lpwstr>Eurolook Note &amp; Letter</vt:lpwstr>
  </property>
  <property fmtid="{D5CDD505-2E9C-101B-9397-08002B2CF9AE}" pid="11" name="Language">
    <vt:lpwstr>FR</vt:lpwstr>
  </property>
  <property fmtid="{D5CDD505-2E9C-101B-9397-08002B2CF9AE}" pid="12" name="EL_Language">
    <vt:lpwstr>FR</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Level of sensitivity">
    <vt:lpwstr>Standard treatment</vt:lpwstr>
  </property>
</Properties>
</file>