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E4" w:rsidRDefault="00AE53A9" w:rsidP="00AE53A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929ADCB-44E7-48C3-B778-8CEA46F02207" style="width:450.75pt;height:307.5pt">
            <v:imagedata r:id="rId9" o:title=""/>
          </v:shape>
        </w:pict>
      </w:r>
    </w:p>
    <w:bookmarkEnd w:id="0"/>
    <w:p w:rsidR="00BB1AE4" w:rsidRDefault="00BB1AE4">
      <w:pPr>
        <w:pStyle w:val="Pagedecouverture"/>
        <w:rPr>
          <w:noProof/>
        </w:rPr>
        <w:sectPr w:rsidR="00BB1AE4" w:rsidSect="00AE53A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BB1AE4" w:rsidRDefault="00AE53A9">
      <w:pPr>
        <w:keepNext/>
        <w:spacing w:before="360" w:after="120" w:line="240" w:lineRule="auto"/>
        <w:jc w:val="both"/>
        <w:outlineLvl w:val="0"/>
        <w:rPr>
          <w:rFonts w:ascii="Times New Roman" w:eastAsia="Times New Roman" w:hAnsi="Times New Roman" w:cs="Times New Roman"/>
          <w:b/>
          <w:bCs/>
          <w:smallCaps/>
          <w:noProof/>
          <w:sz w:val="24"/>
          <w:szCs w:val="24"/>
        </w:rPr>
      </w:pPr>
      <w:bookmarkStart w:id="1" w:name="_GoBack"/>
      <w:bookmarkEnd w:id="1"/>
      <w:r>
        <w:rPr>
          <w:rFonts w:ascii="Times New Roman" w:hAnsi="Times New Roman"/>
          <w:b/>
          <w:smallCaps/>
          <w:noProof/>
          <w:sz w:val="24"/>
        </w:rPr>
        <w:lastRenderedPageBreak/>
        <w:t>Sissejuhatus</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Patentide ja standardite koosmõju on innovatsiooni ja majanduskasvu seisukohalt oluline. Standarditega tagatakse, et ettevõtjatele ja </w:t>
      </w:r>
      <w:r>
        <w:rPr>
          <w:rFonts w:ascii="Times New Roman" w:hAnsi="Times New Roman"/>
          <w:noProof/>
          <w:sz w:val="24"/>
        </w:rPr>
        <w:t>tarbijatele pakutakse koostalitlevaid ja turvalisi tehnoloogiaid. Patendid motiveerivad teadus- ja arendustegevust ning võimaldavad innovatiivsetele ettevõtjatele piisava investeeringutasuvuse. Standardites</w:t>
      </w:r>
      <w:r>
        <w:rPr>
          <w:rStyle w:val="FootnoteReference"/>
          <w:rFonts w:ascii="Times New Roman" w:hAnsi="Times New Roman"/>
          <w:noProof/>
          <w:sz w:val="24"/>
        </w:rPr>
        <w:footnoteReference w:id="2"/>
      </w:r>
      <w:r>
        <w:rPr>
          <w:rFonts w:ascii="Times New Roman" w:hAnsi="Times New Roman"/>
          <w:noProof/>
          <w:sz w:val="24"/>
        </w:rPr>
        <w:t xml:space="preserve"> osutatakse tihti patendiga kaitstud tehnoloogiat</w:t>
      </w:r>
      <w:r>
        <w:rPr>
          <w:rFonts w:ascii="Times New Roman" w:hAnsi="Times New Roman"/>
          <w:noProof/>
          <w:sz w:val="24"/>
        </w:rPr>
        <w:t>ele. Patenti, mis kaitseb standardi rakendamiseks olulist tehnoloogiat, nimetatakse standardi rakendamiseks oluliseks patendiks (SEP). SEP kaitseb seega tehnoloogiaid, mis on tehniliste standardite täitmiseks ja nendele standarditele vastavate toodete turu</w:t>
      </w:r>
      <w:r>
        <w:rPr>
          <w:rFonts w:ascii="Times New Roman" w:hAnsi="Times New Roman"/>
          <w:noProof/>
          <w:sz w:val="24"/>
        </w:rPr>
        <w:t xml:space="preserve">stamiseks hädavajalikud. </w:t>
      </w:r>
    </w:p>
    <w:p w:rsidR="00BB1AE4" w:rsidRDefault="00AE53A9">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Standardid toetavad innovatsiooni ja majanduskasvu Euroopas, tagades eelkõige digitehnoloogiate koostalitlusvõime, mis on digitaalse ühtse turu alustala. Näiteks ühenduvad arvutid, nutitelefonid ja tahvelarvutid interneti või muud</w:t>
      </w:r>
      <w:r>
        <w:rPr>
          <w:rFonts w:ascii="Times New Roman" w:hAnsi="Times New Roman"/>
          <w:noProof/>
          <w:sz w:val="24"/>
        </w:rPr>
        <w:t>e seadmetega standardtehnoloogiate (LTE, WiFi, Bluetooth) kaudu, mis on kõik SEPga kaitstud. Ilma taoliste standardtehnoloogiate laialdase kasutamiseta ei oleks selline omavaheline ühenduvus võimalik</w:t>
      </w:r>
      <w:r>
        <w:rPr>
          <w:rStyle w:val="FootnoteReference"/>
          <w:rFonts w:ascii="Times New Roman" w:hAnsi="Times New Roman"/>
          <w:noProof/>
          <w:sz w:val="24"/>
        </w:rPr>
        <w:footnoteReference w:id="3"/>
      </w:r>
      <w:r>
        <w:rPr>
          <w:rFonts w:ascii="Times New Roman" w:hAnsi="Times New Roman"/>
          <w:noProof/>
          <w:sz w:val="24"/>
        </w:rPr>
        <w:t>.</w:t>
      </w:r>
    </w:p>
    <w:p w:rsidR="00BB1AE4" w:rsidRDefault="00BB1AE4">
      <w:pPr>
        <w:autoSpaceDE w:val="0"/>
        <w:autoSpaceDN w:val="0"/>
        <w:adjustRightInd w:val="0"/>
        <w:spacing w:after="0" w:line="240" w:lineRule="auto"/>
        <w:jc w:val="both"/>
        <w:rPr>
          <w:rFonts w:ascii="Times New Roman" w:eastAsia="Calibri" w:hAnsi="Times New Roman" w:cs="Times New Roman"/>
          <w:noProof/>
          <w:sz w:val="24"/>
          <w:szCs w:val="24"/>
        </w:rPr>
      </w:pPr>
    </w:p>
    <w:p w:rsidR="00BB1AE4" w:rsidRDefault="00AE53A9">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Praeguses ülivõrgustunud maailmas on seadmete omavahe</w:t>
      </w:r>
      <w:r>
        <w:rPr>
          <w:rFonts w:ascii="Times New Roman" w:hAnsi="Times New Roman"/>
          <w:noProof/>
          <w:sz w:val="24"/>
        </w:rPr>
        <w:t xml:space="preserve">line ühenduvus varasemast veelgi olulisem. Arvukad uued tooted on vaja omavahel ühendada, et pakkuda tarbijatele lisatooteid- ja teenuseid (nt arukad majapidamisseadmed) ning luua Euroopa ettevõtetele uusi ärivõimalusi. </w:t>
      </w:r>
    </w:p>
    <w:p w:rsidR="00BB1AE4" w:rsidRDefault="00BB1AE4">
      <w:pPr>
        <w:autoSpaceDE w:val="0"/>
        <w:autoSpaceDN w:val="0"/>
        <w:adjustRightInd w:val="0"/>
        <w:spacing w:after="0" w:line="240" w:lineRule="auto"/>
        <w:jc w:val="both"/>
        <w:rPr>
          <w:rFonts w:ascii="Times New Roman" w:eastAsia="Calibri" w:hAnsi="Times New Roman" w:cs="Times New Roman"/>
          <w:noProof/>
          <w:sz w:val="24"/>
          <w:szCs w:val="24"/>
        </w:rPr>
      </w:pPr>
    </w:p>
    <w:p w:rsidR="00BB1AE4" w:rsidRDefault="00AE53A9">
      <w:pPr>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 xml:space="preserve">Majanduse digiteerimine loob ELi </w:t>
      </w:r>
      <w:r>
        <w:rPr>
          <w:rFonts w:ascii="Times New Roman" w:hAnsi="Times New Roman"/>
          <w:noProof/>
          <w:sz w:val="24"/>
        </w:rPr>
        <w:t>tööstusele uusi suurepäraseid võimalusi. Asjade interneti rakenduste hinnanguline majanduslik potentsiaal seadmetes, mis on mõeldud kasutamiseks inimestele, majapidamistes, kontorites, tehastes, ehitusobjektidel, jaemüügikeskkonnas, linnades, sõidukites ja</w:t>
      </w:r>
      <w:r>
        <w:rPr>
          <w:rFonts w:ascii="Times New Roman" w:hAnsi="Times New Roman"/>
          <w:noProof/>
          <w:sz w:val="24"/>
        </w:rPr>
        <w:t xml:space="preserve"> välikeskkonnas, ulatub arenenud riikides aastaks 2025 ligi 9 triljoni euroni aastas</w:t>
      </w:r>
      <w:r>
        <w:rPr>
          <w:rStyle w:val="FootnoteReference"/>
          <w:rFonts w:ascii="Times New Roman" w:hAnsi="Times New Roman"/>
          <w:noProof/>
          <w:sz w:val="24"/>
        </w:rPr>
        <w:footnoteReference w:id="4"/>
      </w:r>
      <w:r>
        <w:rPr>
          <w:rFonts w:ascii="Times New Roman" w:hAnsi="Times New Roman"/>
          <w:noProof/>
          <w:sz w:val="24"/>
        </w:rPr>
        <w:t>. Toodete ja teenuste digiteerimine võib anda Euroopa majandusele lisaks üle 110 miljardi euro tulu aastas järgmise viie aasta jooksul</w:t>
      </w:r>
      <w:r>
        <w:rPr>
          <w:rStyle w:val="FootnoteReference"/>
          <w:rFonts w:ascii="Times New Roman" w:hAnsi="Times New Roman"/>
          <w:noProof/>
          <w:sz w:val="24"/>
        </w:rPr>
        <w:footnoteReference w:id="5"/>
      </w:r>
      <w:r>
        <w:rPr>
          <w:rFonts w:ascii="Times New Roman" w:hAnsi="Times New Roman"/>
          <w:noProof/>
          <w:sz w:val="24"/>
        </w:rPr>
        <w:t>. Ühendatud seadmete ja teenuste koo</w:t>
      </w:r>
      <w:r>
        <w:rPr>
          <w:rFonts w:ascii="Times New Roman" w:hAnsi="Times New Roman"/>
          <w:noProof/>
          <w:sz w:val="24"/>
        </w:rPr>
        <w:t>stalitlusvõime on majanduspotentsiaali maksimeerimiseks ülioluline. Ilma standarditega tagatud koostalitlusvõimeta jääks 40% asjade interneti süsteemide võimalikest eelistest realiseerimata</w:t>
      </w:r>
      <w:r>
        <w:rPr>
          <w:rStyle w:val="FootnoteReference"/>
          <w:rFonts w:ascii="Times New Roman" w:hAnsi="Times New Roman"/>
          <w:noProof/>
          <w:sz w:val="24"/>
        </w:rPr>
        <w:footnoteReference w:id="6"/>
      </w:r>
      <w:r>
        <w:rPr>
          <w:rFonts w:ascii="Times New Roman" w:hAnsi="Times New Roman"/>
          <w:noProof/>
          <w:sz w:val="24"/>
        </w:rPr>
        <w:t>. Ilma ametliku standardimise ja SEPdeta ei oleks näiteks internet</w:t>
      </w:r>
      <w:r>
        <w:rPr>
          <w:rFonts w:ascii="Times New Roman" w:hAnsi="Times New Roman"/>
          <w:noProof/>
          <w:sz w:val="24"/>
        </w:rPr>
        <w:t>iühendusega sõidukeid. Telediagnostika ja kaugoperatsioonide tegemine eraldatud piirkondades asuvates haiglates või patsiendiinfo vahetamine ei oleks samuti võimalik.</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Patendiomanikud annavad standardiorganisatsioonidele standardite koostamiseks vajaliku te</w:t>
      </w:r>
      <w:r>
        <w:rPr>
          <w:rFonts w:ascii="Times New Roman" w:hAnsi="Times New Roman"/>
          <w:noProof/>
          <w:sz w:val="24"/>
        </w:rPr>
        <w:t>hnoloogia. Kui standard on kehtestatud ja SEPde omanikud on võtnud kohustuse anda litsentse õiglastel, mõistlikel ja mittediskrimineerivatel (FRAND) tingimustel, peaks standardiga ette nähtud tehnoloogia olema võimalikele standardi kasutajatele kättesaadav</w:t>
      </w:r>
      <w:r>
        <w:rPr>
          <w:rFonts w:ascii="Times New Roman" w:hAnsi="Times New Roman"/>
          <w:noProof/>
          <w:sz w:val="24"/>
        </w:rPr>
        <w:t xml:space="preserve">. </w:t>
      </w:r>
      <w:r>
        <w:rPr>
          <w:rFonts w:ascii="Times New Roman" w:hAnsi="Times New Roman"/>
          <w:noProof/>
          <w:sz w:val="24"/>
        </w:rPr>
        <w:lastRenderedPageBreak/>
        <w:t>Läbipaistvad litsentsimistavad on seega olulised, et tagada õiglane, mõistlik ja mittediskrimineeriv juurdepääs standardtehnoloogiatele ning tasustada patendiomanikke, et nad jätkaksid investeerimist teadus- ja arendustegevusse ning standardimisse. See o</w:t>
      </w:r>
      <w:r>
        <w:rPr>
          <w:rFonts w:ascii="Times New Roman" w:hAnsi="Times New Roman"/>
          <w:noProof/>
          <w:sz w:val="24"/>
        </w:rPr>
        <w:t xml:space="preserve">makorda mängib olulist rolli ühendatud ühiskonna kujundamisel, kus standardtehnoloogiale juurdepääsu vajavad uued turuosalised, kes tulevad väljastpoolt traditsioonilist IKT-sektorit (majapidamisseadmete, internetiühendusega sõidukite jne tootjad).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Siiski</w:t>
      </w:r>
      <w:r>
        <w:rPr>
          <w:rFonts w:ascii="Times New Roman" w:hAnsi="Times New Roman"/>
          <w:noProof/>
          <w:sz w:val="24"/>
        </w:rPr>
        <w:t xml:space="preserve"> näitab tegelikkus, et SEPde litsentsimine ja õiguskaitse tagamine ei ole sugugi sujuv, vaid võib viia konfliktideni. Tehnoloogiakasutajad süüdistavad SEPde omanikke, et need võtavad nõrkade patendiportfellide eest ülemäärast litsentsitasu ja ähvardavad ko</w:t>
      </w:r>
      <w:r>
        <w:rPr>
          <w:rFonts w:ascii="Times New Roman" w:hAnsi="Times New Roman"/>
          <w:noProof/>
          <w:sz w:val="24"/>
        </w:rPr>
        <w:t>htuga. SEPde omanikud väidavad omakorda, et tehnoloogiakasutajad kasutavad lubamatult ära nende uuendusi ja rikuvad teadlikult intellektuaalomandiõigusi ega pea litsentsiläbirääkimisi heas usus</w:t>
      </w:r>
      <w:r>
        <w:rPr>
          <w:rStyle w:val="FootnoteReference"/>
          <w:rFonts w:ascii="Times New Roman" w:hAnsi="Times New Roman"/>
          <w:noProof/>
          <w:sz w:val="24"/>
        </w:rPr>
        <w:footnoteReference w:id="7"/>
      </w:r>
      <w:r>
        <w:rPr>
          <w:rFonts w:ascii="Times New Roman" w:hAnsi="Times New Roman"/>
          <w:noProof/>
          <w:sz w:val="24"/>
        </w:rPr>
        <w:t>. Probleemid võivad olla eriti teravad, kui standardtehnoloogi</w:t>
      </w:r>
      <w:r>
        <w:rPr>
          <w:rFonts w:ascii="Times New Roman" w:hAnsi="Times New Roman"/>
          <w:noProof/>
          <w:sz w:val="24"/>
        </w:rPr>
        <w:t>ale juurdepääsu vajavad uute tööstussektorite osalejad, kes ei tunne traditsioonilist IKT sektorit. Vaidlused ja viivitused tehnoloogiakasutajate ja tehnoloogiaomanike vahelistes läbirääkimistes võivad lõpptulemusena edasi lükata oluliste standardtehnoloog</w:t>
      </w:r>
      <w:r>
        <w:rPr>
          <w:rFonts w:ascii="Times New Roman" w:hAnsi="Times New Roman"/>
          <w:noProof/>
          <w:sz w:val="24"/>
        </w:rPr>
        <w:t xml:space="preserve">iate laialdase kasutuselevõtu. See võib pärssida omavahel ühenduvate toodete arendamist Euroopas, mis võib omakorda mõjutada ELi majanduse konkurentsivõimet.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2016. aprilli teatises, mis käsitleb standardimise prioriteete digitaalsel ühtsel turul,</w:t>
      </w:r>
      <w:r>
        <w:rPr>
          <w:rStyle w:val="FootnoteReference"/>
          <w:rFonts w:ascii="Times New Roman" w:hAnsi="Times New Roman"/>
          <w:noProof/>
          <w:sz w:val="24"/>
        </w:rPr>
        <w:footnoteReference w:id="8"/>
      </w:r>
      <w:r>
        <w:rPr>
          <w:rFonts w:ascii="Times New Roman" w:hAnsi="Times New Roman"/>
          <w:noProof/>
          <w:sz w:val="24"/>
        </w:rPr>
        <w:t xml:space="preserve"> tõi komisjon välja kolm põhivaldkonda, kus SEP litsentsimiskeskkonda võiks parandada: ebaselge teave SEP vajalikkuse kohta, standardites kasutatavate patenditud tehnoloogiate ebaselge hindamine ja FRAND-tingimuste määratlus ning SEPde õiguskaitse tagamise</w:t>
      </w:r>
      <w:r>
        <w:rPr>
          <w:rFonts w:ascii="Times New Roman" w:hAnsi="Times New Roman"/>
          <w:noProof/>
          <w:sz w:val="24"/>
        </w:rPr>
        <w:t xml:space="preserve">ga seotud ebakindlus. Lisaks tuleks hinnata ka avatud lähtekoodi kogukondade rolli standardite väljatöötamisel.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Seepärast on ELis vaja standardite rakendamiseks oluliste patentide jaoks selget, tasakaalustatud ja mõistlikku poliitikat, et aidata kaasa asj</w:t>
      </w:r>
      <w:r>
        <w:rPr>
          <w:rFonts w:ascii="Times New Roman" w:hAnsi="Times New Roman"/>
          <w:noProof/>
          <w:sz w:val="24"/>
        </w:rPr>
        <w:t xml:space="preserve">ade interneti arendamisele ja kasutada ära Euroopa juhtivat rolli selles valdkonnas. </w:t>
      </w:r>
    </w:p>
    <w:p w:rsidR="00BB1AE4" w:rsidRDefault="00AE53A9">
      <w:pPr>
        <w:spacing w:before="120" w:after="120" w:line="240" w:lineRule="auto"/>
        <w:jc w:val="both"/>
        <w:rPr>
          <w:rFonts w:ascii="Times New Roman" w:eastAsia="Calibri" w:hAnsi="Times New Roman" w:cs="Times New Roman"/>
          <w:i/>
          <w:noProof/>
          <w:sz w:val="24"/>
          <w:szCs w:val="24"/>
        </w:rPr>
      </w:pPr>
      <w:r>
        <w:rPr>
          <w:rFonts w:ascii="Times New Roman" w:hAnsi="Times New Roman"/>
          <w:noProof/>
          <w:sz w:val="24"/>
        </w:rPr>
        <w:t>Sidusrühmade vastandlikud huvid mõnes standardiorganisatsioonis võivad muuta neil organisatsioonidel raskeks anda asjakohaseid suuniseid sellistes keerukates õiguslikes j</w:t>
      </w:r>
      <w:r>
        <w:rPr>
          <w:rFonts w:ascii="Times New Roman" w:hAnsi="Times New Roman"/>
          <w:noProof/>
          <w:sz w:val="24"/>
        </w:rPr>
        <w:t>a intellektuaalomandipoliitika küsimustes. Litsentsimisplatvormi algatused kõnealuses valdkonnas on veel varajases etapis ning rakendajad pole neid veel kasutusele võtnud. Samuti võivad rakendajad praegust ebakindlat SEP regulatiivset keskkonda arvesse võt</w:t>
      </w:r>
      <w:r>
        <w:rPr>
          <w:rFonts w:ascii="Times New Roman" w:hAnsi="Times New Roman"/>
          <w:noProof/>
          <w:sz w:val="24"/>
        </w:rPr>
        <w:t>tes olla kõhklevad ning neil on vähe motivatsiooni sõlmida sellesisulisi kokkuleppeid.</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Lisaks on 5G ja asjade interneti standardimine üleilmne küsimus. Euroopa tööstus on mitmes üleilmse turu sektoris jätkuvalt juhtival kohal. Komisjon märgib, et Euroopa s</w:t>
      </w:r>
      <w:r>
        <w:rPr>
          <w:rFonts w:ascii="Times New Roman" w:hAnsi="Times New Roman"/>
          <w:noProof/>
          <w:sz w:val="24"/>
        </w:rPr>
        <w:t>tandardimisel on ülemaailmses kontekstis oluline roll</w:t>
      </w:r>
      <w:r>
        <w:rPr>
          <w:rStyle w:val="FootnoteReference"/>
          <w:rFonts w:ascii="Times New Roman" w:hAnsi="Times New Roman"/>
          <w:noProof/>
          <w:sz w:val="24"/>
        </w:rPr>
        <w:footnoteReference w:id="9"/>
      </w:r>
      <w:r>
        <w:rPr>
          <w:rFonts w:ascii="Times New Roman" w:hAnsi="Times New Roman"/>
          <w:noProof/>
          <w:sz w:val="24"/>
        </w:rPr>
        <w:t xml:space="preserve">.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Seepärast leiab komisjon, et on tungiv vajadus määrata kindlaks peamised põhimõtted, mis edendavad tasakaalustatud, hästi toimivat ja prognoositavat SEP raamistikku. Need põhimõtted kajastavad kahte </w:t>
      </w:r>
      <w:r>
        <w:rPr>
          <w:rFonts w:ascii="Times New Roman" w:hAnsi="Times New Roman"/>
          <w:noProof/>
          <w:sz w:val="24"/>
        </w:rPr>
        <w:t>peamist eesmärki: stimuleerida tipptehnoloogiate arendamist ja nende kaasamist standarditesse, säilitades õiglase ja piisava tasu selle panuse eest ning tagada standardtehnoloogiate tõrgeteta ja laialdase levitamise õiglastel juurdepääsutingimustel. Tasaka</w:t>
      </w:r>
      <w:r>
        <w:rPr>
          <w:rFonts w:ascii="Times New Roman" w:hAnsi="Times New Roman"/>
          <w:noProof/>
          <w:sz w:val="24"/>
        </w:rPr>
        <w:t xml:space="preserve">alustatud ja edukas SEPde litsentseerimise poliitika peaks toetama Euroopa </w:t>
      </w:r>
      <w:r>
        <w:rPr>
          <w:rFonts w:ascii="Times New Roman" w:hAnsi="Times New Roman"/>
          <w:noProof/>
          <w:sz w:val="24"/>
        </w:rPr>
        <w:lastRenderedPageBreak/>
        <w:t xml:space="preserve">idufirmasid ning tulema kasuks kõigile ELi kodanikele, tehes neile kättesaadavaks tooted ja teenused, mis põhinevad parimal standardtehnoloogial.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Käesolevas teatises apelleeritakse</w:t>
      </w:r>
      <w:r>
        <w:rPr>
          <w:rFonts w:ascii="Times New Roman" w:hAnsi="Times New Roman"/>
          <w:noProof/>
          <w:sz w:val="24"/>
        </w:rPr>
        <w:t xml:space="preserve"> kõigi SEP litsentseerimises osalejate vastutusele ja kutsutakse kõiki sidusrühmi üles andma oma panus selle raamistiku toimimisse praktikas. Teatise eesmärk ei ole anda õiguslikku hinnangut ja see ei mõjuta Euroopa Liidu õiguse tõlgendamist Euroopa Kohtu </w:t>
      </w:r>
      <w:r>
        <w:rPr>
          <w:rFonts w:ascii="Times New Roman" w:hAnsi="Times New Roman"/>
          <w:noProof/>
          <w:sz w:val="24"/>
        </w:rPr>
        <w:t>poolt. See ei ole komisjonile siduv ELi konkurentsieeskirjade, eelkõige Euroopa Liidu toimimise lepingu artiklite 101 ja 102 kohaldamise osas.</w:t>
      </w:r>
    </w:p>
    <w:p w:rsidR="00BB1AE4" w:rsidRDefault="00AE53A9">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hAnsi="Times New Roman"/>
          <w:b/>
          <w:smallCaps/>
          <w:noProof/>
          <w:sz w:val="24"/>
        </w:rPr>
        <w:t>Suurem läbipaistvus SEPde vajalikkuse osas</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Teave SEPde olemasolu, sisu ja olulisuse kohta on väga tähtis, et lits</w:t>
      </w:r>
      <w:r>
        <w:rPr>
          <w:rFonts w:ascii="Times New Roman" w:hAnsi="Times New Roman"/>
          <w:noProof/>
          <w:sz w:val="24"/>
        </w:rPr>
        <w:t>entsiläbirääkimiste protsess oleks õiglane ja et võimalikud kasutajad saaksid hinnata, kui suures osas on asjaomased SEPd nende jaoks olulised ja kes on vajalikud litsentseerimispartnerid. Praegu saavad kasutajad teavet SEPde kohta üksnes standardiorganisa</w:t>
      </w:r>
      <w:r>
        <w:rPr>
          <w:rFonts w:ascii="Times New Roman" w:hAnsi="Times New Roman"/>
          <w:noProof/>
          <w:sz w:val="24"/>
        </w:rPr>
        <w:t>tsioonide hallatavatest deklaratsioonide andmebaasidest, mis ei pruugi olla väga läbipaistvad. Selline olukord muudab litsentsiläbirääkimised ja SEPdega seotud riskide prognoosimise keeruliseks, seda eelkõige idufirmade ja VKEde jaoks. Deklaratsioonide pea</w:t>
      </w:r>
      <w:r>
        <w:rPr>
          <w:rFonts w:ascii="Times New Roman" w:hAnsi="Times New Roman"/>
          <w:noProof/>
          <w:sz w:val="24"/>
        </w:rPr>
        <w:t>mine eesmärk on kinnitada standardiorganisatsioonile ja kõigile kolmandatele isikutele, et tehnoloogia tehakse kasutajatele kättesaadavaks, seda tavaliselt kohustuse alusel anda litsentse FRAND-tingimustel.</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Standardiorganisatsioonide andmebaasides võib oll</w:t>
      </w:r>
      <w:r>
        <w:rPr>
          <w:rFonts w:ascii="Times New Roman" w:hAnsi="Times New Roman"/>
          <w:noProof/>
          <w:sz w:val="24"/>
        </w:rPr>
        <w:t>a kümneid tuhandeid SEPsid ühe standardi kohta ja see trend on kasvamas</w:t>
      </w:r>
      <w:r>
        <w:rPr>
          <w:rStyle w:val="FootnoteReference"/>
          <w:rFonts w:ascii="Times New Roman" w:hAnsi="Times New Roman"/>
          <w:noProof/>
          <w:sz w:val="24"/>
        </w:rPr>
        <w:footnoteReference w:id="10"/>
      </w:r>
      <w:r>
        <w:rPr>
          <w:rFonts w:ascii="Times New Roman" w:hAnsi="Times New Roman"/>
          <w:noProof/>
          <w:sz w:val="24"/>
        </w:rPr>
        <w:t>. Deklaratsioonid põhinevad patendiomaniku enda tehtud hinnangul ja nende suhtes ei kohaldata kontrolli deklareeritud patendi vajalikkuse kohta, mis võib muutuda standardi vastuvõtmise</w:t>
      </w:r>
      <w:r>
        <w:rPr>
          <w:rFonts w:ascii="Times New Roman" w:hAnsi="Times New Roman"/>
          <w:noProof/>
          <w:sz w:val="24"/>
        </w:rPr>
        <w:t xml:space="preserve"> käigus. Lisaks on sidusrühmad teatanud, et isegi konkreetse litsentsiläbirääkimise käigus ei suuda litsentsiandjad oma väidete toetamiseks esitada täpsemat teavet. See on eriti probleemne asjade interneti kontekstis, kus ühenduvuse turule sisenevad uued o</w:t>
      </w:r>
      <w:r>
        <w:rPr>
          <w:rFonts w:ascii="Times New Roman" w:hAnsi="Times New Roman"/>
          <w:noProof/>
          <w:sz w:val="24"/>
        </w:rPr>
        <w:t>salejad, kellel on SEP litsentside taotlemisega vähe kogemusi. Seepärast leiab komisjon, et meetmed, nagu neid on allpool kirjeldatud, on vajalikud, et parandada SEPde kohta antavat teavet.</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Parandada standardiorganisatsioonide andmebaasidesse kantud andmet</w:t>
      </w:r>
      <w:r>
        <w:rPr>
          <w:rFonts w:ascii="Times New Roman" w:hAnsi="Times New Roman"/>
          <w:b/>
          <w:smallCaps/>
          <w:noProof/>
          <w:sz w:val="24"/>
        </w:rPr>
        <w:t>e kvaliteeti ja kättesaadavust</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Komisjon on seisukohal, et standardiorganisatsioonid peaksid esitama oma andmebaasides üksikasjaliku teabe, et toetada SEP litsentsimisraamistikku. Kuigi standardiorganisatsioonide andmebaasidesse on kogutud suurel hulgal dek</w:t>
      </w:r>
      <w:r>
        <w:rPr>
          <w:rFonts w:ascii="Times New Roman" w:hAnsi="Times New Roman"/>
          <w:noProof/>
          <w:sz w:val="24"/>
        </w:rPr>
        <w:t>lareerimisandmeid,</w:t>
      </w:r>
      <w:r>
        <w:rPr>
          <w:rStyle w:val="FootnoteReference"/>
          <w:rFonts w:ascii="Times New Roman" w:hAnsi="Times New Roman"/>
          <w:noProof/>
          <w:sz w:val="24"/>
        </w:rPr>
        <w:footnoteReference w:id="11"/>
      </w:r>
      <w:r>
        <w:rPr>
          <w:rFonts w:ascii="Times New Roman" w:hAnsi="Times New Roman"/>
          <w:noProof/>
          <w:sz w:val="24"/>
        </w:rPr>
        <w:t xml:space="preserve"> ei ole huvitatud isikutel tihti neile kasutajasõbralikku juurdepääsu. Samuti puuduvad neil olulised kvaliteedinäitajad. Seepärast on komisjon seisukohal, et andmebaaside kvaliteeti ja kättesaadavust tuleks parandada</w:t>
      </w:r>
      <w:r>
        <w:rPr>
          <w:rStyle w:val="FootnoteReference"/>
          <w:rFonts w:ascii="Times New Roman" w:hAnsi="Times New Roman"/>
          <w:noProof/>
          <w:sz w:val="24"/>
        </w:rPr>
        <w:footnoteReference w:id="12"/>
      </w:r>
      <w:r>
        <w:rPr>
          <w:rFonts w:ascii="Times New Roman" w:hAnsi="Times New Roman"/>
          <w:noProof/>
          <w:sz w:val="24"/>
        </w:rPr>
        <w:t>. Esiteks peaksid an</w:t>
      </w:r>
      <w:r>
        <w:rPr>
          <w:rFonts w:ascii="Times New Roman" w:hAnsi="Times New Roman"/>
          <w:noProof/>
          <w:sz w:val="24"/>
        </w:rPr>
        <w:t>dmed olema kasutajasõbralike liideste kaudu hõlpsasti kättesaadavad nii patendiomanikele, rakendajatele kui ka kolmandatele isikutele. Kogu deklareeritud teavet peaks olema võimalik otsida standardiprojektide järgi, mille tarbeks võib vaja olla viia varase</w:t>
      </w:r>
      <w:r>
        <w:rPr>
          <w:rFonts w:ascii="Times New Roman" w:hAnsi="Times New Roman"/>
          <w:noProof/>
          <w:sz w:val="24"/>
        </w:rPr>
        <w:t>mad andmed praegusele kujule. Kvaliteediprotsessi käigus tuleks kaotada dubleerivad andmed ja muud ilmsed vead. Andmebaasis peaksid olema ka lingid patendiameti andmebaasidele, sealhulgas patendi staatuse, omandiõiguse ja selle ülemineku ajakohastamised. A</w:t>
      </w:r>
      <w:r>
        <w:rPr>
          <w:rFonts w:ascii="Times New Roman" w:hAnsi="Times New Roman"/>
          <w:noProof/>
          <w:sz w:val="24"/>
        </w:rPr>
        <w:t>ndmebaaside parendamise töö peab käima käsikäes rangema kontrolliga deklareerimisnõuete täitmise üle, nagu see on kirjas standardiorganisatsioonide strateegias, eesmärgiga vältida mittetäielikke deklaratsioone</w:t>
      </w:r>
      <w:r>
        <w:rPr>
          <w:rStyle w:val="FootnoteReference"/>
          <w:rFonts w:ascii="Times New Roman" w:hAnsi="Times New Roman"/>
          <w:noProof/>
          <w:sz w:val="24"/>
        </w:rPr>
        <w:footnoteReference w:id="13"/>
      </w:r>
      <w:r>
        <w:rPr>
          <w:rFonts w:ascii="Times New Roman" w:hAnsi="Times New Roman"/>
          <w:noProof/>
          <w:sz w:val="24"/>
        </w:rPr>
        <w:t>.</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Litsentsiläbirääkimisi toetava teabevahendi </w:t>
      </w:r>
      <w:r>
        <w:rPr>
          <w:rFonts w:ascii="Times New Roman" w:hAnsi="Times New Roman"/>
          <w:b/>
          <w:smallCaps/>
          <w:noProof/>
          <w:sz w:val="24"/>
        </w:rPr>
        <w:t>väljatöötamine</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Komisjon märgib, et praegune taotluste esitamise süsteem standardiorganisatsioonides toetab tehniliste standardite koostamise protsessi, kuid ei ole suunatud tulevasele SEP litsentsimisele. Siiski on selge, et deklaratsioonide ja andmebaasid</w:t>
      </w:r>
      <w:r>
        <w:rPr>
          <w:rFonts w:ascii="Times New Roman" w:hAnsi="Times New Roman"/>
          <w:noProof/>
          <w:sz w:val="24"/>
        </w:rPr>
        <w:t>ega seotud praeguse tava ja nende eesmärkide laiendamisel uute läbipaistvust suurendavate vahendite loomisele, kaotamata nende põhieesmärki, võib olla selgeid eeliseid ja see võib oluliselt hõlbustada litsentsimisalaseid läbirääkimisi. Proportsionaalsuskaa</w:t>
      </w:r>
      <w:r>
        <w:rPr>
          <w:rFonts w:ascii="Times New Roman" w:hAnsi="Times New Roman"/>
          <w:noProof/>
          <w:sz w:val="24"/>
        </w:rPr>
        <w:t>lutlused on siinkohal väga olulised. Kuigi ülemäärast koormust sidusrühmade jaoks tuleks vältida, tuleb siiski meeles pidada, et teatavates litsentsiläbirääkimistes on patendiomanikel vaja investeerida sellesse, et selgitada SEPde kasutajatele, miks patend</w:t>
      </w:r>
      <w:r>
        <w:rPr>
          <w:rFonts w:ascii="Times New Roman" w:hAnsi="Times New Roman"/>
          <w:noProof/>
          <w:sz w:val="24"/>
        </w:rPr>
        <w:t>iomaniku patendid on standardi jaoks olulised ja kuidas neid patente rikutakse</w:t>
      </w:r>
      <w:r>
        <w:rPr>
          <w:rStyle w:val="FootnoteReference"/>
          <w:rFonts w:ascii="Times New Roman" w:hAnsi="Times New Roman"/>
          <w:noProof/>
          <w:sz w:val="24"/>
        </w:rPr>
        <w:footnoteReference w:id="14"/>
      </w:r>
      <w:r>
        <w:rPr>
          <w:rFonts w:ascii="Times New Roman" w:hAnsi="Times New Roman"/>
          <w:noProof/>
          <w:sz w:val="24"/>
        </w:rPr>
        <w:t>. Komisjon on seetõttu seisukohal, et soovitatud järk-järgulised parandused koos kulude kontrolli all hoidmisega võivad litsentsiläbirääkimistes üldisi tehingukulusid ja patendi</w:t>
      </w:r>
      <w:r>
        <w:rPr>
          <w:rFonts w:ascii="Times New Roman" w:hAnsi="Times New Roman"/>
          <w:noProof/>
          <w:sz w:val="24"/>
        </w:rPr>
        <w:t xml:space="preserve"> rikkumise ohtu oluliselt vähendada, mis tuleb kasuks läbirääkimiste mõlemale poolele</w:t>
      </w:r>
      <w:r>
        <w:rPr>
          <w:rStyle w:val="FootnoteReference"/>
          <w:rFonts w:ascii="Times New Roman" w:hAnsi="Times New Roman"/>
          <w:noProof/>
          <w:sz w:val="24"/>
        </w:rPr>
        <w:footnoteReference w:id="15"/>
      </w:r>
      <w:r>
        <w:rPr>
          <w:rFonts w:ascii="Times New Roman" w:hAnsi="Times New Roman"/>
          <w:noProof/>
          <w:sz w:val="24"/>
        </w:rPr>
        <w:t>.</w:t>
      </w:r>
    </w:p>
    <w:p w:rsidR="00BB1AE4" w:rsidRDefault="00AE53A9">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hAnsi="Times New Roman"/>
          <w:b/>
          <w:noProof/>
          <w:sz w:val="24"/>
        </w:rPr>
        <w:t>Ajakohasemad ja täpsemad deklaratsioonid</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Deklaratsioonid esitatakse standardimisprotsessi varajases etapis ja reeglina neid hiljem enam läbi ei vaadata. </w:t>
      </w:r>
      <w:r>
        <w:rPr>
          <w:rFonts w:ascii="Times New Roman" w:hAnsi="Times New Roman"/>
          <w:noProof/>
          <w:sz w:val="24"/>
        </w:rPr>
        <w:t>Standardimisprotsessi läbirääkimistel soovitatud tehnilised lahendused aga muutuvad kuni lõpliku standardi</w:t>
      </w:r>
      <w:r>
        <w:rPr>
          <w:rStyle w:val="FootnoteReference"/>
          <w:rFonts w:ascii="Times New Roman" w:hAnsi="Times New Roman"/>
          <w:noProof/>
          <w:sz w:val="24"/>
        </w:rPr>
        <w:footnoteReference w:id="16"/>
      </w:r>
      <w:r>
        <w:rPr>
          <w:rFonts w:ascii="Times New Roman" w:hAnsi="Times New Roman"/>
          <w:noProof/>
          <w:sz w:val="24"/>
        </w:rPr>
        <w:t xml:space="preserve"> vastuvõtmiseni. Kuigi enamik deklaratsioone puudutab patenditaotlusi, võib patendinõudlus pärast standardi vastuvõtmist antud lõplikus patendis olul</w:t>
      </w:r>
      <w:r>
        <w:rPr>
          <w:rFonts w:ascii="Times New Roman" w:hAnsi="Times New Roman"/>
          <w:noProof/>
          <w:sz w:val="24"/>
        </w:rPr>
        <w:t>iselt erineda,</w:t>
      </w:r>
      <w:r>
        <w:rPr>
          <w:rStyle w:val="FootnoteReference"/>
          <w:rFonts w:ascii="Times New Roman" w:hAnsi="Times New Roman"/>
          <w:noProof/>
          <w:sz w:val="24"/>
        </w:rPr>
        <w:footnoteReference w:id="17"/>
      </w:r>
      <w:r>
        <w:rPr>
          <w:rFonts w:ascii="Times New Roman" w:hAnsi="Times New Roman"/>
          <w:noProof/>
          <w:sz w:val="24"/>
        </w:rPr>
        <w:t xml:space="preserve"> kuna nõudluse sisu võib patendi andmise menetluse jooksul muutuda. Seega peaksid õiguste omajad oma deklaratsioonid lõpliku standardi (ja selle oluliste hilisemate läbivaatamiste) vastuvõtmisel üle vaatama ja ka siis, kui lõplik otsus patendi andmise koht</w:t>
      </w:r>
      <w:r>
        <w:rPr>
          <w:rFonts w:ascii="Times New Roman" w:hAnsi="Times New Roman"/>
          <w:noProof/>
          <w:sz w:val="24"/>
        </w:rPr>
        <w:t xml:space="preserve">a on tehtud.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Deklaratsioonid peaksid sisaldama piisavalt teavet ka patendi vajalikkuse hindamiseks. Patendi omanikud peaksid vähemalt esitama viite standardi osale, mis on SEP jaoks oluline, ja lingi patendiperele. Deklaratsioonis tuleks samuti selgelt är</w:t>
      </w:r>
      <w:r>
        <w:rPr>
          <w:rFonts w:ascii="Times New Roman" w:hAnsi="Times New Roman"/>
          <w:noProof/>
          <w:sz w:val="24"/>
        </w:rPr>
        <w:t>a märkida deklareeritud SEP omaniku/litsentsiandja kontaktandmed.</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Tuleb ka märkida, et peamiste tehnoloogiate SEPdega tekib rohkem kohtuvaidlusi</w:t>
      </w:r>
      <w:r>
        <w:rPr>
          <w:rStyle w:val="FootnoteReference"/>
          <w:rFonts w:ascii="Times New Roman" w:hAnsi="Times New Roman"/>
          <w:noProof/>
          <w:sz w:val="24"/>
        </w:rPr>
        <w:footnoteReference w:id="18"/>
      </w:r>
      <w:r>
        <w:rPr>
          <w:rFonts w:ascii="Times New Roman" w:hAnsi="Times New Roman"/>
          <w:noProof/>
          <w:sz w:val="24"/>
        </w:rPr>
        <w:t>. Seotud teave on oluline kõigile huvitatud litsentsisaajatele ja võib aidata tulevasi kohtuvaidlusi vältida. S</w:t>
      </w:r>
      <w:r>
        <w:rPr>
          <w:rFonts w:ascii="Times New Roman" w:hAnsi="Times New Roman"/>
          <w:noProof/>
          <w:sz w:val="24"/>
        </w:rPr>
        <w:t>tandardiorganisatsioonid peaksid seega looma patendiomanikele ja tehnoloogia kasutajatele võimaluse ja stiimulid esitada viide vastavale juhtumile ja deklareeritud SEPd (sh selle olulisust ja patendi kehtivust) puudutava positiivse või negatiivse lõpliku o</w:t>
      </w:r>
      <w:r>
        <w:rPr>
          <w:rFonts w:ascii="Times New Roman" w:hAnsi="Times New Roman"/>
          <w:noProof/>
          <w:sz w:val="24"/>
        </w:rPr>
        <w:t xml:space="preserve">tsuse põhisisu. Kuna äriühingud lähevad kohtusse vaid mõne väärtusliku patendi pärast, mis nende portfellis on, ning nii patendiomanikud kui ka kasutajad peaksid olema huvitatud sellest, et anda teada nende kasuks tehtud otsusest, peaks käesoleva meetmega </w:t>
      </w:r>
      <w:r>
        <w:rPr>
          <w:rFonts w:ascii="Times New Roman" w:hAnsi="Times New Roman"/>
          <w:noProof/>
          <w:sz w:val="24"/>
        </w:rPr>
        <w:t xml:space="preserve">seotud halduskoormus olema väike. </w:t>
      </w:r>
    </w:p>
    <w:p w:rsidR="00BB1AE4" w:rsidRDefault="00AE53A9">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hAnsi="Times New Roman"/>
          <w:b/>
          <w:noProof/>
          <w:sz w:val="24"/>
        </w:rPr>
        <w:t>Olulisuse kontroll</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Tõendid näitavad suurt üledeklareerimise ohtu, mistõttu on vaja luua suurem usaldusväärsus SEP olulisuse osas</w:t>
      </w:r>
      <w:r>
        <w:rPr>
          <w:rStyle w:val="FootnoteReference"/>
          <w:rFonts w:ascii="Times New Roman" w:hAnsi="Times New Roman"/>
          <w:noProof/>
          <w:sz w:val="24"/>
        </w:rPr>
        <w:footnoteReference w:id="19"/>
      </w:r>
      <w:r>
        <w:rPr>
          <w:rFonts w:ascii="Times New Roman" w:hAnsi="Times New Roman"/>
          <w:noProof/>
          <w:sz w:val="24"/>
        </w:rPr>
        <w:t>. Sidusrühmad märgivad, et registreeritud deklaratsioonid loovad litsentsisaajatega läbirääk</w:t>
      </w:r>
      <w:r>
        <w:rPr>
          <w:rFonts w:ascii="Times New Roman" w:hAnsi="Times New Roman"/>
          <w:noProof/>
          <w:sz w:val="24"/>
        </w:rPr>
        <w:t xml:space="preserve">imistes </w:t>
      </w:r>
      <w:r>
        <w:rPr>
          <w:rFonts w:ascii="Times New Roman" w:hAnsi="Times New Roman"/>
          <w:i/>
          <w:noProof/>
          <w:sz w:val="24"/>
        </w:rPr>
        <w:t>de facto</w:t>
      </w:r>
      <w:r>
        <w:rPr>
          <w:rFonts w:ascii="Times New Roman" w:hAnsi="Times New Roman"/>
          <w:noProof/>
          <w:sz w:val="24"/>
        </w:rPr>
        <w:t xml:space="preserve"> olulisuse eelduse</w:t>
      </w:r>
      <w:r>
        <w:rPr>
          <w:rStyle w:val="FootnoteReference"/>
          <w:rFonts w:ascii="Times New Roman" w:hAnsi="Times New Roman"/>
          <w:noProof/>
          <w:sz w:val="24"/>
        </w:rPr>
        <w:footnoteReference w:id="20"/>
      </w:r>
      <w:r>
        <w:rPr>
          <w:rFonts w:ascii="Times New Roman" w:hAnsi="Times New Roman"/>
          <w:noProof/>
          <w:sz w:val="24"/>
        </w:rPr>
        <w:t>. See stsenaarium paneb igale huvitatud litsentsisaajale, eriti VKEdele ja idufirmadele, suure koormuse kontrollida suure arvu SEPde olulisust litsentsiläbirääkimistes.</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Seepärast on olulisuse väiteid vaja põhjalikumalt ko</w:t>
      </w:r>
      <w:r>
        <w:rPr>
          <w:rFonts w:ascii="Times New Roman" w:hAnsi="Times New Roman"/>
          <w:noProof/>
          <w:sz w:val="24"/>
        </w:rPr>
        <w:t>ntrollida. Selle jaoks on vaja, et kontrollimise teeks õigel ajal sõltumatu isik, kellel on selleks tehnilised võimalused ja kes on turul tunnustatud. Siinkohal tuleb aga silmas pidada, et sellise SEP kontrollinõude sisseviimise kulud peavad olema proports</w:t>
      </w:r>
      <w:r>
        <w:rPr>
          <w:rFonts w:ascii="Times New Roman" w:hAnsi="Times New Roman"/>
          <w:noProof/>
          <w:sz w:val="24"/>
        </w:rPr>
        <w:t>ionaalsed</w:t>
      </w:r>
      <w:r>
        <w:rPr>
          <w:rStyle w:val="FootnoteReference"/>
          <w:rFonts w:ascii="Times New Roman" w:hAnsi="Times New Roman"/>
          <w:noProof/>
          <w:sz w:val="24"/>
        </w:rPr>
        <w:footnoteReference w:id="21"/>
      </w:r>
      <w:r>
        <w:rPr>
          <w:rFonts w:ascii="Times New Roman" w:hAnsi="Times New Roman"/>
          <w:noProof/>
          <w:sz w:val="24"/>
        </w:rPr>
        <w:t>. Järkjärguline lähenemine, kus kontrollimist tehakse kas patendiomaniku või tulevase kasutaja taotlusel, määrates kindlaks kontrollimise põhjalikkuse ja piirdudes ühe patendiga patendiperes ja väljavõtteliste uuringutega, võib tagada selle meetm</w:t>
      </w:r>
      <w:r>
        <w:rPr>
          <w:rFonts w:ascii="Times New Roman" w:hAnsi="Times New Roman"/>
          <w:noProof/>
          <w:sz w:val="24"/>
        </w:rPr>
        <w:t>e õige kulude-tulude tasakaalu</w:t>
      </w:r>
      <w:r>
        <w:rPr>
          <w:rStyle w:val="FootnoteReference"/>
          <w:rFonts w:ascii="Times New Roman" w:hAnsi="Times New Roman"/>
          <w:noProof/>
          <w:sz w:val="24"/>
        </w:rPr>
        <w:footnoteReference w:id="22"/>
      </w:r>
      <w:r>
        <w:rPr>
          <w:rFonts w:ascii="Times New Roman" w:hAnsi="Times New Roman"/>
          <w:noProof/>
          <w:sz w:val="24"/>
        </w:rPr>
        <w:t>.</w:t>
      </w:r>
    </w:p>
    <w:p w:rsidR="00BB1AE4" w:rsidRDefault="00AE53A9">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hAnsi="Times New Roman"/>
          <w:b/>
          <w:noProof/>
          <w:sz w:val="24"/>
        </w:rPr>
        <w:t>Rakendusvahendid</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Kuigi suurema läbipaistvuse eelised on vaieldamatud, peab sellega seotud koormus olema proportsionaalne. Seega võib kaaluda meetmete järkjärgulist laiendamist ning nende kasutamist ainult uute ja peamiste t</w:t>
      </w:r>
      <w:r>
        <w:rPr>
          <w:rFonts w:ascii="Times New Roman" w:hAnsi="Times New Roman"/>
          <w:noProof/>
          <w:sz w:val="24"/>
        </w:rPr>
        <w:t xml:space="preserve">ehnoloogiate, näiteks 5G korral.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Esimese sammuna võiks motiveerida sidusrühmi suuremat läbipaistvust väärtustama, nt sertifitseerides, et nende deklareeritud SEP portfellid vastavad läbipaistvuse kriteeriumidele. Kõnealust sertifitseerimist saaks hiljem k</w:t>
      </w:r>
      <w:r>
        <w:rPr>
          <w:rFonts w:ascii="Times New Roman" w:hAnsi="Times New Roman"/>
          <w:noProof/>
          <w:sz w:val="24"/>
        </w:rPr>
        <w:t>asutada litsentsiläbirääkimistes ja kohtuvaidlustes. Lisaks soovitatakse komisjoni tellimusel teostatud hiljutises uuringus, et standardiorganisatsioonid võiksid kaaluda (mõõduka) tasu kehtestamist SEP deklaratsioonide kinnitamise eest pärast standardi ava</w:t>
      </w:r>
      <w:r>
        <w:rPr>
          <w:rFonts w:ascii="Times New Roman" w:hAnsi="Times New Roman"/>
          <w:noProof/>
          <w:sz w:val="24"/>
        </w:rPr>
        <w:t>likustamist ja patentide andmist, et anda SEP omanikele stiimul oma deklaratsioonid läbi vaadata ja säilitada üksnes need, mis on asjakohased</w:t>
      </w:r>
      <w:r>
        <w:rPr>
          <w:rStyle w:val="FootnoteReference"/>
          <w:rFonts w:ascii="Times New Roman" w:hAnsi="Times New Roman"/>
          <w:noProof/>
          <w:sz w:val="24"/>
        </w:rPr>
        <w:footnoteReference w:id="23"/>
      </w:r>
      <w:r>
        <w:rPr>
          <w:rFonts w:ascii="Times New Roman" w:hAnsi="Times New Roman"/>
          <w:noProof/>
          <w:sz w:val="24"/>
        </w:rPr>
        <w:t>.</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Olulisuse kontrolli kaalumisel võivad patendiametid olla suurepärased kandidaadid sünergiate ärakasutamiseks ja </w:t>
      </w:r>
      <w:r>
        <w:rPr>
          <w:rFonts w:ascii="Times New Roman" w:hAnsi="Times New Roman"/>
          <w:noProof/>
          <w:sz w:val="24"/>
        </w:rPr>
        <w:t>kulude vähendamiseks</w:t>
      </w:r>
      <w:r>
        <w:rPr>
          <w:rStyle w:val="FootnoteReference"/>
          <w:rFonts w:ascii="Times New Roman" w:hAnsi="Times New Roman"/>
          <w:noProof/>
          <w:sz w:val="24"/>
        </w:rPr>
        <w:footnoteReference w:id="24"/>
      </w:r>
      <w:r>
        <w:rPr>
          <w:rFonts w:ascii="Times New Roman" w:hAnsi="Times New Roman"/>
          <w:noProof/>
          <w:sz w:val="24"/>
        </w:rPr>
        <w:t>. Komisjon toetab nende kaasamise teostatavuse täiendavat analüüsi eesmärgiga tagada tõhusad ja proportsionaalsed lahendused.</w:t>
      </w:r>
      <w:r>
        <w:rPr>
          <w:noProof/>
        </w:rPr>
        <w:t xml:space="preserve"> </w:t>
      </w:r>
      <w:r>
        <w:rPr>
          <w:rFonts w:ascii="Times New Roman" w:hAnsi="Times New Roman"/>
          <w:noProof/>
          <w:sz w:val="24"/>
        </w:rPr>
        <w:t>Sõltuvalt selle projekti tulemustest võidakse SEP olulisuse hindamine teha ülesandeks sõltumatule Euroopa ame</w:t>
      </w:r>
      <w:r>
        <w:rPr>
          <w:rFonts w:ascii="Times New Roman" w:hAnsi="Times New Roman"/>
          <w:noProof/>
          <w:sz w:val="24"/>
        </w:rPr>
        <w:t>tile.</w:t>
      </w:r>
    </w:p>
    <w:p w:rsidR="00BB1AE4" w:rsidRDefault="00AE53A9">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Komisjon:</w:t>
      </w:r>
    </w:p>
    <w:p w:rsidR="00BB1AE4" w:rsidRDefault="00AE53A9">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kutsub standardiorganisatsioone üles kiiresti tagama oma andmebaaside vastavus eespool nimetatud peamistele kvaliteedinõuetele ning teeb selle protsessi hõlbustamiseks standardiorganisatsioonidega koostööd;</w:t>
      </w:r>
    </w:p>
    <w:p w:rsidR="00BB1AE4" w:rsidRDefault="00AE53A9">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kutsub standardiorganisatsioo</w:t>
      </w:r>
      <w:r>
        <w:rPr>
          <w:rFonts w:ascii="Times New Roman" w:hAnsi="Times New Roman"/>
          <w:i/>
          <w:noProof/>
          <w:sz w:val="24"/>
        </w:rPr>
        <w:t>ne üles muutma praegune deklareerimissüsteem vahendiks, mis annab rohkem ajakohastatud ja täpset teavet SEPde kohta, ning teeb selle protsessi hõlbustamiseks standardiorganisatsioonidega koostööd;</w:t>
      </w:r>
    </w:p>
    <w:p w:rsidR="00BB1AE4" w:rsidRDefault="00AE53A9">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leiab, et standardi rakendamiseks oluliste patentide puhu</w:t>
      </w:r>
      <w:r>
        <w:rPr>
          <w:rFonts w:ascii="Times New Roman" w:hAnsi="Times New Roman"/>
          <w:i/>
          <w:noProof/>
          <w:sz w:val="24"/>
        </w:rPr>
        <w:t xml:space="preserve">l oleks vaja usaldusväärset kontrolli nende olulisuse kohta standardi jaoks ning käivitab SEP katseprojekti valitud tehnoloogiate jaoks, et hõlbustada asjakohase kontrollimehhanismi kasutuselevõtmist. </w:t>
      </w:r>
    </w:p>
    <w:p w:rsidR="00BB1AE4" w:rsidRDefault="00AE53A9">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hAnsi="Times New Roman"/>
          <w:b/>
          <w:smallCaps/>
          <w:noProof/>
          <w:sz w:val="24"/>
        </w:rPr>
        <w:t>SEPde FRAND-litsentsimistingimuste üldpõhimõtted</w:t>
      </w:r>
      <w:r>
        <w:rPr>
          <w:rFonts w:ascii="Times New Roman" w:hAnsi="Times New Roman"/>
          <w:noProof/>
          <w:sz w:val="24"/>
        </w:rPr>
        <w:t xml:space="preserve">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Komisjon leiab, et osapooled jõuavad õiglastes litsentsimistingimustes ja õiglastes tasudes kõige paremini ühisele arusaamisele heas usus läbirääkimiste kaudu. Praegu takistab litsentsimist FRAND-tingimuste tähenduse ebaselge ja erinev tõlgendamine. Arutel</w:t>
      </w:r>
      <w:r>
        <w:rPr>
          <w:rFonts w:ascii="Times New Roman" w:hAnsi="Times New Roman"/>
          <w:noProof/>
          <w:sz w:val="24"/>
        </w:rPr>
        <w:t>u on eriti tuline, kui jutuks on hindamispõhimõtted. Erinevad seisukohad ja kohtuvaidlused FRAND-tingimustel litsentsimise üle võivad aeglustada standardimisprotsessi ning uute tehnoloogiate ja asjade interneti kasutuselevõttu Euroopas. Komisjon on seetõtt</w:t>
      </w:r>
      <w:r>
        <w:rPr>
          <w:rFonts w:ascii="Times New Roman" w:hAnsi="Times New Roman"/>
          <w:noProof/>
          <w:sz w:val="24"/>
        </w:rPr>
        <w:t>u seisukohal, et on vajalik ja kasulik määrata kindlaks esimesed olulised suunised FRAND-tingimuste mõiste kohta, et tagada stabiilsem litsentsimiskeskkond, juhendada osapooli läbirääkimistes ja vähendada kohtuvaidlusi.</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Allpool esitatud juhised põhinevad </w:t>
      </w:r>
      <w:r>
        <w:rPr>
          <w:rFonts w:ascii="Times New Roman" w:hAnsi="Times New Roman"/>
          <w:noProof/>
          <w:sz w:val="24"/>
        </w:rPr>
        <w:t>avaliku konsultatsiooni tulemustel,</w:t>
      </w:r>
      <w:r>
        <w:rPr>
          <w:rStyle w:val="FootnoteReference"/>
          <w:rFonts w:ascii="Times New Roman" w:hAnsi="Times New Roman"/>
          <w:noProof/>
          <w:sz w:val="24"/>
        </w:rPr>
        <w:footnoteReference w:id="25"/>
      </w:r>
      <w:r>
        <w:rPr>
          <w:rFonts w:ascii="Times New Roman" w:hAnsi="Times New Roman"/>
          <w:noProof/>
          <w:sz w:val="24"/>
        </w:rPr>
        <w:t xml:space="preserve"> parimate tavade analüüsil,</w:t>
      </w:r>
      <w:r>
        <w:rPr>
          <w:rStyle w:val="FootnoteReference"/>
          <w:rFonts w:ascii="Times New Roman" w:hAnsi="Times New Roman"/>
          <w:noProof/>
          <w:sz w:val="24"/>
        </w:rPr>
        <w:footnoteReference w:id="26"/>
      </w:r>
      <w:r>
        <w:rPr>
          <w:rFonts w:ascii="Times New Roman" w:hAnsi="Times New Roman"/>
          <w:noProof/>
          <w:sz w:val="24"/>
        </w:rPr>
        <w:t xml:space="preserve"> uuringutel</w:t>
      </w:r>
      <w:r>
        <w:rPr>
          <w:rStyle w:val="FootnoteReference"/>
          <w:rFonts w:ascii="Times New Roman" w:hAnsi="Times New Roman"/>
          <w:noProof/>
          <w:sz w:val="24"/>
        </w:rPr>
        <w:footnoteReference w:id="27"/>
      </w:r>
      <w:r>
        <w:rPr>
          <w:rFonts w:ascii="Times New Roman" w:hAnsi="Times New Roman"/>
          <w:noProof/>
          <w:sz w:val="24"/>
        </w:rPr>
        <w:t xml:space="preserve"> ning samuti liikmesriikide kohtupraktikal</w:t>
      </w:r>
      <w:r>
        <w:rPr>
          <w:rStyle w:val="FootnoteReference"/>
          <w:rFonts w:ascii="Times New Roman" w:hAnsi="Times New Roman"/>
          <w:noProof/>
          <w:sz w:val="24"/>
        </w:rPr>
        <w:footnoteReference w:id="28"/>
      </w:r>
      <w:r>
        <w:rPr>
          <w:rFonts w:ascii="Times New Roman" w:hAnsi="Times New Roman"/>
          <w:noProof/>
          <w:sz w:val="24"/>
        </w:rPr>
        <w:t>. Komisjon kutsub sidusrühmi üles alustama omavahel ja komisjoniga dialoogi, et saavutada FRAND-tingimuste osas suurem selgus ja välja tö</w:t>
      </w:r>
      <w:r>
        <w:rPr>
          <w:rFonts w:ascii="Times New Roman" w:hAnsi="Times New Roman"/>
          <w:noProof/>
          <w:sz w:val="24"/>
        </w:rPr>
        <w:t xml:space="preserve">ötada parimad tavad. Komisjon jälgib saavutatud edusamme ja võtab vajadusel FRAND-litsentsimistingimuste suhtes täiendavaid meetmeid. </w:t>
      </w:r>
    </w:p>
    <w:p w:rsidR="00BB1AE4" w:rsidRDefault="00AE53A9">
      <w:pPr>
        <w:pStyle w:val="ListParagraph"/>
        <w:keepNext/>
        <w:numPr>
          <w:ilvl w:val="1"/>
          <w:numId w:val="3"/>
        </w:numPr>
        <w:spacing w:before="240" w:after="12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Litsentsimispõhimõtted</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Euroopa Kohus on kinnitanud, et „FRAND-tingimustel litsentside andmise kohustuse võtmine tekitab k</w:t>
      </w:r>
      <w:r>
        <w:rPr>
          <w:rFonts w:ascii="Times New Roman" w:hAnsi="Times New Roman"/>
          <w:noProof/>
          <w:sz w:val="24"/>
        </w:rPr>
        <w:t>olmandates isikutes õiguspärase ootuse, et SEP omanik neile tõepoolest sellistel tingimustel litsentsi annab“</w:t>
      </w:r>
      <w:r>
        <w:rPr>
          <w:rStyle w:val="FootnoteReference"/>
          <w:rFonts w:ascii="Times New Roman" w:hAnsi="Times New Roman"/>
          <w:noProof/>
          <w:sz w:val="24"/>
        </w:rPr>
        <w:footnoteReference w:id="29"/>
      </w:r>
      <w:r>
        <w:rPr>
          <w:rFonts w:ascii="Times New Roman" w:hAnsi="Times New Roman"/>
          <w:noProof/>
          <w:sz w:val="24"/>
        </w:rPr>
        <w:t xml:space="preserve">.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Mõlemad pooled peavad olema nõus pidama läbirääkimisi heas usus, et määrata kindlaks litsentsimistingimused, mis on õiglased, mõistlikud ja mit</w:t>
      </w:r>
      <w:r>
        <w:rPr>
          <w:rFonts w:ascii="Times New Roman" w:hAnsi="Times New Roman"/>
          <w:noProof/>
          <w:sz w:val="24"/>
        </w:rPr>
        <w:t xml:space="preserve">tediskrimineerivad. Heas usus läbirääkimisi pidavad SEP litsentsilepingu osapooled oskavad ise kõige paremini kindlaks määrata need FRAND-tingimused, mis nende konkreetse olukorraga kõige paremini sobivad.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Arvesse tuleks võtta tõhususega seotud kaalutlusi</w:t>
      </w:r>
      <w:r>
        <w:rPr>
          <w:rFonts w:ascii="Times New Roman" w:hAnsi="Times New Roman"/>
          <w:noProof/>
          <w:sz w:val="24"/>
        </w:rPr>
        <w:t>, mõlema poole mõistlikke litsentsitasu ootusi ja rakendajatepoolse kasutuselevõtu hõlbustamist, et edendada standardi laialdast levikut. Sellega seoses tuleb rõhutada, et ei ole ühtset vastust sellele, mis FRAND-tingimused on: mida saab pidada õiglaseks j</w:t>
      </w:r>
      <w:r>
        <w:rPr>
          <w:rFonts w:ascii="Times New Roman" w:hAnsi="Times New Roman"/>
          <w:noProof/>
          <w:sz w:val="24"/>
        </w:rPr>
        <w:t>a põhjendatuks, on sektoriti erinev ja muutub aja jooksul. Seepärast kutsub komisjon sidusrühmi üles jätkama valdkondlikke arutelusid, et määrata kindlaks ühtsed litsentsimistavad, võttes aluseks käesolevas teatises esitatud põhimõtted.</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Komisjon leiab, et </w:t>
      </w:r>
      <w:r>
        <w:rPr>
          <w:rFonts w:ascii="Times New Roman" w:hAnsi="Times New Roman"/>
          <w:noProof/>
          <w:sz w:val="24"/>
        </w:rPr>
        <w:t>arvesse tuleks võtta järgmisi intellektuaalomandi hindamise põhimõtteid:</w:t>
      </w:r>
    </w:p>
    <w:p w:rsidR="00BB1AE4" w:rsidRDefault="00AE53A9">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litsentsimistingimused peavad olema selgelt seotud patenditud tehnoloogia majandusliku väärtusega. Selle väärtuse puhul on vaja keskenduda esmajoones tehnoloogiale ja põhimõtteliselt </w:t>
      </w:r>
      <w:r>
        <w:rPr>
          <w:rFonts w:ascii="Times New Roman" w:hAnsi="Times New Roman"/>
          <w:noProof/>
          <w:sz w:val="24"/>
        </w:rPr>
        <w:t>ei tohiks siin arvesse võtta ühtegi sellist elementi, mis tuleneb otsusest kaasata tehnoloogia standardisse.</w:t>
      </w:r>
      <w:r>
        <w:rPr>
          <w:rFonts w:ascii="Times New Roman" w:hAnsi="Times New Roman"/>
          <w:noProof/>
        </w:rPr>
        <w:t xml:space="preserve"> </w:t>
      </w:r>
      <w:r>
        <w:rPr>
          <w:rFonts w:ascii="Times New Roman" w:hAnsi="Times New Roman"/>
          <w:noProof/>
          <w:sz w:val="24"/>
        </w:rPr>
        <w:t>Kui tehnoloogia on välja töötatud peamiselt standardi jaoks ja selle turuväärtus väljaspool seda on väike, tuleks kaaluda muude hindamismeetodite k</w:t>
      </w:r>
      <w:r>
        <w:rPr>
          <w:rFonts w:ascii="Times New Roman" w:hAnsi="Times New Roman"/>
          <w:noProof/>
          <w:sz w:val="24"/>
        </w:rPr>
        <w:t>asutamist, näiteks standardis sisalduva kõnealuse tehnoloogia suhtelist tähtsust võrreldes muude tehnoloogiatega samas standardis;</w:t>
      </w:r>
      <w:r>
        <w:rPr>
          <w:noProof/>
        </w:rPr>
        <w:t xml:space="preserve"> </w:t>
      </w:r>
    </w:p>
    <w:p w:rsidR="00BB1AE4" w:rsidRDefault="00AE53A9">
      <w:pPr>
        <w:pStyle w:val="ListParagraph"/>
        <w:numPr>
          <w:ilvl w:val="0"/>
          <w:numId w:val="31"/>
        </w:numPr>
        <w:spacing w:after="0" w:line="240" w:lineRule="auto"/>
        <w:jc w:val="both"/>
        <w:rPr>
          <w:rFonts w:ascii="Times New Roman" w:hAnsi="Times New Roman" w:cs="Times New Roman"/>
          <w:noProof/>
          <w:sz w:val="24"/>
          <w:szCs w:val="24"/>
        </w:rPr>
      </w:pPr>
      <w:r>
        <w:rPr>
          <w:rFonts w:ascii="Times New Roman" w:hAnsi="Times New Roman"/>
          <w:noProof/>
          <w:sz w:val="24"/>
        </w:rPr>
        <w:t>FRAND-väärtuse kindlaks määramisel tuleb arvesse võtta patenteeritud tehnoloogia praegust lisaväärtust</w:t>
      </w:r>
      <w:r>
        <w:rPr>
          <w:rStyle w:val="FootnoteReference"/>
          <w:rFonts w:ascii="Times New Roman" w:hAnsi="Times New Roman"/>
          <w:noProof/>
          <w:sz w:val="24"/>
        </w:rPr>
        <w:footnoteReference w:id="30"/>
      </w:r>
      <w:r>
        <w:rPr>
          <w:rFonts w:ascii="Times New Roman" w:hAnsi="Times New Roman"/>
          <w:noProof/>
          <w:sz w:val="24"/>
        </w:rPr>
        <w:t>. See väärtus peaks o</w:t>
      </w:r>
      <w:r>
        <w:rPr>
          <w:rFonts w:ascii="Times New Roman" w:hAnsi="Times New Roman"/>
          <w:noProof/>
          <w:sz w:val="24"/>
        </w:rPr>
        <w:t xml:space="preserve">lema sõltumatu sellise toote turuedust, mis ei ole patenteeritud tehnoloogiaga seotud; </w:t>
      </w:r>
    </w:p>
    <w:p w:rsidR="00BB1AE4" w:rsidRDefault="00AE53A9">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FRAND-hindamine peaks tagama SEP omanikele stiimuli anda standardite jaoks oma parimat tehnoloogiat;</w:t>
      </w:r>
    </w:p>
    <w:p w:rsidR="00BB1AE4" w:rsidRDefault="00AE53A9">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et vältida litsentsitasude kuhjumist, ei saa FRAND-väärtuse kindlak</w:t>
      </w:r>
      <w:r>
        <w:rPr>
          <w:rFonts w:ascii="Times New Roman" w:hAnsi="Times New Roman"/>
          <w:noProof/>
          <w:sz w:val="24"/>
        </w:rPr>
        <w:t>smääramisel lähtuda vaid ühest SEPst. Osapooled peavad standardi puhul arvesse võtma litsentsitasude mõistlikku kogumäära ning hindama tehnoloogia üldist lisaväärtust</w:t>
      </w:r>
      <w:r>
        <w:rPr>
          <w:rStyle w:val="FootnoteReference"/>
          <w:rFonts w:ascii="Times New Roman" w:hAnsi="Times New Roman"/>
          <w:noProof/>
          <w:sz w:val="24"/>
        </w:rPr>
        <w:footnoteReference w:id="31"/>
      </w:r>
      <w:r>
        <w:rPr>
          <w:rFonts w:ascii="Times New Roman" w:hAnsi="Times New Roman"/>
          <w:noProof/>
          <w:sz w:val="24"/>
        </w:rPr>
        <w:t>.</w:t>
      </w:r>
      <w:r>
        <w:rPr>
          <w:noProof/>
        </w:rPr>
        <w:t xml:space="preserve"> </w:t>
      </w:r>
      <w:r>
        <w:rPr>
          <w:rFonts w:ascii="Times New Roman" w:hAnsi="Times New Roman"/>
          <w:noProof/>
          <w:sz w:val="24"/>
        </w:rPr>
        <w:t>Juba SEP läbipaistvuse meetmete rakendamisega saab selle eesmärgi saavutamisele kaasa a</w:t>
      </w:r>
      <w:r>
        <w:rPr>
          <w:rFonts w:ascii="Times New Roman" w:hAnsi="Times New Roman"/>
          <w:noProof/>
          <w:sz w:val="24"/>
        </w:rPr>
        <w:t>idata. Seda võib ELi konkurentsiõiguse kohaldamisalas veel täiendavalt käsitleda tööstuse litsentsimisplatvormide ja patendipuulide loomise kaudu või tuginedes standardimises osalejate märkustele maksimaalse kogumäära kohta, mida võib põhjendatult ette näh</w:t>
      </w:r>
      <w:r>
        <w:rPr>
          <w:rFonts w:ascii="Times New Roman" w:hAnsi="Times New Roman"/>
          <w:noProof/>
          <w:sz w:val="24"/>
        </w:rPr>
        <w:t>a või eeldada.</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Tõhusus ja mittediskrimineerimine</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FRAND-tingimuste mittediskrimineeriv element tähendab seda, et õiguste omajad ei saa sarnases olukorras olevaid eri rakendajaid erinevalt kohelda</w:t>
      </w:r>
      <w:r>
        <w:rPr>
          <w:rStyle w:val="FootnoteReference"/>
          <w:rFonts w:ascii="Times New Roman" w:hAnsi="Times New Roman"/>
          <w:noProof/>
          <w:sz w:val="24"/>
        </w:rPr>
        <w:footnoteReference w:id="32"/>
      </w:r>
      <w:r>
        <w:rPr>
          <w:rFonts w:ascii="Times New Roman" w:hAnsi="Times New Roman"/>
          <w:noProof/>
          <w:sz w:val="24"/>
        </w:rPr>
        <w:t xml:space="preserve">.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Arvestades, et FRAND-mõiste puhul ei ole ühte kõigile sobi</w:t>
      </w:r>
      <w:r>
        <w:rPr>
          <w:rFonts w:ascii="Times New Roman" w:hAnsi="Times New Roman"/>
          <w:noProof/>
          <w:sz w:val="24"/>
        </w:rPr>
        <w:t xml:space="preserve">vat määratlust, võib selle definitsioon valdkonniti erineda, sõltudes asjaomasest ärimudelist.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Nagu eespool mainitud, eeldavad FRAND-tingimustel läbirääkimised heas usus läbirääkimisi mõlemalt poolelt. Mängu võivad tulla ka tõhususega seotud kaalutlused. </w:t>
      </w:r>
      <w:r>
        <w:rPr>
          <w:rFonts w:ascii="Times New Roman" w:hAnsi="Times New Roman"/>
          <w:noProof/>
          <w:sz w:val="24"/>
        </w:rPr>
        <w:t>Litsentsimisläbirääkimistega seonduvad tehingukulud tuleks hoida võimalikult väikesed. Sektorites, kus ristlitsentsimine on laialt levinud tava, tuleks arvesse võtta selle mõju tõhususe suurenemisele. Neid punkte tuleks arvesse võtta, kui hinnatakse, kas k</w:t>
      </w:r>
      <w:r>
        <w:rPr>
          <w:rFonts w:ascii="Times New Roman" w:hAnsi="Times New Roman"/>
          <w:noProof/>
          <w:sz w:val="24"/>
        </w:rPr>
        <w:t>onkreetne litsentsimispakkumine vastab FRAND-tingimustele.</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Kooskõlas eespool esitatud lähenemisviisiga on komisjon seisukohal, et samad tõhususe põhimõtted toetavad SEP portfelli litsentsimistavasid ülemaailmselt ringlevate toodete puhul</w:t>
      </w:r>
      <w:r>
        <w:rPr>
          <w:rStyle w:val="FootnoteReference"/>
          <w:rFonts w:ascii="Times New Roman" w:hAnsi="Times New Roman"/>
          <w:noProof/>
          <w:sz w:val="24"/>
        </w:rPr>
        <w:footnoteReference w:id="33"/>
      </w:r>
      <w:r>
        <w:rPr>
          <w:rFonts w:ascii="Times New Roman" w:hAnsi="Times New Roman"/>
          <w:noProof/>
          <w:sz w:val="24"/>
        </w:rPr>
        <w:t>. Nagu on märgitud</w:t>
      </w:r>
      <w:r>
        <w:rPr>
          <w:rFonts w:ascii="Times New Roman" w:hAnsi="Times New Roman"/>
          <w:noProof/>
          <w:sz w:val="24"/>
        </w:rPr>
        <w:t xml:space="preserve"> hiljutises kohtuotsuses,</w:t>
      </w:r>
      <w:r>
        <w:rPr>
          <w:rStyle w:val="FootnoteReference"/>
          <w:rFonts w:ascii="Times New Roman" w:hAnsi="Times New Roman"/>
          <w:noProof/>
          <w:sz w:val="24"/>
        </w:rPr>
        <w:footnoteReference w:id="34"/>
      </w:r>
      <w:r>
        <w:rPr>
          <w:rFonts w:ascii="Times New Roman" w:hAnsi="Times New Roman"/>
          <w:noProof/>
          <w:sz w:val="24"/>
        </w:rPr>
        <w:t xml:space="preserve"> ei pruugi riigipõhine litsentsimiskäsitlus olla tõhus ega sektori tunnustatud kaubandustavaga kooskõlas. </w:t>
      </w:r>
    </w:p>
    <w:p w:rsidR="00BB1AE4" w:rsidRDefault="00AE53A9">
      <w:pPr>
        <w:pStyle w:val="ListParagraph"/>
        <w:keepNext/>
        <w:numPr>
          <w:ilvl w:val="1"/>
          <w:numId w:val="3"/>
        </w:numPr>
        <w:spacing w:before="240" w:after="12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Patendipuulid ja litsentsimisplatvormid SEP litsentsimise hõlbustamiseks</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Soodustada tuleks patendipuulide ja muude </w:t>
      </w:r>
      <w:r>
        <w:rPr>
          <w:rFonts w:ascii="Times New Roman" w:hAnsi="Times New Roman"/>
          <w:noProof/>
          <w:sz w:val="24"/>
        </w:rPr>
        <w:t>litsentsimisplatvormide loomist ELi konkurentsiõiguse kohaldamisalas. Nende abil võib olla võimalik lahendada mitmeid SEP litsentsimisega seotud probleeme, kuna pakutakse paremat olulisuse kontrolli, suuremat selgust litsentsitasude kogusumma kohta ning üh</w:t>
      </w:r>
      <w:r>
        <w:rPr>
          <w:rFonts w:ascii="Times New Roman" w:hAnsi="Times New Roman"/>
          <w:noProof/>
          <w:sz w:val="24"/>
        </w:rPr>
        <w:t>tse kontaktpunkti lahendusi. See annaks asjade interneti tööstusele, eriti VKEdele, kes pole SEP litsentsimisprobleemidega varem kokku puutunud, selgema pildi SEP omanike litsentsimistingimustest konkreetses sektoris.</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Samuti tuleks soodustada peamiste stan</w:t>
      </w:r>
      <w:r>
        <w:rPr>
          <w:rFonts w:ascii="Times New Roman" w:hAnsi="Times New Roman"/>
          <w:noProof/>
          <w:sz w:val="24"/>
        </w:rPr>
        <w:t>dardtehnoloogiate puulide loomist, näiteks hõlbustades juurdepääsu standardiorganisatsioonide poolsele puulide haldamise pakkumisele ja tehnilisele abile</w:t>
      </w:r>
      <w:r>
        <w:rPr>
          <w:rStyle w:val="FootnoteReference"/>
          <w:rFonts w:ascii="Times New Roman" w:hAnsi="Times New Roman"/>
          <w:noProof/>
          <w:sz w:val="24"/>
        </w:rPr>
        <w:footnoteReference w:id="35"/>
      </w:r>
      <w:r>
        <w:rPr>
          <w:rFonts w:ascii="Times New Roman" w:hAnsi="Times New Roman"/>
          <w:noProof/>
          <w:sz w:val="24"/>
        </w:rPr>
        <w:t>. Komisjon kaalub edasisi meetmeid, kui need jõupingutused ei anna asjade interneti sektoris tulemusi.</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FRAND-tingimuste alaste oskusteadmiste kasutamine ja laiendamine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Vaja on parandada FRAND-tingimuste kindlaksmääramise kogemuste, eksperditeadmiste ja oskusteabe kättesaadavust. Litsentsilepingutest, vahendus- ja vahekohtumenetlustest ning kohtuotsustest </w:t>
      </w:r>
      <w:r>
        <w:rPr>
          <w:rFonts w:ascii="Times New Roman" w:hAnsi="Times New Roman"/>
          <w:noProof/>
          <w:sz w:val="24"/>
        </w:rPr>
        <w:t xml:space="preserve">on aastate jooksul saadud väärtuslikke kogemusi ja nende põhjal on välja töötatud lähenemisviise. Märkimisväärseid ressursse ja jõupingutusi on pühendatud patentide ja tehnoloogia selgemaks muutmisele, analüüsimisele ja hindamisele. Ühtse koha puudumisel, </w:t>
      </w:r>
      <w:r>
        <w:rPr>
          <w:rFonts w:ascii="Times New Roman" w:hAnsi="Times New Roman"/>
          <w:noProof/>
          <w:sz w:val="24"/>
        </w:rPr>
        <w:t>kuhu selline teave kokku kogutaks, võidakse tööd ja uuringuid tarbetult dubleerida, tekitades asjaosalistele märkimisväärseid kulusid. FRAND-tingimustega seotud teabe parem kättesaadavus võib parandada prognoositavust ettevõtjate jaoks näiteks asjade inter</w:t>
      </w:r>
      <w:r>
        <w:rPr>
          <w:rFonts w:ascii="Times New Roman" w:hAnsi="Times New Roman"/>
          <w:noProof/>
          <w:sz w:val="24"/>
        </w:rPr>
        <w:t>neti valdkonnas, lihtsustada üldist litsentside andmise protsessi ning olla abiks ja pakkuda võrdlusalust vaidluste lahendamisel.</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Seepärast moodustab komisjon eksperdirühma, et koguda FRAND-litsentsimistingimuste kohta teavet valdkonnapõhiselt ja ekspertid</w:t>
      </w:r>
      <w:r>
        <w:rPr>
          <w:rFonts w:ascii="Times New Roman" w:hAnsi="Times New Roman"/>
          <w:noProof/>
          <w:sz w:val="24"/>
        </w:rPr>
        <w:t>elt. Lisaks kasutab komisjon kõiki asjakohaseid kättesaadavaid vahendeid saamaks rohkem teavet, et tal oleks poliitika kujundamisel võimalik tugineda piisavatele tõenditele.</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xml:space="preserve">Praegust olukorda arvestades leiab komisjon, et SEP litsentsimisel tuleks lähtuda </w:t>
      </w:r>
      <w:r>
        <w:rPr>
          <w:i/>
          <w:noProof/>
          <w:color w:val="000000"/>
        </w:rPr>
        <w:t>järgmistest põhimõtetest:</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ei ole ühtset vastust sellele, mis on FRAND-tingimused: mida saab pidada õiglaseks ja põhjendatuks, on sektoriti erinev ja muutub aja jooksul. Arvesse tuleks võtta tõhususega seotud kaalutlusi, mõlema poole mõistlikke litsentsit</w:t>
      </w:r>
      <w:r>
        <w:rPr>
          <w:i/>
          <w:noProof/>
          <w:color w:val="000000"/>
        </w:rPr>
        <w:t xml:space="preserve">asu ootusi ja rakendajatepoolse kasutuselevõtu hõlbustamist, et edendada standardi laialdast levikut; </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xml:space="preserve">– FRAND-väärtuse kindlaksmääramisel tuleb arvesse võtta patenteeritud tehnoloogia praegust lisaväärtust. See väärtus peaks olema sõltumatu sellise toote </w:t>
      </w:r>
      <w:r>
        <w:rPr>
          <w:i/>
          <w:noProof/>
          <w:color w:val="000000"/>
        </w:rPr>
        <w:t>turuedust, mis ei ole patenteeritud tehnoloogiaga seotud;</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FRAND-väärtuse kindlaksmääramisel peavad osapooled arvesse võtma litsentsitasude mõistlikku kogumäära standardi puhul;</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noProof/>
        </w:rPr>
        <w:t xml:space="preserve">– </w:t>
      </w:r>
      <w:r>
        <w:rPr>
          <w:i/>
          <w:noProof/>
          <w:color w:val="000000"/>
        </w:rPr>
        <w:t>FRAND-tingimuste mittediskrimineeriv element tähendab seda, et õiguste omaj</w:t>
      </w:r>
      <w:r>
        <w:rPr>
          <w:i/>
          <w:noProof/>
          <w:color w:val="000000"/>
        </w:rPr>
        <w:t xml:space="preserve">ad ei saa sarnases olukorras olevaid eri rakendajaid erinevalt kohelda; </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toodete puhul, mis ringlevad kogu maailmas, võivad ülemaailmselt antud SEP litsentsid aidata kaasa tõhusamale käsitlusele ja olla seega FRAND-tingimustega kooskõlas.</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Komisjon kutsub</w:t>
      </w:r>
      <w:r>
        <w:rPr>
          <w:i/>
          <w:noProof/>
          <w:color w:val="000000"/>
        </w:rPr>
        <w:t xml:space="preserve"> standardiorganisatsioone ja SEP omanikke üles töötama välja tõhusad lahendused, et lihtsustada arvukatele rakendajatele (eelkõike VKEdele) asjade interneti keskkonnas litsentside andmist patendipuulide ja muude litsentsimisplatvormide kaudu, pakkudes sama</w:t>
      </w:r>
      <w:r>
        <w:rPr>
          <w:i/>
          <w:noProof/>
          <w:color w:val="000000"/>
        </w:rPr>
        <w:t>l ajal piisavat läbipaistvust ja prognoositavust.</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Komisjon jälgib litsentsimistavasid, eelkõige asjade interneti valdkonnas. Lisaks loob komisjon eksperdirühma, et laiendada teadmisi tööstuse litsentsimistavadest, intellektuaalomandi usaldusväärsest hindam</w:t>
      </w:r>
      <w:r>
        <w:rPr>
          <w:i/>
          <w:noProof/>
          <w:color w:val="000000"/>
        </w:rPr>
        <w:t xml:space="preserve">isest ja FRAND-tingimuste kindlaks määramisest. </w:t>
      </w:r>
    </w:p>
    <w:p w:rsidR="00BB1AE4" w:rsidRDefault="00AE53A9">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hAnsi="Times New Roman"/>
          <w:b/>
          <w:smallCaps/>
          <w:noProof/>
          <w:sz w:val="24"/>
        </w:rPr>
        <w:t>SEPde prognoositav õiguskaitse tagamise raamistik</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Läbirääkimiste ebaõnnestumise taga on sageli vaidlused SEPde üle litsentsimisprotsessis. Tasakaalustatud ja prognoositaval õiguskaitse tagamise raamistikul o</w:t>
      </w:r>
      <w:r>
        <w:rPr>
          <w:rFonts w:ascii="Times New Roman" w:hAnsi="Times New Roman"/>
          <w:noProof/>
          <w:sz w:val="24"/>
        </w:rPr>
        <w:t>n väga positiivne mõju osapoolte käitumisele läbirääkimistel, mis omakorda võib kiirendada standardtehnoloogiate levikut. Asjade interneti sidusrühmad märgivad siiski, et ebakindlus ja tasakaalustamatus õiguskaitse tagamise süsteemis takistab turule sisene</w:t>
      </w:r>
      <w:r>
        <w:rPr>
          <w:rFonts w:ascii="Times New Roman" w:hAnsi="Times New Roman"/>
          <w:noProof/>
          <w:sz w:val="24"/>
        </w:rPr>
        <w:t>mist märkimisväärselt. SEPdega seotud kohtuvaidluste hulk on suurem kui muude patentide puhul,</w:t>
      </w:r>
      <w:r>
        <w:rPr>
          <w:rStyle w:val="FootnoteReference"/>
          <w:rFonts w:ascii="Times New Roman" w:hAnsi="Times New Roman"/>
          <w:noProof/>
          <w:sz w:val="24"/>
        </w:rPr>
        <w:footnoteReference w:id="36"/>
      </w:r>
      <w:r>
        <w:rPr>
          <w:rFonts w:ascii="Times New Roman" w:hAnsi="Times New Roman"/>
          <w:noProof/>
          <w:sz w:val="24"/>
        </w:rPr>
        <w:t xml:space="preserve"> mis suurendab veelgi vajadust luua selliste vaidluste jaoks selge raamistik. Kui käesolevas teatises keskendutakse spetsiaalsetele standardi rakendamiseks oluli</w:t>
      </w:r>
      <w:r>
        <w:rPr>
          <w:rFonts w:ascii="Times New Roman" w:hAnsi="Times New Roman"/>
          <w:noProof/>
          <w:sz w:val="24"/>
        </w:rPr>
        <w:t xml:space="preserve">ste patentide suunistele, siis </w:t>
      </w:r>
      <w:r>
        <w:rPr>
          <w:rFonts w:ascii="Times New Roman" w:hAnsi="Times New Roman"/>
          <w:i/>
          <w:noProof/>
          <w:sz w:val="24"/>
        </w:rPr>
        <w:t>suunistes intellektuaalomandi õiguste jõustamist käsitlevate Euroopa Parlamendi ja nõukogu direktiivi 2004/48/EÜ teatavate aspektide kohta</w:t>
      </w:r>
      <w:r>
        <w:rPr>
          <w:rStyle w:val="FootnoteReference"/>
          <w:rFonts w:ascii="Times New Roman" w:hAnsi="Times New Roman"/>
          <w:i/>
          <w:noProof/>
          <w:sz w:val="24"/>
        </w:rPr>
        <w:footnoteReference w:id="37"/>
      </w:r>
      <w:r>
        <w:rPr>
          <w:rFonts w:ascii="Times New Roman" w:hAnsi="Times New Roman"/>
          <w:noProof/>
          <w:sz w:val="24"/>
        </w:rPr>
        <w:t xml:space="preserve"> on intellektuaalomandi õiguskaitse tagamist üldisemalt selgitatud.</w:t>
      </w:r>
      <w:r>
        <w:rPr>
          <w:rStyle w:val="FootnoteReference"/>
          <w:rFonts w:ascii="Times New Roman" w:hAnsi="Times New Roman"/>
          <w:noProof/>
          <w:sz w:val="24"/>
        </w:rPr>
        <w:t xml:space="preserve"> </w:t>
      </w:r>
      <w:r>
        <w:rPr>
          <w:rFonts w:ascii="Times New Roman" w:hAnsi="Times New Roman"/>
          <w:noProof/>
          <w:sz w:val="24"/>
        </w:rPr>
        <w:t>Õiguskaitse tagami</w:t>
      </w:r>
      <w:r>
        <w:rPr>
          <w:rFonts w:ascii="Times New Roman" w:hAnsi="Times New Roman"/>
          <w:noProof/>
          <w:sz w:val="24"/>
        </w:rPr>
        <w:t>ne on intellektuaalomandiõiguste põhipunkt</w:t>
      </w:r>
      <w:r>
        <w:rPr>
          <w:rStyle w:val="FootnoteReference"/>
          <w:rFonts w:ascii="Times New Roman" w:hAnsi="Times New Roman"/>
          <w:noProof/>
          <w:sz w:val="24"/>
        </w:rPr>
        <w:footnoteReference w:id="38"/>
      </w:r>
      <w:r>
        <w:rPr>
          <w:rFonts w:ascii="Times New Roman" w:hAnsi="Times New Roman"/>
          <w:noProof/>
          <w:sz w:val="24"/>
        </w:rPr>
        <w:t>. Arutelu SEPde valdkonnas keskendus peamiselt esialgse õiguskaitse kättesaadavusele. Sellise kaitse eesmärk on kaitsta SEP omanikke intellektuaalomandiõiguste rikkujate eest, kes ei soovi sõlmida litsentsilepingu</w:t>
      </w:r>
      <w:r>
        <w:rPr>
          <w:rFonts w:ascii="Times New Roman" w:hAnsi="Times New Roman"/>
          <w:noProof/>
          <w:sz w:val="24"/>
        </w:rPr>
        <w:t>t FRAND-tingimustel. Samal ajal on vaja kaitsemeetmeid selle eest, kui heausklikke tehnoloogiakasutajaid ähvardatakse kohtuga, et nad nõustuksid litsentsimistingimustega, mis ei ole õiglased, mõistlikud ega mittediskrimineerivad, või halvimal juhul leiavad</w:t>
      </w:r>
      <w:r>
        <w:rPr>
          <w:rFonts w:ascii="Times New Roman" w:hAnsi="Times New Roman"/>
          <w:noProof/>
          <w:sz w:val="24"/>
        </w:rPr>
        <w:t xml:space="preserve"> nad end olukorrast, kus nad ei saa oma toodet turustada (</w:t>
      </w:r>
      <w:r>
        <w:rPr>
          <w:rFonts w:ascii="Times New Roman" w:hAnsi="Times New Roman"/>
          <w:i/>
          <w:noProof/>
          <w:sz w:val="24"/>
        </w:rPr>
        <w:t>hold-up</w:t>
      </w:r>
      <w:r>
        <w:rPr>
          <w:rFonts w:ascii="Times New Roman" w:hAnsi="Times New Roman"/>
          <w:noProof/>
          <w:sz w:val="24"/>
        </w:rPr>
        <w:t>-olukord).</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Esialgse õiguskaitse kättesaadavus vastavalt kohtupraktikale kohtuasjas Huawei </w:t>
      </w:r>
      <w:r>
        <w:rPr>
          <w:rFonts w:ascii="Times New Roman" w:hAnsi="Times New Roman"/>
          <w:b/>
          <w:i/>
          <w:smallCaps/>
          <w:noProof/>
          <w:sz w:val="24"/>
        </w:rPr>
        <w:t>vs.</w:t>
      </w:r>
      <w:r>
        <w:rPr>
          <w:rFonts w:ascii="Times New Roman" w:hAnsi="Times New Roman"/>
          <w:b/>
          <w:smallCaps/>
          <w:noProof/>
          <w:sz w:val="24"/>
        </w:rPr>
        <w:t xml:space="preserve"> ZTE</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Oma otsuses Huawei kohtuasjas,</w:t>
      </w:r>
      <w:r>
        <w:rPr>
          <w:rStyle w:val="FootnoteReference"/>
          <w:rFonts w:ascii="Times New Roman" w:hAnsi="Times New Roman"/>
          <w:noProof/>
          <w:sz w:val="24"/>
        </w:rPr>
        <w:footnoteReference w:id="39"/>
      </w:r>
      <w:r>
        <w:rPr>
          <w:rFonts w:ascii="Times New Roman" w:hAnsi="Times New Roman"/>
          <w:noProof/>
          <w:sz w:val="24"/>
        </w:rPr>
        <w:t xml:space="preserve"> kus Euroopa Kohus hindas, kas SEP omanik võib esitada võimaliku litsentsitaotleja vastu ettekirjutust taotleva hagi, ilma et see oleks vastuolus ELi toimimise lepingu artikliga 102, kehtestas kohus kohustused, mis kehtivad SEP litsentsilepingu mõlemale po</w:t>
      </w:r>
      <w:r>
        <w:rPr>
          <w:rFonts w:ascii="Times New Roman" w:hAnsi="Times New Roman"/>
          <w:noProof/>
          <w:sz w:val="24"/>
        </w:rPr>
        <w:t>olele. SEP omanikud ei tohi esitada hagi kasutajate vastu, kes soovivad sõlmida litsentsilepingut FRAND-tingimustel ning Euroopa Liidu Kohus kehtestas kriteeriumid, mille alusel hinnata, kas võimalik litsentsisaaja tahab sellistel tingimustel litsentsi saa</w:t>
      </w:r>
      <w:r>
        <w:rPr>
          <w:rFonts w:ascii="Times New Roman" w:hAnsi="Times New Roman"/>
          <w:noProof/>
          <w:sz w:val="24"/>
        </w:rPr>
        <w:t>da.</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Komisjon on seisukohal, et allpool esitatud elemendid, mis tulenevad liikmesriikide kohtupraktikast </w:t>
      </w:r>
      <w:r>
        <w:rPr>
          <w:rFonts w:ascii="Times New Roman" w:hAnsi="Times New Roman"/>
          <w:i/>
          <w:noProof/>
          <w:sz w:val="24"/>
        </w:rPr>
        <w:t>Huawei</w:t>
      </w:r>
      <w:r>
        <w:rPr>
          <w:rFonts w:ascii="Times New Roman" w:hAnsi="Times New Roman"/>
          <w:noProof/>
          <w:sz w:val="24"/>
        </w:rPr>
        <w:t xml:space="preserve"> kohtuotsuse</w:t>
      </w:r>
      <w:r>
        <w:rPr>
          <w:rStyle w:val="FootnoteReference"/>
          <w:rFonts w:ascii="Times New Roman" w:hAnsi="Times New Roman"/>
          <w:noProof/>
          <w:sz w:val="24"/>
        </w:rPr>
        <w:footnoteReference w:id="40"/>
      </w:r>
      <w:r>
        <w:rPr>
          <w:rFonts w:ascii="Times New Roman" w:hAnsi="Times New Roman"/>
          <w:noProof/>
          <w:sz w:val="24"/>
        </w:rPr>
        <w:t xml:space="preserve"> põhjal, annavad sidusrühmadele kasulikku lisateavet.</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Mitmed kohtud on toonitanud, et SEP litsentsi tulevane omanik peab saama piisav</w:t>
      </w:r>
      <w:r>
        <w:rPr>
          <w:rFonts w:ascii="Times New Roman" w:hAnsi="Times New Roman"/>
          <w:noProof/>
          <w:sz w:val="24"/>
        </w:rPr>
        <w:t>alt üksikasjalikku ja asjakohast teavet, et hinnata SEP portfelli olulisust ja vastavust FRAND-tingimustele</w:t>
      </w:r>
      <w:r>
        <w:rPr>
          <w:rStyle w:val="FootnoteReference"/>
          <w:rFonts w:ascii="Times New Roman" w:hAnsi="Times New Roman"/>
          <w:noProof/>
          <w:sz w:val="24"/>
        </w:rPr>
        <w:footnoteReference w:id="41"/>
      </w:r>
      <w:r>
        <w:rPr>
          <w:rFonts w:ascii="Times New Roman" w:hAnsi="Times New Roman"/>
          <w:noProof/>
          <w:sz w:val="24"/>
        </w:rPr>
        <w:t xml:space="preserve">. Konkreetsed nõuded võivad iga juhtumi puhul varieeruda, kuid komisjoni arvates on selleks, et hinnata, kas pakkumine on tehtud FRAND-tingimustel, </w:t>
      </w:r>
      <w:r>
        <w:rPr>
          <w:rFonts w:ascii="Times New Roman" w:hAnsi="Times New Roman"/>
          <w:noProof/>
          <w:sz w:val="24"/>
        </w:rPr>
        <w:t>ning sobiva vastupakkumise tegemiseks vajalikud selged andmed järgmise kohta: olulisus standardi rakendamise jaoks, SEP kasutaja väidetavad patenti rikkuvad tooted, kavandatud litsentsitasu suuruse arvestus, FRAND-tingimuste mittediskrimineerimise element.</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Seoses vastupakkumisega tuleneb </w:t>
      </w:r>
      <w:r>
        <w:rPr>
          <w:rFonts w:ascii="Times New Roman" w:hAnsi="Times New Roman"/>
          <w:i/>
          <w:noProof/>
          <w:sz w:val="24"/>
        </w:rPr>
        <w:t>Huawei</w:t>
      </w:r>
      <w:r>
        <w:rPr>
          <w:rFonts w:ascii="Times New Roman" w:hAnsi="Times New Roman"/>
          <w:noProof/>
          <w:sz w:val="24"/>
        </w:rPr>
        <w:t xml:space="preserve"> kohtuasjast, et see peab olema konkreetne, st selles ei saa piirduda vaid SEP omaniku pakkumise vaidlustamisega ega üldise viitega kolmanda poole litsentsitasu määramisele. See peaks ühtlasi sisaldama teavet standardi täpse kasutuse kohta konkreetses toot</w:t>
      </w:r>
      <w:r>
        <w:rPr>
          <w:rFonts w:ascii="Times New Roman" w:hAnsi="Times New Roman"/>
          <w:noProof/>
          <w:sz w:val="24"/>
        </w:rPr>
        <w:t>es. Poolte valmidus nõustuda kolmanda poole siduva FRAND-tingimuste kindlaksmääramisega – juhul kui (vastu)pakkumine ei leitud olevat FRAND-tingimustega kooskõlas – on aga märk FRAND-tingimuste kohasest käitumisest.</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Tähtaega, mille jooksul võimalik litsent</w:t>
      </w:r>
      <w:r>
        <w:rPr>
          <w:rFonts w:ascii="Times New Roman" w:hAnsi="Times New Roman"/>
          <w:noProof/>
          <w:sz w:val="24"/>
        </w:rPr>
        <w:t>sisaaja peaks vastupakkumise esitama, ei ole võimalik üldistel alustel kindlaks määrata, sest siin tuleb arvestada iga juhtumi eripäraga, näiteks väidetavate SEPde arv ja rikkumishagis esitatud üksikasjad. Siiski on tõenäoliselt võimalik leida tasakaal pak</w:t>
      </w:r>
      <w:r>
        <w:rPr>
          <w:rFonts w:ascii="Times New Roman" w:hAnsi="Times New Roman"/>
          <w:noProof/>
          <w:sz w:val="24"/>
        </w:rPr>
        <w:t>kumisele vastamiseks vajaliku mõistliku aja ning SEP omaniku esialgses pakkumises esitatud teabe üksikasjalikkuse ja kvaliteedi vahel. Siinkohal on meetmetel, mis parandavad SEP vajalikkuse</w:t>
      </w:r>
      <w:r>
        <w:rPr>
          <w:rStyle w:val="FootnoteReference"/>
          <w:rFonts w:ascii="Times New Roman" w:hAnsi="Times New Roman"/>
          <w:noProof/>
          <w:sz w:val="24"/>
        </w:rPr>
        <w:footnoteReference w:id="42"/>
      </w:r>
      <w:r>
        <w:rPr>
          <w:rFonts w:ascii="Times New Roman" w:hAnsi="Times New Roman"/>
          <w:noProof/>
          <w:sz w:val="24"/>
        </w:rPr>
        <w:t xml:space="preserve"> alt-üles läbipaistvust, õiguskaitse tagamise süsteemile väga posi</w:t>
      </w:r>
      <w:r>
        <w:rPr>
          <w:rFonts w:ascii="Times New Roman" w:hAnsi="Times New Roman"/>
          <w:noProof/>
          <w:sz w:val="24"/>
        </w:rPr>
        <w:t xml:space="preserve">tiivne mõju.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Kui deklaratsioonide süsteemi kaudu oleks juba varem olemas usaldusväärne teave SEPde kohta, nagu rõhutatud punktis 1, väheneks deklareeritud SEPde arv märkimisväärselt. Seda tuleks võtta arvesse, kui hinnatakse, kui pikk on SEP kasutajate mõ</w:t>
      </w:r>
      <w:r>
        <w:rPr>
          <w:rFonts w:ascii="Times New Roman" w:hAnsi="Times New Roman"/>
          <w:noProof/>
          <w:sz w:val="24"/>
        </w:rPr>
        <w:t>istlik aeg FRAND pakkumisele reageerimiseks.</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Mis puudutab SEP kasutaja antavat tagatist kaitsena nõude esitamise eest, siis peaks selle suurus olema selline, mis hoiaks ära </w:t>
      </w:r>
      <w:r>
        <w:rPr>
          <w:rFonts w:ascii="Times New Roman" w:hAnsi="Times New Roman"/>
          <w:i/>
          <w:noProof/>
          <w:sz w:val="24"/>
        </w:rPr>
        <w:t>hold-up</w:t>
      </w:r>
      <w:r>
        <w:rPr>
          <w:rFonts w:ascii="Times New Roman" w:hAnsi="Times New Roman"/>
          <w:noProof/>
          <w:sz w:val="24"/>
        </w:rPr>
        <w:t>-strateegiate kasutamise. Kahju ulatuse hindamisel võib kasutada sarnaseid k</w:t>
      </w:r>
      <w:r>
        <w:rPr>
          <w:rFonts w:ascii="Times New Roman" w:hAnsi="Times New Roman"/>
          <w:noProof/>
          <w:sz w:val="24"/>
        </w:rPr>
        <w:t>aalutlusi. Komisjon toetab ekspertide ja sidusrühmade poolset parimate tavade vahetamist kahjude arvutamise meetodi kohta SEP juhtumites.</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Proportsionaalsuskaalutlused</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Esialgse õiguskaitse kättesaadavuse hindamisel peavad kohtud arvesse võtma intellektuaalo</w:t>
      </w:r>
      <w:r>
        <w:rPr>
          <w:rFonts w:ascii="Times New Roman" w:hAnsi="Times New Roman"/>
          <w:noProof/>
          <w:sz w:val="24"/>
        </w:rPr>
        <w:t>mandi õiguste jõustamise direktiivi</w:t>
      </w:r>
      <w:r>
        <w:rPr>
          <w:rStyle w:val="FootnoteReference"/>
          <w:rFonts w:ascii="Times New Roman" w:hAnsi="Times New Roman"/>
          <w:noProof/>
          <w:sz w:val="24"/>
        </w:rPr>
        <w:footnoteReference w:id="43"/>
      </w:r>
      <w:r>
        <w:rPr>
          <w:rFonts w:ascii="Times New Roman" w:hAnsi="Times New Roman"/>
          <w:noProof/>
          <w:sz w:val="24"/>
        </w:rPr>
        <w:t xml:space="preserve"> artikli 3 lõiget 2, eelkõige nõuet tagada, et esialgne õiguskaitse oleks tõhus, proportsionaalne ja hoiatav. Võttes arvesse, kui suurt mõju võib ettekirjutus avaldada ettevõtjatele, tarbijatele ja avalikule huvile, eelk</w:t>
      </w:r>
      <w:r>
        <w:rPr>
          <w:rFonts w:ascii="Times New Roman" w:hAnsi="Times New Roman"/>
          <w:noProof/>
          <w:sz w:val="24"/>
        </w:rPr>
        <w:t>õige digiteeritud majanduse kontekstis, tuleb proportsionaalsust iga juhtumi korral väga hoolikalt hinnata. Komisjon leiab, et arvestada tuleb vaidlusaluse tehnoloogia suhtelist tähtsust kõnealuse taotluse jaoks ja ettekirjutuse võimalikku ülekanduvat mõju</w:t>
      </w:r>
      <w:r>
        <w:rPr>
          <w:rFonts w:ascii="Times New Roman" w:hAnsi="Times New Roman"/>
          <w:noProof/>
          <w:sz w:val="24"/>
        </w:rPr>
        <w:t xml:space="preserve"> kolmandatele isikutele.</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Kohtuvaidlused patendiportfellide alusel</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Kooskõlas Huawei kohtuotsusega, milles osutati </w:t>
      </w:r>
      <w:r>
        <w:rPr>
          <w:rFonts w:ascii="Times New Roman" w:hAnsi="Times New Roman"/>
          <w:i/>
          <w:noProof/>
          <w:sz w:val="24"/>
        </w:rPr>
        <w:t>vastava valdkonna äritavadele</w:t>
      </w:r>
      <w:r>
        <w:rPr>
          <w:rFonts w:ascii="Times New Roman" w:hAnsi="Times New Roman"/>
          <w:noProof/>
          <w:sz w:val="24"/>
        </w:rPr>
        <w:t>,</w:t>
      </w:r>
      <w:r>
        <w:rPr>
          <w:rStyle w:val="FootnoteReference"/>
          <w:rFonts w:ascii="Times New Roman" w:hAnsi="Times New Roman"/>
          <w:noProof/>
          <w:sz w:val="24"/>
        </w:rPr>
        <w:footnoteReference w:id="44"/>
      </w:r>
      <w:r>
        <w:rPr>
          <w:rFonts w:ascii="Times New Roman" w:hAnsi="Times New Roman"/>
          <w:noProof/>
          <w:sz w:val="24"/>
        </w:rPr>
        <w:t xml:space="preserve"> on liikmesriikide kohtud käsitanud ka väljaspool liikmesriikide territooriume antud portfellide litsentse FRAND</w:t>
      </w:r>
      <w:r>
        <w:rPr>
          <w:rFonts w:ascii="Times New Roman" w:hAnsi="Times New Roman"/>
          <w:noProof/>
          <w:sz w:val="24"/>
        </w:rPr>
        <w:t>-tingimustega kooskõlas olevaks, kui portfell hõlmab üksnes kõiki neid SEPsid, mida litsentsisaaja oma toote tootmiseks või turustamiseks vajab (vt punkt 2.2). Siinkohal tuleb selgitada, et SEP omanikud võivad pakkuda rohkem patente, ka neid, mis ei ole SE</w:t>
      </w:r>
      <w:r>
        <w:rPr>
          <w:rFonts w:ascii="Times New Roman" w:hAnsi="Times New Roman"/>
          <w:noProof/>
          <w:sz w:val="24"/>
        </w:rPr>
        <w:t>Pd, kuid ei saa nõuda, et litsentsisaaja nõustuks litsentsid võtma ka muudele patentidele. Üldist tahtmatust või keeldumist pakkuda või vastu võtta kõiki SEPsid, mida litsentsisaajal vaja on, võib käsitada pahausksuse märgina. Selleks et vastupakkumine vas</w:t>
      </w:r>
      <w:r>
        <w:rPr>
          <w:rFonts w:ascii="Times New Roman" w:hAnsi="Times New Roman"/>
          <w:noProof/>
          <w:sz w:val="24"/>
        </w:rPr>
        <w:t>taks FRAND-tingimustele, peab see hõlmama kõiki SEPsid, mida litsentsisaajal on vaja, ega tohi põhineda vaid üksikpatendil (-patentidel). Portfellid ei tohi siiski sisaldada konkureerivaid tehnoloogiaid, vaid ainult täiendavaid tehnoloogiaid, kui need on a</w:t>
      </w:r>
      <w:r>
        <w:rPr>
          <w:rFonts w:ascii="Times New Roman" w:hAnsi="Times New Roman"/>
          <w:noProof/>
          <w:sz w:val="24"/>
        </w:rPr>
        <w:t>sjakohased</w:t>
      </w:r>
      <w:r>
        <w:rPr>
          <w:rStyle w:val="FootnoteReference"/>
          <w:rFonts w:ascii="Times New Roman" w:hAnsi="Times New Roman"/>
          <w:noProof/>
          <w:sz w:val="24"/>
        </w:rPr>
        <w:footnoteReference w:id="45"/>
      </w:r>
      <w:r>
        <w:rPr>
          <w:rFonts w:ascii="Times New Roman" w:hAnsi="Times New Roman"/>
          <w:noProof/>
          <w:sz w:val="24"/>
        </w:rPr>
        <w:t>. Kuna võimalikud litsentsisaajad võivad üksiklitsentsi kehtivuse/olulisuse alati kahtluse alla seada, võib kõigi litsentsisaaja jaoks vajalike SEPde litsentsimine olla eriti tõhus. Seepärast teeb komisjon koostööd sidusrühmadega (sealhulgas vaj</w:t>
      </w:r>
      <w:r>
        <w:rPr>
          <w:rFonts w:ascii="Times New Roman" w:hAnsi="Times New Roman"/>
          <w:noProof/>
          <w:sz w:val="24"/>
        </w:rPr>
        <w:t>aduse korral kohtute, vahekohtunike ja vahendajatega), et välja töötada ühtsed meetodid ja neid kasutada, nagu väljavõtteline uuring, mis võimaldavad tõhusat ja tulemuslikku SEP vaidluste lahendamist kooskõlas asjaomase sektori tavaga portfellide litsentsi</w:t>
      </w:r>
      <w:r>
        <w:rPr>
          <w:rFonts w:ascii="Times New Roman" w:hAnsi="Times New Roman"/>
          <w:noProof/>
          <w:sz w:val="24"/>
        </w:rPr>
        <w:t>mise osas.</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Vaidluste kohtuväline lahendamine</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Komisjon on seisukohal, et alternatiivsete vaidluste lahendamise mehhanismidega nagu vahendamine ja vahekohus võib olla võimalik vaidlusi kiiremini ja väiksemate kuludega lahendada</w:t>
      </w:r>
      <w:r>
        <w:rPr>
          <w:rStyle w:val="FootnoteReference"/>
          <w:rFonts w:ascii="Times New Roman" w:hAnsi="Times New Roman"/>
          <w:noProof/>
          <w:sz w:val="24"/>
        </w:rPr>
        <w:footnoteReference w:id="46"/>
      </w:r>
      <w:r>
        <w:rPr>
          <w:rFonts w:ascii="Times New Roman" w:hAnsi="Times New Roman"/>
          <w:noProof/>
          <w:sz w:val="24"/>
        </w:rPr>
        <w:t>. Kuigi pooli ei saa kohustada</w:t>
      </w:r>
      <w:r>
        <w:rPr>
          <w:rFonts w:ascii="Times New Roman" w:hAnsi="Times New Roman"/>
          <w:noProof/>
          <w:sz w:val="24"/>
        </w:rPr>
        <w:t xml:space="preserve"> vaidluste kohtuvälise lahendamise mehhanisme kasutama, leiab komisjon, et nende vahendite võimalikud eelised on praegu alakasutatud.</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Vaidluste kohtuvälise lahendamise kasutamist takistab tihti prognoosimatus ja seda kritiseeritakse varasemate otsuste läbi</w:t>
      </w:r>
      <w:r>
        <w:rPr>
          <w:rFonts w:ascii="Times New Roman" w:hAnsi="Times New Roman"/>
          <w:noProof/>
          <w:sz w:val="24"/>
        </w:rPr>
        <w:t>paistmatuse pärast. Selliste mehhanismide edukus ei sõltu mitte ainult vajalikest menetlustest vaid ka ekspertide kompetentsusest. Kui ühtne patendikohus on tööle hakanud, peaks selles olema spetsiaalne vahekohtu- ja vahenduskeskus, kus töötavad spetsialis</w:t>
      </w:r>
      <w:r>
        <w:rPr>
          <w:rFonts w:ascii="Times New Roman" w:hAnsi="Times New Roman"/>
          <w:noProof/>
          <w:sz w:val="24"/>
        </w:rPr>
        <w:t>eerunud kohtunikud, et tagada kvaliteetsed ja tulemuslikud menetlused, ühtsed tavad ja jätta vähe mänguruumi endale meelepärase kohtualluvuse valimiseks. Nagu komisjon oma 2016. aasta novembris avaldatud VKEde intellektuaalomandistrateegias teatas, kaardis</w:t>
      </w:r>
      <w:r>
        <w:rPr>
          <w:rFonts w:ascii="Times New Roman" w:hAnsi="Times New Roman"/>
          <w:noProof/>
          <w:sz w:val="24"/>
        </w:rPr>
        <w:t>tab ta koostöös EUIPOga intellektuaalomandiõiguse alaseid vahendus- ja vahekohtu võimalusi, et hõlbustada veelgi intellektuaalomandialaste vahendus- ja vahekohtuteenuste kasutuselevõttu eelkõige VKEde jaoks</w:t>
      </w:r>
      <w:r>
        <w:rPr>
          <w:rStyle w:val="FootnoteReference"/>
          <w:rFonts w:ascii="Times New Roman" w:hAnsi="Times New Roman"/>
          <w:noProof/>
          <w:sz w:val="24"/>
        </w:rPr>
        <w:footnoteReference w:id="47"/>
      </w:r>
      <w:r>
        <w:rPr>
          <w:rFonts w:ascii="Times New Roman" w:hAnsi="Times New Roman"/>
          <w:noProof/>
          <w:sz w:val="24"/>
        </w:rPr>
        <w:t xml:space="preserve">. </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Komisjoni arvates tuleks vaidluste lahendid li</w:t>
      </w:r>
      <w:r>
        <w:rPr>
          <w:rFonts w:ascii="Times New Roman" w:hAnsi="Times New Roman"/>
          <w:noProof/>
          <w:sz w:val="24"/>
        </w:rPr>
        <w:t>sada ka standardiorganisatsioonide andmebaasi, nagu mainitud läbipaistvust käsitlevas peatükis</w:t>
      </w:r>
      <w:r>
        <w:rPr>
          <w:rStyle w:val="FootnoteReference"/>
          <w:rFonts w:ascii="Times New Roman" w:hAnsi="Times New Roman"/>
          <w:noProof/>
          <w:sz w:val="24"/>
        </w:rPr>
        <w:footnoteReference w:id="48"/>
      </w:r>
      <w:r>
        <w:rPr>
          <w:rFonts w:ascii="Times New Roman" w:hAnsi="Times New Roman"/>
          <w:noProof/>
          <w:sz w:val="24"/>
        </w:rPr>
        <w:t>.</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Patendihaid ja SEPd</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Patendihaid</w:t>
      </w:r>
      <w:r>
        <w:rPr>
          <w:rStyle w:val="FootnoteReference"/>
          <w:rFonts w:ascii="Times New Roman" w:hAnsi="Times New Roman"/>
          <w:noProof/>
          <w:sz w:val="24"/>
        </w:rPr>
        <w:footnoteReference w:id="49"/>
      </w:r>
      <w:r>
        <w:rPr>
          <w:rFonts w:ascii="Times New Roman" w:hAnsi="Times New Roman"/>
          <w:noProof/>
          <w:sz w:val="24"/>
        </w:rPr>
        <w:t xml:space="preserve"> mängivad SEP litsentsimisturul üha suuremat rolli. Uuringud</w:t>
      </w:r>
      <w:r>
        <w:rPr>
          <w:rStyle w:val="FootnoteReference"/>
          <w:rFonts w:ascii="Times New Roman" w:hAnsi="Times New Roman"/>
          <w:noProof/>
          <w:sz w:val="24"/>
        </w:rPr>
        <w:footnoteReference w:id="50"/>
      </w:r>
      <w:r>
        <w:rPr>
          <w:rFonts w:ascii="Times New Roman" w:hAnsi="Times New Roman"/>
          <w:noProof/>
          <w:sz w:val="24"/>
        </w:rPr>
        <w:t xml:space="preserve"> näitavad, et Euroopa vaidluste lahendamise süsteemi, sh ühtse patendikohtu raames loodava süsteemi käsutuses on piisavalt kaitsemeetmeid, et pakkuda ELis kaitset teatavate patendihaide kahjuliku mõju eest</w:t>
      </w:r>
      <w:r>
        <w:rPr>
          <w:rStyle w:val="FootnoteReference"/>
          <w:rFonts w:ascii="Times New Roman" w:hAnsi="Times New Roman"/>
          <w:noProof/>
          <w:sz w:val="24"/>
        </w:rPr>
        <w:footnoteReference w:id="51"/>
      </w:r>
      <w:r>
        <w:rPr>
          <w:rFonts w:ascii="Times New Roman" w:hAnsi="Times New Roman"/>
          <w:noProof/>
          <w:sz w:val="24"/>
        </w:rPr>
        <w:t>. Patendihaide suhtes tuleks kohaldada samu reegle</w:t>
      </w:r>
      <w:r>
        <w:rPr>
          <w:rFonts w:ascii="Times New Roman" w:hAnsi="Times New Roman"/>
          <w:noProof/>
          <w:sz w:val="24"/>
        </w:rPr>
        <w:t>id nagu teiste SEP omanike suhtes, seda ka siis, kui SEPd on patendiomanikult patendihaile üle läinud. Suurem läbipaistvus ja prognoositavus peaks kuritarvitamise võimalusi veelgi vähendama. Proportsionaalsuse põhimõtte kohaldamine kohtute poolt kujutab en</w:t>
      </w:r>
      <w:r>
        <w:rPr>
          <w:rFonts w:ascii="Times New Roman" w:hAnsi="Times New Roman"/>
          <w:noProof/>
          <w:sz w:val="24"/>
        </w:rPr>
        <w:t>dast veel üht kaitsemeedet. Komisjon jälgib tähelepanelikult nende turuosaliste mõju SEP litsentsiturule Euroopas, eelkõige pärast seda, kui ELi ühtne patent on kasutusvalmis saanud.</w:t>
      </w:r>
    </w:p>
    <w:p w:rsidR="00BB1AE4" w:rsidRDefault="00AE53A9">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Teadlikkuse suurendamine</w:t>
      </w:r>
    </w:p>
    <w:p w:rsidR="00BB1AE4" w:rsidRDefault="00AE53A9">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Vaja on, et asjaomased huvirühmad, eelkõige stan</w:t>
      </w:r>
      <w:r>
        <w:rPr>
          <w:rFonts w:ascii="Times New Roman" w:hAnsi="Times New Roman"/>
          <w:noProof/>
          <w:sz w:val="24"/>
        </w:rPr>
        <w:t>dardiorganisatsioonid ja SEP omanikud annaksid eelkõige VKEdele (nii patendi omanikud kui ka standardite rakendajad) ennetavalt teavet FRAND-tingimustel toimuvast litsentsimisprotsessist ja selle mõjust. Komisjon toetab teadlikkuse suurendamise meetmeid se</w:t>
      </w:r>
      <w:r>
        <w:rPr>
          <w:rFonts w:ascii="Times New Roman" w:hAnsi="Times New Roman"/>
          <w:noProof/>
          <w:sz w:val="24"/>
        </w:rPr>
        <w:t>lles küsimuses.</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Komisjon on seisukohal, et FRAND-protsessis peavad mõlemad pooled pidama läbirääkimisi heas usus, sealhulgas reageerima õigeaegselt. Esialgset õiguskaitset võib taotleda pahausksete isikute eest (nt isikud, kes ei soovi litsentsi FRAND-ting</w:t>
      </w:r>
      <w:r>
        <w:rPr>
          <w:i/>
          <w:noProof/>
          <w:color w:val="000000"/>
        </w:rPr>
        <w:t>imustel omandada), kuid seda tuleb kasutada proportsionaalselt.</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Seepärast teeb komisjon</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koostööd sidusrühmadega, et välja töötada ühtsed meetodid ja neid kasutada, nagu väljavõtteline uuring, mis võimaldavad tõhusat ja tulemuslikku SEP vaidluste lahendam</w:t>
      </w:r>
      <w:r>
        <w:rPr>
          <w:i/>
          <w:noProof/>
          <w:color w:val="000000"/>
        </w:rPr>
        <w:t>ist kooskõlas asjaomase sektori tavadega portfellide litsentsimise osas;</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lihtsustab veelgi vahenduse ja vaidluste kohtuvälise lahendamise vahendite kasutuselevõttu ja</w:t>
      </w:r>
    </w:p>
    <w:p w:rsidR="00BB1AE4" w:rsidRDefault="00AE53A9">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jälgib patendihaide mõju Euroopas.</w:t>
      </w:r>
    </w:p>
    <w:p w:rsidR="00BB1AE4" w:rsidRDefault="00AE53A9">
      <w:pPr>
        <w:keepNext/>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4. Avatud lähtekood ja standardid</w:t>
      </w:r>
    </w:p>
    <w:p w:rsidR="00BB1AE4" w:rsidRDefault="00AE53A9">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Praeguse </w:t>
      </w:r>
      <w:r>
        <w:rPr>
          <w:rFonts w:ascii="Times New Roman" w:hAnsi="Times New Roman"/>
          <w:noProof/>
          <w:sz w:val="24"/>
        </w:rPr>
        <w:t>tehnoloogia arengu juures edendab avatud lähtekoodiga tarkvara rakendamine lisaks standarditele samuti innovatsiooni ning muutub üha levinumaks, sealhulgas IKT-standardite valdkonnas. Avatud lähtekoodiga projektide kaasamine standardite väljatöötamise prot</w:t>
      </w:r>
      <w:r>
        <w:rPr>
          <w:rFonts w:ascii="Times New Roman" w:hAnsi="Times New Roman"/>
          <w:noProof/>
          <w:sz w:val="24"/>
        </w:rPr>
        <w:t>sessi on kasulik mõlemale poolele: ühest küljest saab avatud lähtekoodi ja standardimise ühendamine kiirendada standardite väljatöötamise protsessi ja IKT-standardite kasutuselevõttu (eelkõige VKEde jaoks) ning teisest küljest saab standard lihtsustada ava</w:t>
      </w:r>
      <w:r>
        <w:rPr>
          <w:rFonts w:ascii="Times New Roman" w:hAnsi="Times New Roman"/>
          <w:noProof/>
          <w:sz w:val="24"/>
        </w:rPr>
        <w:t>tud lähtekoodiga rakenduste omavahelist ühilduvust</w:t>
      </w:r>
      <w:r>
        <w:rPr>
          <w:rStyle w:val="FootnoteReference"/>
          <w:rFonts w:ascii="Times New Roman" w:hAnsi="Times New Roman"/>
          <w:noProof/>
          <w:sz w:val="24"/>
        </w:rPr>
        <w:footnoteReference w:id="52"/>
      </w:r>
      <w:r>
        <w:rPr>
          <w:rFonts w:ascii="Times New Roman" w:hAnsi="Times New Roman"/>
          <w:noProof/>
          <w:sz w:val="24"/>
        </w:rPr>
        <w:t>. Tegevust selles suunas arendatakse erinevates standardiorganisatsioonides</w:t>
      </w:r>
      <w:r>
        <w:rPr>
          <w:rStyle w:val="FootnoteReference"/>
          <w:rFonts w:ascii="Times New Roman" w:hAnsi="Times New Roman"/>
          <w:noProof/>
          <w:sz w:val="24"/>
        </w:rPr>
        <w:footnoteReference w:id="53"/>
      </w:r>
      <w:r>
        <w:rPr>
          <w:rFonts w:ascii="Times New Roman" w:hAnsi="Times New Roman"/>
          <w:noProof/>
          <w:sz w:val="24"/>
        </w:rPr>
        <w:t>.</w:t>
      </w:r>
    </w:p>
    <w:p w:rsidR="00BB1AE4" w:rsidRDefault="00AE53A9">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Avatud lähtekoodiga tarkvara ja standardimise protsessidel on sarnasusi (koostööl põhinev avatud protsess, innovatsiooni toetam</w:t>
      </w:r>
      <w:r>
        <w:rPr>
          <w:rFonts w:ascii="Times New Roman" w:hAnsi="Times New Roman"/>
          <w:noProof/>
          <w:sz w:val="24"/>
        </w:rPr>
        <w:t>ine) ja erinevusi (intellektuaalomandiõiguste poliitika, kiirus, hooldus, läbipaistvus, protsesside tasakaalustatus jne). Seepärast on vaja avatud lähtekoodi kogukonna projektide ja standardiorganisatsioonide protsesside koostoimele tähelepanu pöörata.</w:t>
      </w:r>
    </w:p>
    <w:p w:rsidR="00BB1AE4" w:rsidRDefault="00AE53A9">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Kom</w:t>
      </w:r>
      <w:r>
        <w:rPr>
          <w:rFonts w:ascii="Times New Roman" w:hAnsi="Times New Roman"/>
          <w:noProof/>
          <w:sz w:val="24"/>
        </w:rPr>
        <w:t>isjon toetab avatud lähtekoodiga lahendusi näiteks programmi „Horisont 2020“ raames rahastatavate teadusuuringute ja innovatsiooniprojektide kaudu. Paindlik ja tulemuslik koostoime standardimise eest vastutavate asutuste ja avatud lähtekoodi kogukondade va</w:t>
      </w:r>
      <w:r>
        <w:rPr>
          <w:rFonts w:ascii="Times New Roman" w:hAnsi="Times New Roman"/>
          <w:noProof/>
          <w:sz w:val="24"/>
        </w:rPr>
        <w:t>hel edendab ja kiirendab eesrindlike tehnoloogiliste arenduste kasutuselevõttu.</w:t>
      </w:r>
    </w:p>
    <w:p w:rsidR="00BB1AE4" w:rsidRDefault="00AE53A9">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Komisjon jätkab koostöö tegemist sidusrühmade, avatud lähtekoodi kogukondade ja standardiorganisatsioonidega, et edendada tõhusat koostoimet standardimise ja avatud lähtekoodig</w:t>
      </w:r>
      <w:r>
        <w:rPr>
          <w:rFonts w:ascii="Times New Roman" w:hAnsi="Times New Roman"/>
          <w:noProof/>
          <w:sz w:val="24"/>
        </w:rPr>
        <w:t>a tarkvara vahel. Komisjon rahastab ka uuringuid, et analüüsida nende kahe protsessi vastastikust täiendavust, koostoime viise ja erinevusi ning pakkuda lahendusi nende kahe kogukonna vaheliseks sujuvaks koostööks.</w:t>
      </w:r>
    </w:p>
    <w:p w:rsidR="00BB1AE4" w:rsidRDefault="00AE53A9">
      <w:pPr>
        <w:pStyle w:val="ListParagraph"/>
        <w:pBdr>
          <w:top w:val="single" w:sz="4" w:space="1" w:color="auto"/>
          <w:left w:val="single" w:sz="4" w:space="4" w:color="auto"/>
          <w:bottom w:val="single" w:sz="4" w:space="1" w:color="auto"/>
          <w:right w:val="single" w:sz="4" w:space="4" w:color="auto"/>
        </w:pBdr>
        <w:shd w:val="pct10" w:color="auto" w:fill="auto"/>
        <w:spacing w:before="120" w:after="120" w:line="240" w:lineRule="auto"/>
        <w:ind w:left="0"/>
        <w:jc w:val="both"/>
        <w:rPr>
          <w:rFonts w:ascii="Times New Roman" w:hAnsi="Times New Roman" w:cs="Times New Roman"/>
          <w:i/>
          <w:noProof/>
          <w:sz w:val="24"/>
          <w:szCs w:val="24"/>
        </w:rPr>
      </w:pPr>
      <w:r>
        <w:rPr>
          <w:rFonts w:ascii="Times New Roman" w:hAnsi="Times New Roman"/>
          <w:i/>
          <w:noProof/>
          <w:sz w:val="24"/>
        </w:rPr>
        <w:t>Komisjon teeb koostööd sidusrühmade, avat</w:t>
      </w:r>
      <w:r>
        <w:rPr>
          <w:rFonts w:ascii="Times New Roman" w:hAnsi="Times New Roman"/>
          <w:i/>
          <w:noProof/>
          <w:sz w:val="24"/>
        </w:rPr>
        <w:t>ud lähtekoodi kogukondade ja standardiorganisatsioonidega, et tagada avatud lähtekoodiga tarkvara ja standardimise edukas koostoime ning korraldab selleks uuringuid ja analüüse.</w:t>
      </w:r>
    </w:p>
    <w:p w:rsidR="00BB1AE4" w:rsidRDefault="00AE53A9">
      <w:pPr>
        <w:keepNext/>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5. Kokkuvõte</w:t>
      </w:r>
    </w:p>
    <w:p w:rsidR="00BB1AE4" w:rsidRDefault="00AE53A9">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Selleks et Euroopa saaks ühtsest turust ja digitaalsest ühtsest </w:t>
      </w:r>
      <w:r>
        <w:rPr>
          <w:rFonts w:ascii="Times New Roman" w:hAnsi="Times New Roman"/>
          <w:noProof/>
          <w:sz w:val="24"/>
        </w:rPr>
        <w:t>turust täiel määral kasu, on vaja tasakaalustatud intellektuaalomandiõiguste raamistikku, mis toetab jätkusuutlikku ja tõhusat standardimissüsteemi ja SEPde litsentsimiskeskkonda.</w:t>
      </w:r>
    </w:p>
    <w:p w:rsidR="00BB1AE4" w:rsidRDefault="00AE53A9">
      <w:pPr>
        <w:spacing w:before="120" w:after="120" w:line="240" w:lineRule="auto"/>
        <w:jc w:val="both"/>
        <w:rPr>
          <w:rFonts w:ascii="Times New Roman" w:hAnsi="Times New Roman" w:cs="Times New Roman"/>
          <w:noProof/>
          <w:sz w:val="24"/>
          <w:szCs w:val="24"/>
        </w:rPr>
      </w:pPr>
      <w:r>
        <w:rPr>
          <w:rFonts w:ascii="Times New Roman" w:hAnsi="Times New Roman"/>
          <w:noProof/>
          <w:sz w:val="24"/>
        </w:rPr>
        <w:t>Käesolevas teatises esitatakse terviklik lähenemisviis ning tuuakse välja vi</w:t>
      </w:r>
      <w:r>
        <w:rPr>
          <w:rFonts w:ascii="Times New Roman" w:hAnsi="Times New Roman"/>
          <w:noProof/>
          <w:sz w:val="24"/>
        </w:rPr>
        <w:t>is põhimõtet SEPde litsentsimise jaoks, võttes arvesse tööstussektori ülesehitust ja tõhususkaalutlusi. Põhimõtete edukaks rakendamiseks on vaja teha koostööd kõigi sidusrühmadega ning tagada, et kavandatud tegevused annavad konkreetseid tulemusi, toetades</w:t>
      </w:r>
      <w:r>
        <w:rPr>
          <w:rFonts w:ascii="Times New Roman" w:hAnsi="Times New Roman"/>
          <w:noProof/>
          <w:sz w:val="24"/>
        </w:rPr>
        <w:t xml:space="preserve"> selleks eelkõige idufirmade osalemist asjade interneti arengus. Seetõttu kutsub komisjon kõiki sidusrühmi üles neid põhimõtteid aktiivselt järgima.</w:t>
      </w:r>
    </w:p>
    <w:p w:rsidR="00BB1AE4" w:rsidRDefault="00AE53A9">
      <w:pPr>
        <w:spacing w:before="120" w:after="120" w:line="240" w:lineRule="auto"/>
        <w:jc w:val="both"/>
        <w:rPr>
          <w:rFonts w:ascii="Times New Roman" w:hAnsi="Times New Roman"/>
          <w:noProof/>
          <w:sz w:val="24"/>
        </w:rPr>
      </w:pPr>
      <w:r>
        <w:rPr>
          <w:rFonts w:ascii="Times New Roman" w:hAnsi="Times New Roman"/>
          <w:noProof/>
          <w:sz w:val="24"/>
        </w:rPr>
        <w:t>Komisjon jälgib hoolikalt SEP litsentsimisturge, pöörates tähelepanu eelkõige asjade interneti tehnoloogiat</w:t>
      </w:r>
      <w:r>
        <w:rPr>
          <w:rFonts w:ascii="Times New Roman" w:hAnsi="Times New Roman"/>
          <w:noProof/>
          <w:sz w:val="24"/>
        </w:rPr>
        <w:t>ele, ning kasutab selleks spetsiaalselt loodavat eksperdirühma ja teeb vajadusel täiendavaid uuringuid. Komisjon toetub tehtud edusammudele ning hindab vajadust edasiste meetmete järele, et tagada selle abil tasakaalustatud raamistik SEPde tõrgeteta, tõhus</w:t>
      </w:r>
      <w:r>
        <w:rPr>
          <w:rFonts w:ascii="Times New Roman" w:hAnsi="Times New Roman"/>
          <w:noProof/>
          <w:sz w:val="24"/>
        </w:rPr>
        <w:t>aks ja tulemuslikuks litsentsimiseks.</w:t>
      </w:r>
    </w:p>
    <w:sectPr w:rsidR="00BB1AE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E4" w:rsidRDefault="00AE53A9">
      <w:pPr>
        <w:spacing w:after="0" w:line="240" w:lineRule="auto"/>
      </w:pPr>
      <w:r>
        <w:separator/>
      </w:r>
    </w:p>
  </w:endnote>
  <w:endnote w:type="continuationSeparator" w:id="0">
    <w:p w:rsidR="00BB1AE4" w:rsidRDefault="00AE53A9">
      <w:pPr>
        <w:spacing w:after="0" w:line="240" w:lineRule="auto"/>
      </w:pPr>
      <w:r>
        <w:continuationSeparator/>
      </w:r>
    </w:p>
  </w:endnote>
  <w:endnote w:type="continuationNotice" w:id="1">
    <w:p w:rsidR="00BB1AE4" w:rsidRDefault="00BB1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VHQCS+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A9" w:rsidRPr="00AE53A9" w:rsidRDefault="00AE53A9" w:rsidP="00AE5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A9" w:rsidRPr="00AE53A9" w:rsidRDefault="00AE53A9" w:rsidP="00AE53A9">
    <w:pPr>
      <w:pStyle w:val="FooterCoverPage"/>
      <w:rPr>
        <w:rFonts w:ascii="Arial" w:hAnsi="Arial" w:cs="Arial"/>
        <w:b/>
        <w:sz w:val="48"/>
      </w:rPr>
    </w:pPr>
    <w:r w:rsidRPr="00AE53A9">
      <w:rPr>
        <w:rFonts w:ascii="Arial" w:hAnsi="Arial" w:cs="Arial"/>
        <w:b/>
        <w:sz w:val="48"/>
      </w:rPr>
      <w:t>ET</w:t>
    </w:r>
    <w:r w:rsidRPr="00AE53A9">
      <w:rPr>
        <w:rFonts w:ascii="Arial" w:hAnsi="Arial" w:cs="Arial"/>
        <w:b/>
        <w:sz w:val="48"/>
      </w:rPr>
      <w:tab/>
    </w:r>
    <w:r w:rsidRPr="00AE53A9">
      <w:rPr>
        <w:rFonts w:ascii="Arial" w:hAnsi="Arial" w:cs="Arial"/>
        <w:b/>
        <w:sz w:val="48"/>
      </w:rPr>
      <w:tab/>
    </w:r>
    <w:r w:rsidRPr="00AE53A9">
      <w:tab/>
    </w:r>
    <w:r w:rsidRPr="00AE53A9">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A9" w:rsidRPr="00AE53A9" w:rsidRDefault="00AE53A9" w:rsidP="00AE53A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E4" w:rsidRDefault="00BB1A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E4" w:rsidRDefault="00AE53A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E4" w:rsidRDefault="00BB1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E4" w:rsidRDefault="00AE53A9">
      <w:pPr>
        <w:spacing w:after="0" w:line="240" w:lineRule="auto"/>
      </w:pPr>
      <w:r>
        <w:separator/>
      </w:r>
    </w:p>
  </w:footnote>
  <w:footnote w:type="continuationSeparator" w:id="0">
    <w:p w:rsidR="00BB1AE4" w:rsidRDefault="00AE53A9">
      <w:pPr>
        <w:spacing w:after="0" w:line="240" w:lineRule="auto"/>
      </w:pPr>
      <w:r>
        <w:continuationSeparator/>
      </w:r>
    </w:p>
  </w:footnote>
  <w:footnote w:type="continuationNotice" w:id="1">
    <w:p w:rsidR="00BB1AE4" w:rsidRDefault="00BB1AE4">
      <w:pPr>
        <w:spacing w:after="0" w:line="240" w:lineRule="auto"/>
      </w:pPr>
    </w:p>
  </w:footnote>
  <w:footnote w:id="2">
    <w:p w:rsidR="00BB1AE4" w:rsidRDefault="00AE53A9">
      <w:pPr>
        <w:pStyle w:val="FootnoteText"/>
        <w:spacing w:after="0" w:line="240" w:lineRule="auto"/>
        <w:jc w:val="both"/>
      </w:pPr>
      <w:r>
        <w:rPr>
          <w:rStyle w:val="FootnoteReference"/>
        </w:rPr>
        <w:footnoteRef/>
      </w:r>
      <w:r>
        <w:t xml:space="preserve"> </w:t>
      </w:r>
      <w:r>
        <w:rPr>
          <w:rFonts w:ascii="Times New Roman" w:hAnsi="Times New Roman"/>
        </w:rPr>
        <w:t xml:space="preserve">Määruses (EL) 1025/2012, mis käsitleb Euroopa standardimist, on defineeritud mõisted „standard“ ja „tehniline spetsifikatsioon“. Käesolevas dokumendis kasutatakse lühiduse </w:t>
      </w:r>
      <w:r>
        <w:rPr>
          <w:rFonts w:ascii="Times New Roman" w:hAnsi="Times New Roman"/>
        </w:rPr>
        <w:t>huvides mõlemas tähenduses terminit „standard“.</w:t>
      </w:r>
    </w:p>
  </w:footnote>
  <w:footnote w:id="3">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Näiteks ettevõttel X, kes turustab kodus kasutamiseks mõeldud häiresüsteeme, mis on ühendatud internetiga WiFi ja LTE kaudu, et pakkuda tarbijatele suuremat turvalisust voolukatkestuse korral, on nende stan</w:t>
      </w:r>
      <w:r>
        <w:rPr>
          <w:rFonts w:ascii="Times New Roman" w:hAnsi="Times New Roman"/>
        </w:rPr>
        <w:t>dardtehnoloogiate kasutamiseks vaja luba.</w:t>
      </w:r>
    </w:p>
  </w:footnote>
  <w:footnote w:id="4">
    <w:p w:rsidR="00BB1AE4" w:rsidRDefault="00AE53A9">
      <w:pPr>
        <w:pStyle w:val="FootnoteText"/>
        <w:spacing w:after="0" w:line="240" w:lineRule="auto"/>
        <w:jc w:val="both"/>
      </w:pPr>
      <w:r>
        <w:rPr>
          <w:rStyle w:val="FootnoteReference"/>
        </w:rPr>
        <w:footnoteRef/>
      </w:r>
      <w:r>
        <w:t xml:space="preserve"> </w:t>
      </w:r>
      <w:r>
        <w:rPr>
          <w:rFonts w:ascii="Times New Roman" w:hAnsi="Times New Roman"/>
        </w:rPr>
        <w:t>McKinsey, 2015. Vt ka kõnes Euroopa Liidu olukorra kohta president Junckeri poolt seatud 5G ja asjade interneti eesmärki, 14.9.2016.</w:t>
      </w:r>
    </w:p>
  </w:footnote>
  <w:footnote w:id="5">
    <w:p w:rsidR="00BB1AE4" w:rsidRDefault="00AE53A9">
      <w:pPr>
        <w:pStyle w:val="FootnoteText"/>
        <w:spacing w:after="0" w:line="240" w:lineRule="auto"/>
        <w:jc w:val="both"/>
        <w:rPr>
          <w:rFonts w:ascii="Times New Roman" w:hAnsi="Times New Roman"/>
        </w:rPr>
      </w:pPr>
      <w:r>
        <w:rPr>
          <w:rStyle w:val="FootnoteReference"/>
        </w:rPr>
        <w:footnoteRef/>
      </w:r>
      <w:r>
        <w:rPr>
          <w:rFonts w:ascii="Times New Roman" w:hAnsi="Times New Roman"/>
        </w:rPr>
        <w:t xml:space="preserve"> PricewaterhouseCoopers, 2015 ja Boston Consulting Group, 2015. Vt ka: https:/</w:t>
      </w:r>
      <w:r>
        <w:rPr>
          <w:rFonts w:ascii="Times New Roman" w:hAnsi="Times New Roman"/>
        </w:rPr>
        <w:t>/ec.europa.eu/digital-single-market/en/digitising-european-industry#usefullinks</w:t>
      </w:r>
    </w:p>
  </w:footnote>
  <w:footnote w:id="6">
    <w:p w:rsidR="00BB1AE4" w:rsidRDefault="00AE53A9">
      <w:pPr>
        <w:pStyle w:val="FootnoteText"/>
        <w:spacing w:after="0" w:line="240" w:lineRule="auto"/>
        <w:jc w:val="both"/>
        <w:rPr>
          <w:rFonts w:ascii="Times New Roman" w:hAnsi="Times New Roman"/>
        </w:rPr>
      </w:pPr>
      <w:r>
        <w:rPr>
          <w:rStyle w:val="FootnoteReference"/>
        </w:rPr>
        <w:footnoteRef/>
      </w:r>
      <w:r>
        <w:rPr>
          <w:rStyle w:val="FootnoteReference"/>
        </w:rPr>
        <w:t xml:space="preserve"> </w:t>
      </w:r>
      <w:r>
        <w:rPr>
          <w:rFonts w:ascii="Times New Roman" w:hAnsi="Times New Roman"/>
        </w:rPr>
        <w:t>Vt McKinsey (2015).</w:t>
      </w:r>
    </w:p>
  </w:footnote>
  <w:footnote w:id="7">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Majandushuvid on väga suured: näiteks 2G, 3G ja 4G standardite litsentsitulu on umbes 18 miljardit eurot aastas (CRA 2016).</w:t>
      </w:r>
    </w:p>
  </w:footnote>
  <w:footnote w:id="8">
    <w:p w:rsidR="00BB1AE4" w:rsidRDefault="00AE53A9">
      <w:pPr>
        <w:pStyle w:val="FootnoteText"/>
        <w:spacing w:after="0" w:line="240" w:lineRule="auto"/>
        <w:jc w:val="both"/>
      </w:pPr>
      <w:r>
        <w:rPr>
          <w:rStyle w:val="FootnoteReference"/>
        </w:rPr>
        <w:footnoteRef/>
      </w:r>
      <w:r>
        <w:t xml:space="preserve"> </w:t>
      </w:r>
      <w:r>
        <w:rPr>
          <w:rFonts w:ascii="Times New Roman" w:hAnsi="Times New Roman"/>
        </w:rPr>
        <w:t>2014. aastal komisjoni kor</w:t>
      </w:r>
      <w:r>
        <w:rPr>
          <w:rFonts w:ascii="Times New Roman" w:hAnsi="Times New Roman"/>
        </w:rPr>
        <w:t xml:space="preserve">raldatud avalik konsultatsioon näitab selgelt eriarvamusi SEP keskkonnaga seotud probleemide ja lahenduste suhtes. Vt </w:t>
      </w:r>
      <w:hyperlink r:id="rId1">
        <w:r>
          <w:rPr>
            <w:rStyle w:val="Hyperlink"/>
            <w:rFonts w:ascii="Times New Roman" w:hAnsi="Times New Roman"/>
          </w:rPr>
          <w:t>http://ec.europa.eu/growth/tools-dat</w:t>
        </w:r>
        <w:r>
          <w:rPr>
            <w:rStyle w:val="Hyperlink"/>
            <w:rFonts w:ascii="Times New Roman" w:hAnsi="Times New Roman"/>
          </w:rPr>
          <w:t>abases/newsroom/cf/itemdetail.cfm?item_id=7833</w:t>
        </w:r>
      </w:hyperlink>
      <w:r>
        <w:rPr>
          <w:rFonts w:ascii="Times New Roman" w:hAnsi="Times New Roman"/>
        </w:rPr>
        <w:t xml:space="preserve">. </w:t>
      </w:r>
    </w:p>
  </w:footnote>
  <w:footnote w:id="9">
    <w:p w:rsidR="00BB1AE4" w:rsidRDefault="00AE53A9">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ETSIs deklareeritud patendid moodustavad 70% kogu maailma SEPdest (IPlytics, 2017). </w:t>
      </w:r>
    </w:p>
  </w:footnote>
  <w:footnote w:id="10">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Näiteks on Euroopa Telekommunikatsioonistandardite Instituudi (ETSI) poolt välja töötatud globaalse mobiilsidesüsteemi</w:t>
      </w:r>
      <w:r>
        <w:rPr>
          <w:rFonts w:ascii="Times New Roman" w:hAnsi="Times New Roman"/>
        </w:rPr>
        <w:t xml:space="preserve"> standardi ja 3G või universaalse mobiilsidesüsteemi standardi jaoks hädavajalikud rohkem kui 23 500 patenti. Sellist standardit kohaldatakse kõigi selliste nutitelefonide ja mobiilsete seadmete suhtes, millel on mobiilsideühendus. Rohkem andmeid on uuring</w:t>
      </w:r>
      <w:r>
        <w:rPr>
          <w:rFonts w:ascii="Times New Roman" w:hAnsi="Times New Roman"/>
        </w:rPr>
        <w:t>us „Landscaping study on SEPs' IPlytics (2017) and 'Patents and Standards - A modern framework for IPR-based standardization“ ECSIP (2014).</w:t>
      </w:r>
    </w:p>
  </w:footnote>
  <w:footnote w:id="11">
    <w:p w:rsidR="00BB1AE4" w:rsidRDefault="00AE53A9">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Mõned standardiorganisatsioonid nõuavad teatavate patentide avalikustamist, kuna nad tunnustavad nende kasulikkust</w:t>
      </w:r>
      <w:r>
        <w:rPr>
          <w:rFonts w:ascii="Times New Roman" w:hAnsi="Times New Roman"/>
        </w:rPr>
        <w:t xml:space="preserve">, teised aga lubavad ülddeklaratsioone. Teatise käesolevas osas viidatakse standardiorganisatsioonidele, kes taotluse avalikustamist spetsiaalselt nõuavad. </w:t>
      </w:r>
    </w:p>
  </w:footnote>
  <w:footnote w:id="12">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näiteks mitu aastat kestnud „DARE” projekti ETSI andmebaasi täiustamiseks.</w:t>
      </w:r>
    </w:p>
  </w:footnote>
  <w:footnote w:id="13">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Üksikasjalikuma ü</w:t>
      </w:r>
      <w:r>
        <w:rPr>
          <w:rFonts w:ascii="Times New Roman" w:hAnsi="Times New Roman"/>
        </w:rPr>
        <w:t>levaate saamiseks vt kokkuvõttev aruanne siseturu, tööstuse, ettevõtluse ja VKEde peadirektoraadi poolt 2015. aastal korraldatud avaliku konsultatsiooni kohta. http://ec.europa.eu/DocsRoom/documents/14482/attachments/1/translations/en/renditions/native.</w:t>
      </w:r>
    </w:p>
  </w:footnote>
  <w:footnote w:id="14">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CRA (2016).</w:t>
      </w:r>
    </w:p>
  </w:footnote>
  <w:footnote w:id="15">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Vt punkt 3 seoses tõhusa õiguskaitse tagamisega.</w:t>
      </w:r>
    </w:p>
  </w:footnote>
  <w:footnote w:id="16">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Näiteks ei pruugi kandidaattehnoloogia jaoks esialgu deklareeritud patent või patenditaotlus avaldatud standardis kasutust leida või võidakse deklareeritud patenditaotlus patendi andmise </w:t>
      </w:r>
      <w:r>
        <w:rPr>
          <w:rFonts w:ascii="Times New Roman" w:hAnsi="Times New Roman"/>
        </w:rPr>
        <w:t>protsessi käigus läbi vaadata.</w:t>
      </w:r>
    </w:p>
  </w:footnote>
  <w:footnote w:id="17">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Näiteks 71 % suurtes standardiorganisatsioonides (73 % ETSIs) deklareeritud SEPdest antakse alles pärast seda, kui standard on avaldatud (IPlytics, 2017).</w:t>
      </w:r>
    </w:p>
  </w:footnote>
  <w:footnote w:id="18">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ECSIP (2014).</w:t>
      </w:r>
    </w:p>
  </w:footnote>
  <w:footnote w:id="19">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IPlytics (2017) ja CRA (2016) ning kokkuvõte siseturu, tööstuse, ettevõtluse ja VKEde peadirektoraadi (DG GROW) avaliku konsultatsiooni kohta SEP teemal (2015).</w:t>
      </w:r>
    </w:p>
  </w:footnote>
  <w:footnote w:id="20">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Mitmed peamiste tehnoloogiate kohta tehtud uuringud näitavad, et kui põhjalikult katsetad</w:t>
      </w:r>
      <w:r>
        <w:rPr>
          <w:rFonts w:ascii="Times New Roman" w:hAnsi="Times New Roman"/>
        </w:rPr>
        <w:t>a, on deklareeritud patentidest olulised ainult 10 % – 50 % (CRA, 2016 ja IPlytics, 20).</w:t>
      </w:r>
    </w:p>
  </w:footnote>
  <w:footnote w:id="21">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Olulisuse kontrollide kulud võivad peamiste tehnoloogiate litsentsituludega võrreldes olla tühised (vt CRA, 2016).</w:t>
      </w:r>
    </w:p>
  </w:footnote>
  <w:footnote w:id="22">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Tulude ja kulude analüüsi kohta vt IPlytics (201</w:t>
      </w:r>
      <w:r>
        <w:rPr>
          <w:rFonts w:ascii="Times New Roman" w:hAnsi="Times New Roman"/>
        </w:rPr>
        <w:t>7).</w:t>
      </w:r>
    </w:p>
  </w:footnote>
  <w:footnote w:id="23">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CRA (2016).</w:t>
      </w:r>
    </w:p>
  </w:footnote>
  <w:footnote w:id="24">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IPlytics (2017).</w:t>
      </w:r>
    </w:p>
  </w:footnote>
  <w:footnote w:id="25">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Public consultation on patents and standards: </w:t>
      </w:r>
      <w:r>
        <w:rPr>
          <w:rFonts w:ascii="Times New Roman" w:hAnsi="Times New Roman"/>
          <w:i/>
        </w:rPr>
        <w:t>A modern framework for standardisation involving intellectual property rights</w:t>
      </w:r>
      <w:r>
        <w:rPr>
          <w:rFonts w:ascii="Times New Roman" w:hAnsi="Times New Roman"/>
        </w:rPr>
        <w:t xml:space="preserve"> (Avalik konsultatsioon patentide ja standardite kohta: intellektuaalomandi õigusi kaasa</w:t>
      </w:r>
      <w:r>
        <w:rPr>
          <w:rFonts w:ascii="Times New Roman" w:hAnsi="Times New Roman"/>
        </w:rPr>
        <w:t>v kaasaegne standardimise raamistik).</w:t>
      </w:r>
    </w:p>
  </w:footnote>
  <w:footnote w:id="26">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Licensing Terms of Standard Essential Patents: </w:t>
      </w:r>
      <w:r>
        <w:rPr>
          <w:rFonts w:ascii="Times New Roman" w:hAnsi="Times New Roman"/>
          <w:i/>
        </w:rPr>
        <w:t>A Comprehensive Analysis of Cases</w:t>
      </w:r>
      <w:r>
        <w:rPr>
          <w:rFonts w:ascii="Times New Roman" w:hAnsi="Times New Roman"/>
        </w:rPr>
        <w:t xml:space="preserve"> (Standardite rakendamiseks olulise patentide litsentseerimise tingimused: juhtumite põhjalik analüüs), JRC 2017.</w:t>
      </w:r>
    </w:p>
  </w:footnote>
  <w:footnote w:id="27">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Study on Transparenc</w:t>
      </w:r>
      <w:r>
        <w:rPr>
          <w:rFonts w:ascii="Times New Roman" w:hAnsi="Times New Roman"/>
        </w:rPr>
        <w:t>y, Predictability and Efficiency of SDO-based Standardization and SEP Licensing (Uuring standardiorganisatsioonide standardimise ja SEP litsentsimise läbipaistvuse, prognoositavuse ja tõhususe kohta), avaldatud: 12/12/2016, (CRA uuring).</w:t>
      </w:r>
    </w:p>
  </w:footnote>
  <w:footnote w:id="28">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eelkõige Unvi</w:t>
      </w:r>
      <w:r>
        <w:rPr>
          <w:rFonts w:ascii="Times New Roman" w:hAnsi="Times New Roman"/>
        </w:rPr>
        <w:t xml:space="preserve">red Planet </w:t>
      </w:r>
      <w:r>
        <w:rPr>
          <w:rFonts w:ascii="Times New Roman" w:hAnsi="Times New Roman"/>
          <w:i/>
        </w:rPr>
        <w:t>vs.</w:t>
      </w:r>
      <w:r>
        <w:rPr>
          <w:rFonts w:ascii="Times New Roman" w:hAnsi="Times New Roman"/>
        </w:rPr>
        <w:t xml:space="preserve"> Huaweï [2017] EWHC 711 (Pat).</w:t>
      </w:r>
    </w:p>
  </w:footnote>
  <w:footnote w:id="29">
    <w:p w:rsidR="00BB1AE4" w:rsidRPr="00AE53A9"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Kohtuasi C-170/13 Huawei Technologies, EU:C:2015:477, punkt 53.</w:t>
      </w:r>
    </w:p>
  </w:footnote>
  <w:footnote w:id="30">
    <w:p w:rsidR="00BB1AE4" w:rsidRDefault="00AE53A9">
      <w:pPr>
        <w:pStyle w:val="FootnoteText"/>
        <w:spacing w:after="0" w:line="240" w:lineRule="auto"/>
        <w:jc w:val="both"/>
      </w:pPr>
      <w:r>
        <w:rPr>
          <w:rStyle w:val="FootnoteReference"/>
        </w:rPr>
        <w:footnoteRef/>
      </w:r>
      <w:r>
        <w:t xml:space="preserve"> </w:t>
      </w:r>
      <w:r>
        <w:rPr>
          <w:rFonts w:ascii="Times New Roman" w:hAnsi="Times New Roman"/>
          <w:i/>
        </w:rPr>
        <w:t>Nüüdisväärtus</w:t>
      </w:r>
      <w:r>
        <w:rPr>
          <w:rFonts w:ascii="Times New Roman" w:hAnsi="Times New Roman"/>
        </w:rPr>
        <w:t xml:space="preserve"> on väärtus, mis on diskonteeritud litsentsilepingu sõlmimise ajal. Diskonteerimise võimaldamine aja jooksul on oluline, kuna lits</w:t>
      </w:r>
      <w:r>
        <w:rPr>
          <w:rFonts w:ascii="Times New Roman" w:hAnsi="Times New Roman"/>
        </w:rPr>
        <w:t>entsilepingud sõlmitakse mitmeks aastaks ja seda ka tehnoloogiliselt kiiresti muutuvas ettevõtluskeskkonnas.</w:t>
      </w:r>
    </w:p>
  </w:footnote>
  <w:footnote w:id="31">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Litsentsitasude kuhjumise kohta vt CRA uuring.</w:t>
      </w:r>
    </w:p>
  </w:footnote>
  <w:footnote w:id="32">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Unwired Planet </w:t>
      </w:r>
      <w:r>
        <w:rPr>
          <w:rFonts w:ascii="Times New Roman" w:hAnsi="Times New Roman"/>
          <w:i/>
        </w:rPr>
        <w:t>vs.</w:t>
      </w:r>
      <w:r>
        <w:rPr>
          <w:rFonts w:ascii="Times New Roman" w:hAnsi="Times New Roman"/>
        </w:rPr>
        <w:t xml:space="preserve"> Huaweï [2017] EWHC 711 (Pat).</w:t>
      </w:r>
    </w:p>
  </w:footnote>
  <w:footnote w:id="33">
    <w:p w:rsidR="00BB1AE4" w:rsidRDefault="00AE53A9">
      <w:pPr>
        <w:pStyle w:val="FootnoteText"/>
        <w:spacing w:after="0" w:line="240" w:lineRule="auto"/>
        <w:jc w:val="both"/>
      </w:pPr>
      <w:r>
        <w:rPr>
          <w:rStyle w:val="FootnoteReference"/>
        </w:rPr>
        <w:footnoteRef/>
      </w:r>
      <w:r>
        <w:t xml:space="preserve"> </w:t>
      </w:r>
      <w:r>
        <w:rPr>
          <w:rFonts w:ascii="Times New Roman" w:hAnsi="Times New Roman"/>
        </w:rPr>
        <w:t>Siiski on FRAND-tingimustel litsentsimise puh</w:t>
      </w:r>
      <w:r>
        <w:rPr>
          <w:rFonts w:ascii="Times New Roman" w:hAnsi="Times New Roman"/>
        </w:rPr>
        <w:t xml:space="preserve">ul vaja litsentsitasu arvutada viisil, mis ei pane ebasoodsasse olukorda neid rakendajaid, kes soovivad arendada toodet, mida kasutatakse geograafiliselt piiratud alal. </w:t>
      </w:r>
    </w:p>
  </w:footnote>
  <w:footnote w:id="34">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Unwired Planet </w:t>
      </w:r>
      <w:r>
        <w:rPr>
          <w:rFonts w:ascii="Times New Roman" w:hAnsi="Times New Roman"/>
          <w:i/>
        </w:rPr>
        <w:t>vs.</w:t>
      </w:r>
      <w:r>
        <w:rPr>
          <w:rFonts w:ascii="Times New Roman" w:hAnsi="Times New Roman"/>
        </w:rPr>
        <w:t xml:space="preserve"> Huaweï [2017] EWHC 711 (Pat).</w:t>
      </w:r>
    </w:p>
  </w:footnote>
  <w:footnote w:id="35">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Näiteks võib puulide loomist toet</w:t>
      </w:r>
      <w:r>
        <w:rPr>
          <w:rFonts w:ascii="Times New Roman" w:hAnsi="Times New Roman"/>
        </w:rPr>
        <w:t>ada selliste meetmete abil nagu standardiorganisatsioonide ja puulide vahelise suhtlemise intensiivistamine, osalemiseks stiimulite pakkumine ning ülikoolide ja VKEde teadlikkuse suurendamine puuli litsentsiandjaks olemise eelistest (ECSIP, 2015).</w:t>
      </w:r>
    </w:p>
  </w:footnote>
  <w:footnote w:id="36">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ECSIP (2014).</w:t>
      </w:r>
    </w:p>
  </w:footnote>
  <w:footnote w:id="37">
    <w:p w:rsidR="00BB1AE4" w:rsidRDefault="00AE53A9">
      <w:pPr>
        <w:pStyle w:val="FootnoteText"/>
        <w:spacing w:after="0"/>
        <w:rPr>
          <w:rFonts w:ascii="Times New Roman" w:hAnsi="Times New Roman"/>
        </w:rPr>
      </w:pPr>
      <w:r>
        <w:rPr>
          <w:rStyle w:val="FootnoteReference"/>
        </w:rPr>
        <w:footnoteRef/>
      </w:r>
      <w:r>
        <w:t xml:space="preserve"> </w:t>
      </w:r>
      <w:r>
        <w:rPr>
          <w:rFonts w:ascii="Times New Roman" w:hAnsi="Times New Roman"/>
        </w:rPr>
        <w:t>COM(2017) 708.</w:t>
      </w:r>
    </w:p>
  </w:footnote>
  <w:footnote w:id="38">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29. aprilli 2004. aasta direktiiv 2004/48/EÜ intellektuaalomandi õiguste jõustamise kohta; avaldatud ELTs L 195, 2.6.2004, põhjendus 3.</w:t>
      </w:r>
    </w:p>
  </w:footnote>
  <w:footnote w:id="39">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Kohtuasi C-170/13 </w:t>
      </w:r>
      <w:r>
        <w:rPr>
          <w:rFonts w:ascii="Times New Roman" w:hAnsi="Times New Roman"/>
          <w:i/>
        </w:rPr>
        <w:t>Huawei Technologies</w:t>
      </w:r>
      <w:r>
        <w:rPr>
          <w:rFonts w:ascii="Times New Roman" w:hAnsi="Times New Roman"/>
        </w:rPr>
        <w:t>, EU:C:2015:477.</w:t>
      </w:r>
    </w:p>
  </w:footnote>
  <w:footnote w:id="40">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Euroopa Kohus leidis, et ELi</w:t>
      </w:r>
      <w:r>
        <w:rPr>
          <w:rFonts w:ascii="Times New Roman" w:hAnsi="Times New Roman"/>
        </w:rPr>
        <w:t xml:space="preserve"> toimimise lepingu artiklit 102 tuleb tõlgendada nii, et standardiorganisatsiooni kehtestatud standardi rakendamiseks olulise patendi omanik, kes on võtnud selle organisatsiooni ees tühistamatu kohustuse anda kolmandatele isikutele litsentse õiglastel, mõi</w:t>
      </w:r>
      <w:r>
        <w:rPr>
          <w:rFonts w:ascii="Times New Roman" w:hAnsi="Times New Roman"/>
        </w:rPr>
        <w:t>stlikel ja mittediskrimineerivatel ehk nn FRAND- (</w:t>
      </w:r>
      <w:r>
        <w:rPr>
          <w:rFonts w:ascii="Times New Roman" w:hAnsi="Times New Roman"/>
          <w:i/>
        </w:rPr>
        <w:t>fair, reasonable and non-discriminatory</w:t>
      </w:r>
      <w:r>
        <w:rPr>
          <w:rFonts w:ascii="Times New Roman" w:hAnsi="Times New Roman"/>
        </w:rPr>
        <w:t>) tingimustel, ei kuritarvita oma turgu valitsevat seisundit selle artikli tähenduses, kui ta esitab patendiõiguste rikkumise hagi, milles nõuab oma patendiõiguste rik</w:t>
      </w:r>
      <w:r>
        <w:rPr>
          <w:rFonts w:ascii="Times New Roman" w:hAnsi="Times New Roman"/>
        </w:rPr>
        <w:t xml:space="preserve">kumise lõpetamist või sellise kauba tagasivõtmist, mille tootmiseks seda patenti kasutati, kui on täidetud järgmised tingimused: </w:t>
      </w:r>
    </w:p>
    <w:p w:rsidR="00BB1AE4" w:rsidRDefault="00AE53A9">
      <w:pPr>
        <w:pStyle w:val="FootnoteText"/>
        <w:spacing w:after="0" w:line="240" w:lineRule="auto"/>
        <w:jc w:val="both"/>
        <w:rPr>
          <w:rFonts w:ascii="Times New Roman" w:hAnsi="Times New Roman"/>
        </w:rPr>
      </w:pPr>
      <w:r>
        <w:rPr>
          <w:rFonts w:ascii="Times New Roman" w:hAnsi="Times New Roman"/>
        </w:rPr>
        <w:t>1) standardiorganisatsiooni kehtestatud standardi rakendamiseks olulise patendi omanik on enne selliste nõuete esitamist esite</w:t>
      </w:r>
      <w:r>
        <w:rPr>
          <w:rFonts w:ascii="Times New Roman" w:hAnsi="Times New Roman"/>
        </w:rPr>
        <w:t>ks teavitanud väidetavat patendiõiguste rikkujat rikkumisest, mida ta talle süüks paneb, viidates asjaomasele patendile ning täpsustades, kuidas seda rikuti, ja teiseks on pärast seda, kui väidetav patendiõiguste rikkuja on väljendanud oma soovi sõlmida li</w:t>
      </w:r>
      <w:r>
        <w:rPr>
          <w:rFonts w:ascii="Times New Roman" w:hAnsi="Times New Roman"/>
        </w:rPr>
        <w:t xml:space="preserve">tsentsileping FRAND-tingimustel, esitanud sellele patendiõiguste rikkujale kirjalikult konkreetse litsentsipakkumuse neil tingimustel, märkides eeskätt ära litsentsitasu suuruse ja arvutamise meetodi, ja </w:t>
      </w:r>
    </w:p>
    <w:p w:rsidR="00BB1AE4" w:rsidRDefault="00AE53A9">
      <w:pPr>
        <w:pStyle w:val="FootnoteText"/>
        <w:spacing w:after="0" w:line="240" w:lineRule="auto"/>
        <w:jc w:val="both"/>
        <w:rPr>
          <w:rFonts w:ascii="Times New Roman" w:hAnsi="Times New Roman"/>
        </w:rPr>
      </w:pPr>
      <w:r>
        <w:rPr>
          <w:rFonts w:ascii="Times New Roman" w:hAnsi="Times New Roman"/>
        </w:rPr>
        <w:t>2) patendiõiguste rikkuja, kes jätkab asjaomase pat</w:t>
      </w:r>
      <w:r>
        <w:rPr>
          <w:rFonts w:ascii="Times New Roman" w:hAnsi="Times New Roman"/>
        </w:rPr>
        <w:t>endi kasutamist, ei vasta sellisele pakkumusele hoolsalt, vastava valdkonna äritavasid järgides ja heauskselt, mis tuleb välja selgitada objektiivsete asjaolude alusel ning selleks on eelkõige vajalik mis tahes venitustaktika puudumine.</w:t>
      </w:r>
    </w:p>
  </w:footnote>
  <w:footnote w:id="41">
    <w:p w:rsidR="00BB1AE4" w:rsidRDefault="00AE53A9">
      <w:pPr>
        <w:spacing w:after="0" w:line="240" w:lineRule="auto"/>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OLG Düsseldorf, k</w:t>
      </w:r>
      <w:r>
        <w:rPr>
          <w:rFonts w:ascii="Times New Roman" w:hAnsi="Times New Roman"/>
          <w:sz w:val="20"/>
        </w:rPr>
        <w:t>ohtuasi I-15 U 66/15, 17. novembri 2016. aasta kohtumäärus, ja OLG Karlsruhe, kohtuasi 6 U 58/16, 8. septembri 2016. aasta kohtumäärus.</w:t>
      </w:r>
    </w:p>
  </w:footnote>
  <w:footnote w:id="42">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punkt 1.</w:t>
      </w:r>
    </w:p>
  </w:footnote>
  <w:footnote w:id="43">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29. aprilli 2004. aasta direktiiv 2004/48/EÜ intellektuaalomandi õiguste jõustamise kohta, ELT L 195, 2.6.2004, lk 16.</w:t>
      </w:r>
    </w:p>
  </w:footnote>
  <w:footnote w:id="44">
    <w:p w:rsidR="00BB1AE4" w:rsidRPr="00AE53A9" w:rsidRDefault="00AE53A9">
      <w:pPr>
        <w:pStyle w:val="FootnoteText"/>
        <w:spacing w:after="0" w:line="240" w:lineRule="auto"/>
        <w:rPr>
          <w:rFonts w:ascii="Times New Roman" w:hAnsi="Times New Roman"/>
          <w:highlight w:val="yellow"/>
        </w:rPr>
      </w:pPr>
      <w:r>
        <w:rPr>
          <w:rStyle w:val="FootnoteReference"/>
          <w:rFonts w:ascii="Times New Roman" w:hAnsi="Times New Roman"/>
        </w:rPr>
        <w:footnoteRef/>
      </w:r>
      <w:r>
        <w:rPr>
          <w:rFonts w:ascii="Times New Roman" w:hAnsi="Times New Roman"/>
        </w:rPr>
        <w:t xml:space="preserve"> Kohtuasi C-170/13 </w:t>
      </w:r>
      <w:r>
        <w:rPr>
          <w:rFonts w:ascii="Times New Roman" w:hAnsi="Times New Roman"/>
          <w:i/>
        </w:rPr>
        <w:t>Huawei Technologies</w:t>
      </w:r>
      <w:r>
        <w:rPr>
          <w:rFonts w:ascii="Times New Roman" w:hAnsi="Times New Roman"/>
        </w:rPr>
        <w:t>, EU:C:2015:477, punkt 65.</w:t>
      </w:r>
    </w:p>
  </w:footnote>
  <w:footnote w:id="45">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w:t>
      </w:r>
      <w:r>
        <w:rPr>
          <w:rFonts w:ascii="Times New Roman" w:hAnsi="Times New Roman"/>
          <w:i/>
        </w:rPr>
        <w:t>mutatis mutandis</w:t>
      </w:r>
      <w:r>
        <w:rPr>
          <w:rFonts w:ascii="Times New Roman" w:hAnsi="Times New Roman"/>
        </w:rPr>
        <w:t xml:space="preserve"> dokumendiga „Suunised Euroopa Liidu toimimise le</w:t>
      </w:r>
      <w:r>
        <w:rPr>
          <w:rFonts w:ascii="Times New Roman" w:hAnsi="Times New Roman"/>
        </w:rPr>
        <w:t>pingu artikli 101 kohaldatavuse kohta tehnosiirde kokkulepete suhtes“, ELT C 89, 28.3.2014, lk 3, punktid 250–255.</w:t>
      </w:r>
    </w:p>
  </w:footnote>
  <w:footnote w:id="46">
    <w:p w:rsidR="00BB1AE4" w:rsidRDefault="00AE53A9">
      <w:pPr>
        <w:pStyle w:val="FootnoteText"/>
        <w:spacing w:after="0" w:line="240" w:lineRule="auto"/>
        <w:jc w:val="both"/>
      </w:pPr>
      <w:r>
        <w:rPr>
          <w:rStyle w:val="FootnoteReference"/>
        </w:rPr>
        <w:footnoteRef/>
      </w:r>
      <w:r>
        <w:t xml:space="preserve"> </w:t>
      </w:r>
      <w:r>
        <w:rPr>
          <w:rFonts w:ascii="Times New Roman" w:hAnsi="Times New Roman"/>
        </w:rPr>
        <w:t>Vaidluste kohtuvälised lahendamise mehhanismid on juba olemas, näiteks Ülemaailmse Intellektuaalse Omandi Organisatsiooni (WIPO) vahekohtu-</w:t>
      </w:r>
      <w:r>
        <w:rPr>
          <w:rFonts w:ascii="Times New Roman" w:hAnsi="Times New Roman"/>
        </w:rPr>
        <w:t xml:space="preserve"> ja vahenduskeskus.</w:t>
      </w:r>
    </w:p>
  </w:footnote>
  <w:footnote w:id="47">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Komisjoni talituste töödokument „Intellektuaalomandi õiguste kasutamine VKEdes innovatsiooni ja majanduskasvu huvides“, SWD(2016) 373, 22.11.2016.</w:t>
      </w:r>
    </w:p>
  </w:footnote>
  <w:footnote w:id="48">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Vt punkt 1.2.1.</w:t>
      </w:r>
    </w:p>
  </w:footnote>
  <w:footnote w:id="49">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Neid on püütud defineerida JRC uuringu „Patent Assertion Entities i</w:t>
      </w:r>
      <w:r>
        <w:rPr>
          <w:rFonts w:ascii="Times New Roman" w:hAnsi="Times New Roman"/>
        </w:rPr>
        <w:t xml:space="preserve">n Europe“ (Patendihaid Euroopas) 3. peatükis. </w:t>
      </w:r>
      <w:hyperlink r:id="rId2">
        <w:r>
          <w:rPr>
            <w:rStyle w:val="Hyperlink"/>
            <w:rFonts w:ascii="Times New Roman" w:hAnsi="Times New Roman"/>
          </w:rPr>
          <w:t>http://publications.jrc.ec.europa.eu/repository/bitstream/JRC103321/lfna28145enn.pdf</w:t>
        </w:r>
      </w:hyperlink>
      <w:r>
        <w:rPr>
          <w:rFonts w:ascii="Times New Roman" w:hAnsi="Times New Roman"/>
        </w:rPr>
        <w:t xml:space="preserve"> </w:t>
      </w:r>
    </w:p>
  </w:footnote>
  <w:footnote w:id="50">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http://publications.jrc.ec.europa.eu/repository/bitstream/JRC103321/lfna28145enn.pdf</w:t>
        </w:r>
      </w:hyperlink>
      <w:r>
        <w:rPr>
          <w:rFonts w:ascii="Times New Roman" w:hAnsi="Times New Roman"/>
        </w:rPr>
        <w:t xml:space="preserve"> </w:t>
      </w:r>
    </w:p>
  </w:footnote>
  <w:footnote w:id="51">
    <w:p w:rsidR="00BB1AE4" w:rsidRDefault="00AE53A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Eespool osutatud JRC uuring.</w:t>
      </w:r>
    </w:p>
  </w:footnote>
  <w:footnote w:id="52">
    <w:p w:rsidR="00BB1AE4" w:rsidRDefault="00AE53A9">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Pilvandmetöötluse kohta vt „Report on standards and open source: bridging the gap“.</w:t>
      </w:r>
    </w:p>
  </w:footnote>
  <w:footnote w:id="53">
    <w:p w:rsidR="00BB1AE4" w:rsidRPr="00AE53A9" w:rsidRDefault="00AE53A9">
      <w:pPr>
        <w:pStyle w:val="FootnoteText"/>
        <w:spacing w:after="0" w:line="240" w:lineRule="auto"/>
        <w:rPr>
          <w:rFonts w:ascii="Times New Roman" w:hAnsi="Times New Roman"/>
          <w:lang w:val="fi-FI"/>
        </w:rPr>
      </w:pPr>
      <w:r>
        <w:rPr>
          <w:rStyle w:val="FootnoteReference"/>
          <w:rFonts w:ascii="Times New Roman" w:hAnsi="Times New Roman"/>
        </w:rPr>
        <w:footnoteRef/>
      </w:r>
      <w:r>
        <w:rPr>
          <w:rFonts w:ascii="Times New Roman" w:hAnsi="Times New Roman"/>
        </w:rPr>
        <w:t xml:space="preserve"> OASIS, ECMA, ITU-T, ETSI jne.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A9" w:rsidRPr="00AE53A9" w:rsidRDefault="00AE53A9" w:rsidP="00AE5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A9" w:rsidRPr="00AE53A9" w:rsidRDefault="00AE53A9" w:rsidP="00AE53A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A9" w:rsidRPr="00AE53A9" w:rsidRDefault="00AE53A9" w:rsidP="00AE53A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E4" w:rsidRDefault="00BB1A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E4" w:rsidRDefault="00BB1A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AE4" w:rsidRDefault="00BB1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404"/>
    <w:multiLevelType w:val="hybridMultilevel"/>
    <w:tmpl w:val="FF8E9A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A82BAB"/>
    <w:multiLevelType w:val="hybridMultilevel"/>
    <w:tmpl w:val="EB4C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A839D3"/>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3E411F"/>
    <w:multiLevelType w:val="hybridMultilevel"/>
    <w:tmpl w:val="27F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C35E3"/>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C35984"/>
    <w:multiLevelType w:val="hybridMultilevel"/>
    <w:tmpl w:val="BCD82516"/>
    <w:lvl w:ilvl="0" w:tplc="88B29398">
      <w:numFmt w:val="bullet"/>
      <w:lvlText w:val="•"/>
      <w:lvlJc w:val="left"/>
      <w:pPr>
        <w:ind w:left="1080" w:hanging="72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E3E4E"/>
    <w:multiLevelType w:val="hybridMultilevel"/>
    <w:tmpl w:val="1BD2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D8513B"/>
    <w:multiLevelType w:val="multilevel"/>
    <w:tmpl w:val="358A588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966A13"/>
    <w:multiLevelType w:val="hybridMultilevel"/>
    <w:tmpl w:val="3466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C0BDD"/>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5E2FC7"/>
    <w:multiLevelType w:val="hybridMultilevel"/>
    <w:tmpl w:val="239EC042"/>
    <w:lvl w:ilvl="0" w:tplc="AE904630">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A6B7484"/>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DC925FA"/>
    <w:multiLevelType w:val="hybridMultilevel"/>
    <w:tmpl w:val="351E4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E1634D6"/>
    <w:multiLevelType w:val="hybridMultilevel"/>
    <w:tmpl w:val="5C7C6720"/>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841626"/>
    <w:multiLevelType w:val="hybridMultilevel"/>
    <w:tmpl w:val="F6C68C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EED4F89"/>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1D7A8B"/>
    <w:multiLevelType w:val="hybridMultilevel"/>
    <w:tmpl w:val="098203EE"/>
    <w:lvl w:ilvl="0" w:tplc="88B29398">
      <w:numFmt w:val="bullet"/>
      <w:lvlText w:val="•"/>
      <w:lvlJc w:val="left"/>
      <w:pPr>
        <w:ind w:left="1080" w:hanging="72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3F1EA0"/>
    <w:multiLevelType w:val="hybridMultilevel"/>
    <w:tmpl w:val="43627D1C"/>
    <w:lvl w:ilvl="0" w:tplc="07E8B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08225B"/>
    <w:multiLevelType w:val="hybridMultilevel"/>
    <w:tmpl w:val="110C5F5E"/>
    <w:lvl w:ilvl="0" w:tplc="256C164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4A40D04"/>
    <w:multiLevelType w:val="hybridMultilevel"/>
    <w:tmpl w:val="CDF6FA74"/>
    <w:lvl w:ilvl="0" w:tplc="A69055A8">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4ADD344E"/>
    <w:multiLevelType w:val="hybridMultilevel"/>
    <w:tmpl w:val="8B92F954"/>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76168B"/>
    <w:multiLevelType w:val="hybridMultilevel"/>
    <w:tmpl w:val="104C8DAA"/>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0033F0"/>
    <w:multiLevelType w:val="multilevel"/>
    <w:tmpl w:val="0A6E74B2"/>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nsid w:val="5F8B1D0C"/>
    <w:multiLevelType w:val="multilevel"/>
    <w:tmpl w:val="5B82F84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FD95023"/>
    <w:multiLevelType w:val="hybridMultilevel"/>
    <w:tmpl w:val="1790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9B1612"/>
    <w:multiLevelType w:val="hybridMultilevel"/>
    <w:tmpl w:val="57386032"/>
    <w:lvl w:ilvl="0" w:tplc="62467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8230C2"/>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62257B"/>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47D27CA"/>
    <w:multiLevelType w:val="hybridMultilevel"/>
    <w:tmpl w:val="49F49A88"/>
    <w:lvl w:ilvl="0" w:tplc="62467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D35A64"/>
    <w:multiLevelType w:val="hybridMultilevel"/>
    <w:tmpl w:val="F56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ED13B9"/>
    <w:multiLevelType w:val="hybridMultilevel"/>
    <w:tmpl w:val="CBE8220C"/>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6"/>
  </w:num>
  <w:num w:numId="4">
    <w:abstractNumId w:val="4"/>
  </w:num>
  <w:num w:numId="5">
    <w:abstractNumId w:val="23"/>
  </w:num>
  <w:num w:numId="6">
    <w:abstractNumId w:val="22"/>
  </w:num>
  <w:num w:numId="7">
    <w:abstractNumId w:val="7"/>
  </w:num>
  <w:num w:numId="8">
    <w:abstractNumId w:val="11"/>
  </w:num>
  <w:num w:numId="9">
    <w:abstractNumId w:val="9"/>
  </w:num>
  <w:num w:numId="10">
    <w:abstractNumId w:val="21"/>
  </w:num>
  <w:num w:numId="11">
    <w:abstractNumId w:val="30"/>
  </w:num>
  <w:num w:numId="12">
    <w:abstractNumId w:val="20"/>
  </w:num>
  <w:num w:numId="13">
    <w:abstractNumId w:val="13"/>
  </w:num>
  <w:num w:numId="14">
    <w:abstractNumId w:val="2"/>
  </w:num>
  <w:num w:numId="15">
    <w:abstractNumId w:val="0"/>
  </w:num>
  <w:num w:numId="16">
    <w:abstractNumId w:val="8"/>
  </w:num>
  <w:num w:numId="17">
    <w:abstractNumId w:val="5"/>
  </w:num>
  <w:num w:numId="18">
    <w:abstractNumId w:val="16"/>
  </w:num>
  <w:num w:numId="19">
    <w:abstractNumId w:val="14"/>
  </w:num>
  <w:num w:numId="20">
    <w:abstractNumId w:val="19"/>
  </w:num>
  <w:num w:numId="21">
    <w:abstractNumId w:val="18"/>
  </w:num>
  <w:num w:numId="22">
    <w:abstractNumId w:val="1"/>
  </w:num>
  <w:num w:numId="23">
    <w:abstractNumId w:val="10"/>
  </w:num>
  <w:num w:numId="24">
    <w:abstractNumId w:val="12"/>
  </w:num>
  <w:num w:numId="25">
    <w:abstractNumId w:val="24"/>
  </w:num>
  <w:num w:numId="26">
    <w:abstractNumId w:val="15"/>
  </w:num>
  <w:num w:numId="27">
    <w:abstractNumId w:val="27"/>
  </w:num>
  <w:num w:numId="28">
    <w:abstractNumId w:val="28"/>
  </w:num>
  <w:num w:numId="29">
    <w:abstractNumId w:val="25"/>
  </w:num>
  <w:num w:numId="30">
    <w:abstractNumId w:val="17"/>
  </w:num>
  <w:num w:numId="3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29ADCB-44E7-48C3-B778-8CEA46F02207"/>
    <w:docVar w:name="LW_COVERPAGE_TYPE" w:val="1"/>
    <w:docVar w:name="LW_CROSSREFERENCE" w:val="&lt;UNUSED&gt;"/>
    <w:docVar w:name="LW_DocType" w:val="NORMAL"/>
    <w:docVar w:name="LW_EMISSION" w:val="29.11.2017"/>
    <w:docVar w:name="LW_EMISSION_ISODATE" w:val="2017-11-29"/>
    <w:docVar w:name="LW_EMISSION_LOCATION" w:val="BRX"/>
    <w:docVar w:name="LW_EMISSION_PREFIX" w:val="Brüssel,"/>
    <w:docVar w:name="LW_EMISSION_SUFFIX" w:val="&lt;EMPTY&gt;"/>
    <w:docVar w:name="LW_ID_DOCTYPE_NONLW" w:val="CP-013"/>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17) 7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How the European patent with unitary effect will work together with national patents and national supplementary protection certificates"/>
    <w:docVar w:name="LW_SOUS.TITRE.OBJ.CP" w:val="&lt;UNUSED&gt;"/>
    <w:docVar w:name="LW_SUPERTITRE" w:val="&lt;UNUSED&gt;"/>
    <w:docVar w:name="LW_TITRE.OBJ.CP" w:val="ELi lähenemisviis standardite rakendamiseks olulistele patentidele"/>
    <w:docVar w:name="LW_TYPE.DOC.CP" w:val="KOMISJONI TEATIS EUROOPA PARLAMENDILE, NÕUKOGULE NING EUROOPA MAJANDUS- JA SOTSIAALKOMITEELE"/>
    <w:docVar w:name="LW_TYPE.DOC.CP.USERTEXT" w:val="&lt;EMPTY&gt;"/>
  </w:docVars>
  <w:rsids>
    <w:rsidRoot w:val="00BB1AE4"/>
    <w:rsid w:val="00AE53A9"/>
    <w:rsid w:val="00BB1A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CM54">
    <w:name w:val="CM54"/>
    <w:basedOn w:val="Default"/>
    <w:next w:val="Default"/>
    <w:uiPriority w:val="99"/>
    <w:rPr>
      <w:rFonts w:ascii="QVHQCS+TimesNewRoman" w:eastAsiaTheme="minorHAnsi" w:hAnsi="QVHQCS+TimesNewRoman" w:cstheme="minorBidi"/>
      <w:color w:val="auto"/>
    </w:rPr>
  </w:style>
  <w:style w:type="character" w:customStyle="1" w:styleId="affairetitle">
    <w:name w:val="affaire_title"/>
    <w:basedOn w:val="DefaultParagraphFont"/>
  </w:style>
  <w:style w:type="character" w:styleId="Strong">
    <w:name w:val="Strong"/>
    <w:basedOn w:val="DefaultParagraphFont"/>
    <w:uiPriority w:val="22"/>
    <w:qFormat/>
    <w:rPr>
      <w:b/>
      <w:bCs/>
    </w:rPr>
  </w:style>
  <w:style w:type="paragraph" w:customStyle="1" w:styleId="gmail-m3155349479969081128msolistparagraph">
    <w:name w:val="gmail-m_3155349479969081128msolistparagraph"/>
    <w:basedOn w:val="Normal"/>
    <w:uiPriority w:val="99"/>
    <w:pPr>
      <w:spacing w:after="0" w:line="240" w:lineRule="auto"/>
    </w:pPr>
    <w:rPr>
      <w:rFonts w:ascii="Times New Roman" w:eastAsia="Times New Roman" w:hAnsi="Times New Roman" w:cs="Times New Roman"/>
      <w:sz w:val="24"/>
      <w:szCs w:val="24"/>
    </w:rPr>
  </w:style>
  <w:style w:type="character" w:customStyle="1" w:styleId="outputecli">
    <w:name w:val="outputecli"/>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CM54">
    <w:name w:val="CM54"/>
    <w:basedOn w:val="Default"/>
    <w:next w:val="Default"/>
    <w:uiPriority w:val="99"/>
    <w:rPr>
      <w:rFonts w:ascii="QVHQCS+TimesNewRoman" w:eastAsiaTheme="minorHAnsi" w:hAnsi="QVHQCS+TimesNewRoman" w:cstheme="minorBidi"/>
      <w:color w:val="auto"/>
    </w:rPr>
  </w:style>
  <w:style w:type="character" w:customStyle="1" w:styleId="affairetitle">
    <w:name w:val="affaire_title"/>
    <w:basedOn w:val="DefaultParagraphFont"/>
  </w:style>
  <w:style w:type="character" w:styleId="Strong">
    <w:name w:val="Strong"/>
    <w:basedOn w:val="DefaultParagraphFont"/>
    <w:uiPriority w:val="22"/>
    <w:qFormat/>
    <w:rPr>
      <w:b/>
      <w:bCs/>
    </w:rPr>
  </w:style>
  <w:style w:type="paragraph" w:customStyle="1" w:styleId="gmail-m3155349479969081128msolistparagraph">
    <w:name w:val="gmail-m_3155349479969081128msolistparagraph"/>
    <w:basedOn w:val="Normal"/>
    <w:uiPriority w:val="99"/>
    <w:pPr>
      <w:spacing w:after="0" w:line="240" w:lineRule="auto"/>
    </w:pPr>
    <w:rPr>
      <w:rFonts w:ascii="Times New Roman" w:eastAsia="Times New Roman" w:hAnsi="Times New Roman" w:cs="Times New Roman"/>
      <w:sz w:val="24"/>
      <w:szCs w:val="24"/>
    </w:rPr>
  </w:style>
  <w:style w:type="character" w:customStyle="1" w:styleId="outputecli">
    <w:name w:val="outputecli"/>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90">
      <w:bodyDiv w:val="1"/>
      <w:marLeft w:val="0"/>
      <w:marRight w:val="0"/>
      <w:marTop w:val="0"/>
      <w:marBottom w:val="0"/>
      <w:divBdr>
        <w:top w:val="none" w:sz="0" w:space="0" w:color="auto"/>
        <w:left w:val="none" w:sz="0" w:space="0" w:color="auto"/>
        <w:bottom w:val="none" w:sz="0" w:space="0" w:color="auto"/>
        <w:right w:val="none" w:sz="0" w:space="0" w:color="auto"/>
      </w:divBdr>
    </w:div>
    <w:div w:id="184372464">
      <w:bodyDiv w:val="1"/>
      <w:marLeft w:val="0"/>
      <w:marRight w:val="0"/>
      <w:marTop w:val="0"/>
      <w:marBottom w:val="0"/>
      <w:divBdr>
        <w:top w:val="none" w:sz="0" w:space="0" w:color="auto"/>
        <w:left w:val="none" w:sz="0" w:space="0" w:color="auto"/>
        <w:bottom w:val="none" w:sz="0" w:space="0" w:color="auto"/>
        <w:right w:val="none" w:sz="0" w:space="0" w:color="auto"/>
      </w:divBdr>
      <w:divsChild>
        <w:div w:id="1395469068">
          <w:marLeft w:val="0"/>
          <w:marRight w:val="0"/>
          <w:marTop w:val="0"/>
          <w:marBottom w:val="0"/>
          <w:divBdr>
            <w:top w:val="none" w:sz="0" w:space="0" w:color="auto"/>
            <w:left w:val="none" w:sz="0" w:space="0" w:color="auto"/>
            <w:bottom w:val="none" w:sz="0" w:space="0" w:color="auto"/>
            <w:right w:val="none" w:sz="0" w:space="0" w:color="auto"/>
          </w:divBdr>
          <w:divsChild>
            <w:div w:id="1132360968">
              <w:marLeft w:val="0"/>
              <w:marRight w:val="0"/>
              <w:marTop w:val="0"/>
              <w:marBottom w:val="0"/>
              <w:divBdr>
                <w:top w:val="none" w:sz="0" w:space="0" w:color="auto"/>
                <w:left w:val="none" w:sz="0" w:space="0" w:color="auto"/>
                <w:bottom w:val="none" w:sz="0" w:space="0" w:color="auto"/>
                <w:right w:val="none" w:sz="0" w:space="0" w:color="auto"/>
              </w:divBdr>
              <w:divsChild>
                <w:div w:id="1876844402">
                  <w:marLeft w:val="0"/>
                  <w:marRight w:val="0"/>
                  <w:marTop w:val="0"/>
                  <w:marBottom w:val="0"/>
                  <w:divBdr>
                    <w:top w:val="none" w:sz="0" w:space="0" w:color="auto"/>
                    <w:left w:val="none" w:sz="0" w:space="0" w:color="auto"/>
                    <w:bottom w:val="none" w:sz="0" w:space="0" w:color="auto"/>
                    <w:right w:val="none" w:sz="0" w:space="0" w:color="auto"/>
                  </w:divBdr>
                  <w:divsChild>
                    <w:div w:id="9864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9785">
      <w:bodyDiv w:val="1"/>
      <w:marLeft w:val="0"/>
      <w:marRight w:val="0"/>
      <w:marTop w:val="0"/>
      <w:marBottom w:val="0"/>
      <w:divBdr>
        <w:top w:val="none" w:sz="0" w:space="0" w:color="auto"/>
        <w:left w:val="none" w:sz="0" w:space="0" w:color="auto"/>
        <w:bottom w:val="none" w:sz="0" w:space="0" w:color="auto"/>
        <w:right w:val="none" w:sz="0" w:space="0" w:color="auto"/>
      </w:divBdr>
    </w:div>
    <w:div w:id="1251964175">
      <w:bodyDiv w:val="1"/>
      <w:marLeft w:val="0"/>
      <w:marRight w:val="0"/>
      <w:marTop w:val="0"/>
      <w:marBottom w:val="0"/>
      <w:divBdr>
        <w:top w:val="none" w:sz="0" w:space="0" w:color="auto"/>
        <w:left w:val="none" w:sz="0" w:space="0" w:color="auto"/>
        <w:bottom w:val="none" w:sz="0" w:space="0" w:color="auto"/>
        <w:right w:val="none" w:sz="0" w:space="0" w:color="auto"/>
      </w:divBdr>
    </w:div>
    <w:div w:id="1276522179">
      <w:bodyDiv w:val="1"/>
      <w:marLeft w:val="0"/>
      <w:marRight w:val="0"/>
      <w:marTop w:val="0"/>
      <w:marBottom w:val="0"/>
      <w:divBdr>
        <w:top w:val="none" w:sz="0" w:space="0" w:color="auto"/>
        <w:left w:val="none" w:sz="0" w:space="0" w:color="auto"/>
        <w:bottom w:val="none" w:sz="0" w:space="0" w:color="auto"/>
        <w:right w:val="none" w:sz="0" w:space="0" w:color="auto"/>
      </w:divBdr>
    </w:div>
    <w:div w:id="1781874342">
      <w:bodyDiv w:val="1"/>
      <w:marLeft w:val="0"/>
      <w:marRight w:val="0"/>
      <w:marTop w:val="0"/>
      <w:marBottom w:val="0"/>
      <w:divBdr>
        <w:top w:val="none" w:sz="0" w:space="0" w:color="auto"/>
        <w:left w:val="none" w:sz="0" w:space="0" w:color="auto"/>
        <w:bottom w:val="none" w:sz="0" w:space="0" w:color="auto"/>
        <w:right w:val="none" w:sz="0" w:space="0" w:color="auto"/>
      </w:divBdr>
      <w:divsChild>
        <w:div w:id="1481774675">
          <w:marLeft w:val="0"/>
          <w:marRight w:val="0"/>
          <w:marTop w:val="0"/>
          <w:marBottom w:val="0"/>
          <w:divBdr>
            <w:top w:val="none" w:sz="0" w:space="0" w:color="auto"/>
            <w:left w:val="none" w:sz="0" w:space="0" w:color="auto"/>
            <w:bottom w:val="none" w:sz="0" w:space="0" w:color="auto"/>
            <w:right w:val="none" w:sz="0" w:space="0" w:color="auto"/>
          </w:divBdr>
        </w:div>
      </w:divsChild>
    </w:div>
    <w:div w:id="2025011159">
      <w:bodyDiv w:val="1"/>
      <w:marLeft w:val="0"/>
      <w:marRight w:val="0"/>
      <w:marTop w:val="0"/>
      <w:marBottom w:val="0"/>
      <w:divBdr>
        <w:top w:val="none" w:sz="0" w:space="0" w:color="auto"/>
        <w:left w:val="none" w:sz="0" w:space="0" w:color="auto"/>
        <w:bottom w:val="none" w:sz="0" w:space="0" w:color="auto"/>
        <w:right w:val="none" w:sz="0" w:space="0" w:color="auto"/>
      </w:divBdr>
    </w:div>
    <w:div w:id="2113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jrc.ec.europa.eu/repository/bitstream/JRC103321/lfna28145enn.pdf" TargetMode="External"/><Relationship Id="rId2" Type="http://schemas.openxmlformats.org/officeDocument/2006/relationships/hyperlink" Target="http://publications.jrc.ec.europa.eu/repository/bitstream/JRC103321/lfna28145enn.pdf" TargetMode="External"/><Relationship Id="rId1" Type="http://schemas.openxmlformats.org/officeDocument/2006/relationships/hyperlink" Target="http://ec.europa.eu/growth/tools-databases/newsroom/cf/itemdetail.cfm?item_id=7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D086B-9B2E-46F0-8E2D-1AF053A4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4211</Words>
  <Characters>33317</Characters>
  <Application>Microsoft Office Word</Application>
  <DocSecurity>0</DocSecurity>
  <Lines>480</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2017-11-28T10:53:00Z</dcterms:created>
  <dcterms:modified xsi:type="dcterms:W3CDTF">2017-12-05T19:38:00Z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